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4"/>
          <w:szCs w:val="24"/>
          <w:color w:val="auto"/>
        </w:rPr>
      </w:pPr>
    </w:p>
    <w:p>
      <w:pPr>
        <w:ind w:left="6"/>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6113145" cy="30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13145" cy="304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180975</wp:posOffset>
            </wp:positionV>
            <wp:extent cx="611314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13145" cy="7620"/>
                    </a:xfrm>
                    <a:prstGeom prst="rect">
                      <a:avLst/>
                    </a:prstGeom>
                    <a:noFill/>
                  </pic:spPr>
                </pic:pic>
              </a:graphicData>
            </a:graphic>
          </wp:anchor>
        </w:drawing>
      </w:r>
    </w:p>
    <w:p>
      <w:pPr>
        <w:spacing w:after="0" w:line="382"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12"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2294255</wp:posOffset>
            </wp:positionH>
            <wp:positionV relativeFrom="paragraph">
              <wp:posOffset>55245</wp:posOffset>
            </wp:positionV>
            <wp:extent cx="152463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4635" cy="7620"/>
                    </a:xfrm>
                    <a:prstGeom prst="rect">
                      <a:avLst/>
                    </a:prstGeom>
                    <a:noFill/>
                  </pic:spPr>
                </pic:pic>
              </a:graphicData>
            </a:graphic>
          </wp:anchor>
        </w:drawing>
      </w:r>
    </w:p>
    <w:p>
      <w:pPr>
        <w:spacing w:after="0" w:line="137"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2294255</wp:posOffset>
            </wp:positionH>
            <wp:positionV relativeFrom="paragraph">
              <wp:posOffset>73660</wp:posOffset>
            </wp:positionV>
            <wp:extent cx="152463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4635" cy="7620"/>
                    </a:xfrm>
                    <a:prstGeom prst="rect">
                      <a:avLst/>
                    </a:prstGeom>
                    <a:noFill/>
                  </pic:spPr>
                </pic:pic>
              </a:graphicData>
            </a:graphic>
          </wp:anchor>
        </w:drawing>
      </w:r>
    </w:p>
    <w:p>
      <w:pPr>
        <w:spacing w:after="0" w:line="311" w:lineRule="exact"/>
        <w:rPr>
          <w:sz w:val="24"/>
          <w:szCs w:val="24"/>
          <w:color w:val="auto"/>
        </w:rPr>
      </w:pPr>
    </w:p>
    <w:p>
      <w:pPr>
        <w:ind w:left="346" w:hanging="346"/>
        <w:spacing w:after="0"/>
        <w:tabs>
          <w:tab w:leader="none" w:pos="346"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Annual Report Pursuant to Section 13 or 15(d) of the Securities Exchange Act of 1934</w:t>
      </w:r>
    </w:p>
    <w:p>
      <w:pPr>
        <w:spacing w:after="0" w:line="22" w:lineRule="exact"/>
        <w:rPr>
          <w:rFonts w:ascii="MS PGothic" w:cs="MS PGothic" w:eastAsia="MS PGothic" w:hAnsi="MS PGothic"/>
          <w:sz w:val="13"/>
          <w:szCs w:val="13"/>
          <w:color w:val="auto"/>
        </w:rPr>
      </w:pPr>
    </w:p>
    <w:p>
      <w:pPr>
        <w:ind w:left="1506"/>
        <w:spacing w:after="0"/>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For the fiscal year ended December 31, 2024</w:t>
      </w:r>
    </w:p>
    <w:p>
      <w:pPr>
        <w:spacing w:after="0" w:line="2" w:lineRule="exact"/>
        <w:rPr>
          <w:sz w:val="24"/>
          <w:szCs w:val="24"/>
          <w:color w:val="auto"/>
        </w:rPr>
      </w:pPr>
    </w:p>
    <w:p>
      <w:pPr>
        <w:ind w:left="346" w:hanging="346"/>
        <w:spacing w:after="0"/>
        <w:tabs>
          <w:tab w:leader="none" w:pos="346"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11" w:lineRule="exact"/>
        <w:rPr>
          <w:sz w:val="24"/>
          <w:szCs w:val="24"/>
          <w:color w:val="auto"/>
        </w:rPr>
      </w:pPr>
    </w:p>
    <w:tbl>
      <w:tblPr>
        <w:tblLayout w:type="fixed"/>
        <w:tblInd w:w="1506" w:type="dxa"/>
        <w:tblCellMar>
          <w:top w:w="0" w:type="dxa"/>
          <w:left w:w="0" w:type="dxa"/>
          <w:bottom w:w="0" w:type="dxa"/>
          <w:right w:w="0" w:type="dxa"/>
        </w:tblCellMar>
      </w:tblPr>
      <w:tr>
        <w:trPr>
          <w:trHeight w:val="174"/>
        </w:trPr>
        <w:tc>
          <w:tcPr>
            <w:tcW w:w="24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For the Transition Period From</w:t>
            </w:r>
          </w:p>
        </w:tc>
        <w:tc>
          <w:tcPr>
            <w:tcW w:w="720" w:type="dxa"/>
            <w:vAlign w:val="bottom"/>
          </w:tcPr>
          <w:p>
            <w:pPr>
              <w:jc w:val="right"/>
              <w:ind w:right="494"/>
              <w:spacing w:after="0"/>
              <w:rPr>
                <w:sz w:val="20"/>
                <w:szCs w:val="20"/>
                <w:color w:val="auto"/>
              </w:rPr>
            </w:pPr>
            <w:r>
              <w:rPr>
                <w:rFonts w:ascii="Times New Roman" w:cs="Times New Roman" w:eastAsia="Times New Roman" w:hAnsi="Times New Roman"/>
                <w:sz w:val="13"/>
                <w:szCs w:val="13"/>
                <w:b w:val="1"/>
                <w:bCs w:val="1"/>
                <w:color w:val="auto"/>
              </w:rPr>
              <w:t>to</w:t>
            </w:r>
          </w:p>
        </w:tc>
        <w:tc>
          <w:tcPr>
            <w:tcW w:w="1540" w:type="dxa"/>
            <w:vAlign w:val="bottom"/>
          </w:tcPr>
          <w:p>
            <w:pPr>
              <w:jc w:val="right"/>
              <w:ind w:right="1314"/>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314"/>
        </w:trPr>
        <w:tc>
          <w:tcPr>
            <w:tcW w:w="2440" w:type="dxa"/>
            <w:vAlign w:val="bottom"/>
          </w:tcPr>
          <w:p>
            <w:pPr>
              <w:ind w:left="1020"/>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001-32336</w:t>
            </w:r>
          </w:p>
        </w:tc>
        <w:tc>
          <w:tcPr>
            <w:tcW w:w="15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(Digital Realty Trust, Inc.)</w:t>
            </w:r>
          </w:p>
        </w:tc>
      </w:tr>
      <w:tr>
        <w:trPr>
          <w:trHeight w:val="174"/>
        </w:trPr>
        <w:tc>
          <w:tcPr>
            <w:tcW w:w="24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000-54023</w:t>
            </w:r>
          </w:p>
        </w:tc>
        <w:tc>
          <w:tcPr>
            <w:tcW w:w="15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(Digital Realty Trust,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2294255</wp:posOffset>
            </wp:positionH>
            <wp:positionV relativeFrom="paragraph">
              <wp:posOffset>172720</wp:posOffset>
            </wp:positionV>
            <wp:extent cx="152463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4635" cy="7620"/>
                    </a:xfrm>
                    <a:prstGeom prst="rect">
                      <a:avLst/>
                    </a:prstGeom>
                    <a:noFill/>
                  </pic:spPr>
                </pic:pic>
              </a:graphicData>
            </a:graphic>
          </wp:anchor>
        </w:drawing>
      </w:r>
    </w:p>
    <w:p>
      <w:pPr>
        <w:spacing w:after="0" w:line="321" w:lineRule="exact"/>
        <w:rPr>
          <w:sz w:val="24"/>
          <w:szCs w:val="24"/>
          <w:color w:val="auto"/>
        </w:rPr>
      </w:pPr>
    </w:p>
    <w:p>
      <w:pPr>
        <w:ind w:left="3386"/>
        <w:spacing w:after="0"/>
        <w:rPr>
          <w:sz w:val="20"/>
          <w:szCs w:val="20"/>
          <w:color w:val="auto"/>
        </w:rPr>
      </w:pPr>
      <w:r>
        <w:rPr>
          <w:rFonts w:ascii="Times New Roman" w:cs="Times New Roman" w:eastAsia="Times New Roman" w:hAnsi="Times New Roman"/>
          <w:sz w:val="19"/>
          <w:szCs w:val="19"/>
          <w:b w:val="1"/>
          <w:bCs w:val="1"/>
          <w:color w:val="auto"/>
        </w:rPr>
        <w:t>DIGITAL REALTY TRUST, INC.</w:t>
      </w:r>
    </w:p>
    <w:p>
      <w:pPr>
        <w:spacing w:after="0" w:line="34" w:lineRule="exact"/>
        <w:rPr>
          <w:sz w:val="24"/>
          <w:szCs w:val="24"/>
          <w:color w:val="auto"/>
        </w:rPr>
      </w:pPr>
    </w:p>
    <w:p>
      <w:pPr>
        <w:ind w:left="3406"/>
        <w:spacing w:after="0"/>
        <w:rPr>
          <w:sz w:val="20"/>
          <w:szCs w:val="20"/>
          <w:color w:val="auto"/>
        </w:rPr>
      </w:pPr>
      <w:r>
        <w:rPr>
          <w:rFonts w:ascii="Times New Roman" w:cs="Times New Roman" w:eastAsia="Times New Roman" w:hAnsi="Times New Roman"/>
          <w:sz w:val="19"/>
          <w:szCs w:val="19"/>
          <w:b w:val="1"/>
          <w:bCs w:val="1"/>
          <w:color w:val="auto"/>
        </w:rPr>
        <w:t>DIGITAL REALTY TRUST, L.P.</w:t>
      </w:r>
    </w:p>
    <w:p>
      <w:pPr>
        <w:spacing w:after="0" w:line="3" w:lineRule="exact"/>
        <w:rPr>
          <w:sz w:val="24"/>
          <w:szCs w:val="24"/>
          <w:color w:val="auto"/>
        </w:rPr>
      </w:pPr>
    </w:p>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2294255</wp:posOffset>
            </wp:positionH>
            <wp:positionV relativeFrom="paragraph">
              <wp:posOffset>63500</wp:posOffset>
            </wp:positionV>
            <wp:extent cx="152463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4635" cy="7620"/>
                    </a:xfrm>
                    <a:prstGeom prst="rect">
                      <a:avLst/>
                    </a:prstGeom>
                    <a:noFill/>
                  </pic:spPr>
                </pic:pic>
              </a:graphicData>
            </a:graphic>
          </wp:anchor>
        </w:drawing>
      </w:r>
    </w:p>
    <w:p>
      <w:pPr>
        <w:spacing w:after="0" w:line="343" w:lineRule="exact"/>
        <w:rPr>
          <w:sz w:val="24"/>
          <w:szCs w:val="24"/>
          <w:color w:val="auto"/>
        </w:rPr>
      </w:pPr>
    </w:p>
    <w:tbl>
      <w:tblPr>
        <w:tblLayout w:type="fixed"/>
        <w:tblInd w:w="526" w:type="dxa"/>
        <w:tblCellMar>
          <w:top w:w="0" w:type="dxa"/>
          <w:left w:w="0" w:type="dxa"/>
          <w:bottom w:w="0" w:type="dxa"/>
          <w:right w:w="0" w:type="dxa"/>
        </w:tblCellMar>
      </w:tblPr>
      <w:tr>
        <w:trPr>
          <w:trHeight w:val="156"/>
        </w:trPr>
        <w:tc>
          <w:tcPr>
            <w:tcW w:w="3640" w:type="dxa"/>
            <w:vAlign w:val="bottom"/>
          </w:tcPr>
          <w:p>
            <w:pPr>
              <w:jc w:val="center"/>
              <w:ind w:right="154"/>
              <w:spacing w:after="0"/>
              <w:rPr>
                <w:sz w:val="20"/>
                <w:szCs w:val="20"/>
                <w:color w:val="auto"/>
              </w:rPr>
            </w:pPr>
            <w:r>
              <w:rPr>
                <w:rFonts w:ascii="Times New Roman" w:cs="Times New Roman" w:eastAsia="Times New Roman" w:hAnsi="Times New Roman"/>
                <w:sz w:val="13"/>
                <w:szCs w:val="13"/>
                <w:b w:val="1"/>
                <w:bCs w:val="1"/>
                <w:color w:val="auto"/>
              </w:rPr>
              <w:t>Maryland (Digital Realty Trust, Inc.)</w:t>
            </w:r>
          </w:p>
        </w:tc>
        <w:tc>
          <w:tcPr>
            <w:tcW w:w="3940" w:type="dxa"/>
            <w:vAlign w:val="bottom"/>
          </w:tcPr>
          <w:p>
            <w:pPr>
              <w:jc w:val="center"/>
              <w:ind w:left="1754"/>
              <w:spacing w:after="0"/>
              <w:rPr>
                <w:sz w:val="20"/>
                <w:szCs w:val="20"/>
                <w:color w:val="auto"/>
              </w:rPr>
            </w:pPr>
            <w:r>
              <w:rPr>
                <w:rFonts w:ascii="Times New Roman" w:cs="Times New Roman" w:eastAsia="Times New Roman" w:hAnsi="Times New Roman"/>
                <w:sz w:val="13"/>
                <w:szCs w:val="13"/>
                <w:b w:val="1"/>
                <w:bCs w:val="1"/>
                <w:color w:val="auto"/>
              </w:rPr>
              <w:t>26-0081711</w:t>
            </w:r>
          </w:p>
        </w:tc>
      </w:tr>
      <w:tr>
        <w:trPr>
          <w:trHeight w:val="174"/>
        </w:trPr>
        <w:tc>
          <w:tcPr>
            <w:tcW w:w="3640" w:type="dxa"/>
            <w:vAlign w:val="bottom"/>
          </w:tcPr>
          <w:p>
            <w:pPr>
              <w:jc w:val="center"/>
              <w:ind w:right="174"/>
              <w:spacing w:after="0"/>
              <w:rPr>
                <w:sz w:val="20"/>
                <w:szCs w:val="20"/>
                <w:color w:val="auto"/>
              </w:rPr>
            </w:pPr>
            <w:r>
              <w:rPr>
                <w:rFonts w:ascii="Times New Roman" w:cs="Times New Roman" w:eastAsia="Times New Roman" w:hAnsi="Times New Roman"/>
                <w:sz w:val="13"/>
                <w:szCs w:val="13"/>
                <w:b w:val="1"/>
                <w:bCs w:val="1"/>
                <w:color w:val="auto"/>
              </w:rPr>
              <w:t>Maryland (Digital Realty Trust, L.P.)</w:t>
            </w:r>
          </w:p>
        </w:tc>
        <w:tc>
          <w:tcPr>
            <w:tcW w:w="3940" w:type="dxa"/>
            <w:vAlign w:val="bottom"/>
          </w:tcPr>
          <w:p>
            <w:pPr>
              <w:jc w:val="center"/>
              <w:ind w:left="1754"/>
              <w:spacing w:after="0"/>
              <w:rPr>
                <w:sz w:val="20"/>
                <w:szCs w:val="20"/>
                <w:color w:val="auto"/>
              </w:rPr>
            </w:pPr>
            <w:r>
              <w:rPr>
                <w:rFonts w:ascii="Times New Roman" w:cs="Times New Roman" w:eastAsia="Times New Roman" w:hAnsi="Times New Roman"/>
                <w:sz w:val="13"/>
                <w:szCs w:val="13"/>
                <w:b w:val="1"/>
                <w:bCs w:val="1"/>
                <w:color w:val="auto"/>
              </w:rPr>
              <w:t>20-2402955</w:t>
            </w:r>
          </w:p>
        </w:tc>
      </w:tr>
      <w:tr>
        <w:trPr>
          <w:trHeight w:val="174"/>
        </w:trPr>
        <w:tc>
          <w:tcPr>
            <w:tcW w:w="3640" w:type="dxa"/>
            <w:vAlign w:val="bottom"/>
          </w:tcPr>
          <w:p>
            <w:pPr>
              <w:jc w:val="center"/>
              <w:ind w:right="174"/>
              <w:spacing w:after="0"/>
              <w:rPr>
                <w:sz w:val="20"/>
                <w:szCs w:val="20"/>
                <w:color w:val="auto"/>
              </w:rPr>
            </w:pPr>
            <w:r>
              <w:rPr>
                <w:rFonts w:ascii="Times New Roman" w:cs="Times New Roman" w:eastAsia="Times New Roman" w:hAnsi="Times New Roman"/>
                <w:sz w:val="13"/>
                <w:szCs w:val="13"/>
                <w:b w:val="1"/>
                <w:bCs w:val="1"/>
                <w:color w:val="auto"/>
              </w:rPr>
              <w:t>(State or other jurisdiction of incorporation or organization)</w:t>
            </w:r>
          </w:p>
        </w:tc>
        <w:tc>
          <w:tcPr>
            <w:tcW w:w="3940" w:type="dxa"/>
            <w:vAlign w:val="bottom"/>
          </w:tcPr>
          <w:p>
            <w:pPr>
              <w:jc w:val="center"/>
              <w:ind w:left="1754"/>
              <w:spacing w:after="0"/>
              <w:rPr>
                <w:sz w:val="20"/>
                <w:szCs w:val="20"/>
                <w:color w:val="auto"/>
              </w:rPr>
            </w:pPr>
            <w:r>
              <w:rPr>
                <w:rFonts w:ascii="Times New Roman" w:cs="Times New Roman" w:eastAsia="Times New Roman" w:hAnsi="Times New Roman"/>
                <w:sz w:val="13"/>
                <w:szCs w:val="13"/>
                <w:b w:val="1"/>
                <w:bCs w:val="1"/>
                <w:color w:val="auto"/>
              </w:rPr>
              <w:t>(IRS employer identification number)</w:t>
            </w:r>
          </w:p>
        </w:tc>
      </w:tr>
      <w:tr>
        <w:trPr>
          <w:trHeight w:val="156"/>
        </w:trPr>
        <w:tc>
          <w:tcPr>
            <w:tcW w:w="3640" w:type="dxa"/>
            <w:vAlign w:val="bottom"/>
          </w:tcPr>
          <w:p>
            <w:pPr>
              <w:jc w:val="center"/>
              <w:ind w:right="174"/>
              <w:spacing w:after="0"/>
              <w:rPr>
                <w:sz w:val="20"/>
                <w:szCs w:val="20"/>
                <w:color w:val="auto"/>
              </w:rPr>
            </w:pPr>
            <w:r>
              <w:rPr>
                <w:rFonts w:ascii="Times New Roman" w:cs="Times New Roman" w:eastAsia="Times New Roman" w:hAnsi="Times New Roman"/>
                <w:sz w:val="13"/>
                <w:szCs w:val="13"/>
                <w:b w:val="1"/>
                <w:bCs w:val="1"/>
                <w:color w:val="auto"/>
              </w:rPr>
              <w:t>2323 Bryan Street, Suite 1800</w:t>
            </w:r>
          </w:p>
        </w:tc>
        <w:tc>
          <w:tcPr>
            <w:tcW w:w="3940" w:type="dxa"/>
            <w:vAlign w:val="bottom"/>
          </w:tcPr>
          <w:p>
            <w:pPr>
              <w:spacing w:after="0"/>
              <w:rPr>
                <w:sz w:val="13"/>
                <w:szCs w:val="13"/>
                <w:color w:val="auto"/>
              </w:rPr>
            </w:pPr>
          </w:p>
        </w:tc>
      </w:tr>
      <w:tr>
        <w:trPr>
          <w:trHeight w:val="174"/>
        </w:trPr>
        <w:tc>
          <w:tcPr>
            <w:tcW w:w="3640" w:type="dxa"/>
            <w:vAlign w:val="bottom"/>
          </w:tcPr>
          <w:p>
            <w:pPr>
              <w:jc w:val="center"/>
              <w:ind w:right="154"/>
              <w:spacing w:after="0"/>
              <w:rPr>
                <w:sz w:val="20"/>
                <w:szCs w:val="20"/>
                <w:color w:val="auto"/>
              </w:rPr>
            </w:pPr>
            <w:r>
              <w:rPr>
                <w:rFonts w:ascii="Times New Roman" w:cs="Times New Roman" w:eastAsia="Times New Roman" w:hAnsi="Times New Roman"/>
                <w:sz w:val="13"/>
                <w:szCs w:val="13"/>
                <w:b w:val="1"/>
                <w:bCs w:val="1"/>
                <w:color w:val="auto"/>
              </w:rPr>
              <w:t>Dallas, Texas</w:t>
            </w:r>
          </w:p>
        </w:tc>
        <w:tc>
          <w:tcPr>
            <w:tcW w:w="3940" w:type="dxa"/>
            <w:vAlign w:val="bottom"/>
          </w:tcPr>
          <w:p>
            <w:pPr>
              <w:jc w:val="center"/>
              <w:ind w:left="1754"/>
              <w:spacing w:after="0"/>
              <w:rPr>
                <w:sz w:val="20"/>
                <w:szCs w:val="20"/>
                <w:color w:val="auto"/>
              </w:rPr>
            </w:pPr>
            <w:r>
              <w:rPr>
                <w:rFonts w:ascii="Times New Roman" w:cs="Times New Roman" w:eastAsia="Times New Roman" w:hAnsi="Times New Roman"/>
                <w:sz w:val="13"/>
                <w:szCs w:val="13"/>
                <w:b w:val="1"/>
                <w:bCs w:val="1"/>
                <w:color w:val="auto"/>
                <w:w w:val="98"/>
              </w:rPr>
              <w:t>75201</w:t>
            </w:r>
          </w:p>
        </w:tc>
      </w:tr>
      <w:tr>
        <w:trPr>
          <w:trHeight w:val="192"/>
        </w:trPr>
        <w:tc>
          <w:tcPr>
            <w:tcW w:w="3640" w:type="dxa"/>
            <w:vAlign w:val="bottom"/>
          </w:tcPr>
          <w:p>
            <w:pPr>
              <w:jc w:val="center"/>
              <w:ind w:right="174"/>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940" w:type="dxa"/>
            <w:vAlign w:val="bottom"/>
          </w:tcPr>
          <w:p>
            <w:pPr>
              <w:jc w:val="center"/>
              <w:ind w:left="1754"/>
              <w:spacing w:after="0"/>
              <w:rPr>
                <w:sz w:val="20"/>
                <w:szCs w:val="20"/>
                <w:color w:val="auto"/>
              </w:rPr>
            </w:pPr>
            <w:r>
              <w:rPr>
                <w:rFonts w:ascii="Times New Roman" w:cs="Times New Roman" w:eastAsia="Times New Roman" w:hAnsi="Times New Roman"/>
                <w:sz w:val="13"/>
                <w:szCs w:val="13"/>
                <w:b w:val="1"/>
                <w:bCs w:val="1"/>
                <w:color w:val="auto"/>
                <w:w w:val="99"/>
              </w:rPr>
              <w:t>(Zip Code)</w:t>
            </w:r>
          </w:p>
        </w:tc>
      </w:tr>
      <w:tr>
        <w:trPr>
          <w:trHeight w:val="274"/>
        </w:trPr>
        <w:tc>
          <w:tcPr>
            <w:tcW w:w="3640" w:type="dxa"/>
            <w:vAlign w:val="bottom"/>
          </w:tcPr>
          <w:p>
            <w:pPr>
              <w:spacing w:after="0"/>
              <w:rPr>
                <w:sz w:val="23"/>
                <w:szCs w:val="23"/>
                <w:color w:val="auto"/>
              </w:rPr>
            </w:pPr>
          </w:p>
        </w:tc>
        <w:tc>
          <w:tcPr>
            <w:tcW w:w="3940" w:type="dxa"/>
            <w:vAlign w:val="bottom"/>
          </w:tcPr>
          <w:p>
            <w:pPr>
              <w:jc w:val="right"/>
              <w:ind w:right="2814"/>
              <w:spacing w:after="0"/>
              <w:rPr>
                <w:sz w:val="20"/>
                <w:szCs w:val="20"/>
                <w:color w:val="auto"/>
              </w:rPr>
            </w:pPr>
            <w:r>
              <w:rPr>
                <w:rFonts w:ascii="Times New Roman" w:cs="Times New Roman" w:eastAsia="Times New Roman" w:hAnsi="Times New Roman"/>
                <w:sz w:val="13"/>
                <w:szCs w:val="13"/>
                <w:b w:val="1"/>
                <w:bCs w:val="1"/>
                <w:color w:val="auto"/>
              </w:rPr>
              <w:t>(214) 231-1350</w:t>
            </w:r>
          </w:p>
        </w:tc>
      </w:tr>
    </w:tbl>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2294255</wp:posOffset>
            </wp:positionH>
            <wp:positionV relativeFrom="paragraph">
              <wp:posOffset>63500</wp:posOffset>
            </wp:positionV>
            <wp:extent cx="152463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4635" cy="7620"/>
                    </a:xfrm>
                    <a:prstGeom prst="rect">
                      <a:avLst/>
                    </a:prstGeom>
                    <a:noFill/>
                  </pic:spPr>
                </pic:pic>
              </a:graphicData>
            </a:graphic>
          </wp:anchor>
        </w:drawing>
      </w:r>
    </w:p>
    <w:p>
      <w:pPr>
        <w:spacing w:after="0" w:line="151"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12(b) of the Act:</w:t>
      </w:r>
    </w:p>
    <w:p>
      <w:pPr>
        <w:sectPr>
          <w:pgSz w:w="11900" w:h="16840" w:orient="portrait"/>
          <w:cols w:equalWidth="0" w:num="1">
            <w:col w:w="9626"/>
          </w:cols>
          <w:pgMar w:left="1134" w:top="557" w:right="1140" w:bottom="1440" w:gutter="0" w:footer="0" w:header="0"/>
        </w:sectPr>
      </w:pPr>
    </w:p>
    <w:p>
      <w:pPr>
        <w:spacing w:after="0" w:line="200" w:lineRule="exact"/>
        <w:rPr>
          <w:sz w:val="24"/>
          <w:szCs w:val="24"/>
          <w:color w:val="auto"/>
        </w:rPr>
      </w:pPr>
    </w:p>
    <w:p>
      <w:pPr>
        <w:spacing w:after="0" w:line="265" w:lineRule="exact"/>
        <w:rPr>
          <w:sz w:val="24"/>
          <w:szCs w:val="24"/>
          <w:color w:val="auto"/>
        </w:rPr>
      </w:pPr>
    </w:p>
    <w:p>
      <w:pPr>
        <w:ind w:left="6"/>
        <w:spacing w:after="0"/>
        <w:rPr>
          <w:sz w:val="20"/>
          <w:szCs w:val="20"/>
          <w:color w:val="auto"/>
        </w:rPr>
      </w:pPr>
      <w:r>
        <w:rPr>
          <w:rFonts w:ascii="Times New Roman" w:cs="Times New Roman" w:eastAsia="Times New Roman" w:hAnsi="Times New Roman"/>
          <w:sz w:val="13"/>
          <w:szCs w:val="13"/>
          <w:color w:val="auto"/>
        </w:rPr>
        <w:t>Digital Realty Trust, Inc.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ind w:left="6"/>
        <w:spacing w:after="0"/>
        <w:rPr>
          <w:sz w:val="20"/>
          <w:szCs w:val="20"/>
          <w:color w:val="auto"/>
        </w:rPr>
      </w:pPr>
      <w:r>
        <w:rPr>
          <w:rFonts w:ascii="Times New Roman" w:cs="Times New Roman" w:eastAsia="Times New Roman" w:hAnsi="Times New Roman"/>
          <w:sz w:val="13"/>
          <w:szCs w:val="13"/>
          <w:color w:val="auto"/>
        </w:rPr>
        <w:t>Digital Realty Trust, L.P.</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6"/>
        </w:trPr>
        <w:tc>
          <w:tcPr>
            <w:tcW w:w="3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Trading</w:t>
            </w:r>
          </w:p>
        </w:tc>
        <w:tc>
          <w:tcPr>
            <w:tcW w:w="240" w:type="dxa"/>
            <w:vAlign w:val="bottom"/>
          </w:tcPr>
          <w:p>
            <w:pPr>
              <w:spacing w:after="0"/>
              <w:rPr>
                <w:sz w:val="13"/>
                <w:szCs w:val="13"/>
                <w:color w:val="auto"/>
              </w:rPr>
            </w:pPr>
          </w:p>
        </w:tc>
        <w:tc>
          <w:tcPr>
            <w:tcW w:w="3520" w:type="dxa"/>
            <w:vAlign w:val="bottom"/>
          </w:tcPr>
          <w:p>
            <w:pPr>
              <w:spacing w:after="0"/>
              <w:rPr>
                <w:sz w:val="13"/>
                <w:szCs w:val="13"/>
                <w:color w:val="auto"/>
              </w:rPr>
            </w:pPr>
          </w:p>
        </w:tc>
      </w:tr>
      <w:tr>
        <w:trPr>
          <w:trHeight w:val="170"/>
        </w:trPr>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24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Symbols(s)</w:t>
            </w:r>
          </w:p>
        </w:tc>
        <w:tc>
          <w:tcPr>
            <w:tcW w:w="240" w:type="dxa"/>
            <w:vAlign w:val="bottom"/>
          </w:tcPr>
          <w:p>
            <w:pPr>
              <w:spacing w:after="0"/>
              <w:rPr>
                <w:sz w:val="14"/>
                <w:szCs w:val="14"/>
                <w:color w:val="auto"/>
              </w:rPr>
            </w:pPr>
          </w:p>
        </w:tc>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164"/>
        </w:trPr>
        <w:tc>
          <w:tcPr>
            <w:tcW w:w="308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Common Stock, $0.01 par value per share</w:t>
            </w:r>
          </w:p>
        </w:tc>
        <w:tc>
          <w:tcPr>
            <w:tcW w:w="2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DLR</w:t>
            </w:r>
          </w:p>
        </w:tc>
        <w:tc>
          <w:tcPr>
            <w:tcW w:w="24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New York Stock Exchange</w:t>
            </w:r>
          </w:p>
        </w:tc>
      </w:tr>
      <w:tr>
        <w:trPr>
          <w:trHeight w:val="285"/>
        </w:trPr>
        <w:tc>
          <w:tcPr>
            <w:tcW w:w="30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Series J Cumulative Redeemable Preferred</w:t>
            </w:r>
          </w:p>
        </w:tc>
        <w:tc>
          <w:tcPr>
            <w:tcW w:w="2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DLR Pr J</w:t>
            </w:r>
          </w:p>
        </w:tc>
        <w:tc>
          <w:tcPr>
            <w:tcW w:w="24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New York Stock Exchange</w:t>
            </w:r>
          </w:p>
        </w:tc>
      </w:tr>
      <w:tr>
        <w:trPr>
          <w:trHeight w:val="156"/>
        </w:trPr>
        <w:tc>
          <w:tcPr>
            <w:tcW w:w="308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Stock, $0.01 par value per share</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520" w:type="dxa"/>
            <w:vAlign w:val="bottom"/>
          </w:tcPr>
          <w:p>
            <w:pPr>
              <w:spacing w:after="0"/>
              <w:rPr>
                <w:sz w:val="13"/>
                <w:szCs w:val="13"/>
                <w:color w:val="auto"/>
              </w:rPr>
            </w:pPr>
          </w:p>
        </w:tc>
      </w:tr>
      <w:tr>
        <w:trPr>
          <w:trHeight w:val="156"/>
        </w:trPr>
        <w:tc>
          <w:tcPr>
            <w:tcW w:w="30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Series K Cumulative Redeemable Preferred</w:t>
            </w:r>
          </w:p>
        </w:tc>
        <w:tc>
          <w:tcPr>
            <w:tcW w:w="24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DLR Pr K</w:t>
            </w:r>
          </w:p>
        </w:tc>
        <w:tc>
          <w:tcPr>
            <w:tcW w:w="240" w:type="dxa"/>
            <w:vAlign w:val="bottom"/>
          </w:tcPr>
          <w:p>
            <w:pPr>
              <w:spacing w:after="0"/>
              <w:rPr>
                <w:sz w:val="13"/>
                <w:szCs w:val="13"/>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New York Stock Exchange</w:t>
            </w:r>
          </w:p>
        </w:tc>
      </w:tr>
      <w:tr>
        <w:trPr>
          <w:trHeight w:val="156"/>
        </w:trPr>
        <w:tc>
          <w:tcPr>
            <w:tcW w:w="308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Stock, $0.01 par value per share</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520" w:type="dxa"/>
            <w:vAlign w:val="bottom"/>
          </w:tcPr>
          <w:p>
            <w:pPr>
              <w:spacing w:after="0"/>
              <w:rPr>
                <w:sz w:val="13"/>
                <w:szCs w:val="13"/>
                <w:color w:val="auto"/>
              </w:rPr>
            </w:pPr>
          </w:p>
        </w:tc>
      </w:tr>
      <w:tr>
        <w:trPr>
          <w:trHeight w:val="156"/>
        </w:trPr>
        <w:tc>
          <w:tcPr>
            <w:tcW w:w="30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Series L Cumulative Redeemable Preferred</w:t>
            </w:r>
          </w:p>
        </w:tc>
        <w:tc>
          <w:tcPr>
            <w:tcW w:w="24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DLR Pr L</w:t>
            </w:r>
          </w:p>
        </w:tc>
        <w:tc>
          <w:tcPr>
            <w:tcW w:w="240" w:type="dxa"/>
            <w:vAlign w:val="bottom"/>
          </w:tcPr>
          <w:p>
            <w:pPr>
              <w:spacing w:after="0"/>
              <w:rPr>
                <w:sz w:val="13"/>
                <w:szCs w:val="13"/>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New York Stock Exchange</w:t>
            </w:r>
          </w:p>
        </w:tc>
      </w:tr>
      <w:tr>
        <w:trPr>
          <w:trHeight w:val="156"/>
        </w:trPr>
        <w:tc>
          <w:tcPr>
            <w:tcW w:w="308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Stock, $0.01 par value per share</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520" w:type="dxa"/>
            <w:vAlign w:val="bottom"/>
          </w:tcPr>
          <w:p>
            <w:pPr>
              <w:spacing w:after="0"/>
              <w:rPr>
                <w:sz w:val="13"/>
                <w:szCs w:val="13"/>
                <w:color w:val="auto"/>
              </w:rPr>
            </w:pPr>
          </w:p>
        </w:tc>
      </w:tr>
      <w:tr>
        <w:trPr>
          <w:trHeight w:val="172"/>
        </w:trPr>
        <w:tc>
          <w:tcPr>
            <w:tcW w:w="30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None</w:t>
            </w:r>
          </w:p>
        </w:tc>
        <w:tc>
          <w:tcPr>
            <w:tcW w:w="2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None</w:t>
            </w:r>
          </w:p>
        </w:tc>
        <w:tc>
          <w:tcPr>
            <w:tcW w:w="24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None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1210945</wp:posOffset>
            </wp:positionH>
            <wp:positionV relativeFrom="paragraph">
              <wp:posOffset>134620</wp:posOffset>
            </wp:positionV>
            <wp:extent cx="152463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24635" cy="7620"/>
                    </a:xfrm>
                    <a:prstGeom prst="rect">
                      <a:avLst/>
                    </a:prstGeom>
                    <a:noFill/>
                  </pic:spPr>
                </pic:pic>
              </a:graphicData>
            </a:graphic>
          </wp:anchor>
        </w:drawing>
      </w:r>
    </w:p>
    <w:p>
      <w:pPr>
        <w:spacing w:after="0" w:line="200" w:lineRule="exact"/>
        <w:rPr>
          <w:sz w:val="24"/>
          <w:szCs w:val="24"/>
          <w:color w:val="auto"/>
        </w:rPr>
      </w:pPr>
    </w:p>
    <w:p>
      <w:pPr>
        <w:sectPr>
          <w:pgSz w:w="11900" w:h="16840" w:orient="portrait"/>
          <w:cols w:equalWidth="0" w:num="2">
            <w:col w:w="1346" w:space="360"/>
            <w:col w:w="7920"/>
          </w:cols>
          <w:pgMar w:left="1134" w:top="557" w:right="1140" w:bottom="1440" w:gutter="0" w:footer="0" w:header="0"/>
          <w:type w:val="continuous"/>
        </w:sectPr>
      </w:pPr>
    </w:p>
    <w:p>
      <w:pPr>
        <w:spacing w:after="0" w:line="82" w:lineRule="exact"/>
        <w:rPr>
          <w:sz w:val="24"/>
          <w:szCs w:val="24"/>
          <w:color w:val="auto"/>
        </w:rPr>
      </w:pPr>
    </w:p>
    <w:tbl>
      <w:tblPr>
        <w:tblLayout w:type="fixed"/>
        <w:tblInd w:w="6" w:type="dxa"/>
        <w:tblCellMar>
          <w:top w:w="0" w:type="dxa"/>
          <w:left w:w="0" w:type="dxa"/>
          <w:bottom w:w="0" w:type="dxa"/>
          <w:right w:w="0" w:type="dxa"/>
        </w:tblCellMar>
      </w:tblPr>
      <w:tr>
        <w:trPr>
          <w:trHeight w:val="174"/>
        </w:trPr>
        <w:tc>
          <w:tcPr>
            <w:tcW w:w="2260" w:type="dxa"/>
            <w:vAlign w:val="bottom"/>
          </w:tcPr>
          <w:p>
            <w:pPr>
              <w:spacing w:after="0"/>
              <w:rPr>
                <w:sz w:val="15"/>
                <w:szCs w:val="15"/>
                <w:color w:val="auto"/>
              </w:rPr>
            </w:pPr>
          </w:p>
        </w:tc>
        <w:tc>
          <w:tcPr>
            <w:tcW w:w="6760" w:type="dxa"/>
            <w:vAlign w:val="bottom"/>
          </w:tcPr>
          <w:p>
            <w:pPr>
              <w:ind w:left="920"/>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12(g) of the Act:</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72"/>
        </w:trPr>
        <w:tc>
          <w:tcPr>
            <w:tcW w:w="2260" w:type="dxa"/>
            <w:vAlign w:val="bottom"/>
          </w:tcPr>
          <w:p>
            <w:pPr>
              <w:spacing w:after="0"/>
              <w:rPr>
                <w:sz w:val="20"/>
                <w:szCs w:val="20"/>
                <w:color w:val="auto"/>
              </w:rPr>
            </w:pPr>
            <w:r>
              <w:rPr>
                <w:rFonts w:ascii="Times New Roman" w:cs="Times New Roman" w:eastAsia="Times New Roman" w:hAnsi="Times New Roman"/>
                <w:sz w:val="13"/>
                <w:szCs w:val="13"/>
                <w:color w:val="auto"/>
              </w:rPr>
              <w:t>Digital Realty Trust, Inc.</w:t>
            </w:r>
          </w:p>
        </w:tc>
        <w:tc>
          <w:tcPr>
            <w:tcW w:w="6760" w:type="dxa"/>
            <w:vAlign w:val="bottom"/>
          </w:tcPr>
          <w:p>
            <w:pPr>
              <w:ind w:left="1960"/>
              <w:spacing w:after="0"/>
              <w:rPr>
                <w:sz w:val="20"/>
                <w:szCs w:val="20"/>
                <w:color w:val="auto"/>
              </w:rPr>
            </w:pPr>
            <w:r>
              <w:rPr>
                <w:rFonts w:ascii="Times New Roman" w:cs="Times New Roman" w:eastAsia="Times New Roman" w:hAnsi="Times New Roman"/>
                <w:sz w:val="13"/>
                <w:szCs w:val="13"/>
                <w:color w:val="auto"/>
              </w:rPr>
              <w:t>None</w:t>
            </w: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172"/>
        </w:trPr>
        <w:tc>
          <w:tcPr>
            <w:tcW w:w="2260" w:type="dxa"/>
            <w:vAlign w:val="bottom"/>
          </w:tcPr>
          <w:p>
            <w:pPr>
              <w:spacing w:after="0"/>
              <w:rPr>
                <w:sz w:val="20"/>
                <w:szCs w:val="20"/>
                <w:color w:val="auto"/>
              </w:rPr>
            </w:pPr>
            <w:r>
              <w:rPr>
                <w:rFonts w:ascii="Times New Roman" w:cs="Times New Roman" w:eastAsia="Times New Roman" w:hAnsi="Times New Roman"/>
                <w:sz w:val="13"/>
                <w:szCs w:val="13"/>
                <w:color w:val="auto"/>
              </w:rPr>
              <w:t>Digital Realty Trust, L.P.</w:t>
            </w:r>
          </w:p>
        </w:tc>
        <w:tc>
          <w:tcPr>
            <w:tcW w:w="6760" w:type="dxa"/>
            <w:vAlign w:val="bottom"/>
          </w:tcPr>
          <w:p>
            <w:pPr>
              <w:ind w:left="1240"/>
              <w:spacing w:after="0"/>
              <w:rPr>
                <w:sz w:val="20"/>
                <w:szCs w:val="20"/>
                <w:color w:val="auto"/>
              </w:rPr>
            </w:pPr>
            <w:r>
              <w:rPr>
                <w:rFonts w:ascii="Times New Roman" w:cs="Times New Roman" w:eastAsia="Times New Roman" w:hAnsi="Times New Roman"/>
                <w:sz w:val="13"/>
                <w:szCs w:val="13"/>
                <w:color w:val="auto"/>
              </w:rPr>
              <w:t>Common Units of Partnership Interest</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76"/>
        </w:trPr>
        <w:tc>
          <w:tcPr>
            <w:tcW w:w="902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Indicate by check mark if the registrant is a well-known seasoned issuer, as defined in Rule 405 of the Securities Act.</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60"/>
        </w:trPr>
        <w:tc>
          <w:tcPr>
            <w:tcW w:w="2260" w:type="dxa"/>
            <w:vAlign w:val="bottom"/>
          </w:tcPr>
          <w:p>
            <w:pPr>
              <w:spacing w:after="0"/>
              <w:rPr>
                <w:sz w:val="20"/>
                <w:szCs w:val="20"/>
                <w:color w:val="auto"/>
              </w:rPr>
            </w:pPr>
            <w:r>
              <w:rPr>
                <w:rFonts w:ascii="Times New Roman" w:cs="Times New Roman" w:eastAsia="Times New Roman" w:hAnsi="Times New Roman"/>
                <w:sz w:val="13"/>
                <w:szCs w:val="13"/>
                <w:color w:val="auto"/>
              </w:rPr>
              <w:t>Digital Realty Trust, Inc.</w:t>
            </w:r>
          </w:p>
        </w:tc>
        <w:tc>
          <w:tcPr>
            <w:tcW w:w="6760" w:type="dxa"/>
            <w:vAlign w:val="bottom"/>
          </w:tcPr>
          <w:p>
            <w:pPr>
              <w:ind w:left="6560"/>
              <w:spacing w:after="0"/>
              <w:rPr>
                <w:sz w:val="20"/>
                <w:szCs w:val="20"/>
                <w:color w:val="auto"/>
              </w:rPr>
            </w:pPr>
            <w:r>
              <w:rPr>
                <w:rFonts w:ascii="Times New Roman" w:cs="Times New Roman" w:eastAsia="Times New Roman" w:hAnsi="Times New Roman"/>
                <w:sz w:val="13"/>
                <w:szCs w:val="13"/>
                <w:color w:val="auto"/>
                <w:w w:val="88"/>
              </w:rPr>
              <w:t>Yes</w:t>
            </w:r>
          </w:p>
        </w:tc>
        <w:tc>
          <w:tcPr>
            <w:tcW w:w="600" w:type="dxa"/>
            <w:vAlign w:val="bottom"/>
            <w:gridSpan w:val="2"/>
          </w:tcPr>
          <w:p>
            <w:pPr>
              <w:jc w:val="right"/>
              <w:spacing w:after="0" w:line="175" w:lineRule="exact"/>
              <w:rPr>
                <w:sz w:val="20"/>
                <w:szCs w:val="20"/>
                <w:color w:val="auto"/>
              </w:rPr>
            </w:pP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tc>
      </w:tr>
      <w:tr>
        <w:trPr>
          <w:trHeight w:val="223"/>
        </w:trPr>
        <w:tc>
          <w:tcPr>
            <w:tcW w:w="2260" w:type="dxa"/>
            <w:vAlign w:val="bottom"/>
          </w:tcPr>
          <w:p>
            <w:pPr>
              <w:spacing w:after="0"/>
              <w:rPr>
                <w:sz w:val="20"/>
                <w:szCs w:val="20"/>
                <w:color w:val="auto"/>
              </w:rPr>
            </w:pPr>
            <w:r>
              <w:rPr>
                <w:rFonts w:ascii="Times New Roman" w:cs="Times New Roman" w:eastAsia="Times New Roman" w:hAnsi="Times New Roman"/>
                <w:sz w:val="13"/>
                <w:szCs w:val="13"/>
                <w:color w:val="auto"/>
              </w:rPr>
              <w:t>Digital Realty Trust, L.P.</w:t>
            </w:r>
          </w:p>
        </w:tc>
        <w:tc>
          <w:tcPr>
            <w:tcW w:w="6760" w:type="dxa"/>
            <w:vAlign w:val="bottom"/>
          </w:tcPr>
          <w:p>
            <w:pPr>
              <w:ind w:left="6560"/>
              <w:spacing w:after="0"/>
              <w:rPr>
                <w:sz w:val="20"/>
                <w:szCs w:val="20"/>
                <w:color w:val="auto"/>
              </w:rPr>
            </w:pPr>
            <w:r>
              <w:rPr>
                <w:rFonts w:ascii="Times New Roman" w:cs="Times New Roman" w:eastAsia="Times New Roman" w:hAnsi="Times New Roman"/>
                <w:sz w:val="13"/>
                <w:szCs w:val="13"/>
                <w:color w:val="auto"/>
                <w:w w:val="88"/>
              </w:rPr>
              <w:t>Yes</w:t>
            </w:r>
          </w:p>
        </w:tc>
        <w:tc>
          <w:tcPr>
            <w:tcW w:w="600" w:type="dxa"/>
            <w:vAlign w:val="bottom"/>
            <w:gridSpan w:val="2"/>
          </w:tcPr>
          <w:p>
            <w:pPr>
              <w:jc w:val="right"/>
              <w:spacing w:after="0" w:line="175" w:lineRule="exact"/>
              <w:rPr>
                <w:sz w:val="20"/>
                <w:szCs w:val="20"/>
                <w:color w:val="auto"/>
              </w:rPr>
            </w:pP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tc>
      </w:tr>
      <w:tr>
        <w:trPr>
          <w:trHeight w:val="250"/>
        </w:trPr>
        <w:tc>
          <w:tcPr>
            <w:tcW w:w="902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Indicate by check mark if the registrant is not required to file reports pursuant to Section 13 or Section 15(d) of the Act.</w:t>
            </w: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66"/>
        </w:trPr>
        <w:tc>
          <w:tcPr>
            <w:tcW w:w="2260" w:type="dxa"/>
            <w:vAlign w:val="bottom"/>
          </w:tcPr>
          <w:p>
            <w:pPr>
              <w:spacing w:after="0"/>
              <w:rPr>
                <w:sz w:val="20"/>
                <w:szCs w:val="20"/>
                <w:color w:val="auto"/>
              </w:rPr>
            </w:pPr>
            <w:r>
              <w:rPr>
                <w:rFonts w:ascii="Times New Roman" w:cs="Times New Roman" w:eastAsia="Times New Roman" w:hAnsi="Times New Roman"/>
                <w:sz w:val="13"/>
                <w:szCs w:val="13"/>
                <w:color w:val="auto"/>
              </w:rPr>
              <w:t>Digital Realty Trust, Inc.</w:t>
            </w:r>
          </w:p>
        </w:tc>
        <w:tc>
          <w:tcPr>
            <w:tcW w:w="6760" w:type="dxa"/>
            <w:vAlign w:val="bottom"/>
          </w:tcPr>
          <w:p>
            <w:pPr>
              <w:ind w:left="6520"/>
              <w:spacing w:after="0"/>
              <w:rPr>
                <w:sz w:val="20"/>
                <w:szCs w:val="20"/>
                <w:color w:val="auto"/>
              </w:rPr>
            </w:pPr>
            <w:r>
              <w:rPr>
                <w:rFonts w:ascii="Times New Roman" w:cs="Times New Roman" w:eastAsia="Times New Roman" w:hAnsi="Times New Roman"/>
                <w:sz w:val="13"/>
                <w:szCs w:val="13"/>
                <w:color w:val="auto"/>
              </w:rPr>
              <w:t>Yes</w:t>
            </w:r>
          </w:p>
        </w:tc>
        <w:tc>
          <w:tcPr>
            <w:tcW w:w="460" w:type="dxa"/>
            <w:vAlign w:val="bottom"/>
          </w:tcPr>
          <w:p>
            <w:pPr>
              <w:jc w:val="right"/>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tc>
        <w:tc>
          <w:tcPr>
            <w:tcW w:w="140" w:type="dxa"/>
            <w:vAlign w:val="bottom"/>
          </w:tcPr>
          <w:p>
            <w:pPr>
              <w:jc w:val="right"/>
              <w:spacing w:after="0" w:line="175" w:lineRule="exact"/>
              <w:rPr>
                <w:sz w:val="20"/>
                <w:szCs w:val="20"/>
                <w:color w:val="auto"/>
              </w:rPr>
            </w:pPr>
            <w:r>
              <w:rPr>
                <w:rFonts w:ascii="Arial Unicode MS" w:cs="Arial Unicode MS" w:eastAsia="Arial Unicode MS" w:hAnsi="Arial Unicode MS"/>
                <w:sz w:val="13"/>
                <w:szCs w:val="13"/>
                <w:color w:val="auto"/>
                <w:w w:val="91"/>
              </w:rPr>
              <w:t>⌧</w:t>
            </w:r>
          </w:p>
        </w:tc>
      </w:tr>
      <w:tr>
        <w:trPr>
          <w:trHeight w:val="223"/>
        </w:trPr>
        <w:tc>
          <w:tcPr>
            <w:tcW w:w="2260" w:type="dxa"/>
            <w:vAlign w:val="bottom"/>
          </w:tcPr>
          <w:p>
            <w:pPr>
              <w:spacing w:after="0"/>
              <w:rPr>
                <w:sz w:val="20"/>
                <w:szCs w:val="20"/>
                <w:color w:val="auto"/>
              </w:rPr>
            </w:pPr>
            <w:r>
              <w:rPr>
                <w:rFonts w:ascii="Times New Roman" w:cs="Times New Roman" w:eastAsia="Times New Roman" w:hAnsi="Times New Roman"/>
                <w:sz w:val="13"/>
                <w:szCs w:val="13"/>
                <w:color w:val="auto"/>
              </w:rPr>
              <w:t>Digital Realty Trust, L.P.</w:t>
            </w:r>
          </w:p>
        </w:tc>
        <w:tc>
          <w:tcPr>
            <w:tcW w:w="6760" w:type="dxa"/>
            <w:vAlign w:val="bottom"/>
          </w:tcPr>
          <w:p>
            <w:pPr>
              <w:ind w:left="6500"/>
              <w:spacing w:after="0"/>
              <w:rPr>
                <w:sz w:val="20"/>
                <w:szCs w:val="20"/>
                <w:color w:val="auto"/>
              </w:rPr>
            </w:pPr>
            <w:r>
              <w:rPr>
                <w:rFonts w:ascii="Times New Roman" w:cs="Times New Roman" w:eastAsia="Times New Roman" w:hAnsi="Times New Roman"/>
                <w:sz w:val="13"/>
                <w:szCs w:val="13"/>
                <w:color w:val="auto"/>
              </w:rPr>
              <w:t>Yes</w:t>
            </w:r>
          </w:p>
        </w:tc>
        <w:tc>
          <w:tcPr>
            <w:tcW w:w="460" w:type="dxa"/>
            <w:vAlign w:val="bottom"/>
          </w:tcPr>
          <w:p>
            <w:pPr>
              <w:jc w:val="right"/>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tc>
        <w:tc>
          <w:tcPr>
            <w:tcW w:w="140" w:type="dxa"/>
            <w:vAlign w:val="bottom"/>
          </w:tcPr>
          <w:p>
            <w:pPr>
              <w:jc w:val="right"/>
              <w:spacing w:after="0" w:line="175" w:lineRule="exact"/>
              <w:rPr>
                <w:sz w:val="20"/>
                <w:szCs w:val="20"/>
                <w:color w:val="auto"/>
              </w:rPr>
            </w:pPr>
            <w:r>
              <w:rPr>
                <w:rFonts w:ascii="Arial Unicode MS" w:cs="Arial Unicode MS" w:eastAsia="Arial Unicode MS" w:hAnsi="Arial Unicode MS"/>
                <w:sz w:val="13"/>
                <w:szCs w:val="13"/>
                <w:color w:val="auto"/>
                <w:w w:val="91"/>
              </w:rPr>
              <w:t>⌧</w:t>
            </w:r>
          </w:p>
        </w:tc>
      </w:tr>
    </w:tbl>
    <w:p>
      <w:pPr>
        <w:spacing w:after="0" w:line="84" w:lineRule="exact"/>
        <w:rPr>
          <w:sz w:val="24"/>
          <w:szCs w:val="24"/>
          <w:color w:val="auto"/>
        </w:rPr>
      </w:pPr>
    </w:p>
    <w:p>
      <w:pPr>
        <w:ind w:left="6" w:right="200" w:firstLine="288"/>
        <w:spacing w:after="0" w:line="286" w:lineRule="auto"/>
        <w:rPr>
          <w:sz w:val="20"/>
          <w:szCs w:val="20"/>
          <w:color w:val="auto"/>
        </w:rPr>
      </w:pPr>
      <w:r>
        <w:rPr>
          <w:rFonts w:ascii="Times New Roman" w:cs="Times New Roman" w:eastAsia="Times New Roman" w:hAnsi="Times New Roman"/>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45" w:lineRule="exact"/>
        <w:rPr>
          <w:sz w:val="24"/>
          <w:szCs w:val="24"/>
          <w:color w:val="auto"/>
        </w:rPr>
      </w:pPr>
    </w:p>
    <w:tbl>
      <w:tblPr>
        <w:tblLayout w:type="fixed"/>
        <w:tblInd w:w="6" w:type="dxa"/>
        <w:tblCellMar>
          <w:top w:w="0" w:type="dxa"/>
          <w:left w:w="0" w:type="dxa"/>
          <w:bottom w:w="0" w:type="dxa"/>
          <w:right w:w="0" w:type="dxa"/>
        </w:tblCellMar>
      </w:tblPr>
      <w:tr>
        <w:trPr>
          <w:trHeight w:val="174"/>
        </w:trPr>
        <w:tc>
          <w:tcPr>
            <w:tcW w:w="5080" w:type="dxa"/>
            <w:vAlign w:val="bottom"/>
          </w:tcPr>
          <w:p>
            <w:pPr>
              <w:spacing w:after="0"/>
              <w:rPr>
                <w:sz w:val="20"/>
                <w:szCs w:val="20"/>
                <w:color w:val="auto"/>
              </w:rPr>
            </w:pPr>
            <w:r>
              <w:rPr>
                <w:rFonts w:ascii="Times New Roman" w:cs="Times New Roman" w:eastAsia="Times New Roman" w:hAnsi="Times New Roman"/>
                <w:sz w:val="13"/>
                <w:szCs w:val="13"/>
                <w:color w:val="auto"/>
              </w:rPr>
              <w:t>Digital Realty Trust, Inc.</w:t>
            </w:r>
          </w:p>
        </w:tc>
        <w:tc>
          <w:tcPr>
            <w:tcW w:w="3980" w:type="dxa"/>
            <w:vAlign w:val="bottom"/>
          </w:tcPr>
          <w:p>
            <w:pPr>
              <w:ind w:left="3740"/>
              <w:spacing w:after="0"/>
              <w:rPr>
                <w:sz w:val="20"/>
                <w:szCs w:val="20"/>
                <w:color w:val="auto"/>
              </w:rPr>
            </w:pPr>
            <w:r>
              <w:rPr>
                <w:rFonts w:ascii="Times New Roman" w:cs="Times New Roman" w:eastAsia="Times New Roman" w:hAnsi="Times New Roman"/>
                <w:sz w:val="13"/>
                <w:szCs w:val="13"/>
                <w:color w:val="auto"/>
              </w:rPr>
              <w:t>Yes</w:t>
            </w:r>
          </w:p>
        </w:tc>
        <w:tc>
          <w:tcPr>
            <w:tcW w:w="420" w:type="dxa"/>
            <w:vAlign w:val="bottom"/>
          </w:tcPr>
          <w:p>
            <w:pPr>
              <w:ind w:left="60"/>
              <w:spacing w:after="0" w:line="175" w:lineRule="exact"/>
              <w:rPr>
                <w:sz w:val="20"/>
                <w:szCs w:val="20"/>
                <w:color w:val="auto"/>
              </w:rPr>
            </w:pP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w:t>
            </w:r>
          </w:p>
        </w:tc>
        <w:tc>
          <w:tcPr>
            <w:tcW w:w="140" w:type="dxa"/>
            <w:vAlign w:val="bottom"/>
          </w:tcPr>
          <w:p>
            <w:pPr>
              <w:ind w:left="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3"/>
                <w:szCs w:val="13"/>
                <w:color w:val="auto"/>
              </w:rPr>
              <w:t>Digital Realty Trust, L.P.</w:t>
            </w:r>
          </w:p>
        </w:tc>
        <w:tc>
          <w:tcPr>
            <w:tcW w:w="3980" w:type="dxa"/>
            <w:vAlign w:val="bottom"/>
          </w:tcPr>
          <w:p>
            <w:pPr>
              <w:ind w:left="3740"/>
              <w:spacing w:after="0"/>
              <w:rPr>
                <w:sz w:val="20"/>
                <w:szCs w:val="20"/>
                <w:color w:val="auto"/>
              </w:rPr>
            </w:pPr>
            <w:r>
              <w:rPr>
                <w:rFonts w:ascii="Times New Roman" w:cs="Times New Roman" w:eastAsia="Times New Roman" w:hAnsi="Times New Roman"/>
                <w:sz w:val="13"/>
                <w:szCs w:val="13"/>
                <w:color w:val="auto"/>
              </w:rPr>
              <w:t>Yes</w:t>
            </w:r>
          </w:p>
        </w:tc>
        <w:tc>
          <w:tcPr>
            <w:tcW w:w="420" w:type="dxa"/>
            <w:vAlign w:val="bottom"/>
          </w:tcPr>
          <w:p>
            <w:pPr>
              <w:ind w:left="60"/>
              <w:spacing w:after="0" w:line="175" w:lineRule="exact"/>
              <w:rPr>
                <w:sz w:val="20"/>
                <w:szCs w:val="20"/>
                <w:color w:val="auto"/>
              </w:rPr>
            </w:pP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w:t>
            </w:r>
          </w:p>
        </w:tc>
        <w:tc>
          <w:tcPr>
            <w:tcW w:w="140" w:type="dxa"/>
            <w:vAlign w:val="bottom"/>
          </w:tcPr>
          <w:p>
            <w:pPr>
              <w:ind w:left="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574"/>
        </w:trPr>
        <w:tc>
          <w:tcPr>
            <w:tcW w:w="508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40" w:orient="portrait"/>
          <w:cols w:equalWidth="0" w:num="1">
            <w:col w:w="9626"/>
          </w:cols>
          <w:pgMar w:left="1134" w:top="557" w:right="1140" w:bottom="1440" w:gutter="0" w:footer="0" w:header="0"/>
          <w:type w:val="continuous"/>
        </w:sectPr>
      </w:pPr>
    </w:p>
    <w:bookmarkStart w:id="1" w:name="page2"/>
    <w:bookmarkEnd w:id="1"/>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7" w:lineRule="exact"/>
        <w:rPr>
          <w:sz w:val="20"/>
          <w:szCs w:val="20"/>
          <w:color w:val="auto"/>
        </w:rPr>
      </w:pPr>
    </w:p>
    <w:p>
      <w:pPr>
        <w:ind w:left="280"/>
        <w:spacing w:after="0" w:line="161" w:lineRule="exact"/>
        <w:rPr>
          <w:sz w:val="20"/>
          <w:szCs w:val="20"/>
          <w:color w:val="auto"/>
        </w:rPr>
      </w:pPr>
      <w:r>
        <w:rPr>
          <w:rFonts w:ascii="Arial Unicode MS" w:cs="Arial Unicode MS" w:eastAsia="Arial Unicode MS" w:hAnsi="Arial Unicode MS"/>
          <w:sz w:val="12"/>
          <w:szCs w:val="12"/>
          <w:color w:val="auto"/>
        </w:rPr>
        <w:t>Indicate by check mark whether the registrant has submitted electronically every Interactive Data File required to be submitted pursuant to Rule 405 of Regulation S-T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560" w:type="dxa"/>
            <w:vAlign w:val="bottom"/>
            <w:gridSpan w:val="3"/>
          </w:tcPr>
          <w:p>
            <w:pPr>
              <w:spacing w:after="0" w:line="175" w:lineRule="exact"/>
              <w:rPr>
                <w:sz w:val="20"/>
                <w:szCs w:val="20"/>
                <w:color w:val="auto"/>
              </w:rPr>
            </w:pPr>
            <w:r>
              <w:rPr>
                <w:rFonts w:ascii="Arial Unicode MS" w:cs="Arial Unicode MS" w:eastAsia="Arial Unicode MS" w:hAnsi="Arial Unicode MS"/>
                <w:sz w:val="13"/>
                <w:szCs w:val="13"/>
                <w:color w:val="auto"/>
              </w:rPr>
              <w:t>(§232.405 of this chapter) during the preceding 12 months (or for such shorter period that the registrant was required to submit such files).</w:t>
            </w: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34"/>
        </w:trPr>
        <w:tc>
          <w:tcPr>
            <w:tcW w:w="1380" w:type="dxa"/>
            <w:vAlign w:val="bottom"/>
          </w:tcPr>
          <w:p>
            <w:pPr>
              <w:spacing w:after="0" w:line="175" w:lineRule="exact"/>
              <w:rPr>
                <w:sz w:val="20"/>
                <w:szCs w:val="20"/>
                <w:color w:val="auto"/>
              </w:rPr>
            </w:pPr>
            <w:r>
              <w:rPr>
                <w:rFonts w:ascii="Arial Unicode MS" w:cs="Arial Unicode MS" w:eastAsia="Arial Unicode MS" w:hAnsi="Arial Unicode MS"/>
                <w:sz w:val="13"/>
                <w:szCs w:val="13"/>
                <w:color w:val="auto"/>
                <w:w w:val="98"/>
              </w:rPr>
              <w:t>Digital Realty Trust, Inc.</w:t>
            </w:r>
          </w:p>
        </w:tc>
        <w:tc>
          <w:tcPr>
            <w:tcW w:w="48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60" w:type="dxa"/>
            <w:vAlign w:val="bottom"/>
          </w:tcPr>
          <w:p>
            <w:pPr>
              <w:ind w:left="260"/>
              <w:spacing w:after="0" w:line="175" w:lineRule="exact"/>
              <w:rPr>
                <w:sz w:val="20"/>
                <w:szCs w:val="20"/>
                <w:color w:val="auto"/>
              </w:rPr>
            </w:pPr>
            <w:r>
              <w:rPr>
                <w:rFonts w:ascii="Arial Unicode MS" w:cs="Arial Unicode MS" w:eastAsia="Arial Unicode MS" w:hAnsi="Arial Unicode MS"/>
                <w:sz w:val="13"/>
                <w:szCs w:val="13"/>
                <w:color w:val="auto"/>
                <w:w w:val="80"/>
              </w:rPr>
              <w:t>Yes</w:t>
            </w:r>
          </w:p>
        </w:tc>
        <w:tc>
          <w:tcPr>
            <w:tcW w:w="600" w:type="dxa"/>
            <w:vAlign w:val="bottom"/>
            <w:gridSpan w:val="2"/>
          </w:tcPr>
          <w:p>
            <w:pPr>
              <w:jc w:val="right"/>
              <w:spacing w:after="0" w:line="175" w:lineRule="exact"/>
              <w:rPr>
                <w:sz w:val="20"/>
                <w:szCs w:val="20"/>
                <w:color w:val="auto"/>
              </w:rPr>
            </w:pPr>
            <w:r>
              <w:rPr>
                <w:rFonts w:ascii="Arial Unicode MS" w:cs="Arial Unicode MS" w:eastAsia="Arial Unicode MS" w:hAnsi="Arial Unicode MS"/>
                <w:sz w:val="13"/>
                <w:szCs w:val="13"/>
                <w:color w:val="auto"/>
              </w:rPr>
              <w:t xml:space="preserve">⌧ No </w:t>
            </w:r>
            <w:r>
              <w:rPr>
                <w:rFonts w:ascii="MS PGothic" w:cs="MS PGothic" w:eastAsia="MS PGothic" w:hAnsi="MS PGothic"/>
                <w:sz w:val="13"/>
                <w:szCs w:val="13"/>
                <w:color w:val="auto"/>
              </w:rPr>
              <w:t>☐</w:t>
            </w:r>
          </w:p>
        </w:tc>
      </w:tr>
      <w:tr>
        <w:trPr>
          <w:trHeight w:val="223"/>
        </w:trPr>
        <w:tc>
          <w:tcPr>
            <w:tcW w:w="1380" w:type="dxa"/>
            <w:vAlign w:val="bottom"/>
          </w:tcPr>
          <w:p>
            <w:pPr>
              <w:spacing w:after="0" w:line="175" w:lineRule="exact"/>
              <w:rPr>
                <w:sz w:val="20"/>
                <w:szCs w:val="20"/>
                <w:color w:val="auto"/>
              </w:rPr>
            </w:pPr>
            <w:r>
              <w:rPr>
                <w:rFonts w:ascii="Arial Unicode MS" w:cs="Arial Unicode MS" w:eastAsia="Arial Unicode MS" w:hAnsi="Arial Unicode MS"/>
                <w:sz w:val="13"/>
                <w:szCs w:val="13"/>
                <w:color w:val="auto"/>
                <w:w w:val="97"/>
              </w:rPr>
              <w:t>Digital Realty Trust, L.P.</w:t>
            </w:r>
          </w:p>
        </w:tc>
        <w:tc>
          <w:tcPr>
            <w:tcW w:w="48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60" w:type="dxa"/>
            <w:vAlign w:val="bottom"/>
          </w:tcPr>
          <w:p>
            <w:pPr>
              <w:ind w:left="260"/>
              <w:spacing w:after="0" w:line="175" w:lineRule="exact"/>
              <w:rPr>
                <w:sz w:val="20"/>
                <w:szCs w:val="20"/>
                <w:color w:val="auto"/>
              </w:rPr>
            </w:pPr>
            <w:r>
              <w:rPr>
                <w:rFonts w:ascii="Arial Unicode MS" w:cs="Arial Unicode MS" w:eastAsia="Arial Unicode MS" w:hAnsi="Arial Unicode MS"/>
                <w:sz w:val="13"/>
                <w:szCs w:val="13"/>
                <w:color w:val="auto"/>
                <w:w w:val="80"/>
              </w:rPr>
              <w:t>Yes</w:t>
            </w:r>
          </w:p>
        </w:tc>
        <w:tc>
          <w:tcPr>
            <w:tcW w:w="600" w:type="dxa"/>
            <w:vAlign w:val="bottom"/>
            <w:gridSpan w:val="2"/>
          </w:tcPr>
          <w:p>
            <w:pPr>
              <w:jc w:val="right"/>
              <w:spacing w:after="0" w:line="175" w:lineRule="exact"/>
              <w:rPr>
                <w:sz w:val="20"/>
                <w:szCs w:val="20"/>
                <w:color w:val="auto"/>
              </w:rPr>
            </w:pPr>
            <w:r>
              <w:rPr>
                <w:rFonts w:ascii="Arial Unicode MS" w:cs="Arial Unicode MS" w:eastAsia="Arial Unicode MS" w:hAnsi="Arial Unicode MS"/>
                <w:sz w:val="13"/>
                <w:szCs w:val="13"/>
                <w:color w:val="auto"/>
              </w:rPr>
              <w:t xml:space="preserve">⌧ No </w:t>
            </w:r>
            <w:r>
              <w:rPr>
                <w:rFonts w:ascii="MS PGothic" w:cs="MS PGothic" w:eastAsia="MS PGothic" w:hAnsi="MS PGothic"/>
                <w:sz w:val="13"/>
                <w:szCs w:val="13"/>
                <w:color w:val="auto"/>
              </w:rPr>
              <w:t>☐</w:t>
            </w:r>
          </w:p>
        </w:tc>
      </w:tr>
      <w:tr>
        <w:trPr>
          <w:trHeight w:val="234"/>
        </w:trPr>
        <w:tc>
          <w:tcPr>
            <w:tcW w:w="9480" w:type="dxa"/>
            <w:vAlign w:val="bottom"/>
            <w:gridSpan w:val="5"/>
          </w:tcPr>
          <w:p>
            <w:pPr>
              <w:ind w:left="280"/>
              <w:spacing w:after="0" w:line="175" w:lineRule="exact"/>
              <w:rPr>
                <w:sz w:val="20"/>
                <w:szCs w:val="20"/>
                <w:color w:val="auto"/>
              </w:rPr>
            </w:pPr>
            <w:r>
              <w:rPr>
                <w:rFonts w:ascii="Arial Unicode MS" w:cs="Arial Unicode MS" w:eastAsia="Arial Unicode MS" w:hAnsi="Arial Unicode MS"/>
                <w:sz w:val="13"/>
                <w:szCs w:val="13"/>
                <w:color w:val="auto"/>
                <w:w w:val="95"/>
              </w:rPr>
              <w:t>Indicate by check mark whether the registrant is a large accelerated filer, an accelerated filer, a non-accelerated filer, a smaller reporting company, or emerging growth</w:t>
            </w:r>
          </w:p>
        </w:tc>
        <w:tc>
          <w:tcPr>
            <w:tcW w:w="140" w:type="dxa"/>
            <w:vAlign w:val="bottom"/>
          </w:tcPr>
          <w:p>
            <w:pPr>
              <w:spacing w:after="0"/>
              <w:rPr>
                <w:sz w:val="20"/>
                <w:szCs w:val="20"/>
                <w:color w:val="auto"/>
              </w:rPr>
            </w:pPr>
          </w:p>
        </w:tc>
      </w:tr>
      <w:tr>
        <w:trPr>
          <w:trHeight w:val="156"/>
        </w:trPr>
        <w:tc>
          <w:tcPr>
            <w:tcW w:w="9480" w:type="dxa"/>
            <w:vAlign w:val="bottom"/>
            <w:gridSpan w:val="5"/>
          </w:tcPr>
          <w:p>
            <w:pPr>
              <w:spacing w:after="0" w:line="157" w:lineRule="exact"/>
              <w:rPr>
                <w:sz w:val="20"/>
                <w:szCs w:val="20"/>
                <w:color w:val="auto"/>
              </w:rPr>
            </w:pPr>
            <w:r>
              <w:rPr>
                <w:rFonts w:ascii="Arial Unicode MS" w:cs="Arial Unicode MS" w:eastAsia="Arial Unicode MS" w:hAnsi="Arial Unicode MS"/>
                <w:sz w:val="13"/>
                <w:szCs w:val="13"/>
                <w:color w:val="auto"/>
                <w:w w:val="95"/>
              </w:rPr>
              <w:t>company. See the definitions of “large accelerated filer,” “accelerated filer,” “smaller reporting company,” and “emerging growth company” in Rule 12b-2 of the Exchange Act.</w:t>
            </w:r>
          </w:p>
        </w:tc>
        <w:tc>
          <w:tcPr>
            <w:tcW w:w="140" w:type="dxa"/>
            <w:vAlign w:val="bottom"/>
          </w:tcPr>
          <w:p>
            <w:pPr>
              <w:spacing w:after="0"/>
              <w:rPr>
                <w:sz w:val="13"/>
                <w:szCs w:val="13"/>
                <w:color w:val="auto"/>
              </w:rPr>
            </w:pPr>
          </w:p>
        </w:tc>
      </w:tr>
      <w:tr>
        <w:trPr>
          <w:trHeight w:val="172"/>
        </w:trPr>
        <w:tc>
          <w:tcPr>
            <w:tcW w:w="6220" w:type="dxa"/>
            <w:vAlign w:val="bottom"/>
            <w:gridSpan w:val="2"/>
          </w:tcPr>
          <w:p>
            <w:pPr>
              <w:ind w:left="280"/>
              <w:spacing w:after="0" w:line="172" w:lineRule="exact"/>
              <w:rPr>
                <w:sz w:val="20"/>
                <w:szCs w:val="20"/>
                <w:color w:val="auto"/>
              </w:rPr>
            </w:pPr>
            <w:r>
              <w:rPr>
                <w:rFonts w:ascii="Arial Unicode MS" w:cs="Arial Unicode MS" w:eastAsia="Arial Unicode MS" w:hAnsi="Arial Unicode MS"/>
                <w:sz w:val="13"/>
                <w:szCs w:val="13"/>
                <w:color w:val="auto"/>
              </w:rPr>
              <w:t>Digital Realty Trust, Inc.:</w:t>
            </w:r>
          </w:p>
        </w:tc>
        <w:tc>
          <w:tcPr>
            <w:tcW w:w="2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60"/>
        </w:trPr>
        <w:tc>
          <w:tcPr>
            <w:tcW w:w="1380" w:type="dxa"/>
            <w:vAlign w:val="bottom"/>
          </w:tcPr>
          <w:p>
            <w:pPr>
              <w:spacing w:after="0" w:line="175" w:lineRule="exact"/>
              <w:rPr>
                <w:sz w:val="20"/>
                <w:szCs w:val="20"/>
                <w:color w:val="auto"/>
              </w:rPr>
            </w:pPr>
            <w:r>
              <w:rPr>
                <w:rFonts w:ascii="Arial Unicode MS" w:cs="Arial Unicode MS" w:eastAsia="Arial Unicode MS" w:hAnsi="Arial Unicode MS"/>
                <w:sz w:val="13"/>
                <w:szCs w:val="13"/>
                <w:color w:val="auto"/>
              </w:rPr>
              <w:t>Large accelerated filer</w:t>
            </w:r>
          </w:p>
        </w:tc>
        <w:tc>
          <w:tcPr>
            <w:tcW w:w="4840" w:type="dxa"/>
            <w:vAlign w:val="bottom"/>
          </w:tcPr>
          <w:p>
            <w:pPr>
              <w:ind w:left="4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2340" w:type="dxa"/>
            <w:vAlign w:val="bottom"/>
          </w:tcPr>
          <w:p>
            <w:pPr>
              <w:ind w:left="480"/>
              <w:spacing w:after="0" w:line="175" w:lineRule="exact"/>
              <w:rPr>
                <w:sz w:val="20"/>
                <w:szCs w:val="20"/>
                <w:color w:val="auto"/>
              </w:rPr>
            </w:pPr>
            <w:r>
              <w:rPr>
                <w:rFonts w:ascii="Arial Unicode MS" w:cs="Arial Unicode MS" w:eastAsia="Arial Unicode MS" w:hAnsi="Arial Unicode MS"/>
                <w:sz w:val="13"/>
                <w:szCs w:val="13"/>
                <w:color w:val="auto"/>
              </w:rPr>
              <w:t>Accelerated filer</w:t>
            </w:r>
          </w:p>
        </w:tc>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 w:type="dxa"/>
            <w:vAlign w:val="bottom"/>
          </w:tcPr>
          <w:p>
            <w:pPr>
              <w:jc w:val="right"/>
              <w:spacing w:after="0" w:line="131" w:lineRule="exact"/>
              <w:rPr>
                <w:sz w:val="20"/>
                <w:szCs w:val="20"/>
                <w:color w:val="auto"/>
              </w:rPr>
            </w:pPr>
            <w:r>
              <w:rPr>
                <w:rFonts w:ascii="MS PGothic" w:cs="MS PGothic" w:eastAsia="MS PGothic" w:hAnsi="MS PGothic"/>
                <w:sz w:val="13"/>
                <w:szCs w:val="13"/>
                <w:color w:val="auto"/>
                <w:w w:val="91"/>
              </w:rPr>
              <w:t>☐</w:t>
            </w:r>
          </w:p>
        </w:tc>
      </w:tr>
      <w:tr>
        <w:trPr>
          <w:trHeight w:val="156"/>
        </w:trPr>
        <w:tc>
          <w:tcPr>
            <w:tcW w:w="1380" w:type="dxa"/>
            <w:vAlign w:val="bottom"/>
          </w:tcPr>
          <w:p>
            <w:pPr>
              <w:spacing w:after="0" w:line="157" w:lineRule="exact"/>
              <w:rPr>
                <w:sz w:val="20"/>
                <w:szCs w:val="20"/>
                <w:color w:val="auto"/>
              </w:rPr>
            </w:pPr>
            <w:r>
              <w:rPr>
                <w:rFonts w:ascii="Arial Unicode MS" w:cs="Arial Unicode MS" w:eastAsia="Arial Unicode MS" w:hAnsi="Arial Unicode MS"/>
                <w:sz w:val="13"/>
                <w:szCs w:val="13"/>
                <w:color w:val="auto"/>
              </w:rPr>
              <w:t>Non-accelerated filer</w:t>
            </w:r>
          </w:p>
        </w:tc>
        <w:tc>
          <w:tcPr>
            <w:tcW w:w="4840" w:type="dxa"/>
            <w:vAlign w:val="bottom"/>
          </w:tcPr>
          <w:p>
            <w:pPr>
              <w:ind w:left="40"/>
              <w:spacing w:after="0" w:line="131" w:lineRule="exact"/>
              <w:rPr>
                <w:sz w:val="20"/>
                <w:szCs w:val="20"/>
                <w:color w:val="auto"/>
              </w:rPr>
            </w:pPr>
            <w:r>
              <w:rPr>
                <w:rFonts w:ascii="MS PGothic" w:cs="MS PGothic" w:eastAsia="MS PGothic" w:hAnsi="MS PGothic"/>
                <w:sz w:val="13"/>
                <w:szCs w:val="13"/>
                <w:color w:val="auto"/>
              </w:rPr>
              <w:t>☐</w:t>
            </w:r>
          </w:p>
        </w:tc>
        <w:tc>
          <w:tcPr>
            <w:tcW w:w="2340" w:type="dxa"/>
            <w:vAlign w:val="bottom"/>
          </w:tcPr>
          <w:p>
            <w:pPr>
              <w:ind w:left="480"/>
              <w:spacing w:after="0" w:line="157" w:lineRule="exact"/>
              <w:rPr>
                <w:sz w:val="20"/>
                <w:szCs w:val="20"/>
                <w:color w:val="auto"/>
              </w:rPr>
            </w:pPr>
            <w:r>
              <w:rPr>
                <w:rFonts w:ascii="Arial Unicode MS" w:cs="Arial Unicode MS" w:eastAsia="Arial Unicode MS" w:hAnsi="Arial Unicode MS"/>
                <w:sz w:val="13"/>
                <w:szCs w:val="13"/>
                <w:color w:val="auto"/>
              </w:rPr>
              <w:t>Smaller reporting company</w:t>
            </w: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jc w:val="right"/>
              <w:spacing w:after="0" w:line="131" w:lineRule="exact"/>
              <w:rPr>
                <w:sz w:val="20"/>
                <w:szCs w:val="20"/>
                <w:color w:val="auto"/>
              </w:rPr>
            </w:pPr>
            <w:r>
              <w:rPr>
                <w:rFonts w:ascii="MS PGothic" w:cs="MS PGothic" w:eastAsia="MS PGothic" w:hAnsi="MS PGothic"/>
                <w:sz w:val="13"/>
                <w:szCs w:val="13"/>
                <w:color w:val="auto"/>
                <w:w w:val="91"/>
              </w:rPr>
              <w:t>☐</w:t>
            </w:r>
          </w:p>
        </w:tc>
      </w:tr>
      <w:tr>
        <w:trPr>
          <w:trHeight w:val="223"/>
        </w:trPr>
        <w:tc>
          <w:tcPr>
            <w:tcW w:w="138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2340" w:type="dxa"/>
            <w:vAlign w:val="bottom"/>
          </w:tcPr>
          <w:p>
            <w:pPr>
              <w:ind w:left="480"/>
              <w:spacing w:after="0" w:line="175" w:lineRule="exact"/>
              <w:rPr>
                <w:sz w:val="20"/>
                <w:szCs w:val="20"/>
                <w:color w:val="auto"/>
              </w:rPr>
            </w:pPr>
            <w:r>
              <w:rPr>
                <w:rFonts w:ascii="Arial Unicode MS" w:cs="Arial Unicode MS" w:eastAsia="Arial Unicode MS" w:hAnsi="Arial Unicode MS"/>
                <w:sz w:val="13"/>
                <w:szCs w:val="13"/>
                <w:color w:val="auto"/>
              </w:rPr>
              <w:t>Emerging growth company</w:t>
            </w: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jc w:val="right"/>
              <w:spacing w:after="0" w:line="131" w:lineRule="exact"/>
              <w:rPr>
                <w:sz w:val="20"/>
                <w:szCs w:val="20"/>
                <w:color w:val="auto"/>
              </w:rPr>
            </w:pPr>
            <w:r>
              <w:rPr>
                <w:rFonts w:ascii="MS PGothic" w:cs="MS PGothic" w:eastAsia="MS PGothic" w:hAnsi="MS PGothic"/>
                <w:sz w:val="13"/>
                <w:szCs w:val="13"/>
                <w:color w:val="auto"/>
                <w:w w:val="91"/>
              </w:rPr>
              <w:t>☐</w:t>
            </w:r>
          </w:p>
        </w:tc>
      </w:tr>
      <w:tr>
        <w:trPr>
          <w:trHeight w:val="250"/>
        </w:trPr>
        <w:tc>
          <w:tcPr>
            <w:tcW w:w="6220" w:type="dxa"/>
            <w:vAlign w:val="bottom"/>
            <w:gridSpan w:val="2"/>
          </w:tcPr>
          <w:p>
            <w:pPr>
              <w:ind w:left="280"/>
              <w:spacing w:after="0" w:line="175" w:lineRule="exact"/>
              <w:rPr>
                <w:sz w:val="20"/>
                <w:szCs w:val="20"/>
                <w:color w:val="auto"/>
              </w:rPr>
            </w:pPr>
            <w:r>
              <w:rPr>
                <w:rFonts w:ascii="Arial Unicode MS" w:cs="Arial Unicode MS" w:eastAsia="Arial Unicode MS" w:hAnsi="Arial Unicode MS"/>
                <w:sz w:val="13"/>
                <w:szCs w:val="13"/>
                <w:color w:val="auto"/>
              </w:rPr>
              <w:t>Digital Realty Trust, L.P.:</w:t>
            </w:r>
          </w:p>
        </w:tc>
        <w:tc>
          <w:tcPr>
            <w:tcW w:w="2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60"/>
        </w:trPr>
        <w:tc>
          <w:tcPr>
            <w:tcW w:w="1380" w:type="dxa"/>
            <w:vAlign w:val="bottom"/>
          </w:tcPr>
          <w:p>
            <w:pPr>
              <w:spacing w:after="0" w:line="175" w:lineRule="exact"/>
              <w:rPr>
                <w:sz w:val="20"/>
                <w:szCs w:val="20"/>
                <w:color w:val="auto"/>
              </w:rPr>
            </w:pPr>
            <w:r>
              <w:rPr>
                <w:rFonts w:ascii="Arial Unicode MS" w:cs="Arial Unicode MS" w:eastAsia="Arial Unicode MS" w:hAnsi="Arial Unicode MS"/>
                <w:sz w:val="13"/>
                <w:szCs w:val="13"/>
                <w:color w:val="auto"/>
              </w:rPr>
              <w:t>Large accelerated filer</w:t>
            </w:r>
          </w:p>
        </w:tc>
        <w:tc>
          <w:tcPr>
            <w:tcW w:w="4840" w:type="dxa"/>
            <w:vAlign w:val="bottom"/>
          </w:tcPr>
          <w:p>
            <w:pPr>
              <w:ind w:left="40"/>
              <w:spacing w:after="0" w:line="131" w:lineRule="exact"/>
              <w:rPr>
                <w:sz w:val="20"/>
                <w:szCs w:val="20"/>
                <w:color w:val="auto"/>
              </w:rPr>
            </w:pPr>
            <w:r>
              <w:rPr>
                <w:rFonts w:ascii="MS PGothic" w:cs="MS PGothic" w:eastAsia="MS PGothic" w:hAnsi="MS PGothic"/>
                <w:sz w:val="13"/>
                <w:szCs w:val="13"/>
                <w:color w:val="auto"/>
              </w:rPr>
              <w:t>☐</w:t>
            </w:r>
          </w:p>
        </w:tc>
        <w:tc>
          <w:tcPr>
            <w:tcW w:w="2340" w:type="dxa"/>
            <w:vAlign w:val="bottom"/>
          </w:tcPr>
          <w:p>
            <w:pPr>
              <w:ind w:left="480"/>
              <w:spacing w:after="0" w:line="175" w:lineRule="exact"/>
              <w:rPr>
                <w:sz w:val="20"/>
                <w:szCs w:val="20"/>
                <w:color w:val="auto"/>
              </w:rPr>
            </w:pPr>
            <w:r>
              <w:rPr>
                <w:rFonts w:ascii="Arial Unicode MS" w:cs="Arial Unicode MS" w:eastAsia="Arial Unicode MS" w:hAnsi="Arial Unicode MS"/>
                <w:sz w:val="13"/>
                <w:szCs w:val="13"/>
                <w:color w:val="auto"/>
              </w:rPr>
              <w:t>Accelerated filer</w:t>
            </w:r>
          </w:p>
        </w:tc>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 w:type="dxa"/>
            <w:vAlign w:val="bottom"/>
          </w:tcPr>
          <w:p>
            <w:pPr>
              <w:jc w:val="right"/>
              <w:spacing w:after="0" w:line="131" w:lineRule="exact"/>
              <w:rPr>
                <w:sz w:val="20"/>
                <w:szCs w:val="20"/>
                <w:color w:val="auto"/>
              </w:rPr>
            </w:pPr>
            <w:r>
              <w:rPr>
                <w:rFonts w:ascii="MS PGothic" w:cs="MS PGothic" w:eastAsia="MS PGothic" w:hAnsi="MS PGothic"/>
                <w:sz w:val="13"/>
                <w:szCs w:val="13"/>
                <w:color w:val="auto"/>
                <w:w w:val="91"/>
              </w:rPr>
              <w:t>☐</w:t>
            </w:r>
          </w:p>
        </w:tc>
      </w:tr>
      <w:tr>
        <w:trPr>
          <w:trHeight w:val="156"/>
        </w:trPr>
        <w:tc>
          <w:tcPr>
            <w:tcW w:w="1380" w:type="dxa"/>
            <w:vAlign w:val="bottom"/>
          </w:tcPr>
          <w:p>
            <w:pPr>
              <w:spacing w:after="0" w:line="157" w:lineRule="exact"/>
              <w:rPr>
                <w:sz w:val="20"/>
                <w:szCs w:val="20"/>
                <w:color w:val="auto"/>
              </w:rPr>
            </w:pPr>
            <w:r>
              <w:rPr>
                <w:rFonts w:ascii="Arial Unicode MS" w:cs="Arial Unicode MS" w:eastAsia="Arial Unicode MS" w:hAnsi="Arial Unicode MS"/>
                <w:sz w:val="13"/>
                <w:szCs w:val="13"/>
                <w:color w:val="auto"/>
              </w:rPr>
              <w:t>Non-accelerated filer</w:t>
            </w:r>
          </w:p>
        </w:tc>
        <w:tc>
          <w:tcPr>
            <w:tcW w:w="4840" w:type="dxa"/>
            <w:vAlign w:val="bottom"/>
          </w:tcPr>
          <w:p>
            <w:pPr>
              <w:ind w:left="40"/>
              <w:spacing w:after="0" w:line="157" w:lineRule="exact"/>
              <w:rPr>
                <w:sz w:val="20"/>
                <w:szCs w:val="20"/>
                <w:color w:val="auto"/>
              </w:rPr>
            </w:pPr>
            <w:r>
              <w:rPr>
                <w:rFonts w:ascii="Arial Unicode MS" w:cs="Arial Unicode MS" w:eastAsia="Arial Unicode MS" w:hAnsi="Arial Unicode MS"/>
                <w:sz w:val="13"/>
                <w:szCs w:val="13"/>
                <w:color w:val="auto"/>
              </w:rPr>
              <w:t>⌧</w:t>
            </w:r>
          </w:p>
        </w:tc>
        <w:tc>
          <w:tcPr>
            <w:tcW w:w="2340" w:type="dxa"/>
            <w:vAlign w:val="bottom"/>
          </w:tcPr>
          <w:p>
            <w:pPr>
              <w:ind w:left="480"/>
              <w:spacing w:after="0" w:line="157" w:lineRule="exact"/>
              <w:rPr>
                <w:sz w:val="20"/>
                <w:szCs w:val="20"/>
                <w:color w:val="auto"/>
              </w:rPr>
            </w:pPr>
            <w:r>
              <w:rPr>
                <w:rFonts w:ascii="Arial Unicode MS" w:cs="Arial Unicode MS" w:eastAsia="Arial Unicode MS" w:hAnsi="Arial Unicode MS"/>
                <w:sz w:val="13"/>
                <w:szCs w:val="13"/>
                <w:color w:val="auto"/>
              </w:rPr>
              <w:t>Smaller reporting company</w:t>
            </w: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jc w:val="right"/>
              <w:spacing w:after="0" w:line="131" w:lineRule="exact"/>
              <w:rPr>
                <w:sz w:val="20"/>
                <w:szCs w:val="20"/>
                <w:color w:val="auto"/>
              </w:rPr>
            </w:pPr>
            <w:r>
              <w:rPr>
                <w:rFonts w:ascii="MS PGothic" w:cs="MS PGothic" w:eastAsia="MS PGothic" w:hAnsi="MS PGothic"/>
                <w:sz w:val="13"/>
                <w:szCs w:val="13"/>
                <w:color w:val="auto"/>
                <w:w w:val="91"/>
              </w:rPr>
              <w:t>☐</w:t>
            </w:r>
          </w:p>
        </w:tc>
      </w:tr>
      <w:tr>
        <w:trPr>
          <w:trHeight w:val="223"/>
        </w:trPr>
        <w:tc>
          <w:tcPr>
            <w:tcW w:w="138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2340" w:type="dxa"/>
            <w:vAlign w:val="bottom"/>
          </w:tcPr>
          <w:p>
            <w:pPr>
              <w:ind w:left="480"/>
              <w:spacing w:after="0" w:line="175" w:lineRule="exact"/>
              <w:rPr>
                <w:sz w:val="20"/>
                <w:szCs w:val="20"/>
                <w:color w:val="auto"/>
              </w:rPr>
            </w:pPr>
            <w:r>
              <w:rPr>
                <w:rFonts w:ascii="Arial Unicode MS" w:cs="Arial Unicode MS" w:eastAsia="Arial Unicode MS" w:hAnsi="Arial Unicode MS"/>
                <w:sz w:val="13"/>
                <w:szCs w:val="13"/>
                <w:color w:val="auto"/>
              </w:rPr>
              <w:t>Emerging growth company</w:t>
            </w: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jc w:val="right"/>
              <w:spacing w:after="0" w:line="131" w:lineRule="exact"/>
              <w:rPr>
                <w:sz w:val="20"/>
                <w:szCs w:val="20"/>
                <w:color w:val="auto"/>
              </w:rPr>
            </w:pPr>
            <w:r>
              <w:rPr>
                <w:rFonts w:ascii="MS PGothic" w:cs="MS PGothic" w:eastAsia="MS PGothic" w:hAnsi="MS PGothic"/>
                <w:sz w:val="13"/>
                <w:szCs w:val="13"/>
                <w:color w:val="auto"/>
                <w:w w:val="91"/>
              </w:rPr>
              <w:t>☐</w:t>
            </w:r>
          </w:p>
        </w:tc>
      </w:tr>
      <w:tr>
        <w:trPr>
          <w:trHeight w:val="234"/>
        </w:trPr>
        <w:tc>
          <w:tcPr>
            <w:tcW w:w="9480" w:type="dxa"/>
            <w:vAlign w:val="bottom"/>
            <w:gridSpan w:val="5"/>
          </w:tcPr>
          <w:p>
            <w:pPr>
              <w:ind w:left="280"/>
              <w:spacing w:after="0" w:line="175" w:lineRule="exact"/>
              <w:rPr>
                <w:sz w:val="20"/>
                <w:szCs w:val="20"/>
                <w:color w:val="auto"/>
              </w:rPr>
            </w:pPr>
            <w:r>
              <w:rPr>
                <w:rFonts w:ascii="Arial Unicode MS" w:cs="Arial Unicode MS" w:eastAsia="Arial Unicode MS" w:hAnsi="Arial Unicode MS"/>
                <w:sz w:val="13"/>
                <w:szCs w:val="13"/>
                <w:color w:val="auto"/>
                <w:w w:val="92"/>
              </w:rPr>
              <w:t>If an emerging growth company, indicate by check mark if the registrant has elected not to use the extended transition period for complying with any new or revised financial</w:t>
            </w:r>
          </w:p>
        </w:tc>
        <w:tc>
          <w:tcPr>
            <w:tcW w:w="140" w:type="dxa"/>
            <w:vAlign w:val="bottom"/>
          </w:tcPr>
          <w:p>
            <w:pPr>
              <w:spacing w:after="0"/>
              <w:rPr>
                <w:sz w:val="20"/>
                <w:szCs w:val="20"/>
                <w:color w:val="auto"/>
              </w:rPr>
            </w:pPr>
          </w:p>
        </w:tc>
      </w:tr>
      <w:tr>
        <w:trPr>
          <w:trHeight w:val="172"/>
        </w:trPr>
        <w:tc>
          <w:tcPr>
            <w:tcW w:w="6220" w:type="dxa"/>
            <w:vAlign w:val="bottom"/>
            <w:gridSpan w:val="2"/>
          </w:tcPr>
          <w:p>
            <w:pPr>
              <w:spacing w:after="0" w:line="172" w:lineRule="exact"/>
              <w:rPr>
                <w:sz w:val="20"/>
                <w:szCs w:val="20"/>
                <w:color w:val="auto"/>
              </w:rPr>
            </w:pPr>
            <w:r>
              <w:rPr>
                <w:rFonts w:ascii="Arial Unicode MS" w:cs="Arial Unicode MS" w:eastAsia="Arial Unicode MS" w:hAnsi="Arial Unicode MS"/>
                <w:sz w:val="13"/>
                <w:szCs w:val="13"/>
                <w:color w:val="auto"/>
              </w:rPr>
              <w:t>accounting standards provided pursuant to Section 13(a) of the Exchange Act.</w:t>
            </w:r>
          </w:p>
        </w:tc>
        <w:tc>
          <w:tcPr>
            <w:tcW w:w="2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48"/>
        </w:trPr>
        <w:tc>
          <w:tcPr>
            <w:tcW w:w="1380" w:type="dxa"/>
            <w:vAlign w:val="bottom"/>
          </w:tcPr>
          <w:p>
            <w:pPr>
              <w:spacing w:after="0" w:line="175" w:lineRule="exact"/>
              <w:rPr>
                <w:sz w:val="20"/>
                <w:szCs w:val="20"/>
                <w:color w:val="auto"/>
              </w:rPr>
            </w:pPr>
            <w:r>
              <w:rPr>
                <w:rFonts w:ascii="Arial Unicode MS" w:cs="Arial Unicode MS" w:eastAsia="Arial Unicode MS" w:hAnsi="Arial Unicode MS"/>
                <w:sz w:val="13"/>
                <w:szCs w:val="13"/>
                <w:color w:val="auto"/>
                <w:w w:val="98"/>
              </w:rPr>
              <w:t>Digital Realty Trust, Inc.</w:t>
            </w:r>
          </w:p>
        </w:tc>
        <w:tc>
          <w:tcPr>
            <w:tcW w:w="484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jc w:val="right"/>
              <w:spacing w:after="0" w:line="131" w:lineRule="exact"/>
              <w:rPr>
                <w:sz w:val="20"/>
                <w:szCs w:val="20"/>
                <w:color w:val="auto"/>
              </w:rPr>
            </w:pPr>
            <w:r>
              <w:rPr>
                <w:rFonts w:ascii="MS PGothic" w:cs="MS PGothic" w:eastAsia="MS PGothic" w:hAnsi="MS PGothic"/>
                <w:sz w:val="13"/>
                <w:szCs w:val="13"/>
                <w:color w:val="auto"/>
                <w:w w:val="91"/>
              </w:rPr>
              <w:t>☐</w:t>
            </w:r>
          </w:p>
        </w:tc>
      </w:tr>
      <w:tr>
        <w:trPr>
          <w:trHeight w:val="223"/>
        </w:trPr>
        <w:tc>
          <w:tcPr>
            <w:tcW w:w="1380" w:type="dxa"/>
            <w:vAlign w:val="bottom"/>
          </w:tcPr>
          <w:p>
            <w:pPr>
              <w:spacing w:after="0" w:line="175" w:lineRule="exact"/>
              <w:rPr>
                <w:sz w:val="20"/>
                <w:szCs w:val="20"/>
                <w:color w:val="auto"/>
              </w:rPr>
            </w:pPr>
            <w:r>
              <w:rPr>
                <w:rFonts w:ascii="Arial Unicode MS" w:cs="Arial Unicode MS" w:eastAsia="Arial Unicode MS" w:hAnsi="Arial Unicode MS"/>
                <w:sz w:val="13"/>
                <w:szCs w:val="13"/>
                <w:color w:val="auto"/>
                <w:w w:val="97"/>
              </w:rPr>
              <w:t>Digital Realty Trust, L.P.</w:t>
            </w:r>
          </w:p>
        </w:tc>
        <w:tc>
          <w:tcPr>
            <w:tcW w:w="48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jc w:val="right"/>
              <w:spacing w:after="0" w:line="131" w:lineRule="exact"/>
              <w:rPr>
                <w:sz w:val="20"/>
                <w:szCs w:val="20"/>
                <w:color w:val="auto"/>
              </w:rPr>
            </w:pPr>
            <w:r>
              <w:rPr>
                <w:rFonts w:ascii="MS PGothic" w:cs="MS PGothic" w:eastAsia="MS PGothic" w:hAnsi="MS PGothic"/>
                <w:sz w:val="13"/>
                <w:szCs w:val="13"/>
                <w:color w:val="auto"/>
                <w:w w:val="91"/>
              </w:rPr>
              <w:t>☐</w:t>
            </w:r>
          </w:p>
        </w:tc>
      </w:tr>
      <w:tr>
        <w:trPr>
          <w:trHeight w:val="254"/>
        </w:trPr>
        <w:tc>
          <w:tcPr>
            <w:tcW w:w="9480" w:type="dxa"/>
            <w:vAlign w:val="bottom"/>
            <w:gridSpan w:val="5"/>
          </w:tcPr>
          <w:p>
            <w:pPr>
              <w:ind w:left="280"/>
              <w:spacing w:after="0" w:line="175" w:lineRule="exact"/>
              <w:rPr>
                <w:sz w:val="20"/>
                <w:szCs w:val="20"/>
                <w:color w:val="auto"/>
              </w:rPr>
            </w:pPr>
            <w:r>
              <w:rPr>
                <w:rFonts w:ascii="Arial Unicode MS" w:cs="Arial Unicode MS" w:eastAsia="Arial Unicode MS" w:hAnsi="Arial Unicode MS"/>
                <w:sz w:val="13"/>
                <w:szCs w:val="13"/>
                <w:color w:val="auto"/>
                <w:w w:val="93"/>
              </w:rPr>
              <w:t>Indicate by check mark whether the registrant has led a report on and attestation to its management’s assessment of the e</w:t>
            </w:r>
            <w:r>
              <w:rPr>
                <w:rFonts w:ascii="Arial" w:cs="Arial" w:eastAsia="Arial" w:hAnsi="Arial"/>
                <w:sz w:val="13"/>
                <w:szCs w:val="13"/>
                <w:color w:val="auto"/>
                <w:w w:val="93"/>
              </w:rPr>
              <w:t>ﬀ</w:t>
            </w:r>
            <w:r>
              <w:rPr>
                <w:rFonts w:ascii="Arial Unicode MS" w:cs="Arial Unicode MS" w:eastAsia="Arial Unicode MS" w:hAnsi="Arial Unicode MS"/>
                <w:sz w:val="13"/>
                <w:szCs w:val="13"/>
                <w:color w:val="auto"/>
                <w:w w:val="93"/>
              </w:rPr>
              <w:t>ectiveness of its internal control over nancial</w:t>
            </w:r>
          </w:p>
        </w:tc>
        <w:tc>
          <w:tcPr>
            <w:tcW w:w="140" w:type="dxa"/>
            <w:vAlign w:val="bottom"/>
          </w:tcPr>
          <w:p>
            <w:pPr>
              <w:spacing w:after="0"/>
              <w:rPr>
                <w:sz w:val="22"/>
                <w:szCs w:val="22"/>
                <w:color w:val="auto"/>
              </w:rPr>
            </w:pPr>
          </w:p>
        </w:tc>
      </w:tr>
      <w:tr>
        <w:trPr>
          <w:trHeight w:val="176"/>
        </w:trPr>
        <w:tc>
          <w:tcPr>
            <w:tcW w:w="8560" w:type="dxa"/>
            <w:vAlign w:val="bottom"/>
            <w:gridSpan w:val="3"/>
          </w:tcPr>
          <w:p>
            <w:pPr>
              <w:spacing w:after="0" w:line="175" w:lineRule="exact"/>
              <w:rPr>
                <w:sz w:val="20"/>
                <w:szCs w:val="20"/>
                <w:color w:val="auto"/>
              </w:rPr>
            </w:pPr>
            <w:r>
              <w:rPr>
                <w:rFonts w:ascii="Arial Unicode MS" w:cs="Arial Unicode MS" w:eastAsia="Arial Unicode MS" w:hAnsi="Arial Unicode MS"/>
                <w:sz w:val="13"/>
                <w:szCs w:val="13"/>
                <w:color w:val="auto"/>
                <w:w w:val="94"/>
              </w:rPr>
              <w:t>reporting under Section 404(b) of the Sarbanes-Oxley Act (15 U.S.C. 7262(b)) by the registered public accounting rm that prepared or issued its audit report.</w:t>
            </w: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48"/>
        </w:trPr>
        <w:tc>
          <w:tcPr>
            <w:tcW w:w="1380" w:type="dxa"/>
            <w:vAlign w:val="bottom"/>
          </w:tcPr>
          <w:p>
            <w:pPr>
              <w:spacing w:after="0" w:line="175" w:lineRule="exact"/>
              <w:rPr>
                <w:sz w:val="20"/>
                <w:szCs w:val="20"/>
                <w:color w:val="auto"/>
              </w:rPr>
            </w:pPr>
            <w:r>
              <w:rPr>
                <w:rFonts w:ascii="Arial Unicode MS" w:cs="Arial Unicode MS" w:eastAsia="Arial Unicode MS" w:hAnsi="Arial Unicode MS"/>
                <w:sz w:val="13"/>
                <w:szCs w:val="13"/>
                <w:color w:val="auto"/>
                <w:w w:val="98"/>
              </w:rPr>
              <w:t>Digital Realty Trust, Inc.</w:t>
            </w:r>
          </w:p>
        </w:tc>
        <w:tc>
          <w:tcPr>
            <w:tcW w:w="484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jc w:val="right"/>
              <w:spacing w:after="0" w:line="131" w:lineRule="exact"/>
              <w:rPr>
                <w:sz w:val="20"/>
                <w:szCs w:val="20"/>
                <w:color w:val="auto"/>
              </w:rPr>
            </w:pPr>
            <w:r>
              <w:rPr>
                <w:rFonts w:ascii="MS PGothic" w:cs="MS PGothic" w:eastAsia="MS PGothic" w:hAnsi="MS PGothic"/>
                <w:sz w:val="13"/>
                <w:szCs w:val="13"/>
                <w:color w:val="auto"/>
                <w:w w:val="91"/>
              </w:rPr>
              <w:t>☒</w:t>
            </w:r>
          </w:p>
        </w:tc>
      </w:tr>
      <w:tr>
        <w:trPr>
          <w:trHeight w:val="223"/>
        </w:trPr>
        <w:tc>
          <w:tcPr>
            <w:tcW w:w="1380" w:type="dxa"/>
            <w:vAlign w:val="bottom"/>
          </w:tcPr>
          <w:p>
            <w:pPr>
              <w:spacing w:after="0" w:line="175" w:lineRule="exact"/>
              <w:rPr>
                <w:sz w:val="20"/>
                <w:szCs w:val="20"/>
                <w:color w:val="auto"/>
              </w:rPr>
            </w:pPr>
            <w:r>
              <w:rPr>
                <w:rFonts w:ascii="Arial Unicode MS" w:cs="Arial Unicode MS" w:eastAsia="Arial Unicode MS" w:hAnsi="Arial Unicode MS"/>
                <w:sz w:val="13"/>
                <w:szCs w:val="13"/>
                <w:color w:val="auto"/>
                <w:w w:val="97"/>
              </w:rPr>
              <w:t>Digital Realty Trust, L.P.</w:t>
            </w:r>
          </w:p>
        </w:tc>
        <w:tc>
          <w:tcPr>
            <w:tcW w:w="48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jc w:val="right"/>
              <w:spacing w:after="0" w:line="131" w:lineRule="exact"/>
              <w:rPr>
                <w:sz w:val="20"/>
                <w:szCs w:val="20"/>
                <w:color w:val="auto"/>
              </w:rPr>
            </w:pPr>
            <w:r>
              <w:rPr>
                <w:rFonts w:ascii="MS PGothic" w:cs="MS PGothic" w:eastAsia="MS PGothic" w:hAnsi="MS PGothic"/>
                <w:sz w:val="13"/>
                <w:szCs w:val="13"/>
                <w:color w:val="auto"/>
                <w:w w:val="91"/>
              </w:rPr>
              <w:t>☐</w:t>
            </w:r>
          </w:p>
        </w:tc>
      </w:tr>
      <w:tr>
        <w:trPr>
          <w:trHeight w:val="354"/>
        </w:trPr>
        <w:tc>
          <w:tcPr>
            <w:tcW w:w="9480" w:type="dxa"/>
            <w:vAlign w:val="bottom"/>
            <w:gridSpan w:val="5"/>
          </w:tcPr>
          <w:p>
            <w:pPr>
              <w:ind w:left="280"/>
              <w:spacing w:after="0" w:line="175" w:lineRule="exact"/>
              <w:rPr>
                <w:sz w:val="20"/>
                <w:szCs w:val="20"/>
                <w:color w:val="auto"/>
              </w:rPr>
            </w:pPr>
            <w:r>
              <w:rPr>
                <w:rFonts w:ascii="Arial Unicode MS" w:cs="Arial Unicode MS" w:eastAsia="Arial Unicode MS" w:hAnsi="Arial Unicode MS"/>
                <w:sz w:val="13"/>
                <w:szCs w:val="13"/>
                <w:color w:val="auto"/>
                <w:w w:val="95"/>
              </w:rPr>
              <w:t>If securities are registered pursuant to Section 12(b) of the Act, indicate by check mark whether the financial statements of the registrant included in the filing reflect the</w:t>
            </w:r>
          </w:p>
        </w:tc>
        <w:tc>
          <w:tcPr>
            <w:tcW w:w="140" w:type="dxa"/>
            <w:vAlign w:val="bottom"/>
          </w:tcPr>
          <w:p>
            <w:pPr>
              <w:spacing w:after="0"/>
              <w:rPr>
                <w:sz w:val="24"/>
                <w:szCs w:val="24"/>
                <w:color w:val="auto"/>
              </w:rPr>
            </w:pPr>
          </w:p>
        </w:tc>
      </w:tr>
      <w:tr>
        <w:trPr>
          <w:trHeight w:val="172"/>
        </w:trPr>
        <w:tc>
          <w:tcPr>
            <w:tcW w:w="6220" w:type="dxa"/>
            <w:vAlign w:val="bottom"/>
            <w:gridSpan w:val="2"/>
          </w:tcPr>
          <w:p>
            <w:pPr>
              <w:spacing w:after="0" w:line="172" w:lineRule="exact"/>
              <w:rPr>
                <w:sz w:val="20"/>
                <w:szCs w:val="20"/>
                <w:color w:val="auto"/>
              </w:rPr>
            </w:pPr>
            <w:r>
              <w:rPr>
                <w:rFonts w:ascii="Arial Unicode MS" w:cs="Arial Unicode MS" w:eastAsia="Arial Unicode MS" w:hAnsi="Arial Unicode MS"/>
                <w:sz w:val="13"/>
                <w:szCs w:val="13"/>
                <w:color w:val="auto"/>
              </w:rPr>
              <w:t>correction of an error to previously issued financial statements.</w:t>
            </w:r>
          </w:p>
        </w:tc>
        <w:tc>
          <w:tcPr>
            <w:tcW w:w="2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308"/>
        </w:trPr>
        <w:tc>
          <w:tcPr>
            <w:tcW w:w="1380" w:type="dxa"/>
            <w:vAlign w:val="bottom"/>
          </w:tcPr>
          <w:p>
            <w:pPr>
              <w:spacing w:after="0" w:line="175" w:lineRule="exact"/>
              <w:rPr>
                <w:sz w:val="20"/>
                <w:szCs w:val="20"/>
                <w:color w:val="auto"/>
              </w:rPr>
            </w:pPr>
            <w:r>
              <w:rPr>
                <w:rFonts w:ascii="Arial Unicode MS" w:cs="Arial Unicode MS" w:eastAsia="Arial Unicode MS" w:hAnsi="Arial Unicode MS"/>
                <w:sz w:val="13"/>
                <w:szCs w:val="13"/>
                <w:color w:val="auto"/>
                <w:w w:val="98"/>
              </w:rPr>
              <w:t>Digital Realty Trust, Inc.</w:t>
            </w:r>
          </w:p>
        </w:tc>
        <w:tc>
          <w:tcPr>
            <w:tcW w:w="48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jc w:val="right"/>
              <w:spacing w:after="0" w:line="131" w:lineRule="exact"/>
              <w:rPr>
                <w:sz w:val="20"/>
                <w:szCs w:val="20"/>
                <w:color w:val="auto"/>
              </w:rPr>
            </w:pPr>
            <w:r>
              <w:rPr>
                <w:rFonts w:ascii="MS PGothic" w:cs="MS PGothic" w:eastAsia="MS PGothic" w:hAnsi="MS PGothic"/>
                <w:sz w:val="13"/>
                <w:szCs w:val="13"/>
                <w:color w:val="auto"/>
                <w:w w:val="91"/>
              </w:rPr>
              <w:t>☒</w:t>
            </w:r>
          </w:p>
        </w:tc>
      </w:tr>
      <w:tr>
        <w:trPr>
          <w:trHeight w:val="172"/>
        </w:trPr>
        <w:tc>
          <w:tcPr>
            <w:tcW w:w="1380" w:type="dxa"/>
            <w:vAlign w:val="bottom"/>
          </w:tcPr>
          <w:p>
            <w:pPr>
              <w:spacing w:after="0" w:line="172" w:lineRule="exact"/>
              <w:rPr>
                <w:sz w:val="20"/>
                <w:szCs w:val="20"/>
                <w:color w:val="auto"/>
              </w:rPr>
            </w:pPr>
            <w:r>
              <w:rPr>
                <w:rFonts w:ascii="Arial Unicode MS" w:cs="Arial Unicode MS" w:eastAsia="Arial Unicode MS" w:hAnsi="Arial Unicode MS"/>
                <w:sz w:val="13"/>
                <w:szCs w:val="13"/>
                <w:color w:val="auto"/>
                <w:w w:val="97"/>
              </w:rPr>
              <w:t>Digital Realty Trust, L.P.</w:t>
            </w:r>
          </w:p>
        </w:tc>
        <w:tc>
          <w:tcPr>
            <w:tcW w:w="48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jc w:val="right"/>
              <w:spacing w:after="0" w:line="131" w:lineRule="exact"/>
              <w:rPr>
                <w:sz w:val="20"/>
                <w:szCs w:val="20"/>
                <w:color w:val="auto"/>
              </w:rPr>
            </w:pPr>
            <w:r>
              <w:rPr>
                <w:rFonts w:ascii="MS PGothic" w:cs="MS PGothic" w:eastAsia="MS PGothic" w:hAnsi="MS PGothic"/>
                <w:sz w:val="13"/>
                <w:szCs w:val="13"/>
                <w:color w:val="auto"/>
                <w:w w:val="91"/>
              </w:rPr>
              <w:t>☒</w:t>
            </w:r>
          </w:p>
        </w:tc>
      </w:tr>
      <w:tr>
        <w:trPr>
          <w:trHeight w:val="381"/>
        </w:trPr>
        <w:tc>
          <w:tcPr>
            <w:tcW w:w="9480" w:type="dxa"/>
            <w:vAlign w:val="bottom"/>
            <w:gridSpan w:val="5"/>
          </w:tcPr>
          <w:p>
            <w:pPr>
              <w:ind w:left="280"/>
              <w:spacing w:after="0" w:line="175" w:lineRule="exact"/>
              <w:rPr>
                <w:sz w:val="20"/>
                <w:szCs w:val="20"/>
                <w:color w:val="auto"/>
              </w:rPr>
            </w:pPr>
            <w:r>
              <w:rPr>
                <w:rFonts w:ascii="Arial Unicode MS" w:cs="Arial Unicode MS" w:eastAsia="Arial Unicode MS" w:hAnsi="Arial Unicode MS"/>
                <w:sz w:val="13"/>
                <w:szCs w:val="13"/>
                <w:color w:val="auto"/>
                <w:w w:val="94"/>
              </w:rPr>
              <w:t>Indicate by check mark whether any of those error corrections are restatements that required a recovery analysis of incentive-based compensation received by any of the</w:t>
            </w:r>
          </w:p>
        </w:tc>
        <w:tc>
          <w:tcPr>
            <w:tcW w:w="140" w:type="dxa"/>
            <w:vAlign w:val="bottom"/>
          </w:tcPr>
          <w:p>
            <w:pPr>
              <w:spacing w:after="0"/>
              <w:rPr>
                <w:sz w:val="24"/>
                <w:szCs w:val="24"/>
                <w:color w:val="auto"/>
              </w:rPr>
            </w:pPr>
          </w:p>
        </w:tc>
      </w:tr>
      <w:tr>
        <w:trPr>
          <w:trHeight w:val="172"/>
        </w:trPr>
        <w:tc>
          <w:tcPr>
            <w:tcW w:w="6220" w:type="dxa"/>
            <w:vAlign w:val="bottom"/>
            <w:gridSpan w:val="2"/>
          </w:tcPr>
          <w:p>
            <w:pPr>
              <w:spacing w:after="0" w:line="172" w:lineRule="exact"/>
              <w:rPr>
                <w:sz w:val="20"/>
                <w:szCs w:val="20"/>
                <w:color w:val="auto"/>
              </w:rPr>
            </w:pPr>
            <w:r>
              <w:rPr>
                <w:rFonts w:ascii="Arial Unicode MS" w:cs="Arial Unicode MS" w:eastAsia="Arial Unicode MS" w:hAnsi="Arial Unicode MS"/>
                <w:sz w:val="13"/>
                <w:szCs w:val="13"/>
                <w:color w:val="auto"/>
              </w:rPr>
              <w:t>registrant’s executive officers during the relevant recovery period pursuant to § 240.10D-1(b).</w:t>
            </w:r>
          </w:p>
        </w:tc>
        <w:tc>
          <w:tcPr>
            <w:tcW w:w="2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84"/>
        </w:trPr>
        <w:tc>
          <w:tcPr>
            <w:tcW w:w="1380" w:type="dxa"/>
            <w:vAlign w:val="bottom"/>
          </w:tcPr>
          <w:p>
            <w:pPr>
              <w:spacing w:after="0" w:line="175" w:lineRule="exact"/>
              <w:rPr>
                <w:sz w:val="20"/>
                <w:szCs w:val="20"/>
                <w:color w:val="auto"/>
              </w:rPr>
            </w:pPr>
            <w:r>
              <w:rPr>
                <w:rFonts w:ascii="Arial Unicode MS" w:cs="Arial Unicode MS" w:eastAsia="Arial Unicode MS" w:hAnsi="Arial Unicode MS"/>
                <w:sz w:val="13"/>
                <w:szCs w:val="13"/>
                <w:color w:val="auto"/>
                <w:w w:val="98"/>
              </w:rPr>
              <w:t>Digital Realty Trust, Inc.</w:t>
            </w:r>
          </w:p>
        </w:tc>
        <w:tc>
          <w:tcPr>
            <w:tcW w:w="48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jc w:val="right"/>
              <w:spacing w:after="0" w:line="131" w:lineRule="exact"/>
              <w:rPr>
                <w:sz w:val="20"/>
                <w:szCs w:val="20"/>
                <w:color w:val="auto"/>
              </w:rPr>
            </w:pPr>
            <w:r>
              <w:rPr>
                <w:rFonts w:ascii="MS PGothic" w:cs="MS PGothic" w:eastAsia="MS PGothic" w:hAnsi="MS PGothic"/>
                <w:sz w:val="13"/>
                <w:szCs w:val="13"/>
                <w:color w:val="auto"/>
                <w:w w:val="91"/>
              </w:rPr>
              <w:t>☐</w:t>
            </w:r>
          </w:p>
        </w:tc>
      </w:tr>
      <w:tr>
        <w:trPr>
          <w:trHeight w:val="223"/>
        </w:trPr>
        <w:tc>
          <w:tcPr>
            <w:tcW w:w="1380" w:type="dxa"/>
            <w:vAlign w:val="bottom"/>
          </w:tcPr>
          <w:p>
            <w:pPr>
              <w:spacing w:after="0" w:line="175" w:lineRule="exact"/>
              <w:rPr>
                <w:sz w:val="20"/>
                <w:szCs w:val="20"/>
                <w:color w:val="auto"/>
              </w:rPr>
            </w:pPr>
            <w:r>
              <w:rPr>
                <w:rFonts w:ascii="Arial Unicode MS" w:cs="Arial Unicode MS" w:eastAsia="Arial Unicode MS" w:hAnsi="Arial Unicode MS"/>
                <w:sz w:val="13"/>
                <w:szCs w:val="13"/>
                <w:color w:val="auto"/>
                <w:w w:val="97"/>
              </w:rPr>
              <w:t>Digital Realty Trust, L.P.</w:t>
            </w:r>
          </w:p>
        </w:tc>
        <w:tc>
          <w:tcPr>
            <w:tcW w:w="48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jc w:val="right"/>
              <w:spacing w:after="0" w:line="131" w:lineRule="exact"/>
              <w:rPr>
                <w:sz w:val="20"/>
                <w:szCs w:val="20"/>
                <w:color w:val="auto"/>
              </w:rPr>
            </w:pPr>
            <w:r>
              <w:rPr>
                <w:rFonts w:ascii="MS PGothic" w:cs="MS PGothic" w:eastAsia="MS PGothic" w:hAnsi="MS PGothic"/>
                <w:sz w:val="13"/>
                <w:szCs w:val="13"/>
                <w:color w:val="auto"/>
                <w:w w:val="91"/>
              </w:rPr>
              <w:t>☐</w:t>
            </w:r>
          </w:p>
        </w:tc>
      </w:tr>
      <w:tr>
        <w:trPr>
          <w:trHeight w:val="370"/>
        </w:trPr>
        <w:tc>
          <w:tcPr>
            <w:tcW w:w="6220" w:type="dxa"/>
            <w:vAlign w:val="bottom"/>
            <w:gridSpan w:val="2"/>
          </w:tcPr>
          <w:p>
            <w:pPr>
              <w:ind w:left="280"/>
              <w:spacing w:after="0" w:line="175" w:lineRule="exact"/>
              <w:rPr>
                <w:sz w:val="20"/>
                <w:szCs w:val="20"/>
                <w:color w:val="auto"/>
              </w:rPr>
            </w:pPr>
            <w:r>
              <w:rPr>
                <w:rFonts w:ascii="Arial Unicode MS" w:cs="Arial Unicode MS" w:eastAsia="Arial Unicode MS" w:hAnsi="Arial Unicode MS"/>
                <w:sz w:val="13"/>
                <w:szCs w:val="13"/>
                <w:color w:val="auto"/>
              </w:rPr>
              <w:t>Indicate by check mark whether the registrant is a shell company (as defined in Rule 12b-2 of the Act).</w:t>
            </w:r>
          </w:p>
        </w:tc>
        <w:tc>
          <w:tcPr>
            <w:tcW w:w="2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66"/>
        </w:trPr>
        <w:tc>
          <w:tcPr>
            <w:tcW w:w="1380" w:type="dxa"/>
            <w:vAlign w:val="bottom"/>
          </w:tcPr>
          <w:p>
            <w:pPr>
              <w:spacing w:after="0" w:line="175" w:lineRule="exact"/>
              <w:rPr>
                <w:sz w:val="20"/>
                <w:szCs w:val="20"/>
                <w:color w:val="auto"/>
              </w:rPr>
            </w:pPr>
            <w:r>
              <w:rPr>
                <w:rFonts w:ascii="Arial Unicode MS" w:cs="Arial Unicode MS" w:eastAsia="Arial Unicode MS" w:hAnsi="Arial Unicode MS"/>
                <w:sz w:val="13"/>
                <w:szCs w:val="13"/>
                <w:color w:val="auto"/>
                <w:w w:val="98"/>
              </w:rPr>
              <w:t>Digital Realty Trust, Inc.</w:t>
            </w:r>
          </w:p>
        </w:tc>
        <w:tc>
          <w:tcPr>
            <w:tcW w:w="484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460" w:type="dxa"/>
            <w:vAlign w:val="bottom"/>
          </w:tcPr>
          <w:p>
            <w:pPr>
              <w:ind w:left="200"/>
              <w:spacing w:after="0" w:line="175" w:lineRule="exact"/>
              <w:rPr>
                <w:sz w:val="20"/>
                <w:szCs w:val="20"/>
                <w:color w:val="auto"/>
              </w:rPr>
            </w:pPr>
            <w:r>
              <w:rPr>
                <w:rFonts w:ascii="Arial Unicode MS" w:cs="Arial Unicode MS" w:eastAsia="Arial Unicode MS" w:hAnsi="Arial Unicode MS"/>
                <w:sz w:val="13"/>
                <w:szCs w:val="13"/>
                <w:color w:val="auto"/>
              </w:rPr>
              <w:t>Yes</w:t>
            </w:r>
          </w:p>
        </w:tc>
        <w:tc>
          <w:tcPr>
            <w:tcW w:w="460" w:type="dxa"/>
            <w:vAlign w:val="bottom"/>
          </w:tcPr>
          <w:p>
            <w:pPr>
              <w:jc w:val="right"/>
              <w:spacing w:after="0" w:line="175" w:lineRule="exact"/>
              <w:rPr>
                <w:sz w:val="20"/>
                <w:szCs w:val="20"/>
                <w:color w:val="auto"/>
              </w:rPr>
            </w:pPr>
            <w:r>
              <w:rPr>
                <w:rFonts w:ascii="MS PGothic" w:cs="MS PGothic" w:eastAsia="MS PGothic" w:hAnsi="MS PGothic"/>
                <w:sz w:val="13"/>
                <w:szCs w:val="13"/>
                <w:color w:val="auto"/>
              </w:rPr>
              <w:t xml:space="preserve">☐ </w:t>
            </w:r>
            <w:r>
              <w:rPr>
                <w:rFonts w:ascii="Arial Unicode MS" w:cs="Arial Unicode MS" w:eastAsia="Arial Unicode MS" w:hAnsi="Arial Unicode MS"/>
                <w:sz w:val="13"/>
                <w:szCs w:val="13"/>
                <w:color w:val="auto"/>
              </w:rPr>
              <w:t>No</w:t>
            </w:r>
          </w:p>
        </w:tc>
        <w:tc>
          <w:tcPr>
            <w:tcW w:w="140" w:type="dxa"/>
            <w:vAlign w:val="bottom"/>
          </w:tcPr>
          <w:p>
            <w:pPr>
              <w:jc w:val="right"/>
              <w:spacing w:after="0" w:line="175" w:lineRule="exact"/>
              <w:rPr>
                <w:sz w:val="20"/>
                <w:szCs w:val="20"/>
                <w:color w:val="auto"/>
              </w:rPr>
            </w:pPr>
            <w:r>
              <w:rPr>
                <w:rFonts w:ascii="Arial Unicode MS" w:cs="Arial Unicode MS" w:eastAsia="Arial Unicode MS" w:hAnsi="Arial Unicode MS"/>
                <w:sz w:val="13"/>
                <w:szCs w:val="13"/>
                <w:color w:val="auto"/>
                <w:w w:val="91"/>
              </w:rPr>
              <w:t>⌧</w:t>
            </w:r>
          </w:p>
        </w:tc>
      </w:tr>
      <w:tr>
        <w:trPr>
          <w:trHeight w:val="223"/>
        </w:trPr>
        <w:tc>
          <w:tcPr>
            <w:tcW w:w="1380" w:type="dxa"/>
            <w:vAlign w:val="bottom"/>
          </w:tcPr>
          <w:p>
            <w:pPr>
              <w:spacing w:after="0" w:line="175" w:lineRule="exact"/>
              <w:rPr>
                <w:sz w:val="20"/>
                <w:szCs w:val="20"/>
                <w:color w:val="auto"/>
              </w:rPr>
            </w:pPr>
            <w:r>
              <w:rPr>
                <w:rFonts w:ascii="Arial Unicode MS" w:cs="Arial Unicode MS" w:eastAsia="Arial Unicode MS" w:hAnsi="Arial Unicode MS"/>
                <w:sz w:val="13"/>
                <w:szCs w:val="13"/>
                <w:color w:val="auto"/>
                <w:w w:val="97"/>
              </w:rPr>
              <w:t>Digital Realty Trust, L.P.</w:t>
            </w:r>
          </w:p>
        </w:tc>
        <w:tc>
          <w:tcPr>
            <w:tcW w:w="48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60" w:type="dxa"/>
            <w:vAlign w:val="bottom"/>
          </w:tcPr>
          <w:p>
            <w:pPr>
              <w:ind w:left="180"/>
              <w:spacing w:after="0" w:line="175" w:lineRule="exact"/>
              <w:rPr>
                <w:sz w:val="20"/>
                <w:szCs w:val="20"/>
                <w:color w:val="auto"/>
              </w:rPr>
            </w:pPr>
            <w:r>
              <w:rPr>
                <w:rFonts w:ascii="Arial Unicode MS" w:cs="Arial Unicode MS" w:eastAsia="Arial Unicode MS" w:hAnsi="Arial Unicode MS"/>
                <w:sz w:val="13"/>
                <w:szCs w:val="13"/>
                <w:color w:val="auto"/>
              </w:rPr>
              <w:t>Yes</w:t>
            </w:r>
          </w:p>
        </w:tc>
        <w:tc>
          <w:tcPr>
            <w:tcW w:w="460" w:type="dxa"/>
            <w:vAlign w:val="bottom"/>
          </w:tcPr>
          <w:p>
            <w:pPr>
              <w:jc w:val="right"/>
              <w:spacing w:after="0" w:line="175" w:lineRule="exact"/>
              <w:rPr>
                <w:sz w:val="20"/>
                <w:szCs w:val="20"/>
                <w:color w:val="auto"/>
              </w:rPr>
            </w:pPr>
            <w:r>
              <w:rPr>
                <w:rFonts w:ascii="MS PGothic" w:cs="MS PGothic" w:eastAsia="MS PGothic" w:hAnsi="MS PGothic"/>
                <w:sz w:val="13"/>
                <w:szCs w:val="13"/>
                <w:color w:val="auto"/>
              </w:rPr>
              <w:t xml:space="preserve">☐  </w:t>
            </w:r>
            <w:r>
              <w:rPr>
                <w:rFonts w:ascii="Arial Unicode MS" w:cs="Arial Unicode MS" w:eastAsia="Arial Unicode MS" w:hAnsi="Arial Unicode MS"/>
                <w:sz w:val="13"/>
                <w:szCs w:val="13"/>
                <w:color w:val="auto"/>
              </w:rPr>
              <w:t>No</w:t>
            </w:r>
          </w:p>
        </w:tc>
        <w:tc>
          <w:tcPr>
            <w:tcW w:w="140" w:type="dxa"/>
            <w:vAlign w:val="bottom"/>
          </w:tcPr>
          <w:p>
            <w:pPr>
              <w:jc w:val="right"/>
              <w:spacing w:after="0" w:line="175" w:lineRule="exact"/>
              <w:rPr>
                <w:sz w:val="20"/>
                <w:szCs w:val="20"/>
                <w:color w:val="auto"/>
              </w:rPr>
            </w:pPr>
            <w:r>
              <w:rPr>
                <w:rFonts w:ascii="Arial Unicode MS" w:cs="Arial Unicode MS" w:eastAsia="Arial Unicode MS" w:hAnsi="Arial Unicode MS"/>
                <w:sz w:val="13"/>
                <w:szCs w:val="13"/>
                <w:color w:val="auto"/>
                <w:w w:val="91"/>
              </w:rPr>
              <w:t>⌧</w:t>
            </w:r>
          </w:p>
        </w:tc>
      </w:tr>
    </w:tbl>
    <w:p>
      <w:pPr>
        <w:spacing w:after="0" w:line="84" w:lineRule="exact"/>
        <w:rPr>
          <w:sz w:val="20"/>
          <w:szCs w:val="20"/>
          <w:color w:val="auto"/>
        </w:rPr>
      </w:pPr>
    </w:p>
    <w:p>
      <w:pPr>
        <w:ind w:right="80" w:firstLine="288"/>
        <w:spacing w:after="0" w:line="159" w:lineRule="exact"/>
        <w:rPr>
          <w:sz w:val="20"/>
          <w:szCs w:val="20"/>
          <w:color w:val="auto"/>
        </w:rPr>
      </w:pPr>
      <w:r>
        <w:rPr>
          <w:rFonts w:ascii="Arial Unicode MS" w:cs="Arial Unicode MS" w:eastAsia="Arial Unicode MS" w:hAnsi="Arial Unicode MS"/>
          <w:sz w:val="13"/>
          <w:szCs w:val="13"/>
          <w:color w:val="auto"/>
        </w:rPr>
        <w:t>The aggregate market value of the common equity held by non-affiliates of Digital Realty Trust, Inc. as of June 28, 2024, the last business day of the registrant’s most recently completed second quarter, totaled approximately $50 billion based on the closing price for Digital Realty Trust, Inc.’s common stock on that day as reported by the New York Stock Exchange. Such value excludes common stock held by executive officers, directors and 10% or greater stockholders as of June 28, 2024. The identification of 10% or greater stockholders as of June 28, 2024 is based on Schedule 13G and amended Schedule 13G reports publicly filed before June 28, 2024. This calculation does not reflect a determination that such parties are affiliates for any other purposes.</w:t>
      </w:r>
    </w:p>
    <w:p>
      <w:pPr>
        <w:spacing w:after="0" w:line="106" w:lineRule="exact"/>
        <w:rPr>
          <w:sz w:val="20"/>
          <w:szCs w:val="20"/>
          <w:color w:val="auto"/>
        </w:rPr>
      </w:pPr>
    </w:p>
    <w:p>
      <w:pPr>
        <w:ind w:right="380" w:firstLine="288"/>
        <w:spacing w:after="0" w:line="164" w:lineRule="exact"/>
        <w:rPr>
          <w:sz w:val="20"/>
          <w:szCs w:val="20"/>
          <w:color w:val="auto"/>
        </w:rPr>
      </w:pPr>
      <w:r>
        <w:rPr>
          <w:rFonts w:ascii="Arial Unicode MS" w:cs="Arial Unicode MS" w:eastAsia="Arial Unicode MS" w:hAnsi="Arial Unicode MS"/>
          <w:sz w:val="13"/>
          <w:szCs w:val="13"/>
          <w:color w:val="auto"/>
        </w:rPr>
        <w:t>There is no public trading market for the common units of Digital Realty Trust, L.P. As a result, the aggregate market value of the common units held by non-affiliates of Digital Realty Trust, L.P. cannot be determined.</w:t>
      </w:r>
    </w:p>
    <w:p>
      <w:pPr>
        <w:spacing w:after="0" w:line="103" w:lineRule="exact"/>
        <w:rPr>
          <w:sz w:val="20"/>
          <w:szCs w:val="20"/>
          <w:color w:val="auto"/>
        </w:rPr>
      </w:pPr>
    </w:p>
    <w:p>
      <w:pPr>
        <w:ind w:left="280"/>
        <w:spacing w:after="0" w:line="175" w:lineRule="exact"/>
        <w:rPr>
          <w:sz w:val="20"/>
          <w:szCs w:val="20"/>
          <w:color w:val="auto"/>
        </w:rPr>
      </w:pPr>
      <w:r>
        <w:rPr>
          <w:rFonts w:ascii="Arial Unicode MS" w:cs="Arial Unicode MS" w:eastAsia="Arial Unicode MS" w:hAnsi="Arial Unicode MS"/>
          <w:sz w:val="13"/>
          <w:szCs w:val="13"/>
          <w:color w:val="auto"/>
        </w:rPr>
        <w:t>Indicate the number of shares outstanding of each of the registrant’s classes of common stock, as of the latest practicable date.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760" w:type="dxa"/>
            <w:vAlign w:val="bottom"/>
          </w:tcPr>
          <w:p>
            <w:pPr>
              <w:ind w:left="280"/>
              <w:spacing w:after="0" w:line="175" w:lineRule="exact"/>
              <w:rPr>
                <w:sz w:val="20"/>
                <w:szCs w:val="20"/>
                <w:color w:val="auto"/>
              </w:rPr>
            </w:pPr>
            <w:r>
              <w:rPr>
                <w:rFonts w:ascii="Arial Unicode MS" w:cs="Arial Unicode MS" w:eastAsia="Arial Unicode MS" w:hAnsi="Arial Unicode MS"/>
                <w:sz w:val="13"/>
                <w:szCs w:val="13"/>
                <w:color w:val="auto"/>
              </w:rPr>
              <w:t>Digital Realty Trust, Inc.:</w:t>
            </w:r>
          </w:p>
        </w:tc>
        <w:tc>
          <w:tcPr>
            <w:tcW w:w="140" w:type="dxa"/>
            <w:vAlign w:val="bottom"/>
          </w:tcPr>
          <w:p>
            <w:pPr>
              <w:spacing w:after="0"/>
              <w:rPr>
                <w:sz w:val="15"/>
                <w:szCs w:val="15"/>
                <w:color w:val="auto"/>
              </w:rPr>
            </w:pPr>
          </w:p>
        </w:tc>
        <w:tc>
          <w:tcPr>
            <w:tcW w:w="4720" w:type="dxa"/>
            <w:vAlign w:val="bottom"/>
          </w:tcPr>
          <w:p>
            <w:pPr>
              <w:spacing w:after="0"/>
              <w:rPr>
                <w:sz w:val="15"/>
                <w:szCs w:val="15"/>
                <w:color w:val="auto"/>
              </w:rPr>
            </w:pPr>
          </w:p>
        </w:tc>
      </w:tr>
      <w:tr>
        <w:trPr>
          <w:trHeight w:val="308"/>
        </w:trPr>
        <w:tc>
          <w:tcPr>
            <w:tcW w:w="4760" w:type="dxa"/>
            <w:vAlign w:val="bottom"/>
            <w:tcBorders>
              <w:bottom w:val="single" w:sz="8" w:color="auto"/>
            </w:tcBorders>
          </w:tcPr>
          <w:p>
            <w:pPr>
              <w:ind w:left="2220"/>
              <w:spacing w:after="0"/>
              <w:rPr>
                <w:sz w:val="20"/>
                <w:szCs w:val="20"/>
                <w:color w:val="auto"/>
              </w:rPr>
            </w:pPr>
            <w:r>
              <w:rPr>
                <w:rFonts w:ascii="Times New Roman" w:cs="Times New Roman" w:eastAsia="Times New Roman" w:hAnsi="Times New Roman"/>
                <w:sz w:val="13"/>
                <w:szCs w:val="13"/>
                <w:b w:val="1"/>
                <w:bCs w:val="1"/>
                <w:color w:val="auto"/>
              </w:rPr>
              <w:t>Class</w:t>
            </w:r>
          </w:p>
        </w:tc>
        <w:tc>
          <w:tcPr>
            <w:tcW w:w="140" w:type="dxa"/>
            <w:vAlign w:val="bottom"/>
          </w:tcPr>
          <w:p>
            <w:pPr>
              <w:spacing w:after="0"/>
              <w:rPr>
                <w:sz w:val="24"/>
                <w:szCs w:val="24"/>
                <w:color w:val="auto"/>
              </w:rPr>
            </w:pPr>
          </w:p>
        </w:tc>
        <w:tc>
          <w:tcPr>
            <w:tcW w:w="4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Outstanding at February 18, 2025</w:t>
            </w:r>
          </w:p>
        </w:tc>
      </w:tr>
      <w:tr>
        <w:trPr>
          <w:trHeight w:val="164"/>
        </w:trPr>
        <w:tc>
          <w:tcPr>
            <w:tcW w:w="4760" w:type="dxa"/>
            <w:vAlign w:val="bottom"/>
          </w:tcPr>
          <w:p>
            <w:pPr>
              <w:ind w:left="40"/>
              <w:spacing w:after="0" w:line="164" w:lineRule="exact"/>
              <w:rPr>
                <w:sz w:val="20"/>
                <w:szCs w:val="20"/>
                <w:color w:val="auto"/>
              </w:rPr>
            </w:pPr>
            <w:r>
              <w:rPr>
                <w:rFonts w:ascii="Arial Unicode MS" w:cs="Arial Unicode MS" w:eastAsia="Arial Unicode MS" w:hAnsi="Arial Unicode MS"/>
                <w:sz w:val="13"/>
                <w:szCs w:val="13"/>
                <w:color w:val="auto"/>
              </w:rPr>
              <w:t>Common Stock, $.01 par value per share</w:t>
            </w:r>
          </w:p>
        </w:tc>
        <w:tc>
          <w:tcPr>
            <w:tcW w:w="140" w:type="dxa"/>
            <w:vAlign w:val="bottom"/>
          </w:tcPr>
          <w:p>
            <w:pPr>
              <w:spacing w:after="0"/>
              <w:rPr>
                <w:sz w:val="14"/>
                <w:szCs w:val="14"/>
                <w:color w:val="auto"/>
              </w:rPr>
            </w:pPr>
          </w:p>
        </w:tc>
        <w:tc>
          <w:tcPr>
            <w:tcW w:w="4720" w:type="dxa"/>
            <w:vAlign w:val="bottom"/>
          </w:tcPr>
          <w:p>
            <w:pPr>
              <w:jc w:val="right"/>
              <w:ind w:right="1994"/>
              <w:spacing w:after="0" w:line="164" w:lineRule="exact"/>
              <w:rPr>
                <w:sz w:val="20"/>
                <w:szCs w:val="20"/>
                <w:color w:val="auto"/>
              </w:rPr>
            </w:pPr>
            <w:r>
              <w:rPr>
                <w:rFonts w:ascii="Arial Unicode MS" w:cs="Arial Unicode MS" w:eastAsia="Arial Unicode MS" w:hAnsi="Arial Unicode MS"/>
                <w:sz w:val="13"/>
                <w:szCs w:val="13"/>
                <w:color w:val="auto"/>
              </w:rPr>
              <w:t>336,644,245</w:t>
            </w:r>
          </w:p>
        </w:tc>
      </w:tr>
    </w:tbl>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129" w:lineRule="exact"/>
        <w:rPr>
          <w:sz w:val="20"/>
          <w:szCs w:val="20"/>
          <w:color w:val="auto"/>
        </w:rPr>
      </w:pPr>
    </w:p>
    <w:p>
      <w:pPr>
        <w:ind w:right="140" w:firstLine="288"/>
        <w:spacing w:after="0" w:line="164" w:lineRule="exact"/>
        <w:rPr>
          <w:sz w:val="20"/>
          <w:szCs w:val="20"/>
          <w:color w:val="auto"/>
        </w:rPr>
      </w:pPr>
      <w:r>
        <w:rPr>
          <w:rFonts w:ascii="Arial Unicode MS" w:cs="Arial Unicode MS" w:eastAsia="Arial Unicode MS" w:hAnsi="Arial Unicode MS"/>
          <w:sz w:val="13"/>
          <w:szCs w:val="13"/>
          <w:color w:val="auto"/>
        </w:rPr>
        <w:t>Part III incorporates by reference portions of Digital Realty Trust, Inc.’s Proxy Statement for its 2025 Annual Meeting of Stockholders which the registrants anticipate will be filed no later than 120 days after the end of their fiscal year pursuant to Regulation 14A.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610552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05525" cy="152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74295</wp:posOffset>
            </wp:positionV>
            <wp:extent cx="611314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13145"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112395</wp:posOffset>
            </wp:positionV>
            <wp:extent cx="6113145" cy="30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13145" cy="30480"/>
                    </a:xfrm>
                    <a:prstGeom prst="rect">
                      <a:avLst/>
                    </a:prstGeom>
                    <a:noFill/>
                  </pic:spPr>
                </pic:pic>
              </a:graphicData>
            </a:graphic>
          </wp:anchor>
        </w:drawing>
      </w:r>
    </w:p>
    <w:p>
      <w:pPr>
        <w:sectPr>
          <w:pgSz w:w="11900" w:h="16840" w:orient="portrait"/>
          <w:cols w:equalWidth="0" w:num="1">
            <w:col w:w="9620"/>
          </w:cols>
          <w:pgMar w:left="1140" w:top="557" w:right="1140" w:bottom="1440" w:gutter="0" w:footer="0" w:header="0"/>
        </w:sectPr>
      </w:pPr>
    </w:p>
    <w:bookmarkStart w:id="2" w:name="page3"/>
    <w:bookmarkEnd w:id="2"/>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EXPLANATORY NOTE</w:t>
      </w:r>
    </w:p>
    <w:p>
      <w:pPr>
        <w:spacing w:after="0" w:line="190" w:lineRule="exact"/>
        <w:rPr>
          <w:sz w:val="20"/>
          <w:szCs w:val="20"/>
          <w:color w:val="auto"/>
        </w:rPr>
      </w:pPr>
    </w:p>
    <w:p>
      <w:pPr>
        <w:ind w:left="320" w:right="300"/>
        <w:spacing w:after="0" w:line="239" w:lineRule="auto"/>
        <w:rPr>
          <w:sz w:val="20"/>
          <w:szCs w:val="20"/>
          <w:color w:val="auto"/>
        </w:rPr>
      </w:pPr>
      <w:r>
        <w:rPr>
          <w:rFonts w:ascii="Times New Roman" w:cs="Times New Roman" w:eastAsia="Times New Roman" w:hAnsi="Times New Roman"/>
          <w:sz w:val="16"/>
          <w:szCs w:val="16"/>
          <w:color w:val="auto"/>
        </w:rPr>
        <w:t>This report combines the annual reports on Form 10-K for the year ended December 31, 2024 of Digital Realty Trust, Inc., a Maryland corporation, and Digital Realty Trust, L.P., a Maryland limited partnership, of which Digital Realty Trust, Inc. is the sole general partner. Unless otherwise indicated or unless the context requires otherwise, all references in this report to “we,” “us,” “our,” “our Company”, or “the Company” refer to Digital Realty Trust, Inc. together with its consolidated subsidiaries, including Digital Realty Trust, L.P. In statements regarding qualification as a REIT, such terms refer solely to Digital Realty Trust, Inc. Unless otherwise, all references to the “Parent” refer to Digital Realty Trust, Inc., and all references to “our Operating Partnership,” “the Operating Partnership” or “the OP” refer to Digital Realty Trust, L.P. together with its consolidated subsidiaries.</w:t>
      </w:r>
    </w:p>
    <w:p>
      <w:pPr>
        <w:spacing w:after="0" w:line="158" w:lineRule="exact"/>
        <w:rPr>
          <w:sz w:val="20"/>
          <w:szCs w:val="20"/>
          <w:color w:val="auto"/>
        </w:rPr>
      </w:pPr>
    </w:p>
    <w:p>
      <w:pPr>
        <w:ind w:left="320" w:right="320"/>
        <w:spacing w:after="0" w:line="239" w:lineRule="auto"/>
        <w:rPr>
          <w:sz w:val="20"/>
          <w:szCs w:val="20"/>
          <w:color w:val="auto"/>
        </w:rPr>
      </w:pPr>
      <w:r>
        <w:rPr>
          <w:rFonts w:ascii="Times New Roman" w:cs="Times New Roman" w:eastAsia="Times New Roman" w:hAnsi="Times New Roman"/>
          <w:sz w:val="16"/>
          <w:szCs w:val="16"/>
          <w:color w:val="auto"/>
        </w:rPr>
        <w:t>The Parent is a real estate investment trust, or REIT, for U.S. federal income tax purposes and the sole general partner of the OP. As of December 31, 2024, the Parent owned an approximate 98.2% common general partnership interest in Digital Realty Trust, L.P. The remaining approximate 1.8% of the common limited partnership interests of Digital Realty Trust, L.P. are owned by non-affiliated third parties and certain directors and officers of the Parent. As of December 31, 2024, the Parent owned all of the preferred limited partnership interests of Digital Realty Trust, L.P. As the sole general partner of Digital Realty Trust, L.P., the Parent has the full, exclusive and complete responsibility for the OP’s day-to-day management and control.</w:t>
      </w:r>
    </w:p>
    <w:p>
      <w:pPr>
        <w:spacing w:after="0" w:line="173" w:lineRule="exact"/>
        <w:rPr>
          <w:sz w:val="20"/>
          <w:szCs w:val="20"/>
          <w:color w:val="auto"/>
        </w:rPr>
      </w:pPr>
    </w:p>
    <w:p>
      <w:pPr>
        <w:ind w:left="320" w:right="780"/>
        <w:spacing w:after="0" w:line="259" w:lineRule="auto"/>
        <w:rPr>
          <w:sz w:val="20"/>
          <w:szCs w:val="20"/>
          <w:color w:val="auto"/>
        </w:rPr>
      </w:pPr>
      <w:r>
        <w:rPr>
          <w:rFonts w:ascii="Times New Roman" w:cs="Times New Roman" w:eastAsia="Times New Roman" w:hAnsi="Times New Roman"/>
          <w:sz w:val="16"/>
          <w:szCs w:val="16"/>
          <w:color w:val="auto"/>
        </w:rPr>
        <w:t>We believe combining the annual reports on Form 10-K of the Parent and the OP into this single report results in the following benefits:</w:t>
      </w:r>
    </w:p>
    <w:p>
      <w:pPr>
        <w:spacing w:after="0" w:line="23" w:lineRule="exact"/>
        <w:rPr>
          <w:sz w:val="20"/>
          <w:szCs w:val="20"/>
          <w:color w:val="auto"/>
        </w:rPr>
      </w:pPr>
    </w:p>
    <w:p>
      <w:pPr>
        <w:ind w:left="900" w:right="580" w:hanging="294"/>
        <w:spacing w:after="0" w:line="250" w:lineRule="auto"/>
        <w:tabs>
          <w:tab w:leader="none" w:pos="9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enhancing investors’ understanding of the Parent and the OP by enabling investors to view the business as a whole in the same manner as management views and operates the business;</w:t>
      </w:r>
    </w:p>
    <w:p>
      <w:pPr>
        <w:ind w:left="900" w:right="400" w:hanging="294"/>
        <w:spacing w:after="0" w:line="250" w:lineRule="auto"/>
        <w:tabs>
          <w:tab w:leader="none" w:pos="9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eliminating duplicative disclosure and providing a more streamlined and readable presentation since a substantial portion of the disclosure applies to both the Parent and the OP; and</w:t>
      </w:r>
    </w:p>
    <w:p>
      <w:pPr>
        <w:ind w:left="900" w:hanging="294"/>
        <w:spacing w:after="0"/>
        <w:tabs>
          <w:tab w:leader="none" w:pos="9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creating time and cost efficiencies through the preparation of one combined report instead of two separate reports.</w:t>
      </w:r>
    </w:p>
    <w:p>
      <w:pPr>
        <w:spacing w:after="0" w:line="152" w:lineRule="exact"/>
        <w:rPr>
          <w:sz w:val="20"/>
          <w:szCs w:val="20"/>
          <w:color w:val="auto"/>
        </w:rPr>
      </w:pPr>
    </w:p>
    <w:p>
      <w:pPr>
        <w:ind w:left="320" w:right="340"/>
        <w:spacing w:after="0" w:line="239" w:lineRule="auto"/>
        <w:rPr>
          <w:sz w:val="20"/>
          <w:szCs w:val="20"/>
          <w:color w:val="auto"/>
        </w:rPr>
      </w:pPr>
      <w:r>
        <w:rPr>
          <w:rFonts w:ascii="Times New Roman" w:cs="Times New Roman" w:eastAsia="Times New Roman" w:hAnsi="Times New Roman"/>
          <w:sz w:val="16"/>
          <w:szCs w:val="16"/>
          <w:color w:val="auto"/>
        </w:rPr>
        <w:t>It is important to understand the few differences between the Parent and the OP in the context of how we operate the Company. The Parent does not conduct business itself, other than acting as the sole general partner of the OP and issuing public equity from time to time and guaranteeing certain unsecured debt of the OP and certain of its subsidiaries and affiliates. The OP holds substantially all the assets of the business, directly or indirectly. The OP conducts the operations of the business and is structured as a partnership with no publicly traded equity. Except for net proceeds from equity issuances by the Parent, which are generally contributed to the OP in exchange for partnership units, the OP generates capital required by the business through the OP’s operations, incurrence of indebtedness and issuance of partnership units to third parties.</w:t>
      </w:r>
    </w:p>
    <w:p>
      <w:pPr>
        <w:spacing w:after="0" w:line="134" w:lineRule="exact"/>
        <w:rPr>
          <w:sz w:val="20"/>
          <w:szCs w:val="20"/>
          <w:color w:val="auto"/>
        </w:rPr>
      </w:pPr>
    </w:p>
    <w:p>
      <w:pPr>
        <w:ind w:left="320" w:right="360"/>
        <w:spacing w:after="0" w:line="299" w:lineRule="auto"/>
        <w:rPr>
          <w:sz w:val="20"/>
          <w:szCs w:val="20"/>
          <w:color w:val="auto"/>
        </w:rPr>
      </w:pPr>
      <w:r>
        <w:rPr>
          <w:rFonts w:ascii="Times New Roman" w:cs="Times New Roman" w:eastAsia="Times New Roman" w:hAnsi="Times New Roman"/>
          <w:sz w:val="14"/>
          <w:szCs w:val="14"/>
          <w:color w:val="auto"/>
        </w:rPr>
        <w:t>The presentation of noncontrolling interests, stockholders’ equity and partners’ capital are the main areas of difference between the consolidated financial statements of the Parent and those of the OP. The differences in the presentations between stockholders’ equity and partners’ capital result from the differences in the equity and capital issuances in the Parent and in the OP.</w:t>
      </w:r>
    </w:p>
    <w:p>
      <w:pPr>
        <w:spacing w:after="0" w:line="131" w:lineRule="exact"/>
        <w:rPr>
          <w:sz w:val="20"/>
          <w:szCs w:val="20"/>
          <w:color w:val="auto"/>
        </w:rPr>
      </w:pPr>
    </w:p>
    <w:p>
      <w:pPr>
        <w:ind w:left="320" w:right="420"/>
        <w:spacing w:after="0" w:line="299" w:lineRule="auto"/>
        <w:rPr>
          <w:sz w:val="20"/>
          <w:szCs w:val="20"/>
          <w:color w:val="auto"/>
        </w:rPr>
      </w:pPr>
      <w:r>
        <w:rPr>
          <w:rFonts w:ascii="Times New Roman" w:cs="Times New Roman" w:eastAsia="Times New Roman" w:hAnsi="Times New Roman"/>
          <w:sz w:val="14"/>
          <w:szCs w:val="14"/>
          <w:color w:val="auto"/>
        </w:rPr>
        <w:t>To highlight the differences between the Parent and the OP, separate sections in this report, as applicable, individually discuss the Parent and the OP, including separate financial statements and separate Exhibit 31 and 32 certifications. In the sections that combine disclosure of the Parent and the OP, this report refers to actions or holdings as being actions or holdings of the Company.</w:t>
      </w:r>
    </w:p>
    <w:p>
      <w:pPr>
        <w:spacing w:after="0" w:line="131" w:lineRule="exact"/>
        <w:rPr>
          <w:sz w:val="20"/>
          <w:szCs w:val="20"/>
          <w:color w:val="auto"/>
        </w:rPr>
      </w:pPr>
    </w:p>
    <w:p>
      <w:pPr>
        <w:ind w:left="320" w:right="500"/>
        <w:spacing w:after="0" w:line="241" w:lineRule="auto"/>
        <w:rPr>
          <w:sz w:val="20"/>
          <w:szCs w:val="20"/>
          <w:color w:val="auto"/>
        </w:rPr>
      </w:pPr>
      <w:r>
        <w:rPr>
          <w:rFonts w:ascii="Times New Roman" w:cs="Times New Roman" w:eastAsia="Times New Roman" w:hAnsi="Times New Roman"/>
          <w:sz w:val="16"/>
          <w:szCs w:val="16"/>
          <w:color w:val="auto"/>
        </w:rPr>
        <w:t>As general partner with control of the OP, the Parent consolidates the OP for financial reporting purposes, and it does not have significant assets other than its investment in the OP. Therefore, the assets and liabilities of the Parent and the OP are the same on their respective consolidated financial statements. The separate discussions of the Parent and the OP in this report should be read in conjunction with each other to understand the results of the Company on a consolidated basis and how management operates the Company.</w:t>
      </w:r>
    </w:p>
    <w:p>
      <w:pPr>
        <w:spacing w:after="0" w:line="169" w:lineRule="exact"/>
        <w:rPr>
          <w:sz w:val="20"/>
          <w:szCs w:val="20"/>
          <w:color w:val="auto"/>
        </w:rPr>
      </w:pPr>
    </w:p>
    <w:p>
      <w:pPr>
        <w:ind w:left="320" w:right="600"/>
        <w:spacing w:after="0" w:line="247" w:lineRule="auto"/>
        <w:rPr>
          <w:sz w:val="20"/>
          <w:szCs w:val="20"/>
          <w:color w:val="auto"/>
        </w:rPr>
      </w:pPr>
      <w:r>
        <w:rPr>
          <w:rFonts w:ascii="Times New Roman" w:cs="Times New Roman" w:eastAsia="Times New Roman" w:hAnsi="Times New Roman"/>
          <w:sz w:val="16"/>
          <w:szCs w:val="16"/>
          <w:color w:val="auto"/>
        </w:rPr>
        <w:t>In this report, “properties” and “buildings” refer to all or any of the buildings in our portfolio, including data centers and non-data centers, and “data centers” refers only to the properties or buildings in our portfolio that contain data center space. In this report, “Global Revolving Credit Facility” refers to our Operating Partnership’s $4.1 billion equivalent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295275</wp:posOffset>
            </wp:positionV>
            <wp:extent cx="5312410"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3" w:name="page4"/>
    <w:bookmarkEnd w:id="3"/>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6" w:lineRule="exact"/>
        <w:rPr>
          <w:sz w:val="20"/>
          <w:szCs w:val="20"/>
          <w:color w:val="auto"/>
        </w:rPr>
      </w:pPr>
    </w:p>
    <w:p>
      <w:pPr>
        <w:ind w:left="320" w:right="360"/>
        <w:spacing w:after="0" w:line="243" w:lineRule="auto"/>
        <w:rPr>
          <w:sz w:val="20"/>
          <w:szCs w:val="20"/>
          <w:color w:val="auto"/>
        </w:rPr>
      </w:pPr>
      <w:r>
        <w:rPr>
          <w:rFonts w:ascii="Times New Roman" w:cs="Times New Roman" w:eastAsia="Times New Roman" w:hAnsi="Times New Roman"/>
          <w:sz w:val="16"/>
          <w:szCs w:val="16"/>
          <w:color w:val="auto"/>
        </w:rPr>
        <w:t>senior unsecured revolving credit facility and global senior credit agreement; “Yen Revolving Credit Facility” refers to our Operating Partnership’s ¥42,511,000,000 (approximately $270 million based on exchange rates at December 31, 2024) senior unsecured revolving credit facility and Yen credit agreement; and “Global Revolving Credit Facilities” refer to our Global Revolving Credit Facility and our Yen Revolving Credit Facility, collectively.</w:t>
      </w:r>
    </w:p>
    <w:p>
      <w:pPr>
        <w:spacing w:after="0" w:line="167" w:lineRule="exact"/>
        <w:rPr>
          <w:sz w:val="20"/>
          <w:szCs w:val="20"/>
          <w:color w:val="auto"/>
        </w:rPr>
      </w:pPr>
    </w:p>
    <w:p>
      <w:pPr>
        <w:ind w:left="320" w:right="340"/>
        <w:spacing w:after="0" w:line="284" w:lineRule="auto"/>
        <w:rPr>
          <w:sz w:val="20"/>
          <w:szCs w:val="20"/>
          <w:color w:val="auto"/>
        </w:rPr>
      </w:pPr>
      <w:r>
        <w:rPr>
          <w:rFonts w:ascii="Times New Roman" w:cs="Times New Roman" w:eastAsia="Times New Roman" w:hAnsi="Times New Roman"/>
          <w:sz w:val="14"/>
          <w:szCs w:val="14"/>
          <w:color w:val="auto"/>
        </w:rPr>
        <w:t>In this report, the “Euro Term Loan Agreement” refers to a term loan agreement which governs (i) a €375,000,000 three-year senior unsecured term loan facility (the “2025 Term Facility”), the entire amount of which was funded on such date, and (ii) a €375,000,000 five-year senior unsecured term loan facility (the “2025-27 Term Facility” and, together with the 2025 Term Facility, collectively, the “Euro Term Loan Facilities”), comprised of €125,000,000 of initial term loans, the entire amount of which was funded on such date, and €250,000,000 of delayed draw term loan commitments that were funded on September 9, 2023.</w:t>
      </w:r>
    </w:p>
    <w:p>
      <w:pPr>
        <w:spacing w:after="0" w:line="128" w:lineRule="exact"/>
        <w:rPr>
          <w:sz w:val="20"/>
          <w:szCs w:val="20"/>
          <w:color w:val="auto"/>
        </w:rPr>
      </w:pPr>
    </w:p>
    <w:p>
      <w:pPr>
        <w:ind w:left="320" w:right="800"/>
        <w:spacing w:after="0" w:line="259" w:lineRule="auto"/>
        <w:rPr>
          <w:sz w:val="20"/>
          <w:szCs w:val="20"/>
          <w:color w:val="auto"/>
        </w:rPr>
      </w:pPr>
      <w:r>
        <w:rPr>
          <w:rFonts w:ascii="Times New Roman" w:cs="Times New Roman" w:eastAsia="Times New Roman" w:hAnsi="Times New Roman"/>
          <w:sz w:val="16"/>
          <w:szCs w:val="16"/>
          <w:color w:val="auto"/>
        </w:rPr>
        <w:t>In this report, the “USD Term Loan Agreement” refers to a term loan agreement for a $740 million senior unsecured term loan facility (the “USD Term Loan Facility”).</w:t>
      </w:r>
    </w:p>
    <w:p>
      <w:pPr>
        <w:spacing w:after="0" w:line="143" w:lineRule="exact"/>
        <w:rPr>
          <w:sz w:val="20"/>
          <w:szCs w:val="20"/>
          <w:color w:val="auto"/>
        </w:rPr>
      </w:pPr>
    </w:p>
    <w:p>
      <w:pPr>
        <w:ind w:left="320" w:right="720"/>
        <w:spacing w:after="0" w:line="259" w:lineRule="auto"/>
        <w:rPr>
          <w:sz w:val="20"/>
          <w:szCs w:val="20"/>
          <w:color w:val="auto"/>
        </w:rPr>
      </w:pPr>
      <w:r>
        <w:rPr>
          <w:rFonts w:ascii="Times New Roman" w:cs="Times New Roman" w:eastAsia="Times New Roman" w:hAnsi="Times New Roman"/>
          <w:sz w:val="16"/>
          <w:szCs w:val="16"/>
          <w:color w:val="auto"/>
        </w:rPr>
        <w:t>In this report, Digital Core REIT (“DCREIT”) is a standalone real estate investment trust formed under Singapore law, which is publicly traded on the Singapore Exchange under the ticker symbol “DCRU”.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289560</wp:posOffset>
            </wp:positionV>
            <wp:extent cx="5312410"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4" w:name="page5"/>
    <w:bookmarkEnd w:id="4"/>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200" w:lineRule="exact"/>
        <w:rPr>
          <w:sz w:val="20"/>
          <w:szCs w:val="20"/>
          <w:color w:val="auto"/>
        </w:rPr>
      </w:pPr>
    </w:p>
    <w:p>
      <w:pPr>
        <w:spacing w:after="0" w:line="342"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80" w:type="dxa"/>
            <w:vAlign w:val="bottom"/>
            <w:gridSpan w:val="21"/>
          </w:tcPr>
          <w:p>
            <w:pPr>
              <w:jc w:val="center"/>
              <w:ind w:right="720"/>
              <w:spacing w:after="0"/>
              <w:rPr>
                <w:sz w:val="20"/>
                <w:szCs w:val="20"/>
                <w:color w:val="auto"/>
              </w:rPr>
            </w:pPr>
            <w:r>
              <w:rPr>
                <w:rFonts w:ascii="Times New Roman" w:cs="Times New Roman" w:eastAsia="Times New Roman" w:hAnsi="Times New Roman"/>
                <w:sz w:val="16"/>
                <w:szCs w:val="16"/>
                <w:b w:val="1"/>
                <w:bCs w:val="1"/>
                <w:color w:val="auto"/>
                <w:w w:val="97"/>
              </w:rPr>
              <w:t>DIGITAL REALTY TRUST, INC. AND DIGITAL REALTY TRUST, L.P.</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20" w:type="dxa"/>
            <w:vAlign w:val="bottom"/>
            <w:gridSpan w:val="10"/>
          </w:tcPr>
          <w:p>
            <w:pPr>
              <w:jc w:val="center"/>
              <w:ind w:right="2800"/>
              <w:spacing w:after="0" w:line="180" w:lineRule="exact"/>
              <w:rPr>
                <w:sz w:val="20"/>
                <w:szCs w:val="20"/>
                <w:color w:val="auto"/>
              </w:rPr>
            </w:pPr>
            <w:r>
              <w:rPr>
                <w:rFonts w:ascii="Times New Roman" w:cs="Times New Roman" w:eastAsia="Times New Roman" w:hAnsi="Times New Roman"/>
                <w:sz w:val="16"/>
                <w:szCs w:val="16"/>
                <w:b w:val="1"/>
                <w:bCs w:val="1"/>
                <w:color w:val="auto"/>
                <w:w w:val="99"/>
              </w:rPr>
              <w:t>FORM 10-K</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60" w:type="dxa"/>
            <w:vAlign w:val="bottom"/>
            <w:gridSpan w:val="13"/>
          </w:tcPr>
          <w:p>
            <w:pPr>
              <w:jc w:val="center"/>
              <w:ind w:right="1540"/>
              <w:spacing w:after="0"/>
              <w:rPr>
                <w:sz w:val="20"/>
                <w:szCs w:val="20"/>
                <w:color w:val="auto"/>
              </w:rPr>
            </w:pPr>
            <w:r>
              <w:rPr>
                <w:rFonts w:ascii="Times New Roman" w:cs="Times New Roman" w:eastAsia="Times New Roman" w:hAnsi="Times New Roman"/>
                <w:sz w:val="16"/>
                <w:szCs w:val="16"/>
                <w:b w:val="1"/>
                <w:bCs w:val="1"/>
                <w:color w:val="auto"/>
                <w:w w:val="97"/>
              </w:rPr>
              <w:t>FOR THE YEAR ENDED DECEMBER 31, 2024</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40" w:type="dxa"/>
            <w:vAlign w:val="bottom"/>
            <w:gridSpan w:val="12"/>
          </w:tcPr>
          <w:p>
            <w:pPr>
              <w:jc w:val="center"/>
              <w:ind w:right="1760"/>
              <w:spacing w:after="0"/>
              <w:rPr>
                <w:sz w:val="20"/>
                <w:szCs w:val="20"/>
                <w:color w:val="auto"/>
              </w:rPr>
            </w:pPr>
            <w:r>
              <w:rPr>
                <w:rFonts w:ascii="Times New Roman" w:cs="Times New Roman" w:eastAsia="Times New Roman" w:hAnsi="Times New Roman"/>
                <w:sz w:val="16"/>
                <w:szCs w:val="16"/>
                <w:b w:val="1"/>
                <w:bCs w:val="1"/>
                <w:color w:val="auto"/>
                <w:w w:val="97"/>
              </w:rPr>
              <w:t>TABLE OF CONTENTS</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560" w:type="dxa"/>
            <w:vAlign w:val="bottom"/>
            <w:vMerge w:val="restart"/>
          </w:tcPr>
          <w:p>
            <w:pPr>
              <w:spacing w:after="0"/>
              <w:rPr>
                <w:rFonts w:ascii="Times New Roman" w:cs="Times New Roman" w:eastAsia="Times New Roman" w:hAnsi="Times New Roman"/>
                <w:sz w:val="16"/>
                <w:szCs w:val="16"/>
                <w:b w:val="1"/>
                <w:bCs w:val="1"/>
                <w:color w:val="0000EE"/>
                <w:w w:val="93"/>
              </w:rPr>
            </w:pPr>
            <w:hyperlink w:anchor="page1">
              <w:r>
                <w:rPr>
                  <w:rFonts w:ascii="Times New Roman" w:cs="Times New Roman" w:eastAsia="Times New Roman" w:hAnsi="Times New Roman"/>
                  <w:sz w:val="16"/>
                  <w:szCs w:val="16"/>
                  <w:b w:val="1"/>
                  <w:bCs w:val="1"/>
                  <w:color w:val="0000EE"/>
                  <w:w w:val="93"/>
                </w:rPr>
                <w:t>PART I.</w:t>
              </w:r>
            </w:hyperlink>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PAGE NO.</w:t>
            </w:r>
          </w:p>
        </w:tc>
        <w:tc>
          <w:tcPr>
            <w:tcW w:w="0" w:type="dxa"/>
            <w:vAlign w:val="bottom"/>
          </w:tcPr>
          <w:p>
            <w:pPr>
              <w:spacing w:after="0"/>
              <w:rPr>
                <w:sz w:val="1"/>
                <w:szCs w:val="1"/>
                <w:color w:val="auto"/>
              </w:rPr>
            </w:pPr>
          </w:p>
        </w:tc>
      </w:tr>
      <w:tr>
        <w:trPr>
          <w:trHeight w:val="165"/>
        </w:trPr>
        <w:tc>
          <w:tcPr>
            <w:tcW w:w="560" w:type="dxa"/>
            <w:vAlign w:val="bottom"/>
            <w:tcBorders>
              <w:bottom w:val="single" w:sz="8" w:color="0000EE"/>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1</w:t>
            </w:r>
          </w:p>
        </w:tc>
        <w:tc>
          <w:tcPr>
            <w:tcW w:w="0" w:type="dxa"/>
            <w:vAlign w:val="bottom"/>
          </w:tcPr>
          <w:p>
            <w:pPr>
              <w:spacing w:after="0"/>
              <w:rPr>
                <w:sz w:val="1"/>
                <w:szCs w:val="1"/>
                <w:color w:val="auto"/>
              </w:rPr>
            </w:pPr>
          </w:p>
        </w:tc>
      </w:tr>
      <w:tr>
        <w:trPr>
          <w:trHeight w:val="196"/>
        </w:trPr>
        <w:tc>
          <w:tcPr>
            <w:tcW w:w="580" w:type="dxa"/>
            <w:vAlign w:val="bottom"/>
            <w:tcBorders>
              <w:bottom w:val="single" w:sz="8" w:color="0000EE"/>
            </w:tcBorders>
            <w:gridSpan w:val="2"/>
          </w:tcPr>
          <w:p>
            <w:pPr>
              <w:spacing w:after="0"/>
              <w:rPr>
                <w:rFonts w:ascii="Times New Roman" w:cs="Times New Roman" w:eastAsia="Times New Roman" w:hAnsi="Times New Roman"/>
                <w:sz w:val="16"/>
                <w:szCs w:val="16"/>
                <w:b w:val="1"/>
                <w:bCs w:val="1"/>
                <w:color w:val="0000EE"/>
                <w:w w:val="95"/>
              </w:rPr>
            </w:pPr>
            <w:hyperlink w:anchor="page1">
              <w:r>
                <w:rPr>
                  <w:rFonts w:ascii="Times New Roman" w:cs="Times New Roman" w:eastAsia="Times New Roman" w:hAnsi="Times New Roman"/>
                  <w:sz w:val="16"/>
                  <w:szCs w:val="16"/>
                  <w:b w:val="1"/>
                  <w:bCs w:val="1"/>
                  <w:color w:val="0000EE"/>
                  <w:w w:val="95"/>
                </w:rPr>
                <w:t>ITEM 1.</w:t>
              </w:r>
            </w:hyperlink>
          </w:p>
        </w:tc>
        <w:tc>
          <w:tcPr>
            <w:tcW w:w="200" w:type="dxa"/>
            <w:vAlign w:val="bottom"/>
            <w:gridSpan w:val="4"/>
          </w:tcPr>
          <w:p>
            <w:pPr>
              <w:spacing w:after="0"/>
              <w:rPr>
                <w:sz w:val="17"/>
                <w:szCs w:val="17"/>
                <w:color w:val="auto"/>
              </w:rPr>
            </w:pPr>
          </w:p>
        </w:tc>
        <w:tc>
          <w:tcPr>
            <w:tcW w:w="580" w:type="dxa"/>
            <w:vAlign w:val="bottom"/>
            <w:tcBorders>
              <w:bottom w:val="single" w:sz="8" w:color="0000EE"/>
            </w:tcBorders>
            <w:gridSpan w:val="3"/>
          </w:tcPr>
          <w:p>
            <w:pPr>
              <w:spacing w:after="0"/>
              <w:rPr>
                <w:rFonts w:ascii="Times New Roman" w:cs="Times New Roman" w:eastAsia="Times New Roman" w:hAnsi="Times New Roman"/>
                <w:sz w:val="16"/>
                <w:szCs w:val="16"/>
                <w:b w:val="1"/>
                <w:bCs w:val="1"/>
                <w:color w:val="0000EE"/>
                <w:w w:val="95"/>
              </w:rPr>
            </w:pPr>
            <w:hyperlink w:anchor="page1">
              <w:r>
                <w:rPr>
                  <w:rFonts w:ascii="Times New Roman" w:cs="Times New Roman" w:eastAsia="Times New Roman" w:hAnsi="Times New Roman"/>
                  <w:sz w:val="16"/>
                  <w:szCs w:val="16"/>
                  <w:b w:val="1"/>
                  <w:bCs w:val="1"/>
                  <w:color w:val="0000EE"/>
                  <w:w w:val="95"/>
                </w:rPr>
                <w:t>Business</w:t>
              </w:r>
            </w:hyperlink>
          </w:p>
        </w:tc>
        <w:tc>
          <w:tcPr>
            <w:tcW w:w="6140" w:type="dxa"/>
            <w:vAlign w:val="bottom"/>
            <w:gridSpan w:val="24"/>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0" w:type="dxa"/>
            <w:vAlign w:val="bottom"/>
          </w:tcPr>
          <w:p>
            <w:pPr>
              <w:spacing w:after="0"/>
              <w:rPr>
                <w:sz w:val="1"/>
                <w:szCs w:val="1"/>
                <w:color w:val="auto"/>
              </w:rPr>
            </w:pPr>
          </w:p>
        </w:tc>
      </w:tr>
      <w:tr>
        <w:trPr>
          <w:trHeight w:val="184"/>
        </w:trPr>
        <w:tc>
          <w:tcPr>
            <w:tcW w:w="700" w:type="dxa"/>
            <w:vAlign w:val="bottom"/>
            <w:gridSpan w:val="5"/>
          </w:tcPr>
          <w:p>
            <w:pPr>
              <w:spacing w:after="0"/>
              <w:rPr>
                <w:rFonts w:ascii="Times New Roman" w:cs="Times New Roman" w:eastAsia="Times New Roman" w:hAnsi="Times New Roman"/>
                <w:sz w:val="16"/>
                <w:szCs w:val="16"/>
                <w:b w:val="1"/>
                <w:bCs w:val="1"/>
                <w:color w:val="0000EE"/>
                <w:w w:val="93"/>
              </w:rPr>
            </w:pPr>
            <w:hyperlink w:anchor="page1">
              <w:r>
                <w:rPr>
                  <w:rFonts w:ascii="Times New Roman" w:cs="Times New Roman" w:eastAsia="Times New Roman" w:hAnsi="Times New Roman"/>
                  <w:sz w:val="16"/>
                  <w:szCs w:val="16"/>
                  <w:b w:val="1"/>
                  <w:bCs w:val="1"/>
                  <w:color w:val="0000EE"/>
                  <w:w w:val="93"/>
                </w:rPr>
                <w:t>ITEM 1A.</w:t>
              </w:r>
            </w:hyperlink>
          </w:p>
        </w:tc>
        <w:tc>
          <w:tcPr>
            <w:tcW w:w="80" w:type="dxa"/>
            <w:vAlign w:val="bottom"/>
          </w:tcPr>
          <w:p>
            <w:pPr>
              <w:spacing w:after="0"/>
              <w:rPr>
                <w:sz w:val="16"/>
                <w:szCs w:val="16"/>
                <w:color w:val="auto"/>
              </w:rPr>
            </w:pPr>
          </w:p>
        </w:tc>
        <w:tc>
          <w:tcPr>
            <w:tcW w:w="6720" w:type="dxa"/>
            <w:vAlign w:val="bottom"/>
            <w:gridSpan w:val="27"/>
          </w:tcPr>
          <w:p>
            <w:pPr>
              <w:spacing w:after="0"/>
              <w:rPr>
                <w:rFonts w:ascii="Times New Roman" w:cs="Times New Roman" w:eastAsia="Times New Roman" w:hAnsi="Times New Roman"/>
                <w:sz w:val="16"/>
                <w:szCs w:val="16"/>
                <w:b w:val="1"/>
                <w:bCs w:val="1"/>
                <w:color w:val="0000EE"/>
              </w:rPr>
            </w:pPr>
            <w:hyperlink w:anchor="page1">
              <w:r>
                <w:rPr>
                  <w:rFonts w:ascii="Times New Roman" w:cs="Times New Roman" w:eastAsia="Times New Roman" w:hAnsi="Times New Roman"/>
                  <w:sz w:val="16"/>
                  <w:szCs w:val="16"/>
                  <w:b w:val="1"/>
                  <w:bCs w:val="1"/>
                  <w:color w:val="0000EE"/>
                </w:rPr>
                <w:t>Risk Factors</w:t>
              </w:r>
            </w:hyperlink>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w:t>
            </w:r>
          </w:p>
        </w:tc>
        <w:tc>
          <w:tcPr>
            <w:tcW w:w="0" w:type="dxa"/>
            <w:vAlign w:val="bottom"/>
          </w:tcPr>
          <w:p>
            <w:pPr>
              <w:spacing w:after="0"/>
              <w:rPr>
                <w:sz w:val="1"/>
                <w:szCs w:val="1"/>
                <w:color w:val="auto"/>
              </w:rPr>
            </w:pPr>
          </w:p>
        </w:tc>
      </w:tr>
      <w:tr>
        <w:trPr>
          <w:trHeight w:val="20"/>
        </w:trPr>
        <w:tc>
          <w:tcPr>
            <w:tcW w:w="6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00" w:type="dxa"/>
            <w:vAlign w:val="bottom"/>
            <w:tcBorders>
              <w:bottom w:val="single" w:sz="8" w:color="0000EE"/>
            </w:tcBorders>
            <w:gridSpan w:val="5"/>
          </w:tcPr>
          <w:p>
            <w:pPr>
              <w:spacing w:after="0"/>
              <w:rPr>
                <w:rFonts w:ascii="Times New Roman" w:cs="Times New Roman" w:eastAsia="Times New Roman" w:hAnsi="Times New Roman"/>
                <w:sz w:val="16"/>
                <w:szCs w:val="16"/>
                <w:b w:val="1"/>
                <w:bCs w:val="1"/>
                <w:color w:val="0000EE"/>
                <w:w w:val="95"/>
              </w:rPr>
            </w:pPr>
            <w:hyperlink w:anchor="page1">
              <w:r>
                <w:rPr>
                  <w:rFonts w:ascii="Times New Roman" w:cs="Times New Roman" w:eastAsia="Times New Roman" w:hAnsi="Times New Roman"/>
                  <w:sz w:val="16"/>
                  <w:szCs w:val="16"/>
                  <w:b w:val="1"/>
                  <w:bCs w:val="1"/>
                  <w:color w:val="0000EE"/>
                  <w:w w:val="95"/>
                </w:rPr>
                <w:t>ITEM 1B.</w:t>
              </w:r>
            </w:hyperlink>
          </w:p>
        </w:tc>
        <w:tc>
          <w:tcPr>
            <w:tcW w:w="80" w:type="dxa"/>
            <w:vAlign w:val="bottom"/>
          </w:tcPr>
          <w:p>
            <w:pPr>
              <w:spacing w:after="0"/>
              <w:rPr>
                <w:sz w:val="16"/>
                <w:szCs w:val="16"/>
                <w:color w:val="auto"/>
              </w:rPr>
            </w:pPr>
          </w:p>
        </w:tc>
        <w:tc>
          <w:tcPr>
            <w:tcW w:w="1880" w:type="dxa"/>
            <w:vAlign w:val="bottom"/>
            <w:tcBorders>
              <w:bottom w:val="single" w:sz="8" w:color="0000EE"/>
            </w:tcBorders>
            <w:gridSpan w:val="15"/>
          </w:tcPr>
          <w:p>
            <w:pPr>
              <w:spacing w:after="0"/>
              <w:rPr>
                <w:rFonts w:ascii="Times New Roman" w:cs="Times New Roman" w:eastAsia="Times New Roman" w:hAnsi="Times New Roman"/>
                <w:sz w:val="16"/>
                <w:szCs w:val="16"/>
                <w:b w:val="1"/>
                <w:bCs w:val="1"/>
                <w:color w:val="0000EE"/>
                <w:w w:val="96"/>
              </w:rPr>
            </w:pPr>
            <w:hyperlink w:anchor="page1">
              <w:r>
                <w:rPr>
                  <w:rFonts w:ascii="Times New Roman" w:cs="Times New Roman" w:eastAsia="Times New Roman" w:hAnsi="Times New Roman"/>
                  <w:sz w:val="16"/>
                  <w:szCs w:val="16"/>
                  <w:b w:val="1"/>
                  <w:bCs w:val="1"/>
                  <w:color w:val="0000EE"/>
                  <w:w w:val="96"/>
                </w:rPr>
                <w:t>Unresolved Staff Comments</w:t>
              </w:r>
            </w:hyperlink>
          </w:p>
        </w:tc>
        <w:tc>
          <w:tcPr>
            <w:tcW w:w="4840" w:type="dxa"/>
            <w:vAlign w:val="bottom"/>
            <w:gridSpan w:val="12"/>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47</w:t>
            </w:r>
          </w:p>
        </w:tc>
        <w:tc>
          <w:tcPr>
            <w:tcW w:w="0" w:type="dxa"/>
            <w:vAlign w:val="bottom"/>
          </w:tcPr>
          <w:p>
            <w:pPr>
              <w:spacing w:after="0"/>
              <w:rPr>
                <w:sz w:val="1"/>
                <w:szCs w:val="1"/>
                <w:color w:val="auto"/>
              </w:rPr>
            </w:pPr>
          </w:p>
        </w:tc>
      </w:tr>
      <w:tr>
        <w:trPr>
          <w:trHeight w:val="184"/>
        </w:trPr>
        <w:tc>
          <w:tcPr>
            <w:tcW w:w="700" w:type="dxa"/>
            <w:vAlign w:val="bottom"/>
            <w:gridSpan w:val="5"/>
          </w:tcPr>
          <w:p>
            <w:pPr>
              <w:spacing w:after="0"/>
              <w:rPr>
                <w:rFonts w:ascii="Times New Roman" w:cs="Times New Roman" w:eastAsia="Times New Roman" w:hAnsi="Times New Roman"/>
                <w:sz w:val="16"/>
                <w:szCs w:val="16"/>
                <w:b w:val="1"/>
                <w:bCs w:val="1"/>
                <w:color w:val="0000EE"/>
                <w:w w:val="93"/>
              </w:rPr>
            </w:pPr>
            <w:hyperlink w:anchor="page1">
              <w:r>
                <w:rPr>
                  <w:rFonts w:ascii="Times New Roman" w:cs="Times New Roman" w:eastAsia="Times New Roman" w:hAnsi="Times New Roman"/>
                  <w:sz w:val="16"/>
                  <w:szCs w:val="16"/>
                  <w:b w:val="1"/>
                  <w:bCs w:val="1"/>
                  <w:color w:val="0000EE"/>
                  <w:w w:val="93"/>
                </w:rPr>
                <w:t>ITEM 1C.</w:t>
              </w:r>
            </w:hyperlink>
          </w:p>
        </w:tc>
        <w:tc>
          <w:tcPr>
            <w:tcW w:w="80" w:type="dxa"/>
            <w:vAlign w:val="bottom"/>
          </w:tcPr>
          <w:p>
            <w:pPr>
              <w:spacing w:after="0"/>
              <w:rPr>
                <w:sz w:val="16"/>
                <w:szCs w:val="16"/>
                <w:color w:val="auto"/>
              </w:rPr>
            </w:pPr>
          </w:p>
        </w:tc>
        <w:tc>
          <w:tcPr>
            <w:tcW w:w="6720" w:type="dxa"/>
            <w:vAlign w:val="bottom"/>
            <w:gridSpan w:val="27"/>
          </w:tcPr>
          <w:p>
            <w:pPr>
              <w:spacing w:after="0"/>
              <w:rPr>
                <w:rFonts w:ascii="Times New Roman" w:cs="Times New Roman" w:eastAsia="Times New Roman" w:hAnsi="Times New Roman"/>
                <w:sz w:val="16"/>
                <w:szCs w:val="16"/>
                <w:b w:val="1"/>
                <w:bCs w:val="1"/>
                <w:color w:val="0000EE"/>
              </w:rPr>
            </w:pPr>
            <w:hyperlink w:anchor="page1">
              <w:r>
                <w:rPr>
                  <w:rFonts w:ascii="Times New Roman" w:cs="Times New Roman" w:eastAsia="Times New Roman" w:hAnsi="Times New Roman"/>
                  <w:sz w:val="16"/>
                  <w:szCs w:val="16"/>
                  <w:b w:val="1"/>
                  <w:bCs w:val="1"/>
                  <w:color w:val="0000EE"/>
                </w:rPr>
                <w:t>Cybersecurity</w:t>
              </w:r>
            </w:hyperlink>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47</w:t>
            </w:r>
          </w:p>
        </w:tc>
        <w:tc>
          <w:tcPr>
            <w:tcW w:w="0" w:type="dxa"/>
            <w:vAlign w:val="bottom"/>
          </w:tcPr>
          <w:p>
            <w:pPr>
              <w:spacing w:after="0"/>
              <w:rPr>
                <w:sz w:val="1"/>
                <w:szCs w:val="1"/>
                <w:color w:val="auto"/>
              </w:rPr>
            </w:pPr>
          </w:p>
        </w:tc>
      </w:tr>
      <w:tr>
        <w:trPr>
          <w:trHeight w:val="184"/>
        </w:trPr>
        <w:tc>
          <w:tcPr>
            <w:tcW w:w="58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6"/>
                <w:szCs w:val="16"/>
                <w:b w:val="1"/>
                <w:bCs w:val="1"/>
                <w:color w:val="0000EE"/>
                <w:w w:val="95"/>
              </w:rPr>
            </w:pPr>
            <w:hyperlink w:anchor="page1">
              <w:r>
                <w:rPr>
                  <w:rFonts w:ascii="Times New Roman" w:cs="Times New Roman" w:eastAsia="Times New Roman" w:hAnsi="Times New Roman"/>
                  <w:sz w:val="16"/>
                  <w:szCs w:val="16"/>
                  <w:b w:val="1"/>
                  <w:bCs w:val="1"/>
                  <w:color w:val="0000EE"/>
                  <w:w w:val="95"/>
                </w:rPr>
                <w:t>ITEM 2.</w:t>
              </w:r>
            </w:hyperlink>
          </w:p>
        </w:tc>
        <w:tc>
          <w:tcPr>
            <w:tcW w:w="120" w:type="dxa"/>
            <w:vAlign w:val="bottom"/>
            <w:tcBorders>
              <w:top w:val="single" w:sz="8" w:color="0000EE"/>
            </w:tcBorders>
            <w:gridSpan w:val="3"/>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6"/>
                <w:szCs w:val="16"/>
                <w:b w:val="1"/>
                <w:bCs w:val="1"/>
                <w:color w:val="0000EE"/>
                <w:w w:val="95"/>
              </w:rPr>
            </w:pPr>
            <w:hyperlink w:anchor="page1">
              <w:r>
                <w:rPr>
                  <w:rFonts w:ascii="Times New Roman" w:cs="Times New Roman" w:eastAsia="Times New Roman" w:hAnsi="Times New Roman"/>
                  <w:sz w:val="16"/>
                  <w:szCs w:val="16"/>
                  <w:b w:val="1"/>
                  <w:bCs w:val="1"/>
                  <w:color w:val="0000EE"/>
                  <w:w w:val="95"/>
                </w:rPr>
                <w:t>Properties</w:t>
              </w:r>
            </w:hyperlink>
          </w:p>
        </w:tc>
        <w:tc>
          <w:tcPr>
            <w:tcW w:w="240" w:type="dxa"/>
            <w:vAlign w:val="bottom"/>
            <w:tcBorders>
              <w:top w:val="single" w:sz="8" w:color="0000EE"/>
            </w:tcBorders>
            <w:gridSpan w:val="2"/>
          </w:tcPr>
          <w:p>
            <w:pPr>
              <w:spacing w:after="0"/>
              <w:rPr>
                <w:sz w:val="16"/>
                <w:szCs w:val="16"/>
                <w:color w:val="auto"/>
              </w:rPr>
            </w:pPr>
          </w:p>
        </w:tc>
        <w:tc>
          <w:tcPr>
            <w:tcW w:w="5780" w:type="dxa"/>
            <w:vAlign w:val="bottom"/>
            <w:gridSpan w:val="20"/>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49</w:t>
            </w:r>
          </w:p>
        </w:tc>
        <w:tc>
          <w:tcPr>
            <w:tcW w:w="0" w:type="dxa"/>
            <w:vAlign w:val="bottom"/>
          </w:tcPr>
          <w:p>
            <w:pPr>
              <w:spacing w:after="0"/>
              <w:rPr>
                <w:sz w:val="1"/>
                <w:szCs w:val="1"/>
                <w:color w:val="auto"/>
              </w:rPr>
            </w:pPr>
          </w:p>
        </w:tc>
      </w:tr>
      <w:tr>
        <w:trPr>
          <w:trHeight w:val="184"/>
        </w:trPr>
        <w:tc>
          <w:tcPr>
            <w:tcW w:w="580" w:type="dxa"/>
            <w:vAlign w:val="bottom"/>
            <w:tcBorders>
              <w:bottom w:val="single" w:sz="8" w:color="0000EE"/>
            </w:tcBorders>
            <w:gridSpan w:val="2"/>
          </w:tcPr>
          <w:p>
            <w:pPr>
              <w:spacing w:after="0"/>
              <w:rPr>
                <w:rFonts w:ascii="Times New Roman" w:cs="Times New Roman" w:eastAsia="Times New Roman" w:hAnsi="Times New Roman"/>
                <w:sz w:val="16"/>
                <w:szCs w:val="16"/>
                <w:b w:val="1"/>
                <w:bCs w:val="1"/>
                <w:color w:val="0000EE"/>
                <w:w w:val="95"/>
              </w:rPr>
            </w:pPr>
            <w:hyperlink w:anchor="page1">
              <w:r>
                <w:rPr>
                  <w:rFonts w:ascii="Times New Roman" w:cs="Times New Roman" w:eastAsia="Times New Roman" w:hAnsi="Times New Roman"/>
                  <w:sz w:val="16"/>
                  <w:szCs w:val="16"/>
                  <w:b w:val="1"/>
                  <w:bCs w:val="1"/>
                  <w:color w:val="0000EE"/>
                  <w:w w:val="95"/>
                </w:rPr>
                <w:t>ITEM 3.</w:t>
              </w:r>
            </w:hyperlink>
          </w:p>
        </w:tc>
        <w:tc>
          <w:tcPr>
            <w:tcW w:w="200" w:type="dxa"/>
            <w:vAlign w:val="bottom"/>
            <w:gridSpan w:val="4"/>
          </w:tcPr>
          <w:p>
            <w:pPr>
              <w:spacing w:after="0"/>
              <w:rPr>
                <w:sz w:val="16"/>
                <w:szCs w:val="16"/>
                <w:color w:val="auto"/>
              </w:rPr>
            </w:pPr>
          </w:p>
        </w:tc>
        <w:tc>
          <w:tcPr>
            <w:tcW w:w="1220" w:type="dxa"/>
            <w:vAlign w:val="bottom"/>
            <w:tcBorders>
              <w:bottom w:val="single" w:sz="8" w:color="0000EE"/>
            </w:tcBorders>
            <w:gridSpan w:val="9"/>
          </w:tcPr>
          <w:p>
            <w:pPr>
              <w:spacing w:after="0"/>
              <w:rPr>
                <w:rFonts w:ascii="Times New Roman" w:cs="Times New Roman" w:eastAsia="Times New Roman" w:hAnsi="Times New Roman"/>
                <w:sz w:val="16"/>
                <w:szCs w:val="16"/>
                <w:b w:val="1"/>
                <w:bCs w:val="1"/>
                <w:color w:val="0000EE"/>
                <w:w w:val="96"/>
              </w:rPr>
            </w:pPr>
            <w:hyperlink w:anchor="page1">
              <w:r>
                <w:rPr>
                  <w:rFonts w:ascii="Times New Roman" w:cs="Times New Roman" w:eastAsia="Times New Roman" w:hAnsi="Times New Roman"/>
                  <w:sz w:val="16"/>
                  <w:szCs w:val="16"/>
                  <w:b w:val="1"/>
                  <w:bCs w:val="1"/>
                  <w:color w:val="0000EE"/>
                  <w:w w:val="96"/>
                </w:rPr>
                <w:t>Legal Proceedings</w:t>
              </w:r>
            </w:hyperlink>
          </w:p>
        </w:tc>
        <w:tc>
          <w:tcPr>
            <w:tcW w:w="5500" w:type="dxa"/>
            <w:vAlign w:val="bottom"/>
            <w:gridSpan w:val="18"/>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53</w:t>
            </w:r>
          </w:p>
        </w:tc>
        <w:tc>
          <w:tcPr>
            <w:tcW w:w="0" w:type="dxa"/>
            <w:vAlign w:val="bottom"/>
          </w:tcPr>
          <w:p>
            <w:pPr>
              <w:spacing w:after="0"/>
              <w:rPr>
                <w:sz w:val="1"/>
                <w:szCs w:val="1"/>
                <w:color w:val="auto"/>
              </w:rPr>
            </w:pPr>
          </w:p>
        </w:tc>
      </w:tr>
      <w:tr>
        <w:trPr>
          <w:trHeight w:val="184"/>
        </w:trPr>
        <w:tc>
          <w:tcPr>
            <w:tcW w:w="580" w:type="dxa"/>
            <w:vAlign w:val="bottom"/>
            <w:tcBorders>
              <w:bottom w:val="single" w:sz="8" w:color="0000EE"/>
            </w:tcBorders>
            <w:gridSpan w:val="2"/>
          </w:tcPr>
          <w:p>
            <w:pPr>
              <w:spacing w:after="0"/>
              <w:rPr>
                <w:rFonts w:ascii="Times New Roman" w:cs="Times New Roman" w:eastAsia="Times New Roman" w:hAnsi="Times New Roman"/>
                <w:sz w:val="16"/>
                <w:szCs w:val="16"/>
                <w:b w:val="1"/>
                <w:bCs w:val="1"/>
                <w:color w:val="0000EE"/>
                <w:w w:val="95"/>
              </w:rPr>
            </w:pPr>
            <w:hyperlink w:anchor="page1">
              <w:r>
                <w:rPr>
                  <w:rFonts w:ascii="Times New Roman" w:cs="Times New Roman" w:eastAsia="Times New Roman" w:hAnsi="Times New Roman"/>
                  <w:sz w:val="16"/>
                  <w:szCs w:val="16"/>
                  <w:b w:val="1"/>
                  <w:bCs w:val="1"/>
                  <w:color w:val="0000EE"/>
                  <w:w w:val="95"/>
                </w:rPr>
                <w:t>ITEM 4.</w:t>
              </w:r>
            </w:hyperlink>
          </w:p>
        </w:tc>
        <w:tc>
          <w:tcPr>
            <w:tcW w:w="200" w:type="dxa"/>
            <w:vAlign w:val="bottom"/>
            <w:gridSpan w:val="4"/>
          </w:tcPr>
          <w:p>
            <w:pPr>
              <w:spacing w:after="0"/>
              <w:rPr>
                <w:sz w:val="16"/>
                <w:szCs w:val="16"/>
                <w:color w:val="auto"/>
              </w:rPr>
            </w:pPr>
          </w:p>
        </w:tc>
        <w:tc>
          <w:tcPr>
            <w:tcW w:w="1600" w:type="dxa"/>
            <w:vAlign w:val="bottom"/>
            <w:tcBorders>
              <w:bottom w:val="single" w:sz="8" w:color="0000EE"/>
            </w:tcBorders>
            <w:gridSpan w:val="12"/>
          </w:tcPr>
          <w:p>
            <w:pPr>
              <w:spacing w:after="0"/>
              <w:rPr>
                <w:rFonts w:ascii="Times New Roman" w:cs="Times New Roman" w:eastAsia="Times New Roman" w:hAnsi="Times New Roman"/>
                <w:sz w:val="16"/>
                <w:szCs w:val="16"/>
                <w:b w:val="1"/>
                <w:bCs w:val="1"/>
                <w:color w:val="0000EE"/>
                <w:w w:val="96"/>
              </w:rPr>
            </w:pPr>
            <w:hyperlink w:anchor="page1">
              <w:r>
                <w:rPr>
                  <w:rFonts w:ascii="Times New Roman" w:cs="Times New Roman" w:eastAsia="Times New Roman" w:hAnsi="Times New Roman"/>
                  <w:sz w:val="16"/>
                  <w:szCs w:val="16"/>
                  <w:b w:val="1"/>
                  <w:bCs w:val="1"/>
                  <w:color w:val="0000EE"/>
                  <w:w w:val="96"/>
                </w:rPr>
                <w:t>Mine Safety Disclosures</w:t>
              </w:r>
            </w:hyperlink>
          </w:p>
        </w:tc>
        <w:tc>
          <w:tcPr>
            <w:tcW w:w="5120" w:type="dxa"/>
            <w:vAlign w:val="bottom"/>
            <w:gridSpan w:val="15"/>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53</w:t>
            </w:r>
          </w:p>
        </w:tc>
        <w:tc>
          <w:tcPr>
            <w:tcW w:w="0" w:type="dxa"/>
            <w:vAlign w:val="bottom"/>
          </w:tcPr>
          <w:p>
            <w:pPr>
              <w:spacing w:after="0"/>
              <w:rPr>
                <w:sz w:val="1"/>
                <w:szCs w:val="1"/>
                <w:color w:val="auto"/>
              </w:rPr>
            </w:pPr>
          </w:p>
        </w:tc>
      </w:tr>
      <w:tr>
        <w:trPr>
          <w:trHeight w:val="184"/>
        </w:trPr>
        <w:tc>
          <w:tcPr>
            <w:tcW w:w="780" w:type="dxa"/>
            <w:vAlign w:val="bottom"/>
            <w:gridSpan w:val="6"/>
          </w:tcPr>
          <w:p>
            <w:pPr>
              <w:spacing w:after="0"/>
              <w:rPr>
                <w:rFonts w:ascii="Times New Roman" w:cs="Times New Roman" w:eastAsia="Times New Roman" w:hAnsi="Times New Roman"/>
                <w:sz w:val="16"/>
                <w:szCs w:val="16"/>
                <w:b w:val="1"/>
                <w:bCs w:val="1"/>
                <w:color w:val="0000EE"/>
              </w:rPr>
            </w:pPr>
            <w:hyperlink w:anchor="page1">
              <w:r>
                <w:rPr>
                  <w:rFonts w:ascii="Times New Roman" w:cs="Times New Roman" w:eastAsia="Times New Roman" w:hAnsi="Times New Roman"/>
                  <w:sz w:val="16"/>
                  <w:szCs w:val="16"/>
                  <w:b w:val="1"/>
                  <w:bCs w:val="1"/>
                  <w:color w:val="0000EE"/>
                </w:rPr>
                <w:t>PART II.</w:t>
              </w:r>
            </w:hyperlink>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53</w:t>
            </w:r>
          </w:p>
        </w:tc>
        <w:tc>
          <w:tcPr>
            <w:tcW w:w="0" w:type="dxa"/>
            <w:vAlign w:val="bottom"/>
          </w:tcPr>
          <w:p>
            <w:pPr>
              <w:spacing w:after="0"/>
              <w:rPr>
                <w:sz w:val="1"/>
                <w:szCs w:val="1"/>
                <w:color w:val="auto"/>
              </w:rPr>
            </w:pPr>
          </w:p>
        </w:tc>
      </w:tr>
      <w:tr>
        <w:trPr>
          <w:trHeight w:val="184"/>
        </w:trPr>
        <w:tc>
          <w:tcPr>
            <w:tcW w:w="620" w:type="dxa"/>
            <w:vAlign w:val="bottom"/>
            <w:tcBorders>
              <w:top w:val="single" w:sz="8" w:color="0000EE"/>
            </w:tcBorders>
            <w:gridSpan w:val="3"/>
          </w:tcPr>
          <w:p>
            <w:pPr>
              <w:spacing w:after="0"/>
              <w:rPr>
                <w:rFonts w:ascii="Times New Roman" w:cs="Times New Roman" w:eastAsia="Times New Roman" w:hAnsi="Times New Roman"/>
                <w:sz w:val="16"/>
                <w:szCs w:val="16"/>
                <w:b w:val="1"/>
                <w:bCs w:val="1"/>
                <w:color w:val="0000EE"/>
              </w:rPr>
            </w:pPr>
            <w:hyperlink w:anchor="page1">
              <w:r>
                <w:rPr>
                  <w:rFonts w:ascii="Times New Roman" w:cs="Times New Roman" w:eastAsia="Times New Roman" w:hAnsi="Times New Roman"/>
                  <w:sz w:val="16"/>
                  <w:szCs w:val="16"/>
                  <w:b w:val="1"/>
                  <w:bCs w:val="1"/>
                  <w:color w:val="0000EE"/>
                </w:rPr>
                <w:t>ITEM 5.</w:t>
              </w:r>
            </w:hyperlink>
          </w:p>
        </w:tc>
        <w:tc>
          <w:tcPr>
            <w:tcW w:w="160" w:type="dxa"/>
            <w:vAlign w:val="bottom"/>
            <w:gridSpan w:val="3"/>
          </w:tcPr>
          <w:p>
            <w:pPr>
              <w:spacing w:after="0"/>
              <w:rPr>
                <w:sz w:val="16"/>
                <w:szCs w:val="16"/>
                <w:color w:val="auto"/>
              </w:rPr>
            </w:pPr>
          </w:p>
        </w:tc>
        <w:tc>
          <w:tcPr>
            <w:tcW w:w="6720" w:type="dxa"/>
            <w:vAlign w:val="bottom"/>
            <w:gridSpan w:val="27"/>
          </w:tcPr>
          <w:p>
            <w:pPr>
              <w:spacing w:after="0"/>
              <w:rPr>
                <w:rFonts w:ascii="Times New Roman" w:cs="Times New Roman" w:eastAsia="Times New Roman" w:hAnsi="Times New Roman"/>
                <w:sz w:val="16"/>
                <w:szCs w:val="16"/>
                <w:b w:val="1"/>
                <w:bCs w:val="1"/>
                <w:color w:val="0000EE"/>
              </w:rPr>
            </w:pPr>
            <w:hyperlink w:anchor="page1">
              <w:r>
                <w:rPr>
                  <w:rFonts w:ascii="Times New Roman" w:cs="Times New Roman" w:eastAsia="Times New Roman" w:hAnsi="Times New Roman"/>
                  <w:sz w:val="16"/>
                  <w:szCs w:val="16"/>
                  <w:b w:val="1"/>
                  <w:bCs w:val="1"/>
                  <w:color w:val="0000EE"/>
                </w:rPr>
                <w:t>Market for Registrant’s Common Equity, Related Stockholder Matters and Issuer Purchases of</w:t>
              </w:r>
            </w:hyperlink>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53</w:t>
            </w:r>
          </w:p>
        </w:tc>
        <w:tc>
          <w:tcPr>
            <w:tcW w:w="0" w:type="dxa"/>
            <w:vAlign w:val="bottom"/>
          </w:tcPr>
          <w:p>
            <w:pPr>
              <w:spacing w:after="0"/>
              <w:rPr>
                <w:sz w:val="1"/>
                <w:szCs w:val="1"/>
                <w:color w:val="auto"/>
              </w:rPr>
            </w:pPr>
          </w:p>
        </w:tc>
      </w:tr>
      <w:tr>
        <w:trPr>
          <w:trHeight w:val="160"/>
        </w:trPr>
        <w:tc>
          <w:tcPr>
            <w:tcW w:w="56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Borders>
              <w:top w:val="single" w:sz="8" w:color="0000EE"/>
              <w:bottom w:val="single" w:sz="8" w:color="0000EE"/>
            </w:tcBorders>
            <w:gridSpan w:val="8"/>
          </w:tcPr>
          <w:p>
            <w:pPr>
              <w:spacing w:after="0" w:line="160" w:lineRule="exact"/>
              <w:rPr>
                <w:rFonts w:ascii="Times New Roman" w:cs="Times New Roman" w:eastAsia="Times New Roman" w:hAnsi="Times New Roman"/>
                <w:sz w:val="16"/>
                <w:szCs w:val="16"/>
                <w:b w:val="1"/>
                <w:bCs w:val="1"/>
                <w:color w:val="0000EE"/>
                <w:w w:val="95"/>
              </w:rPr>
            </w:pPr>
            <w:hyperlink w:anchor="page1">
              <w:r>
                <w:rPr>
                  <w:rFonts w:ascii="Times New Roman" w:cs="Times New Roman" w:eastAsia="Times New Roman" w:hAnsi="Times New Roman"/>
                  <w:sz w:val="16"/>
                  <w:szCs w:val="16"/>
                  <w:b w:val="1"/>
                  <w:bCs w:val="1"/>
                  <w:color w:val="0000EE"/>
                  <w:w w:val="95"/>
                </w:rPr>
                <w:t>Equity Securities</w:t>
              </w:r>
            </w:hyperlink>
          </w:p>
        </w:tc>
        <w:tc>
          <w:tcPr>
            <w:tcW w:w="5220" w:type="dxa"/>
            <w:vAlign w:val="bottom"/>
            <w:tcBorders>
              <w:top w:val="single" w:sz="8" w:color="0000EE"/>
            </w:tcBorders>
            <w:gridSpan w:val="18"/>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80" w:type="dxa"/>
            <w:vAlign w:val="bottom"/>
            <w:tcBorders>
              <w:bottom w:val="single" w:sz="8" w:color="0000EE"/>
            </w:tcBorders>
            <w:gridSpan w:val="2"/>
          </w:tcPr>
          <w:p>
            <w:pPr>
              <w:spacing w:after="0"/>
              <w:rPr>
                <w:rFonts w:ascii="Times New Roman" w:cs="Times New Roman" w:eastAsia="Times New Roman" w:hAnsi="Times New Roman"/>
                <w:sz w:val="16"/>
                <w:szCs w:val="16"/>
                <w:b w:val="1"/>
                <w:bCs w:val="1"/>
                <w:color w:val="0000EE"/>
                <w:w w:val="95"/>
              </w:rPr>
            </w:pPr>
            <w:hyperlink w:anchor="page1">
              <w:r>
                <w:rPr>
                  <w:rFonts w:ascii="Times New Roman" w:cs="Times New Roman" w:eastAsia="Times New Roman" w:hAnsi="Times New Roman"/>
                  <w:sz w:val="16"/>
                  <w:szCs w:val="16"/>
                  <w:b w:val="1"/>
                  <w:bCs w:val="1"/>
                  <w:color w:val="0000EE"/>
                  <w:w w:val="95"/>
                </w:rPr>
                <w:t>ITEM 6.</w:t>
              </w:r>
            </w:hyperlink>
          </w:p>
        </w:tc>
        <w:tc>
          <w:tcPr>
            <w:tcW w:w="200" w:type="dxa"/>
            <w:vAlign w:val="bottom"/>
            <w:gridSpan w:val="4"/>
          </w:tcPr>
          <w:p>
            <w:pPr>
              <w:spacing w:after="0"/>
              <w:rPr>
                <w:sz w:val="16"/>
                <w:szCs w:val="16"/>
                <w:color w:val="auto"/>
              </w:rPr>
            </w:pPr>
          </w:p>
        </w:tc>
        <w:tc>
          <w:tcPr>
            <w:tcW w:w="620" w:type="dxa"/>
            <w:vAlign w:val="bottom"/>
            <w:tcBorders>
              <w:bottom w:val="single" w:sz="8" w:color="0000EE"/>
            </w:tcBorders>
            <w:gridSpan w:val="4"/>
          </w:tcPr>
          <w:p>
            <w:pPr>
              <w:spacing w:after="0"/>
              <w:rPr>
                <w:rFonts w:ascii="Times New Roman" w:cs="Times New Roman" w:eastAsia="Times New Roman" w:hAnsi="Times New Roman"/>
                <w:sz w:val="16"/>
                <w:szCs w:val="16"/>
                <w:b w:val="1"/>
                <w:bCs w:val="1"/>
                <w:color w:val="0000EE"/>
                <w:w w:val="95"/>
              </w:rPr>
            </w:pPr>
            <w:hyperlink w:anchor="page1">
              <w:r>
                <w:rPr>
                  <w:rFonts w:ascii="Times New Roman" w:cs="Times New Roman" w:eastAsia="Times New Roman" w:hAnsi="Times New Roman"/>
                  <w:sz w:val="16"/>
                  <w:szCs w:val="16"/>
                  <w:b w:val="1"/>
                  <w:bCs w:val="1"/>
                  <w:color w:val="0000EE"/>
                  <w:w w:val="95"/>
                </w:rPr>
                <w:t>Reserved</w:t>
              </w:r>
            </w:hyperlink>
          </w:p>
        </w:tc>
        <w:tc>
          <w:tcPr>
            <w:tcW w:w="6100" w:type="dxa"/>
            <w:vAlign w:val="bottom"/>
            <w:gridSpan w:val="23"/>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55</w:t>
            </w:r>
          </w:p>
        </w:tc>
        <w:tc>
          <w:tcPr>
            <w:tcW w:w="0" w:type="dxa"/>
            <w:vAlign w:val="bottom"/>
          </w:tcPr>
          <w:p>
            <w:pPr>
              <w:spacing w:after="0"/>
              <w:rPr>
                <w:sz w:val="1"/>
                <w:szCs w:val="1"/>
                <w:color w:val="auto"/>
              </w:rPr>
            </w:pPr>
          </w:p>
        </w:tc>
      </w:tr>
      <w:tr>
        <w:trPr>
          <w:trHeight w:val="184"/>
        </w:trPr>
        <w:tc>
          <w:tcPr>
            <w:tcW w:w="580" w:type="dxa"/>
            <w:vAlign w:val="bottom"/>
            <w:gridSpan w:val="2"/>
          </w:tcPr>
          <w:p>
            <w:pPr>
              <w:spacing w:after="0"/>
              <w:rPr>
                <w:rFonts w:ascii="Times New Roman" w:cs="Times New Roman" w:eastAsia="Times New Roman" w:hAnsi="Times New Roman"/>
                <w:sz w:val="16"/>
                <w:szCs w:val="16"/>
                <w:b w:val="1"/>
                <w:bCs w:val="1"/>
                <w:color w:val="0000EE"/>
                <w:w w:val="95"/>
              </w:rPr>
            </w:pPr>
            <w:hyperlink w:anchor="page1">
              <w:r>
                <w:rPr>
                  <w:rFonts w:ascii="Times New Roman" w:cs="Times New Roman" w:eastAsia="Times New Roman" w:hAnsi="Times New Roman"/>
                  <w:sz w:val="16"/>
                  <w:szCs w:val="16"/>
                  <w:b w:val="1"/>
                  <w:bCs w:val="1"/>
                  <w:color w:val="0000EE"/>
                  <w:w w:val="95"/>
                </w:rPr>
                <w:t>ITEM 7.</w:t>
              </w:r>
            </w:hyperlink>
          </w:p>
        </w:tc>
        <w:tc>
          <w:tcPr>
            <w:tcW w:w="200" w:type="dxa"/>
            <w:vAlign w:val="bottom"/>
            <w:gridSpan w:val="4"/>
          </w:tcPr>
          <w:p>
            <w:pPr>
              <w:spacing w:after="0"/>
              <w:rPr>
                <w:sz w:val="16"/>
                <w:szCs w:val="16"/>
                <w:color w:val="auto"/>
              </w:rPr>
            </w:pPr>
          </w:p>
        </w:tc>
        <w:tc>
          <w:tcPr>
            <w:tcW w:w="6720" w:type="dxa"/>
            <w:vAlign w:val="bottom"/>
            <w:gridSpan w:val="27"/>
          </w:tcPr>
          <w:p>
            <w:pPr>
              <w:spacing w:after="0"/>
              <w:rPr>
                <w:rFonts w:ascii="Times New Roman" w:cs="Times New Roman" w:eastAsia="Times New Roman" w:hAnsi="Times New Roman"/>
                <w:sz w:val="16"/>
                <w:szCs w:val="16"/>
                <w:b w:val="1"/>
                <w:bCs w:val="1"/>
                <w:color w:val="0000EE"/>
              </w:rPr>
            </w:pPr>
            <w:hyperlink w:anchor="page1">
              <w:r>
                <w:rPr>
                  <w:rFonts w:ascii="Times New Roman" w:cs="Times New Roman" w:eastAsia="Times New Roman" w:hAnsi="Times New Roman"/>
                  <w:sz w:val="16"/>
                  <w:szCs w:val="16"/>
                  <w:b w:val="1"/>
                  <w:bCs w:val="1"/>
                  <w:color w:val="0000EE"/>
                </w:rPr>
                <w:t>Management’s Discussion and Analysis of Financial Condition and Results of Operation</w:t>
              </w:r>
            </w:hyperlink>
            <w:r>
              <w:rPr>
                <w:rFonts w:ascii="Times New Roman" w:cs="Times New Roman" w:eastAsia="Times New Roman" w:hAnsi="Times New Roman"/>
                <w:sz w:val="16"/>
                <w:szCs w:val="16"/>
                <w:b w:val="1"/>
                <w:bCs w:val="1"/>
                <w:color w:val="0000EE"/>
              </w:rPr>
              <w:t>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56</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20" w:type="dxa"/>
            <w:vAlign w:val="bottom"/>
            <w:gridSpan w:val="8"/>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80" w:type="dxa"/>
            <w:vAlign w:val="bottom"/>
            <w:gridSpan w:val="6"/>
          </w:tcPr>
          <w:p>
            <w:pPr>
              <w:spacing w:after="0"/>
              <w:rPr>
                <w:rFonts w:ascii="Times New Roman" w:cs="Times New Roman" w:eastAsia="Times New Roman" w:hAnsi="Times New Roman"/>
                <w:sz w:val="16"/>
                <w:szCs w:val="16"/>
                <w:b w:val="1"/>
                <w:bCs w:val="1"/>
                <w:color w:val="0000EE"/>
              </w:rPr>
            </w:pPr>
            <w:hyperlink w:anchor="page1">
              <w:r>
                <w:rPr>
                  <w:rFonts w:ascii="Times New Roman" w:cs="Times New Roman" w:eastAsia="Times New Roman" w:hAnsi="Times New Roman"/>
                  <w:sz w:val="16"/>
                  <w:szCs w:val="16"/>
                  <w:b w:val="1"/>
                  <w:bCs w:val="1"/>
                  <w:color w:val="0000EE"/>
                </w:rPr>
                <w:t>ITEM 7A</w:t>
              </w:r>
            </w:hyperlink>
            <w:r>
              <w:rPr>
                <w:rFonts w:ascii="Times New Roman" w:cs="Times New Roman" w:eastAsia="Times New Roman" w:hAnsi="Times New Roman"/>
                <w:sz w:val="16"/>
                <w:szCs w:val="16"/>
                <w:b w:val="1"/>
                <w:bCs w:val="1"/>
                <w:color w:val="000000"/>
              </w:rPr>
              <w:t>.</w:t>
            </w:r>
          </w:p>
        </w:tc>
        <w:tc>
          <w:tcPr>
            <w:tcW w:w="6720" w:type="dxa"/>
            <w:vAlign w:val="bottom"/>
            <w:gridSpan w:val="27"/>
          </w:tcPr>
          <w:p>
            <w:pPr>
              <w:spacing w:after="0"/>
              <w:rPr>
                <w:rFonts w:ascii="Times New Roman" w:cs="Times New Roman" w:eastAsia="Times New Roman" w:hAnsi="Times New Roman"/>
                <w:sz w:val="16"/>
                <w:szCs w:val="16"/>
                <w:b w:val="1"/>
                <w:bCs w:val="1"/>
                <w:color w:val="0000EE"/>
              </w:rPr>
            </w:pPr>
            <w:hyperlink w:anchor="page1">
              <w:r>
                <w:rPr>
                  <w:rFonts w:ascii="Times New Roman" w:cs="Times New Roman" w:eastAsia="Times New Roman" w:hAnsi="Times New Roman"/>
                  <w:sz w:val="16"/>
                  <w:szCs w:val="16"/>
                  <w:b w:val="1"/>
                  <w:bCs w:val="1"/>
                  <w:color w:val="0000EE"/>
                </w:rPr>
                <w:t>Quantitative and Qualitative Disclosures About Market Risk</w:t>
              </w:r>
            </w:hyperlink>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81</w:t>
            </w:r>
          </w:p>
        </w:tc>
        <w:tc>
          <w:tcPr>
            <w:tcW w:w="0" w:type="dxa"/>
            <w:vAlign w:val="bottom"/>
          </w:tcPr>
          <w:p>
            <w:pPr>
              <w:spacing w:after="0"/>
              <w:rPr>
                <w:sz w:val="1"/>
                <w:szCs w:val="1"/>
                <w:color w:val="auto"/>
              </w:rPr>
            </w:pPr>
          </w:p>
        </w:tc>
      </w:tr>
      <w:tr>
        <w:trPr>
          <w:trHeight w:val="184"/>
        </w:trPr>
        <w:tc>
          <w:tcPr>
            <w:tcW w:w="580" w:type="dxa"/>
            <w:vAlign w:val="bottom"/>
            <w:tcBorders>
              <w:top w:val="single" w:sz="8" w:color="0000EE"/>
            </w:tcBorders>
            <w:gridSpan w:val="2"/>
          </w:tcPr>
          <w:p>
            <w:pPr>
              <w:spacing w:after="0"/>
              <w:rPr>
                <w:rFonts w:ascii="Times New Roman" w:cs="Times New Roman" w:eastAsia="Times New Roman" w:hAnsi="Times New Roman"/>
                <w:sz w:val="16"/>
                <w:szCs w:val="16"/>
                <w:b w:val="1"/>
                <w:bCs w:val="1"/>
                <w:color w:val="0000EE"/>
                <w:w w:val="95"/>
              </w:rPr>
            </w:pPr>
            <w:hyperlink w:anchor="page1">
              <w:r>
                <w:rPr>
                  <w:rFonts w:ascii="Times New Roman" w:cs="Times New Roman" w:eastAsia="Times New Roman" w:hAnsi="Times New Roman"/>
                  <w:sz w:val="16"/>
                  <w:szCs w:val="16"/>
                  <w:b w:val="1"/>
                  <w:bCs w:val="1"/>
                  <w:color w:val="0000EE"/>
                  <w:w w:val="95"/>
                </w:rPr>
                <w:t>ITEM 8.</w:t>
              </w:r>
            </w:hyperlink>
          </w:p>
        </w:tc>
        <w:tc>
          <w:tcPr>
            <w:tcW w:w="60" w:type="dxa"/>
            <w:vAlign w:val="bottom"/>
            <w:tcBorders>
              <w:top w:val="single" w:sz="8" w:color="0000EE"/>
            </w:tcBorders>
            <w:gridSpan w:val="2"/>
          </w:tcPr>
          <w:p>
            <w:pPr>
              <w:spacing w:after="0"/>
              <w:rPr>
                <w:sz w:val="16"/>
                <w:szCs w:val="16"/>
                <w:color w:val="auto"/>
              </w:rPr>
            </w:pPr>
          </w:p>
        </w:tc>
        <w:tc>
          <w:tcPr>
            <w:tcW w:w="140" w:type="dxa"/>
            <w:vAlign w:val="bottom"/>
            <w:gridSpan w:val="2"/>
          </w:tcPr>
          <w:p>
            <w:pPr>
              <w:spacing w:after="0"/>
              <w:rPr>
                <w:sz w:val="16"/>
                <w:szCs w:val="16"/>
                <w:color w:val="auto"/>
              </w:rPr>
            </w:pPr>
          </w:p>
        </w:tc>
        <w:tc>
          <w:tcPr>
            <w:tcW w:w="4040" w:type="dxa"/>
            <w:vAlign w:val="bottom"/>
            <w:tcBorders>
              <w:top w:val="single" w:sz="8" w:color="0000EE"/>
            </w:tcBorders>
            <w:gridSpan w:val="20"/>
          </w:tcPr>
          <w:p>
            <w:pPr>
              <w:spacing w:after="0"/>
              <w:rPr>
                <w:rFonts w:ascii="Times New Roman" w:cs="Times New Roman" w:eastAsia="Times New Roman" w:hAnsi="Times New Roman"/>
                <w:sz w:val="16"/>
                <w:szCs w:val="16"/>
                <w:b w:val="1"/>
                <w:bCs w:val="1"/>
                <w:color w:val="0000EE"/>
              </w:rPr>
            </w:pPr>
            <w:hyperlink w:anchor="page1">
              <w:r>
                <w:rPr>
                  <w:rFonts w:ascii="Times New Roman" w:cs="Times New Roman" w:eastAsia="Times New Roman" w:hAnsi="Times New Roman"/>
                  <w:sz w:val="16"/>
                  <w:szCs w:val="16"/>
                  <w:b w:val="1"/>
                  <w:bCs w:val="1"/>
                  <w:color w:val="0000EE"/>
                </w:rPr>
                <w:t>Financial Statements and Supplementary Data</w:t>
              </w:r>
            </w:hyperlink>
          </w:p>
        </w:tc>
        <w:tc>
          <w:tcPr>
            <w:tcW w:w="2680" w:type="dxa"/>
            <w:vAlign w:val="bottom"/>
            <w:gridSpan w:val="7"/>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83</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20" w:type="dxa"/>
            <w:vAlign w:val="bottom"/>
            <w:gridSpan w:val="8"/>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80" w:type="dxa"/>
            <w:vAlign w:val="bottom"/>
            <w:tcBorders>
              <w:bottom w:val="single" w:sz="8" w:color="0000EE"/>
            </w:tcBorders>
            <w:gridSpan w:val="2"/>
          </w:tcPr>
          <w:p>
            <w:pPr>
              <w:spacing w:after="0"/>
              <w:rPr>
                <w:rFonts w:ascii="Times New Roman" w:cs="Times New Roman" w:eastAsia="Times New Roman" w:hAnsi="Times New Roman"/>
                <w:sz w:val="16"/>
                <w:szCs w:val="16"/>
                <w:b w:val="1"/>
                <w:bCs w:val="1"/>
                <w:color w:val="0000EE"/>
                <w:w w:val="95"/>
              </w:rPr>
            </w:pPr>
            <w:hyperlink w:anchor="page1">
              <w:r>
                <w:rPr>
                  <w:rFonts w:ascii="Times New Roman" w:cs="Times New Roman" w:eastAsia="Times New Roman" w:hAnsi="Times New Roman"/>
                  <w:sz w:val="16"/>
                  <w:szCs w:val="16"/>
                  <w:b w:val="1"/>
                  <w:bCs w:val="1"/>
                  <w:color w:val="0000EE"/>
                  <w:w w:val="95"/>
                </w:rPr>
                <w:t>ITEM 9.</w:t>
              </w:r>
            </w:hyperlink>
          </w:p>
        </w:tc>
        <w:tc>
          <w:tcPr>
            <w:tcW w:w="200" w:type="dxa"/>
            <w:vAlign w:val="bottom"/>
            <w:gridSpan w:val="4"/>
          </w:tcPr>
          <w:p>
            <w:pPr>
              <w:spacing w:after="0"/>
              <w:rPr>
                <w:sz w:val="16"/>
                <w:szCs w:val="16"/>
                <w:color w:val="auto"/>
              </w:rPr>
            </w:pPr>
          </w:p>
        </w:tc>
        <w:tc>
          <w:tcPr>
            <w:tcW w:w="5940" w:type="dxa"/>
            <w:vAlign w:val="bottom"/>
            <w:tcBorders>
              <w:bottom w:val="single" w:sz="8" w:color="0000EE"/>
            </w:tcBorders>
            <w:gridSpan w:val="24"/>
          </w:tcPr>
          <w:p>
            <w:pPr>
              <w:spacing w:after="0"/>
              <w:rPr>
                <w:rFonts w:ascii="Times New Roman" w:cs="Times New Roman" w:eastAsia="Times New Roman" w:hAnsi="Times New Roman"/>
                <w:sz w:val="16"/>
                <w:szCs w:val="16"/>
                <w:b w:val="1"/>
                <w:bCs w:val="1"/>
                <w:color w:val="0000EE"/>
                <w:w w:val="97"/>
              </w:rPr>
            </w:pPr>
            <w:hyperlink w:anchor="page1">
              <w:r>
                <w:rPr>
                  <w:rFonts w:ascii="Times New Roman" w:cs="Times New Roman" w:eastAsia="Times New Roman" w:hAnsi="Times New Roman"/>
                  <w:sz w:val="16"/>
                  <w:szCs w:val="16"/>
                  <w:b w:val="1"/>
                  <w:bCs w:val="1"/>
                  <w:color w:val="0000EE"/>
                  <w:w w:val="97"/>
                </w:rPr>
                <w:t>Changes in and Disagreements with Accountants on Accounting and Financial Disclosure</w:t>
              </w:r>
            </w:hyperlink>
          </w:p>
        </w:tc>
        <w:tc>
          <w:tcPr>
            <w:tcW w:w="780" w:type="dxa"/>
            <w:vAlign w:val="bottom"/>
            <w:gridSpan w:val="3"/>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160</w:t>
            </w:r>
          </w:p>
        </w:tc>
        <w:tc>
          <w:tcPr>
            <w:tcW w:w="0" w:type="dxa"/>
            <w:vAlign w:val="bottom"/>
          </w:tcPr>
          <w:p>
            <w:pPr>
              <w:spacing w:after="0"/>
              <w:rPr>
                <w:sz w:val="1"/>
                <w:szCs w:val="1"/>
                <w:color w:val="auto"/>
              </w:rPr>
            </w:pPr>
          </w:p>
        </w:tc>
      </w:tr>
      <w:tr>
        <w:trPr>
          <w:trHeight w:val="184"/>
        </w:trPr>
        <w:tc>
          <w:tcPr>
            <w:tcW w:w="700" w:type="dxa"/>
            <w:vAlign w:val="bottom"/>
            <w:gridSpan w:val="5"/>
          </w:tcPr>
          <w:p>
            <w:pPr>
              <w:spacing w:after="0"/>
              <w:rPr>
                <w:rFonts w:ascii="Times New Roman" w:cs="Times New Roman" w:eastAsia="Times New Roman" w:hAnsi="Times New Roman"/>
                <w:sz w:val="16"/>
                <w:szCs w:val="16"/>
                <w:b w:val="1"/>
                <w:bCs w:val="1"/>
                <w:color w:val="0000EE"/>
                <w:w w:val="93"/>
              </w:rPr>
            </w:pPr>
            <w:hyperlink w:anchor="page1">
              <w:r>
                <w:rPr>
                  <w:rFonts w:ascii="Times New Roman" w:cs="Times New Roman" w:eastAsia="Times New Roman" w:hAnsi="Times New Roman"/>
                  <w:sz w:val="16"/>
                  <w:szCs w:val="16"/>
                  <w:b w:val="1"/>
                  <w:bCs w:val="1"/>
                  <w:color w:val="0000EE"/>
                  <w:w w:val="93"/>
                </w:rPr>
                <w:t>ITEM 9A.</w:t>
              </w:r>
            </w:hyperlink>
          </w:p>
        </w:tc>
        <w:tc>
          <w:tcPr>
            <w:tcW w:w="80" w:type="dxa"/>
            <w:vAlign w:val="bottom"/>
          </w:tcPr>
          <w:p>
            <w:pPr>
              <w:spacing w:after="0"/>
              <w:rPr>
                <w:sz w:val="16"/>
                <w:szCs w:val="16"/>
                <w:color w:val="auto"/>
              </w:rPr>
            </w:pPr>
          </w:p>
        </w:tc>
        <w:tc>
          <w:tcPr>
            <w:tcW w:w="6720" w:type="dxa"/>
            <w:vAlign w:val="bottom"/>
            <w:gridSpan w:val="27"/>
          </w:tcPr>
          <w:p>
            <w:pPr>
              <w:spacing w:after="0"/>
              <w:rPr>
                <w:rFonts w:ascii="Times New Roman" w:cs="Times New Roman" w:eastAsia="Times New Roman" w:hAnsi="Times New Roman"/>
                <w:sz w:val="16"/>
                <w:szCs w:val="16"/>
                <w:b w:val="1"/>
                <w:bCs w:val="1"/>
                <w:color w:val="0000EE"/>
              </w:rPr>
            </w:pPr>
            <w:hyperlink w:anchor="page1">
              <w:r>
                <w:rPr>
                  <w:rFonts w:ascii="Times New Roman" w:cs="Times New Roman" w:eastAsia="Times New Roman" w:hAnsi="Times New Roman"/>
                  <w:sz w:val="16"/>
                  <w:szCs w:val="16"/>
                  <w:b w:val="1"/>
                  <w:bCs w:val="1"/>
                  <w:color w:val="0000EE"/>
                </w:rPr>
                <w:t>Controls and Procedures</w:t>
              </w:r>
            </w:hyperlink>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160</w:t>
            </w:r>
          </w:p>
        </w:tc>
        <w:tc>
          <w:tcPr>
            <w:tcW w:w="0" w:type="dxa"/>
            <w:vAlign w:val="bottom"/>
          </w:tcPr>
          <w:p>
            <w:pPr>
              <w:spacing w:after="0"/>
              <w:rPr>
                <w:sz w:val="1"/>
                <w:szCs w:val="1"/>
                <w:color w:val="auto"/>
              </w:rPr>
            </w:pPr>
          </w:p>
        </w:tc>
      </w:tr>
      <w:tr>
        <w:trPr>
          <w:trHeight w:val="184"/>
        </w:trPr>
        <w:tc>
          <w:tcPr>
            <w:tcW w:w="700" w:type="dxa"/>
            <w:vAlign w:val="bottom"/>
            <w:tcBorders>
              <w:top w:val="single" w:sz="8" w:color="0000EE"/>
            </w:tcBorders>
            <w:gridSpan w:val="5"/>
          </w:tcPr>
          <w:p>
            <w:pPr>
              <w:spacing w:after="0"/>
              <w:rPr>
                <w:rFonts w:ascii="Times New Roman" w:cs="Times New Roman" w:eastAsia="Times New Roman" w:hAnsi="Times New Roman"/>
                <w:sz w:val="16"/>
                <w:szCs w:val="16"/>
                <w:b w:val="1"/>
                <w:bCs w:val="1"/>
                <w:color w:val="0000EE"/>
                <w:w w:val="95"/>
              </w:rPr>
            </w:pPr>
            <w:hyperlink w:anchor="page1">
              <w:r>
                <w:rPr>
                  <w:rFonts w:ascii="Times New Roman" w:cs="Times New Roman" w:eastAsia="Times New Roman" w:hAnsi="Times New Roman"/>
                  <w:sz w:val="16"/>
                  <w:szCs w:val="16"/>
                  <w:b w:val="1"/>
                  <w:bCs w:val="1"/>
                  <w:color w:val="0000EE"/>
                  <w:w w:val="95"/>
                </w:rPr>
                <w:t>ITEM 9B.</w:t>
              </w:r>
            </w:hyperlink>
          </w:p>
        </w:tc>
        <w:tc>
          <w:tcPr>
            <w:tcW w:w="80" w:type="dxa"/>
            <w:vAlign w:val="bottom"/>
          </w:tcPr>
          <w:p>
            <w:pPr>
              <w:spacing w:after="0"/>
              <w:rPr>
                <w:sz w:val="16"/>
                <w:szCs w:val="16"/>
                <w:color w:val="auto"/>
              </w:rPr>
            </w:pPr>
          </w:p>
        </w:tc>
        <w:tc>
          <w:tcPr>
            <w:tcW w:w="1660" w:type="dxa"/>
            <w:vAlign w:val="bottom"/>
            <w:tcBorders>
              <w:top w:val="single" w:sz="8" w:color="0000EE"/>
            </w:tcBorders>
            <w:gridSpan w:val="14"/>
          </w:tcPr>
          <w:p>
            <w:pPr>
              <w:spacing w:after="0"/>
              <w:rPr>
                <w:rFonts w:ascii="Times New Roman" w:cs="Times New Roman" w:eastAsia="Times New Roman" w:hAnsi="Times New Roman"/>
                <w:sz w:val="16"/>
                <w:szCs w:val="16"/>
                <w:b w:val="1"/>
                <w:bCs w:val="1"/>
                <w:color w:val="0000EE"/>
              </w:rPr>
            </w:pPr>
            <w:hyperlink w:anchor="page1">
              <w:r>
                <w:rPr>
                  <w:rFonts w:ascii="Times New Roman" w:cs="Times New Roman" w:eastAsia="Times New Roman" w:hAnsi="Times New Roman"/>
                  <w:sz w:val="16"/>
                  <w:szCs w:val="16"/>
                  <w:b w:val="1"/>
                  <w:bCs w:val="1"/>
                  <w:color w:val="0000EE"/>
                </w:rPr>
                <w:t>Other Information</w:t>
              </w:r>
            </w:hyperlink>
          </w:p>
        </w:tc>
        <w:tc>
          <w:tcPr>
            <w:tcW w:w="5060" w:type="dxa"/>
            <w:vAlign w:val="bottom"/>
            <w:gridSpan w:val="13"/>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161</w:t>
            </w:r>
          </w:p>
        </w:tc>
        <w:tc>
          <w:tcPr>
            <w:tcW w:w="0" w:type="dxa"/>
            <w:vAlign w:val="bottom"/>
          </w:tcPr>
          <w:p>
            <w:pPr>
              <w:spacing w:after="0"/>
              <w:rPr>
                <w:sz w:val="1"/>
                <w:szCs w:val="1"/>
                <w:color w:val="auto"/>
              </w:rPr>
            </w:pPr>
          </w:p>
        </w:tc>
      </w:tr>
      <w:tr>
        <w:trPr>
          <w:trHeight w:val="20"/>
        </w:trPr>
        <w:tc>
          <w:tcPr>
            <w:tcW w:w="640" w:type="dxa"/>
            <w:vAlign w:val="bottom"/>
            <w:gridSpan w:val="4"/>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20" w:type="dxa"/>
            <w:vAlign w:val="bottom"/>
            <w:gridSpan w:val="8"/>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00" w:type="dxa"/>
            <w:vAlign w:val="bottom"/>
            <w:gridSpan w:val="5"/>
          </w:tcPr>
          <w:p>
            <w:pPr>
              <w:spacing w:after="0"/>
              <w:rPr>
                <w:rFonts w:ascii="Times New Roman" w:cs="Times New Roman" w:eastAsia="Times New Roman" w:hAnsi="Times New Roman"/>
                <w:sz w:val="16"/>
                <w:szCs w:val="16"/>
                <w:b w:val="1"/>
                <w:bCs w:val="1"/>
                <w:color w:val="0000EE"/>
                <w:w w:val="93"/>
              </w:rPr>
            </w:pPr>
            <w:hyperlink w:anchor="page1">
              <w:r>
                <w:rPr>
                  <w:rFonts w:ascii="Times New Roman" w:cs="Times New Roman" w:eastAsia="Times New Roman" w:hAnsi="Times New Roman"/>
                  <w:sz w:val="16"/>
                  <w:szCs w:val="16"/>
                  <w:b w:val="1"/>
                  <w:bCs w:val="1"/>
                  <w:color w:val="0000EE"/>
                  <w:w w:val="93"/>
                </w:rPr>
                <w:t>ITEM 9C.</w:t>
              </w:r>
            </w:hyperlink>
          </w:p>
        </w:tc>
        <w:tc>
          <w:tcPr>
            <w:tcW w:w="80" w:type="dxa"/>
            <w:vAlign w:val="bottom"/>
          </w:tcPr>
          <w:p>
            <w:pPr>
              <w:spacing w:after="0"/>
              <w:rPr>
                <w:sz w:val="16"/>
                <w:szCs w:val="16"/>
                <w:color w:val="auto"/>
              </w:rPr>
            </w:pPr>
          </w:p>
        </w:tc>
        <w:tc>
          <w:tcPr>
            <w:tcW w:w="6720" w:type="dxa"/>
            <w:vAlign w:val="bottom"/>
            <w:gridSpan w:val="27"/>
          </w:tcPr>
          <w:p>
            <w:pPr>
              <w:spacing w:after="0"/>
              <w:rPr>
                <w:rFonts w:ascii="Times New Roman" w:cs="Times New Roman" w:eastAsia="Times New Roman" w:hAnsi="Times New Roman"/>
                <w:sz w:val="16"/>
                <w:szCs w:val="16"/>
                <w:b w:val="1"/>
                <w:bCs w:val="1"/>
                <w:color w:val="0000EE"/>
              </w:rPr>
            </w:pPr>
            <w:hyperlink w:anchor="page1">
              <w:r>
                <w:rPr>
                  <w:rFonts w:ascii="Times New Roman" w:cs="Times New Roman" w:eastAsia="Times New Roman" w:hAnsi="Times New Roman"/>
                  <w:sz w:val="16"/>
                  <w:szCs w:val="16"/>
                  <w:b w:val="1"/>
                  <w:bCs w:val="1"/>
                  <w:color w:val="0000EE"/>
                </w:rPr>
                <w:t>Disclosure Regarding Foreign Jurisdictions That Prevent Inspections</w:t>
              </w:r>
            </w:hyperlink>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161</w:t>
            </w:r>
          </w:p>
        </w:tc>
        <w:tc>
          <w:tcPr>
            <w:tcW w:w="0" w:type="dxa"/>
            <w:vAlign w:val="bottom"/>
          </w:tcPr>
          <w:p>
            <w:pPr>
              <w:spacing w:after="0"/>
              <w:rPr>
                <w:sz w:val="1"/>
                <w:szCs w:val="1"/>
                <w:color w:val="auto"/>
              </w:rPr>
            </w:pPr>
          </w:p>
        </w:tc>
      </w:tr>
      <w:tr>
        <w:trPr>
          <w:trHeight w:val="184"/>
        </w:trPr>
        <w:tc>
          <w:tcPr>
            <w:tcW w:w="70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6"/>
                <w:szCs w:val="16"/>
                <w:b w:val="1"/>
                <w:bCs w:val="1"/>
                <w:color w:val="0000EE"/>
                <w:w w:val="93"/>
              </w:rPr>
            </w:pPr>
            <w:hyperlink w:anchor="page1">
              <w:r>
                <w:rPr>
                  <w:rFonts w:ascii="Times New Roman" w:cs="Times New Roman" w:eastAsia="Times New Roman" w:hAnsi="Times New Roman"/>
                  <w:sz w:val="16"/>
                  <w:szCs w:val="16"/>
                  <w:b w:val="1"/>
                  <w:bCs w:val="1"/>
                  <w:color w:val="0000EE"/>
                  <w:w w:val="93"/>
                </w:rPr>
                <w:t>PART III.</w:t>
              </w:r>
            </w:hyperlink>
          </w:p>
        </w:tc>
        <w:tc>
          <w:tcPr>
            <w:tcW w:w="80" w:type="dxa"/>
            <w:vAlign w:val="bottom"/>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74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68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162</w:t>
            </w:r>
          </w:p>
        </w:tc>
        <w:tc>
          <w:tcPr>
            <w:tcW w:w="0" w:type="dxa"/>
            <w:vAlign w:val="bottom"/>
          </w:tcPr>
          <w:p>
            <w:pPr>
              <w:spacing w:after="0"/>
              <w:rPr>
                <w:sz w:val="1"/>
                <w:szCs w:val="1"/>
                <w:color w:val="auto"/>
              </w:rPr>
            </w:pPr>
          </w:p>
        </w:tc>
      </w:tr>
      <w:tr>
        <w:trPr>
          <w:trHeight w:val="184"/>
        </w:trPr>
        <w:tc>
          <w:tcPr>
            <w:tcW w:w="780" w:type="dxa"/>
            <w:vAlign w:val="bottom"/>
            <w:gridSpan w:val="6"/>
          </w:tcPr>
          <w:p>
            <w:pPr>
              <w:spacing w:after="0"/>
              <w:rPr>
                <w:rFonts w:ascii="Times New Roman" w:cs="Times New Roman" w:eastAsia="Times New Roman" w:hAnsi="Times New Roman"/>
                <w:sz w:val="16"/>
                <w:szCs w:val="16"/>
                <w:b w:val="1"/>
                <w:bCs w:val="1"/>
                <w:color w:val="0000EE"/>
              </w:rPr>
            </w:pPr>
            <w:hyperlink w:anchor="page1">
              <w:r>
                <w:rPr>
                  <w:rFonts w:ascii="Times New Roman" w:cs="Times New Roman" w:eastAsia="Times New Roman" w:hAnsi="Times New Roman"/>
                  <w:sz w:val="16"/>
                  <w:szCs w:val="16"/>
                  <w:b w:val="1"/>
                  <w:bCs w:val="1"/>
                  <w:color w:val="0000EE"/>
                </w:rPr>
                <w:t>ITEM 10.</w:t>
              </w:r>
            </w:hyperlink>
          </w:p>
        </w:tc>
        <w:tc>
          <w:tcPr>
            <w:tcW w:w="6720" w:type="dxa"/>
            <w:vAlign w:val="bottom"/>
            <w:gridSpan w:val="27"/>
          </w:tcPr>
          <w:p>
            <w:pPr>
              <w:spacing w:after="0"/>
              <w:rPr>
                <w:rFonts w:ascii="Times New Roman" w:cs="Times New Roman" w:eastAsia="Times New Roman" w:hAnsi="Times New Roman"/>
                <w:sz w:val="16"/>
                <w:szCs w:val="16"/>
                <w:b w:val="1"/>
                <w:bCs w:val="1"/>
                <w:color w:val="0000EE"/>
              </w:rPr>
            </w:pPr>
            <w:hyperlink w:anchor="page1">
              <w:r>
                <w:rPr>
                  <w:rFonts w:ascii="Times New Roman" w:cs="Times New Roman" w:eastAsia="Times New Roman" w:hAnsi="Times New Roman"/>
                  <w:sz w:val="16"/>
                  <w:szCs w:val="16"/>
                  <w:b w:val="1"/>
                  <w:bCs w:val="1"/>
                  <w:color w:val="0000EE"/>
                </w:rPr>
                <w:t>Directors, Executive Officers and Corporate Governance</w:t>
              </w:r>
            </w:hyperlink>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162</w:t>
            </w:r>
          </w:p>
        </w:tc>
        <w:tc>
          <w:tcPr>
            <w:tcW w:w="0" w:type="dxa"/>
            <w:vAlign w:val="bottom"/>
          </w:tcPr>
          <w:p>
            <w:pPr>
              <w:spacing w:after="0"/>
              <w:rPr>
                <w:sz w:val="1"/>
                <w:szCs w:val="1"/>
                <w:color w:val="auto"/>
              </w:rPr>
            </w:pPr>
          </w:p>
        </w:tc>
      </w:tr>
      <w:tr>
        <w:trPr>
          <w:trHeight w:val="20"/>
        </w:trPr>
        <w:tc>
          <w:tcPr>
            <w:tcW w:w="64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9"/>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80" w:type="dxa"/>
            <w:vAlign w:val="bottom"/>
            <w:gridSpan w:val="6"/>
          </w:tcPr>
          <w:p>
            <w:pPr>
              <w:spacing w:after="0"/>
              <w:rPr>
                <w:rFonts w:ascii="Times New Roman" w:cs="Times New Roman" w:eastAsia="Times New Roman" w:hAnsi="Times New Roman"/>
                <w:sz w:val="16"/>
                <w:szCs w:val="16"/>
                <w:b w:val="1"/>
                <w:bCs w:val="1"/>
                <w:color w:val="0000EE"/>
              </w:rPr>
            </w:pPr>
            <w:hyperlink w:anchor="page1">
              <w:r>
                <w:rPr>
                  <w:rFonts w:ascii="Times New Roman" w:cs="Times New Roman" w:eastAsia="Times New Roman" w:hAnsi="Times New Roman"/>
                  <w:sz w:val="16"/>
                  <w:szCs w:val="16"/>
                  <w:b w:val="1"/>
                  <w:bCs w:val="1"/>
                  <w:color w:val="0000EE"/>
                </w:rPr>
                <w:t>ITEM 11.</w:t>
              </w:r>
            </w:hyperlink>
          </w:p>
        </w:tc>
        <w:tc>
          <w:tcPr>
            <w:tcW w:w="6720" w:type="dxa"/>
            <w:vAlign w:val="bottom"/>
            <w:gridSpan w:val="27"/>
          </w:tcPr>
          <w:p>
            <w:pPr>
              <w:spacing w:after="0"/>
              <w:rPr>
                <w:rFonts w:ascii="Times New Roman" w:cs="Times New Roman" w:eastAsia="Times New Roman" w:hAnsi="Times New Roman"/>
                <w:sz w:val="16"/>
                <w:szCs w:val="16"/>
                <w:b w:val="1"/>
                <w:bCs w:val="1"/>
                <w:color w:val="0000EE"/>
              </w:rPr>
            </w:pPr>
            <w:hyperlink w:anchor="page1">
              <w:r>
                <w:rPr>
                  <w:rFonts w:ascii="Times New Roman" w:cs="Times New Roman" w:eastAsia="Times New Roman" w:hAnsi="Times New Roman"/>
                  <w:sz w:val="16"/>
                  <w:szCs w:val="16"/>
                  <w:b w:val="1"/>
                  <w:bCs w:val="1"/>
                  <w:color w:val="0000EE"/>
                </w:rPr>
                <w:t>Executive Compensation</w:t>
              </w:r>
            </w:hyperlink>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162</w:t>
            </w:r>
          </w:p>
        </w:tc>
        <w:tc>
          <w:tcPr>
            <w:tcW w:w="0" w:type="dxa"/>
            <w:vAlign w:val="bottom"/>
          </w:tcPr>
          <w:p>
            <w:pPr>
              <w:spacing w:after="0"/>
              <w:rPr>
                <w:sz w:val="1"/>
                <w:szCs w:val="1"/>
                <w:color w:val="auto"/>
              </w:rPr>
            </w:pPr>
          </w:p>
        </w:tc>
      </w:tr>
      <w:tr>
        <w:trPr>
          <w:trHeight w:val="20"/>
        </w:trPr>
        <w:tc>
          <w:tcPr>
            <w:tcW w:w="64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9"/>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80" w:type="dxa"/>
            <w:vAlign w:val="bottom"/>
            <w:gridSpan w:val="6"/>
          </w:tcPr>
          <w:p>
            <w:pPr>
              <w:spacing w:after="0"/>
              <w:rPr>
                <w:rFonts w:ascii="Times New Roman" w:cs="Times New Roman" w:eastAsia="Times New Roman" w:hAnsi="Times New Roman"/>
                <w:sz w:val="16"/>
                <w:szCs w:val="16"/>
                <w:b w:val="1"/>
                <w:bCs w:val="1"/>
                <w:color w:val="0000EE"/>
              </w:rPr>
            </w:pPr>
            <w:hyperlink w:anchor="page1">
              <w:r>
                <w:rPr>
                  <w:rFonts w:ascii="Times New Roman" w:cs="Times New Roman" w:eastAsia="Times New Roman" w:hAnsi="Times New Roman"/>
                  <w:sz w:val="16"/>
                  <w:szCs w:val="16"/>
                  <w:b w:val="1"/>
                  <w:bCs w:val="1"/>
                  <w:color w:val="0000EE"/>
                </w:rPr>
                <w:t>ITEM 12.</w:t>
              </w:r>
            </w:hyperlink>
          </w:p>
        </w:tc>
        <w:tc>
          <w:tcPr>
            <w:tcW w:w="6720" w:type="dxa"/>
            <w:vAlign w:val="bottom"/>
            <w:gridSpan w:val="27"/>
          </w:tcPr>
          <w:p>
            <w:pPr>
              <w:spacing w:after="0"/>
              <w:rPr>
                <w:rFonts w:ascii="Times New Roman" w:cs="Times New Roman" w:eastAsia="Times New Roman" w:hAnsi="Times New Roman"/>
                <w:sz w:val="16"/>
                <w:szCs w:val="16"/>
                <w:b w:val="1"/>
                <w:bCs w:val="1"/>
                <w:color w:val="0000EE"/>
              </w:rPr>
            </w:pPr>
            <w:hyperlink w:anchor="page1">
              <w:r>
                <w:rPr>
                  <w:rFonts w:ascii="Times New Roman" w:cs="Times New Roman" w:eastAsia="Times New Roman" w:hAnsi="Times New Roman"/>
                  <w:sz w:val="16"/>
                  <w:szCs w:val="16"/>
                  <w:b w:val="1"/>
                  <w:bCs w:val="1"/>
                  <w:color w:val="0000EE"/>
                </w:rPr>
                <w:t>Security Ownership of Certain Beneficial Owners and Management and Related Stockholder</w:t>
              </w:r>
            </w:hyperlink>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162</w:t>
            </w:r>
          </w:p>
        </w:tc>
        <w:tc>
          <w:tcPr>
            <w:tcW w:w="0" w:type="dxa"/>
            <w:vAlign w:val="bottom"/>
          </w:tcPr>
          <w:p>
            <w:pPr>
              <w:spacing w:after="0"/>
              <w:rPr>
                <w:sz w:val="1"/>
                <w:szCs w:val="1"/>
                <w:color w:val="auto"/>
              </w:rPr>
            </w:pPr>
          </w:p>
        </w:tc>
      </w:tr>
      <w:tr>
        <w:trPr>
          <w:trHeight w:val="160"/>
        </w:trPr>
        <w:tc>
          <w:tcPr>
            <w:tcW w:w="56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0" w:type="dxa"/>
            <w:vAlign w:val="bottom"/>
            <w:tcBorders>
              <w:top w:val="single" w:sz="8" w:color="0000EE"/>
            </w:tcBorders>
            <w:gridSpan w:val="25"/>
          </w:tcPr>
          <w:p>
            <w:pPr>
              <w:spacing w:after="0" w:line="160" w:lineRule="exact"/>
              <w:rPr>
                <w:rFonts w:ascii="Times New Roman" w:cs="Times New Roman" w:eastAsia="Times New Roman" w:hAnsi="Times New Roman"/>
                <w:sz w:val="16"/>
                <w:szCs w:val="16"/>
                <w:b w:val="1"/>
                <w:bCs w:val="1"/>
                <w:color w:val="0000EE"/>
              </w:rPr>
            </w:pPr>
            <w:hyperlink w:anchor="page1">
              <w:r>
                <w:rPr>
                  <w:rFonts w:ascii="Times New Roman" w:cs="Times New Roman" w:eastAsia="Times New Roman" w:hAnsi="Times New Roman"/>
                  <w:sz w:val="16"/>
                  <w:szCs w:val="16"/>
                  <w:b w:val="1"/>
                  <w:bCs w:val="1"/>
                  <w:color w:val="0000EE"/>
                </w:rPr>
                <w:t>Matters</w:t>
              </w:r>
            </w:hyperlink>
          </w:p>
        </w:tc>
        <w:tc>
          <w:tcPr>
            <w:tcW w:w="520" w:type="dxa"/>
            <w:vAlign w:val="bottom"/>
            <w:gridSpan w:val="2"/>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9"/>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168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80" w:type="dxa"/>
            <w:vAlign w:val="bottom"/>
            <w:gridSpan w:val="6"/>
          </w:tcPr>
          <w:p>
            <w:pPr>
              <w:spacing w:after="0"/>
              <w:rPr>
                <w:rFonts w:ascii="Times New Roman" w:cs="Times New Roman" w:eastAsia="Times New Roman" w:hAnsi="Times New Roman"/>
                <w:sz w:val="16"/>
                <w:szCs w:val="16"/>
                <w:b w:val="1"/>
                <w:bCs w:val="1"/>
                <w:color w:val="0000EE"/>
              </w:rPr>
            </w:pPr>
            <w:hyperlink w:anchor="page1">
              <w:r>
                <w:rPr>
                  <w:rFonts w:ascii="Times New Roman" w:cs="Times New Roman" w:eastAsia="Times New Roman" w:hAnsi="Times New Roman"/>
                  <w:sz w:val="16"/>
                  <w:szCs w:val="16"/>
                  <w:b w:val="1"/>
                  <w:bCs w:val="1"/>
                  <w:color w:val="0000EE"/>
                </w:rPr>
                <w:t>ITEM 13.</w:t>
              </w:r>
            </w:hyperlink>
          </w:p>
        </w:tc>
        <w:tc>
          <w:tcPr>
            <w:tcW w:w="6720" w:type="dxa"/>
            <w:vAlign w:val="bottom"/>
            <w:gridSpan w:val="27"/>
          </w:tcPr>
          <w:p>
            <w:pPr>
              <w:spacing w:after="0"/>
              <w:rPr>
                <w:rFonts w:ascii="Times New Roman" w:cs="Times New Roman" w:eastAsia="Times New Roman" w:hAnsi="Times New Roman"/>
                <w:sz w:val="16"/>
                <w:szCs w:val="16"/>
                <w:b w:val="1"/>
                <w:bCs w:val="1"/>
                <w:color w:val="0000EE"/>
              </w:rPr>
            </w:pPr>
            <w:hyperlink w:anchor="page1">
              <w:r>
                <w:rPr>
                  <w:rFonts w:ascii="Times New Roman" w:cs="Times New Roman" w:eastAsia="Times New Roman" w:hAnsi="Times New Roman"/>
                  <w:sz w:val="16"/>
                  <w:szCs w:val="16"/>
                  <w:b w:val="1"/>
                  <w:bCs w:val="1"/>
                  <w:color w:val="0000EE"/>
                </w:rPr>
                <w:t>Certain Relationships and Related Transactions and Director Independence</w:t>
              </w:r>
            </w:hyperlink>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162</w:t>
            </w:r>
          </w:p>
        </w:tc>
        <w:tc>
          <w:tcPr>
            <w:tcW w:w="0" w:type="dxa"/>
            <w:vAlign w:val="bottom"/>
          </w:tcPr>
          <w:p>
            <w:pPr>
              <w:spacing w:after="0"/>
              <w:rPr>
                <w:sz w:val="1"/>
                <w:szCs w:val="1"/>
                <w:color w:val="auto"/>
              </w:rPr>
            </w:pPr>
          </w:p>
        </w:tc>
      </w:tr>
      <w:tr>
        <w:trPr>
          <w:trHeight w:val="20"/>
        </w:trPr>
        <w:tc>
          <w:tcPr>
            <w:tcW w:w="64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20" w:type="dxa"/>
            <w:vAlign w:val="bottom"/>
            <w:gridSpan w:val="10"/>
            <w:shd w:val="clear" w:color="auto" w:fill="0000EE"/>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140" w:type="dxa"/>
            <w:vAlign w:val="bottom"/>
            <w:gridSpan w:val="5"/>
            <w:shd w:val="clear" w:color="auto" w:fill="0000EE"/>
          </w:tcPr>
          <w:p>
            <w:pPr>
              <w:spacing w:after="0" w:line="20" w:lineRule="exact"/>
              <w:rPr>
                <w:sz w:val="1"/>
                <w:szCs w:val="1"/>
                <w:color w:val="auto"/>
              </w:rPr>
            </w:pPr>
          </w:p>
        </w:tc>
        <w:tc>
          <w:tcPr>
            <w:tcW w:w="168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80" w:type="dxa"/>
            <w:vAlign w:val="bottom"/>
            <w:gridSpan w:val="6"/>
          </w:tcPr>
          <w:p>
            <w:pPr>
              <w:spacing w:after="0"/>
              <w:rPr>
                <w:rFonts w:ascii="Times New Roman" w:cs="Times New Roman" w:eastAsia="Times New Roman" w:hAnsi="Times New Roman"/>
                <w:sz w:val="16"/>
                <w:szCs w:val="16"/>
                <w:b w:val="1"/>
                <w:bCs w:val="1"/>
                <w:color w:val="0000EE"/>
              </w:rPr>
            </w:pPr>
            <w:hyperlink w:anchor="page1">
              <w:r>
                <w:rPr>
                  <w:rFonts w:ascii="Times New Roman" w:cs="Times New Roman" w:eastAsia="Times New Roman" w:hAnsi="Times New Roman"/>
                  <w:sz w:val="16"/>
                  <w:szCs w:val="16"/>
                  <w:b w:val="1"/>
                  <w:bCs w:val="1"/>
                  <w:color w:val="0000EE"/>
                </w:rPr>
                <w:t>ITEM 14.</w:t>
              </w:r>
            </w:hyperlink>
          </w:p>
        </w:tc>
        <w:tc>
          <w:tcPr>
            <w:tcW w:w="6720" w:type="dxa"/>
            <w:vAlign w:val="bottom"/>
            <w:gridSpan w:val="27"/>
          </w:tcPr>
          <w:p>
            <w:pPr>
              <w:spacing w:after="0"/>
              <w:rPr>
                <w:rFonts w:ascii="Times New Roman" w:cs="Times New Roman" w:eastAsia="Times New Roman" w:hAnsi="Times New Roman"/>
                <w:sz w:val="16"/>
                <w:szCs w:val="16"/>
                <w:b w:val="1"/>
                <w:bCs w:val="1"/>
                <w:color w:val="0000EE"/>
              </w:rPr>
            </w:pPr>
            <w:hyperlink w:anchor="page1">
              <w:r>
                <w:rPr>
                  <w:rFonts w:ascii="Times New Roman" w:cs="Times New Roman" w:eastAsia="Times New Roman" w:hAnsi="Times New Roman"/>
                  <w:sz w:val="16"/>
                  <w:szCs w:val="16"/>
                  <w:b w:val="1"/>
                  <w:bCs w:val="1"/>
                  <w:color w:val="0000EE"/>
                </w:rPr>
                <w:t>Principal Accounting Fees and Services</w:t>
              </w:r>
            </w:hyperlink>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162</w:t>
            </w:r>
          </w:p>
        </w:tc>
        <w:tc>
          <w:tcPr>
            <w:tcW w:w="0" w:type="dxa"/>
            <w:vAlign w:val="bottom"/>
          </w:tcPr>
          <w:p>
            <w:pPr>
              <w:spacing w:after="0"/>
              <w:rPr>
                <w:sz w:val="1"/>
                <w:szCs w:val="1"/>
                <w:color w:val="auto"/>
              </w:rPr>
            </w:pPr>
          </w:p>
        </w:tc>
      </w:tr>
      <w:tr>
        <w:trPr>
          <w:trHeight w:val="20"/>
        </w:trPr>
        <w:tc>
          <w:tcPr>
            <w:tcW w:w="64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00" w:type="dxa"/>
            <w:vAlign w:val="bottom"/>
            <w:tcBorders>
              <w:bottom w:val="single" w:sz="8" w:color="0000EE"/>
            </w:tcBorders>
            <w:gridSpan w:val="5"/>
          </w:tcPr>
          <w:p>
            <w:pPr>
              <w:spacing w:after="0"/>
              <w:rPr>
                <w:rFonts w:ascii="Times New Roman" w:cs="Times New Roman" w:eastAsia="Times New Roman" w:hAnsi="Times New Roman"/>
                <w:sz w:val="16"/>
                <w:szCs w:val="16"/>
                <w:b w:val="1"/>
                <w:bCs w:val="1"/>
                <w:color w:val="0000EE"/>
                <w:w w:val="95"/>
              </w:rPr>
            </w:pPr>
            <w:hyperlink w:anchor="page1">
              <w:r>
                <w:rPr>
                  <w:rFonts w:ascii="Times New Roman" w:cs="Times New Roman" w:eastAsia="Times New Roman" w:hAnsi="Times New Roman"/>
                  <w:sz w:val="16"/>
                  <w:szCs w:val="16"/>
                  <w:b w:val="1"/>
                  <w:bCs w:val="1"/>
                  <w:color w:val="0000EE"/>
                  <w:w w:val="95"/>
                </w:rPr>
                <w:t>PART IV.</w:t>
              </w:r>
            </w:hyperlink>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163</w:t>
            </w:r>
          </w:p>
        </w:tc>
        <w:tc>
          <w:tcPr>
            <w:tcW w:w="0" w:type="dxa"/>
            <w:vAlign w:val="bottom"/>
          </w:tcPr>
          <w:p>
            <w:pPr>
              <w:spacing w:after="0"/>
              <w:rPr>
                <w:sz w:val="1"/>
                <w:szCs w:val="1"/>
                <w:color w:val="auto"/>
              </w:rPr>
            </w:pPr>
          </w:p>
        </w:tc>
      </w:tr>
      <w:tr>
        <w:trPr>
          <w:trHeight w:val="184"/>
        </w:trPr>
        <w:tc>
          <w:tcPr>
            <w:tcW w:w="780" w:type="dxa"/>
            <w:vAlign w:val="bottom"/>
            <w:gridSpan w:val="6"/>
          </w:tcPr>
          <w:p>
            <w:pPr>
              <w:spacing w:after="0"/>
              <w:rPr>
                <w:rFonts w:ascii="Times New Roman" w:cs="Times New Roman" w:eastAsia="Times New Roman" w:hAnsi="Times New Roman"/>
                <w:sz w:val="16"/>
                <w:szCs w:val="16"/>
                <w:b w:val="1"/>
                <w:bCs w:val="1"/>
                <w:color w:val="0000EE"/>
              </w:rPr>
            </w:pPr>
            <w:hyperlink w:anchor="page1">
              <w:r>
                <w:rPr>
                  <w:rFonts w:ascii="Times New Roman" w:cs="Times New Roman" w:eastAsia="Times New Roman" w:hAnsi="Times New Roman"/>
                  <w:sz w:val="16"/>
                  <w:szCs w:val="16"/>
                  <w:b w:val="1"/>
                  <w:bCs w:val="1"/>
                  <w:color w:val="0000EE"/>
                </w:rPr>
                <w:t>ITEM 15.</w:t>
              </w:r>
            </w:hyperlink>
          </w:p>
        </w:tc>
        <w:tc>
          <w:tcPr>
            <w:tcW w:w="6720" w:type="dxa"/>
            <w:vAlign w:val="bottom"/>
            <w:gridSpan w:val="27"/>
          </w:tcPr>
          <w:p>
            <w:pPr>
              <w:spacing w:after="0"/>
              <w:rPr>
                <w:rFonts w:ascii="Times New Roman" w:cs="Times New Roman" w:eastAsia="Times New Roman" w:hAnsi="Times New Roman"/>
                <w:sz w:val="16"/>
                <w:szCs w:val="16"/>
                <w:b w:val="1"/>
                <w:bCs w:val="1"/>
                <w:color w:val="0000EE"/>
              </w:rPr>
            </w:pPr>
            <w:hyperlink w:anchor="page1">
              <w:r>
                <w:rPr>
                  <w:rFonts w:ascii="Times New Roman" w:cs="Times New Roman" w:eastAsia="Times New Roman" w:hAnsi="Times New Roman"/>
                  <w:sz w:val="16"/>
                  <w:szCs w:val="16"/>
                  <w:b w:val="1"/>
                  <w:bCs w:val="1"/>
                  <w:color w:val="0000EE"/>
                </w:rPr>
                <w:t>Exhibits and Financial Statement Schedules</w:t>
              </w:r>
            </w:hyperlink>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163</w:t>
            </w:r>
          </w:p>
        </w:tc>
        <w:tc>
          <w:tcPr>
            <w:tcW w:w="0" w:type="dxa"/>
            <w:vAlign w:val="bottom"/>
          </w:tcPr>
          <w:p>
            <w:pPr>
              <w:spacing w:after="0"/>
              <w:rPr>
                <w:sz w:val="1"/>
                <w:szCs w:val="1"/>
                <w:color w:val="auto"/>
              </w:rPr>
            </w:pPr>
          </w:p>
        </w:tc>
      </w:tr>
      <w:tr>
        <w:trPr>
          <w:trHeight w:val="20"/>
        </w:trPr>
        <w:tc>
          <w:tcPr>
            <w:tcW w:w="640" w:type="dxa"/>
            <w:vAlign w:val="bottom"/>
            <w:gridSpan w:val="4"/>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20" w:type="dxa"/>
            <w:vAlign w:val="bottom"/>
            <w:gridSpan w:val="10"/>
            <w:shd w:val="clear" w:color="auto" w:fill="0000EE"/>
          </w:tcPr>
          <w:p>
            <w:pPr>
              <w:spacing w:after="0" w:line="20" w:lineRule="exact"/>
              <w:rPr>
                <w:sz w:val="1"/>
                <w:szCs w:val="1"/>
                <w:color w:val="auto"/>
              </w:rPr>
            </w:pPr>
          </w:p>
        </w:tc>
        <w:tc>
          <w:tcPr>
            <w:tcW w:w="1460" w:type="dxa"/>
            <w:vAlign w:val="bottom"/>
            <w:gridSpan w:val="6"/>
            <w:shd w:val="clear" w:color="auto" w:fill="0000EE"/>
          </w:tcPr>
          <w:p>
            <w:pPr>
              <w:spacing w:after="0" w:line="20" w:lineRule="exact"/>
              <w:rPr>
                <w:sz w:val="1"/>
                <w:szCs w:val="1"/>
                <w:color w:val="auto"/>
              </w:rPr>
            </w:pPr>
          </w:p>
        </w:tc>
        <w:tc>
          <w:tcPr>
            <w:tcW w:w="3820" w:type="dxa"/>
            <w:vAlign w:val="bottom"/>
            <w:gridSpan w:val="1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80" w:type="dxa"/>
            <w:vAlign w:val="bottom"/>
            <w:gridSpan w:val="6"/>
          </w:tcPr>
          <w:p>
            <w:pPr>
              <w:spacing w:after="0"/>
              <w:rPr>
                <w:rFonts w:ascii="Times New Roman" w:cs="Times New Roman" w:eastAsia="Times New Roman" w:hAnsi="Times New Roman"/>
                <w:sz w:val="16"/>
                <w:szCs w:val="16"/>
                <w:b w:val="1"/>
                <w:bCs w:val="1"/>
                <w:color w:val="0000EE"/>
              </w:rPr>
            </w:pPr>
            <w:hyperlink w:anchor="page1">
              <w:r>
                <w:rPr>
                  <w:rFonts w:ascii="Times New Roman" w:cs="Times New Roman" w:eastAsia="Times New Roman" w:hAnsi="Times New Roman"/>
                  <w:sz w:val="16"/>
                  <w:szCs w:val="16"/>
                  <w:b w:val="1"/>
                  <w:bCs w:val="1"/>
                  <w:color w:val="0000EE"/>
                </w:rPr>
                <w:t>ITEM 16.</w:t>
              </w:r>
            </w:hyperlink>
          </w:p>
        </w:tc>
        <w:tc>
          <w:tcPr>
            <w:tcW w:w="6720" w:type="dxa"/>
            <w:vAlign w:val="bottom"/>
            <w:gridSpan w:val="27"/>
          </w:tcPr>
          <w:p>
            <w:pPr>
              <w:spacing w:after="0"/>
              <w:rPr>
                <w:rFonts w:ascii="Times New Roman" w:cs="Times New Roman" w:eastAsia="Times New Roman" w:hAnsi="Times New Roman"/>
                <w:sz w:val="16"/>
                <w:szCs w:val="16"/>
                <w:b w:val="1"/>
                <w:bCs w:val="1"/>
                <w:color w:val="0000EE"/>
              </w:rPr>
            </w:pPr>
            <w:hyperlink w:anchor="page1">
              <w:r>
                <w:rPr>
                  <w:rFonts w:ascii="Times New Roman" w:cs="Times New Roman" w:eastAsia="Times New Roman" w:hAnsi="Times New Roman"/>
                  <w:sz w:val="16"/>
                  <w:szCs w:val="16"/>
                  <w:b w:val="1"/>
                  <w:bCs w:val="1"/>
                  <w:color w:val="0000EE"/>
                </w:rPr>
                <w:t>Form 10-K Summary</w:t>
              </w:r>
            </w:hyperlink>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173</w:t>
            </w:r>
          </w:p>
        </w:tc>
        <w:tc>
          <w:tcPr>
            <w:tcW w:w="0" w:type="dxa"/>
            <w:vAlign w:val="bottom"/>
          </w:tcPr>
          <w:p>
            <w:pPr>
              <w:spacing w:after="0"/>
              <w:rPr>
                <w:sz w:val="1"/>
                <w:szCs w:val="1"/>
                <w:color w:val="auto"/>
              </w:rPr>
            </w:pPr>
          </w:p>
        </w:tc>
      </w:tr>
      <w:tr>
        <w:trPr>
          <w:trHeight w:val="20"/>
        </w:trPr>
        <w:tc>
          <w:tcPr>
            <w:tcW w:w="640" w:type="dxa"/>
            <w:vAlign w:val="bottom"/>
            <w:gridSpan w:val="4"/>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20" w:type="dxa"/>
            <w:vAlign w:val="bottom"/>
            <w:gridSpan w:val="10"/>
            <w:shd w:val="clear" w:color="auto" w:fill="0000EE"/>
          </w:tcPr>
          <w:p>
            <w:pPr>
              <w:spacing w:after="0" w:line="20" w:lineRule="exact"/>
              <w:rPr>
                <w:sz w:val="1"/>
                <w:szCs w:val="1"/>
                <w:color w:val="auto"/>
              </w:rPr>
            </w:pPr>
          </w:p>
        </w:tc>
        <w:tc>
          <w:tcPr>
            <w:tcW w:w="5280" w:type="dxa"/>
            <w:vAlign w:val="bottom"/>
            <w:gridSpan w:val="1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500" w:type="dxa"/>
            <w:vAlign w:val="bottom"/>
            <w:gridSpan w:val="33"/>
          </w:tcPr>
          <w:p>
            <w:pPr>
              <w:spacing w:after="0"/>
              <w:rPr>
                <w:rFonts w:ascii="Times New Roman" w:cs="Times New Roman" w:eastAsia="Times New Roman" w:hAnsi="Times New Roman"/>
                <w:sz w:val="16"/>
                <w:szCs w:val="16"/>
                <w:b w:val="1"/>
                <w:bCs w:val="1"/>
                <w:color w:val="0000EE"/>
              </w:rPr>
            </w:pPr>
            <w:hyperlink w:anchor="page1">
              <w:r>
                <w:rPr>
                  <w:rFonts w:ascii="Times New Roman" w:cs="Times New Roman" w:eastAsia="Times New Roman" w:hAnsi="Times New Roman"/>
                  <w:sz w:val="16"/>
                  <w:szCs w:val="16"/>
                  <w:b w:val="1"/>
                  <w:bCs w:val="1"/>
                  <w:color w:val="0000EE"/>
                </w:rPr>
                <w:t>SIGNATURES</w:t>
              </w:r>
            </w:hyperlink>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174</w:t>
            </w:r>
          </w:p>
        </w:tc>
        <w:tc>
          <w:tcPr>
            <w:tcW w:w="0" w:type="dxa"/>
            <w:vAlign w:val="bottom"/>
          </w:tcPr>
          <w:p>
            <w:pPr>
              <w:spacing w:after="0"/>
              <w:rPr>
                <w:sz w:val="1"/>
                <w:szCs w:val="1"/>
                <w:color w:val="auto"/>
              </w:rPr>
            </w:pPr>
          </w:p>
        </w:tc>
      </w:tr>
      <w:tr>
        <w:trPr>
          <w:trHeight w:val="692"/>
        </w:trPr>
        <w:tc>
          <w:tcPr>
            <w:tcW w:w="5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020"/>
          </w:cols>
          <w:pgMar w:left="1440" w:top="557" w:right="1440" w:bottom="1440" w:gutter="0" w:footer="0" w:header="0"/>
        </w:sectPr>
      </w:pPr>
    </w:p>
    <w:bookmarkStart w:id="5" w:name="page6"/>
    <w:bookmarkEnd w:id="5"/>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188" w:lineRule="exact"/>
        <w:rPr>
          <w:sz w:val="20"/>
          <w:szCs w:val="20"/>
          <w:color w:val="auto"/>
        </w:rPr>
      </w:pPr>
    </w:p>
    <w:p>
      <w:pPr>
        <w:ind w:left="320"/>
        <w:spacing w:after="0"/>
        <w:tabs>
          <w:tab w:leader="none" w:pos="1060" w:val="left"/>
        </w:tabs>
        <w:rPr>
          <w:sz w:val="20"/>
          <w:szCs w:val="20"/>
          <w:color w:val="auto"/>
        </w:rPr>
      </w:pPr>
      <w:r>
        <w:rPr>
          <w:rFonts w:ascii="Times New Roman" w:cs="Times New Roman" w:eastAsia="Times New Roman" w:hAnsi="Times New Roman"/>
          <w:sz w:val="16"/>
          <w:szCs w:val="16"/>
          <w:b w:val="1"/>
          <w:bCs w:val="1"/>
          <w:color w:val="auto"/>
        </w:rPr>
        <w:t>ITEM 1.</w:t>
      </w:r>
      <w:r>
        <w:rPr>
          <w:sz w:val="20"/>
          <w:szCs w:val="20"/>
          <w:color w:val="auto"/>
        </w:rPr>
        <w:tab/>
      </w:r>
      <w:r>
        <w:rPr>
          <w:rFonts w:ascii="Times New Roman" w:cs="Times New Roman" w:eastAsia="Times New Roman" w:hAnsi="Times New Roman"/>
          <w:sz w:val="14"/>
          <w:szCs w:val="14"/>
          <w:b w:val="1"/>
          <w:bCs w:val="1"/>
          <w:color w:val="auto"/>
        </w:rPr>
        <w:t>BUSINESS</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The Company</w:t>
      </w:r>
    </w:p>
    <w:p>
      <w:pPr>
        <w:spacing w:after="0" w:line="190" w:lineRule="exact"/>
        <w:rPr>
          <w:sz w:val="20"/>
          <w:szCs w:val="20"/>
          <w:color w:val="auto"/>
        </w:rPr>
      </w:pPr>
    </w:p>
    <w:p>
      <w:pPr>
        <w:ind w:left="320" w:right="360"/>
        <w:spacing w:after="0" w:line="239" w:lineRule="auto"/>
        <w:rPr>
          <w:sz w:val="20"/>
          <w:szCs w:val="20"/>
          <w:color w:val="auto"/>
        </w:rPr>
      </w:pPr>
      <w:r>
        <w:rPr>
          <w:rFonts w:ascii="Times New Roman" w:cs="Times New Roman" w:eastAsia="Times New Roman" w:hAnsi="Times New Roman"/>
          <w:sz w:val="16"/>
          <w:szCs w:val="16"/>
          <w:color w:val="auto"/>
        </w:rPr>
        <w:t>Digital Realty Trust, Inc., through its controlling interest in Digital Realty Trust, L.P. and the subsidiaries of the Operating Partnership, is a leading global provider of data center, colocation and interconnection solutions for customers across a variety of industry verticals. The Parent operates as a REIT for U.S. federal income tax purposes. The Operating Partnership is the entity through which the Parent conducts its business of owning, acquiring, developing and operating data centers. The Parent was incorporated in the state of Maryland on March 9, 2004. The Operating Partnership was organized as a limited partnership in the state of Maryland on July 21, 2004.</w:t>
      </w:r>
    </w:p>
    <w:p>
      <w:pPr>
        <w:spacing w:after="0" w:line="173" w:lineRule="exact"/>
        <w:rPr>
          <w:sz w:val="20"/>
          <w:szCs w:val="20"/>
          <w:color w:val="auto"/>
        </w:rPr>
      </w:pPr>
    </w:p>
    <w:p>
      <w:pPr>
        <w:ind w:left="320" w:right="360"/>
        <w:spacing w:after="0" w:line="247" w:lineRule="auto"/>
        <w:rPr>
          <w:sz w:val="20"/>
          <w:szCs w:val="20"/>
          <w:color w:val="auto"/>
        </w:rPr>
      </w:pPr>
      <w:r>
        <w:rPr>
          <w:rFonts w:ascii="Times New Roman" w:cs="Times New Roman" w:eastAsia="Times New Roman" w:hAnsi="Times New Roman"/>
          <w:sz w:val="16"/>
          <w:szCs w:val="16"/>
          <w:color w:val="auto"/>
        </w:rPr>
        <w:t>As of December 31, 2024, our portfolio consisted of 308 data centers (including 78 data centers held as investments in unconsolidated entities), of which 121 are located in the United States, 112 are located in Europe, 36 are located in Latin America, 16 are located in Africa, 16 are located in Asia, six are located in Australia and three are located in Canada.</w:t>
      </w:r>
    </w:p>
    <w:p>
      <w:pPr>
        <w:spacing w:after="0" w:line="164" w:lineRule="exact"/>
        <w:rPr>
          <w:sz w:val="20"/>
          <w:szCs w:val="20"/>
          <w:color w:val="auto"/>
        </w:rPr>
      </w:pPr>
    </w:p>
    <w:p>
      <w:pPr>
        <w:ind w:left="320" w:right="620"/>
        <w:spacing w:after="0" w:line="247" w:lineRule="auto"/>
        <w:rPr>
          <w:sz w:val="20"/>
          <w:szCs w:val="20"/>
          <w:color w:val="auto"/>
        </w:rPr>
      </w:pPr>
      <w:r>
        <w:rPr>
          <w:rFonts w:ascii="Times New Roman" w:cs="Times New Roman" w:eastAsia="Times New Roman" w:hAnsi="Times New Roman"/>
          <w:sz w:val="16"/>
          <w:szCs w:val="16"/>
          <w:color w:val="auto"/>
        </w:rPr>
        <w:t>Our principal executive offices are located at 2323 Bryan Street, Suite 1800, Dallas, Texas 75201. Our telephone number is (214) 231-1350. Our website is www.digitalrealty.com. The information found on, or otherwise accessible through, our website is not incorporated by reference into, nor does it form a part of, this Annual Report on Form 10-K.</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Industry Background</w:t>
      </w:r>
    </w:p>
    <w:p>
      <w:pPr>
        <w:spacing w:after="0" w:line="190" w:lineRule="exact"/>
        <w:rPr>
          <w:sz w:val="20"/>
          <w:szCs w:val="20"/>
          <w:color w:val="auto"/>
        </w:rPr>
      </w:pPr>
    </w:p>
    <w:p>
      <w:pPr>
        <w:ind w:left="320" w:right="360"/>
        <w:spacing w:after="0" w:line="239" w:lineRule="auto"/>
        <w:rPr>
          <w:sz w:val="20"/>
          <w:szCs w:val="20"/>
          <w:color w:val="auto"/>
        </w:rPr>
      </w:pPr>
      <w:r>
        <w:rPr>
          <w:rFonts w:ascii="Times New Roman" w:cs="Times New Roman" w:eastAsia="Times New Roman" w:hAnsi="Times New Roman"/>
          <w:sz w:val="16"/>
          <w:szCs w:val="16"/>
          <w:color w:val="auto"/>
        </w:rPr>
        <w:t>The digital economy continues to grow and change how enterprises across all industries create and deliver value. Companies increasingly need to operate ubiquitously, on-demand and with real -time intelligence serving customers, partners and employees across multiple channels, business functions and points of business presence. Computational processing power requirements continue to advance, data traffic is growing, and the volume of data that enterprises generate, transmit, process, analyze, monitor and manage is expanding dramatically. The Internet of Things, 5G, autonomous vehicles and artificial intelligence, among other technological advancements, are driving this digital transformation.</w:t>
      </w:r>
    </w:p>
    <w:p>
      <w:pPr>
        <w:spacing w:after="0" w:line="173" w:lineRule="exact"/>
        <w:rPr>
          <w:sz w:val="20"/>
          <w:szCs w:val="20"/>
          <w:color w:val="auto"/>
        </w:rPr>
      </w:pPr>
    </w:p>
    <w:p>
      <w:pPr>
        <w:ind w:left="320" w:right="380"/>
        <w:spacing w:after="0" w:line="239" w:lineRule="auto"/>
        <w:rPr>
          <w:sz w:val="20"/>
          <w:szCs w:val="20"/>
          <w:color w:val="auto"/>
        </w:rPr>
      </w:pPr>
      <w:r>
        <w:rPr>
          <w:rFonts w:ascii="Times New Roman" w:cs="Times New Roman" w:eastAsia="Times New Roman" w:hAnsi="Times New Roman"/>
          <w:sz w:val="16"/>
          <w:szCs w:val="16"/>
          <w:color w:val="auto"/>
        </w:rPr>
        <w:t>We believe that enterprise data growth is accelerating due to the growing digital economy and emerging technological advances. As enterprises analyze and process this accelerating data mass, they create more data. As this mass of data continues to grow, it needs to be analyzed and processed: a task which we believe is becoming increasingly challenging to replicate and relocate. This phenomenon is called Data Gravity. We believe that enterprise decisionmakers will need to increasingly consider how Data Gravity impacts their enterprise IT architectures and, accordingly, we have developed the Data Gravity Index: a global forecast that measures the intensity and gravitational force of enterprise data growth.</w:t>
      </w:r>
    </w:p>
    <w:p>
      <w:pPr>
        <w:spacing w:after="0" w:line="173" w:lineRule="exact"/>
        <w:rPr>
          <w:sz w:val="20"/>
          <w:szCs w:val="20"/>
          <w:color w:val="auto"/>
        </w:rPr>
      </w:pPr>
    </w:p>
    <w:p>
      <w:pPr>
        <w:ind w:left="320" w:right="320"/>
        <w:spacing w:after="0" w:line="239" w:lineRule="auto"/>
        <w:rPr>
          <w:sz w:val="20"/>
          <w:szCs w:val="20"/>
          <w:color w:val="auto"/>
        </w:rPr>
      </w:pPr>
      <w:r>
        <w:rPr>
          <w:rFonts w:ascii="Times New Roman" w:cs="Times New Roman" w:eastAsia="Times New Roman" w:hAnsi="Times New Roman"/>
          <w:sz w:val="16"/>
          <w:szCs w:val="16"/>
          <w:color w:val="auto"/>
        </w:rPr>
        <w:t>As the largest global provider of cloud- and carrier-neutral data center, colocation and interconnection solutions, we believe the data center industry is poised for sustainable growth. The demand for data center infrastructure is being driven by this digital transformation which is contributing to the explosive growth of data, rapid growth of cloud adoption and greater demand for IT outsourcing. The power requirements and financial costs to support this growth in data, traffic and storage are substantial and growing accordingly. We believe data centers will continue to play a critical role in the digital economy and enabling business transformation strategies.</w:t>
      </w:r>
    </w:p>
    <w:p>
      <w:pPr>
        <w:spacing w:after="0" w:line="173" w:lineRule="exact"/>
        <w:rPr>
          <w:sz w:val="20"/>
          <w:szCs w:val="20"/>
          <w:color w:val="auto"/>
        </w:rPr>
      </w:pPr>
    </w:p>
    <w:p>
      <w:pPr>
        <w:ind w:left="320" w:right="540"/>
        <w:spacing w:after="0" w:line="280" w:lineRule="auto"/>
        <w:rPr>
          <w:sz w:val="20"/>
          <w:szCs w:val="20"/>
          <w:color w:val="auto"/>
        </w:rPr>
      </w:pPr>
      <w:r>
        <w:rPr>
          <w:rFonts w:ascii="Times New Roman" w:cs="Times New Roman" w:eastAsia="Times New Roman" w:hAnsi="Times New Roman"/>
          <w:sz w:val="14"/>
          <w:szCs w:val="14"/>
          <w:color w:val="auto"/>
        </w:rPr>
        <w:t>We believe cloud solutions and hybrid cloud solutions will remain significant drivers of demand for data center infrastructure. The hybrid cloud, which combines public and private cloud solutions, has gained traction because it enables corporate enterprises to achieve efficiencies and contain costs, as well as scale and secure their most sensitive information. In addition, the leading cloud service providers are generally mature, well-capitalized technology companies, and cloud platforms are among the fastest -growing business segments. Data center providers that can solve global coverage, capacity and connectivity needs, and coordinate and aggregate diverse customer and application demand, are poised to benefit from these cloud-specific industry drivers.</w:t>
      </w:r>
    </w:p>
    <w:p>
      <w:pPr>
        <w:spacing w:after="0" w:line="3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6" w:name="page7"/>
    <w:bookmarkEnd w:id="6"/>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6" w:lineRule="exact"/>
        <w:rPr>
          <w:sz w:val="20"/>
          <w:szCs w:val="20"/>
          <w:color w:val="auto"/>
        </w:rPr>
      </w:pPr>
    </w:p>
    <w:p>
      <w:pPr>
        <w:ind w:left="320" w:right="500"/>
        <w:spacing w:after="0" w:line="280" w:lineRule="auto"/>
        <w:rPr>
          <w:sz w:val="20"/>
          <w:szCs w:val="20"/>
          <w:color w:val="auto"/>
        </w:rPr>
      </w:pPr>
      <w:r>
        <w:rPr>
          <w:rFonts w:ascii="Times New Roman" w:cs="Times New Roman" w:eastAsia="Times New Roman" w:hAnsi="Times New Roman"/>
          <w:sz w:val="14"/>
          <w:szCs w:val="14"/>
          <w:color w:val="auto"/>
        </w:rPr>
        <w:t>These diverse and secular industry dynamics are driving greater demand for data center capacity not only from global cloud service providers, but also from businesses across other industries, including IT service firms, social media, content providers and the financial services sector. As companies focus on their core competencies and rely on outsourcing to meet their IT infrastructure needs, they are prioritizing colocation for their data center solutions for various reasons, including to reduce latency in data transfer and increase global presence and connectivity. New technologies need a fast, reliable and flexible foundation to operate, and the importance of offering a full spectrum of power, space and connectivity solutions on a global platform continues to grow.</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Our Business</w:t>
      </w:r>
    </w:p>
    <w:p>
      <w:pPr>
        <w:spacing w:after="0" w:line="190" w:lineRule="exact"/>
        <w:rPr>
          <w:sz w:val="20"/>
          <w:szCs w:val="20"/>
          <w:color w:val="auto"/>
        </w:rPr>
      </w:pPr>
    </w:p>
    <w:p>
      <w:pPr>
        <w:ind w:left="320" w:right="340"/>
        <w:spacing w:after="0" w:line="243" w:lineRule="auto"/>
        <w:rPr>
          <w:sz w:val="20"/>
          <w:szCs w:val="20"/>
          <w:color w:val="auto"/>
        </w:rPr>
      </w:pPr>
      <w:r>
        <w:rPr>
          <w:rFonts w:ascii="Times New Roman" w:cs="Times New Roman" w:eastAsia="Times New Roman" w:hAnsi="Times New Roman"/>
          <w:sz w:val="16"/>
          <w:szCs w:val="16"/>
          <w:color w:val="auto"/>
        </w:rPr>
        <w:t>We provide a global data center platform that supports our customers’ digital infrastructure and enables our customers to interconnect with their customers and partners. We solve global coverage, capacity and connectivity needs for companies of all sizes, including the world’s leading enterprises and services providers, through PlatformDIGITAL®, a global data center platform for scaling digital business which enables customers to deploy their critical infrastructure with a global data center provider.</w:t>
      </w:r>
    </w:p>
    <w:p>
      <w:pPr>
        <w:spacing w:after="0" w:line="167" w:lineRule="exact"/>
        <w:rPr>
          <w:sz w:val="20"/>
          <w:szCs w:val="20"/>
          <w:color w:val="auto"/>
        </w:rPr>
      </w:pPr>
    </w:p>
    <w:p>
      <w:pPr>
        <w:ind w:left="320" w:right="380"/>
        <w:spacing w:after="0" w:line="243" w:lineRule="auto"/>
        <w:rPr>
          <w:sz w:val="20"/>
          <w:szCs w:val="20"/>
          <w:color w:val="auto"/>
        </w:rPr>
      </w:pPr>
      <w:r>
        <w:rPr>
          <w:rFonts w:ascii="Times New Roman" w:cs="Times New Roman" w:eastAsia="Times New Roman" w:hAnsi="Times New Roman"/>
          <w:sz w:val="16"/>
          <w:szCs w:val="16"/>
          <w:color w:val="auto"/>
        </w:rPr>
        <w:t>PlatformDIGITAL® combines our global presence with our Pervasive Data Center Architecture (PDx®) solution methodology for scaling digital business and efficiently managing data gravity challenges. Digital Realty gives its customers access to the connected communities that matter to them with a global data center footprint of over 300 facilities with over 227,000 cross connects in over 50 metros across more than 25 countries on six continents.</w:t>
      </w:r>
    </w:p>
    <w:p>
      <w:pPr>
        <w:spacing w:after="0" w:line="167" w:lineRule="exact"/>
        <w:rPr>
          <w:sz w:val="20"/>
          <w:szCs w:val="20"/>
          <w:color w:val="auto"/>
        </w:rPr>
      </w:pPr>
    </w:p>
    <w:p>
      <w:pPr>
        <w:ind w:left="320" w:right="380"/>
        <w:spacing w:after="0" w:line="247" w:lineRule="auto"/>
        <w:rPr>
          <w:sz w:val="20"/>
          <w:szCs w:val="20"/>
          <w:color w:val="auto"/>
        </w:rPr>
      </w:pPr>
      <w:r>
        <w:rPr>
          <w:rFonts w:ascii="Times New Roman" w:cs="Times New Roman" w:eastAsia="Times New Roman" w:hAnsi="Times New Roman"/>
          <w:sz w:val="16"/>
          <w:szCs w:val="16"/>
          <w:color w:val="auto"/>
        </w:rPr>
        <w:t>Fundamentally, we bring together foundational real estate and innovative technology expertise around the world to deliver a comprehensive, dedicated product suite to meet customers’ data and connectivity needs. We represent an important part of the digital economy that we believe will benefit from powerful, long-term growth drivers.</w:t>
      </w:r>
    </w:p>
    <w:p>
      <w:pPr>
        <w:spacing w:after="0" w:line="164" w:lineRule="exact"/>
        <w:rPr>
          <w:sz w:val="20"/>
          <w:szCs w:val="20"/>
          <w:color w:val="auto"/>
        </w:rPr>
      </w:pPr>
    </w:p>
    <w:p>
      <w:pPr>
        <w:ind w:left="320" w:right="320"/>
        <w:spacing w:after="0" w:line="238" w:lineRule="auto"/>
        <w:rPr>
          <w:sz w:val="20"/>
          <w:szCs w:val="20"/>
          <w:color w:val="auto"/>
        </w:rPr>
      </w:pPr>
      <w:r>
        <w:rPr>
          <w:rFonts w:ascii="Times New Roman" w:cs="Times New Roman" w:eastAsia="Times New Roman" w:hAnsi="Times New Roman"/>
          <w:sz w:val="16"/>
          <w:szCs w:val="16"/>
          <w:color w:val="auto"/>
        </w:rPr>
        <w:t>We believe that the growth trends in the data center market, technology, the cloud, internet traffic and internet-based services, combined with cost advantages in outsourcing data center requirements, provide attractive growth opportunities for us as a data center solutions provider. Leveraging deep expertise in technology and real estate, we have an expansive global footprint, impressive scale and a full-spectrum fit- for-purpose product offering in key metropolitan areas around the world. These advantages simplify the contracting process for multinational enterprises, eliminating their need to negotiate with multiple local data center solutions providers. In addition, in areas where high data center construction and operating costs and long time-to-market prohibit many of our customers from building their own data centers, our global footprint and scale allow us to meet our customers’ needs quickly and efficiently.</w:t>
      </w: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7" w:name="page8"/>
    <w:bookmarkEnd w:id="7"/>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Our Data Center Portfolio</w:t>
      </w:r>
    </w:p>
    <w:p>
      <w:pPr>
        <w:spacing w:after="0" w:line="190" w:lineRule="exact"/>
        <w:rPr>
          <w:sz w:val="20"/>
          <w:szCs w:val="20"/>
          <w:color w:val="auto"/>
        </w:rPr>
      </w:pPr>
    </w:p>
    <w:p>
      <w:pPr>
        <w:ind w:left="320" w:right="340"/>
        <w:spacing w:after="0" w:line="239" w:lineRule="auto"/>
        <w:rPr>
          <w:sz w:val="20"/>
          <w:szCs w:val="20"/>
          <w:color w:val="auto"/>
        </w:rPr>
      </w:pPr>
      <w:r>
        <w:rPr>
          <w:rFonts w:ascii="Times New Roman" w:cs="Times New Roman" w:eastAsia="Times New Roman" w:hAnsi="Times New Roman"/>
          <w:sz w:val="16"/>
          <w:szCs w:val="16"/>
          <w:color w:val="auto"/>
        </w:rPr>
        <w:t>Our portfolio of high- quality data centers provides secure, highly connected and continuously available environments for the exchange, processing and storage of critical data. Data centers are used for digital communication, disaster recovery purposes, transaction processing and housing mission-critical corporate IT applications. Our internet gateway data centers are highly connected, network-dense facilities that serve as hubs for internet and data communications within and between major metropolitan areas. We believe internet gateways are extremely valuable, and a high-quality, highly interconnected global portfolio such as ours could not be easily replicated today on a cost-competitive basis.</w:t>
      </w:r>
    </w:p>
    <w:p>
      <w:pPr>
        <w:spacing w:after="0" w:line="173" w:lineRule="exact"/>
        <w:rPr>
          <w:sz w:val="20"/>
          <w:szCs w:val="20"/>
          <w:color w:val="auto"/>
        </w:rPr>
      </w:pPr>
    </w:p>
    <w:p>
      <w:pPr>
        <w:ind w:left="320" w:right="480"/>
        <w:spacing w:after="0" w:line="247" w:lineRule="auto"/>
        <w:rPr>
          <w:sz w:val="20"/>
          <w:szCs w:val="20"/>
          <w:color w:val="auto"/>
        </w:rPr>
      </w:pPr>
      <w:r>
        <w:rPr>
          <w:rFonts w:ascii="Times New Roman" w:cs="Times New Roman" w:eastAsia="Times New Roman" w:hAnsi="Times New Roman"/>
          <w:sz w:val="16"/>
          <w:szCs w:val="16"/>
          <w:color w:val="auto"/>
        </w:rPr>
        <w:t>We are diversified across major metropolitan areas characterized by a high concentration of connected end-users and technology companies. At December 31, 2024, we owned or had investments in properties, on a wholly-owned basis or through unconsolidated entities, in the following geographies: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104775</wp:posOffset>
            </wp:positionV>
            <wp:extent cx="4908550" cy="27971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08550" cy="279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As of December 31, 2024, our portfolio, including investments in unconsolidated entities, contained a total of approximately</w:t>
      </w:r>
    </w:p>
    <w:p>
      <w:pPr>
        <w:spacing w:after="0" w:line="14" w:lineRule="exact"/>
        <w:rPr>
          <w:sz w:val="20"/>
          <w:szCs w:val="20"/>
          <w:color w:val="auto"/>
        </w:rPr>
      </w:pPr>
    </w:p>
    <w:p>
      <w:pPr>
        <w:ind w:left="320" w:right="420"/>
        <w:spacing w:after="0" w:line="235" w:lineRule="auto"/>
        <w:rPr>
          <w:sz w:val="20"/>
          <w:szCs w:val="20"/>
          <w:color w:val="auto"/>
        </w:rPr>
      </w:pPr>
      <w:r>
        <w:rPr>
          <w:rFonts w:ascii="Times New Roman" w:cs="Times New Roman" w:eastAsia="Times New Roman" w:hAnsi="Times New Roman"/>
          <w:sz w:val="16"/>
          <w:szCs w:val="16"/>
          <w:color w:val="auto"/>
        </w:rPr>
        <w:t>54.9 million rentable square feet, including approximately 8.9 million square feet of space under active development and 4.7 million square feet of space held for development. As of December 31, 2024, the 78 data centers held as investments in unconsolidated entities had an aggregate of approximately 9.2 million rentable square feet. In addition, as of December 31, 2024, we estimate that our land and other space held for, or actively under, construction could accommodate over 3,500 megawatts of additional data center capacity, including more than 1,000 additional megawatts developable in Northern Virginia. From time to time, we may look to sell individual assets or portfolios that we do not consider to be core to our business and growth strategy.</w:t>
      </w:r>
    </w:p>
    <w:p>
      <w:pPr>
        <w:spacing w:after="0" w:line="173" w:lineRule="exact"/>
        <w:rPr>
          <w:sz w:val="20"/>
          <w:szCs w:val="20"/>
          <w:color w:val="auto"/>
        </w:rPr>
      </w:pPr>
    </w:p>
    <w:p>
      <w:pPr>
        <w:ind w:left="320" w:right="420"/>
        <w:spacing w:after="0" w:line="243" w:lineRule="auto"/>
        <w:rPr>
          <w:sz w:val="20"/>
          <w:szCs w:val="20"/>
          <w:color w:val="auto"/>
        </w:rPr>
      </w:pPr>
      <w:r>
        <w:rPr>
          <w:rFonts w:ascii="Times New Roman" w:cs="Times New Roman" w:eastAsia="Times New Roman" w:hAnsi="Times New Roman"/>
          <w:sz w:val="16"/>
          <w:szCs w:val="16"/>
          <w:color w:val="auto"/>
        </w:rPr>
        <w:t>A significant component of our current and future growth is expected to be generated through the development of our existing space held for future development and acquisition of new properties. As of December 31, 2024, our portfolio, including the 78 data centers held as investments in unconsolidated entities, was approximately 84.1% leased. From time to time, we may look to sell individual assets or portfolios that we do not consider to be core to our business and growth strategy.</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8" w:name="page9"/>
    <w:bookmarkEnd w:id="8"/>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Through strategic investments, we have expanded our footprint into Latin America, enhanced our data center offerings in strategic</w:t>
      </w:r>
    </w:p>
    <w:p>
      <w:pPr>
        <w:spacing w:after="0" w:line="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and complementary U.S. metropolitan areas, established our colocation and interconnection platform in the U.S. and expanded our</w:t>
      </w:r>
    </w:p>
    <w:p>
      <w:pPr>
        <w:ind w:left="320"/>
        <w:spacing w:after="0" w:line="234" w:lineRule="auto"/>
        <w:rPr>
          <w:sz w:val="20"/>
          <w:szCs w:val="20"/>
          <w:color w:val="auto"/>
        </w:rPr>
      </w:pPr>
      <w:r>
        <w:rPr>
          <w:rFonts w:ascii="Times New Roman" w:cs="Times New Roman" w:eastAsia="Times New Roman" w:hAnsi="Times New Roman"/>
          <w:sz w:val="16"/>
          <w:szCs w:val="16"/>
          <w:color w:val="auto"/>
        </w:rPr>
        <w:t>colocation and interconnection platform in Europe and Africa, with each transaction enhancing our presence in top-tier locations</w:t>
      </w:r>
    </w:p>
    <w:p>
      <w:pPr>
        <w:ind w:left="320"/>
        <w:spacing w:after="0" w:line="235" w:lineRule="auto"/>
        <w:rPr>
          <w:sz w:val="20"/>
          <w:szCs w:val="20"/>
          <w:color w:val="auto"/>
        </w:rPr>
      </w:pPr>
      <w:r>
        <w:rPr>
          <w:rFonts w:ascii="Times New Roman" w:cs="Times New Roman" w:eastAsia="Times New Roman" w:hAnsi="Times New Roman"/>
          <w:sz w:val="16"/>
          <w:szCs w:val="16"/>
          <w:color w:val="auto"/>
        </w:rPr>
        <w:t>throughout North America, Europe, Latin America and Africa. In addition, on August 1, 2022, we completed our acquisition of a</w:t>
      </w:r>
    </w:p>
    <w:p>
      <w:pPr>
        <w:ind w:left="320"/>
        <w:spacing w:after="0" w:line="235" w:lineRule="auto"/>
        <w:rPr>
          <w:sz w:val="20"/>
          <w:szCs w:val="20"/>
          <w:color w:val="auto"/>
        </w:rPr>
      </w:pPr>
      <w:r>
        <w:rPr>
          <w:rFonts w:ascii="Times New Roman" w:cs="Times New Roman" w:eastAsia="Times New Roman" w:hAnsi="Times New Roman"/>
          <w:sz w:val="16"/>
          <w:szCs w:val="16"/>
          <w:color w:val="auto"/>
        </w:rPr>
        <w:t>majority interest in Teraco, the largest and most densely interconnected data center platform in South Africa, with an in-</w:t>
      </w:r>
    </w:p>
    <w:p>
      <w:pPr>
        <w:ind w:left="320"/>
        <w:spacing w:after="0" w:line="235" w:lineRule="auto"/>
        <w:rPr>
          <w:sz w:val="20"/>
          <w:szCs w:val="20"/>
          <w:color w:val="auto"/>
        </w:rPr>
      </w:pPr>
      <w:r>
        <w:rPr>
          <w:rFonts w:ascii="Times New Roman" w:cs="Times New Roman" w:eastAsia="Times New Roman" w:hAnsi="Times New Roman"/>
          <w:sz w:val="16"/>
          <w:szCs w:val="16"/>
          <w:color w:val="auto"/>
        </w:rPr>
        <w:t>service portfolio of seven state-of-the-art data centers strategically located in the key South African metro areas of Johannesburg,</w:t>
      </w:r>
    </w:p>
    <w:p>
      <w:pPr>
        <w:ind w:left="320"/>
        <w:spacing w:after="0" w:line="235" w:lineRule="auto"/>
        <w:rPr>
          <w:sz w:val="20"/>
          <w:szCs w:val="20"/>
          <w:color w:val="auto"/>
        </w:rPr>
      </w:pPr>
      <w:r>
        <w:rPr>
          <w:rFonts w:ascii="Times New Roman" w:cs="Times New Roman" w:eastAsia="Times New Roman" w:hAnsi="Times New Roman"/>
          <w:sz w:val="16"/>
          <w:szCs w:val="16"/>
          <w:color w:val="auto"/>
        </w:rPr>
        <w:t>Cape Town and Durban. In addition, we are investing in our consolidated and unconsolidated portfolio to organically expand our</w:t>
      </w:r>
    </w:p>
    <w:p>
      <w:pPr>
        <w:ind w:left="320"/>
        <w:spacing w:after="0" w:line="235" w:lineRule="auto"/>
        <w:rPr>
          <w:sz w:val="20"/>
          <w:szCs w:val="20"/>
          <w:color w:val="auto"/>
        </w:rPr>
      </w:pPr>
      <w:r>
        <w:rPr>
          <w:rFonts w:ascii="Times New Roman" w:cs="Times New Roman" w:eastAsia="Times New Roman" w:hAnsi="Times New Roman"/>
          <w:sz w:val="16"/>
          <w:szCs w:val="16"/>
          <w:color w:val="auto"/>
        </w:rPr>
        <w:t>capacity. As of December 31, 2024, we had 644 megawatts of projects underway across multiple metropolitan areas around the</w:t>
      </w:r>
    </w:p>
    <w:p>
      <w:pPr>
        <w:ind w:left="320"/>
        <w:spacing w:after="0"/>
        <w:rPr>
          <w:sz w:val="20"/>
          <w:szCs w:val="20"/>
          <w:color w:val="auto"/>
        </w:rPr>
      </w:pPr>
      <w:r>
        <w:rPr>
          <w:rFonts w:ascii="Times New Roman" w:cs="Times New Roman" w:eastAsia="Times New Roman" w:hAnsi="Times New Roman"/>
          <w:sz w:val="16"/>
          <w:szCs w:val="16"/>
          <w:color w:val="auto"/>
        </w:rPr>
        <w:t>world, and 70% percent of this data center activity was pre-leased.</w:t>
      </w:r>
    </w:p>
    <w:p>
      <w:pPr>
        <w:spacing w:after="0" w:line="170" w:lineRule="exact"/>
        <w:rPr>
          <w:sz w:val="20"/>
          <w:szCs w:val="20"/>
          <w:color w:val="auto"/>
        </w:rPr>
      </w:pPr>
    </w:p>
    <w:p>
      <w:pPr>
        <w:ind w:left="320" w:right="340"/>
        <w:spacing w:after="0" w:line="241" w:lineRule="auto"/>
        <w:rPr>
          <w:sz w:val="20"/>
          <w:szCs w:val="20"/>
          <w:color w:val="auto"/>
        </w:rPr>
      </w:pPr>
      <w:r>
        <w:rPr>
          <w:rFonts w:ascii="Times New Roman" w:cs="Times New Roman" w:eastAsia="Times New Roman" w:hAnsi="Times New Roman"/>
          <w:sz w:val="16"/>
          <w:szCs w:val="16"/>
          <w:color w:val="auto"/>
        </w:rPr>
        <w:t>The locations of and improvements to our data centers, the network density, interconnection infrastructure and connectivity-centric customers in certain of our facilities, and our comprehensive product offerings are critical to our customers’ businesses, which we believe results in high occupancy levels, longer average lease terms and customer relationships, as well as lower turnover. In addition, many of our data centers contain significant improvements that have been installed at our customers’ expense. The tenant improvements in our data centers are generally readily adaptable for use by similar customers.</w:t>
      </w:r>
    </w:p>
    <w:p>
      <w:pPr>
        <w:spacing w:after="0" w:line="169" w:lineRule="exact"/>
        <w:rPr>
          <w:sz w:val="20"/>
          <w:szCs w:val="20"/>
          <w:color w:val="auto"/>
        </w:rPr>
      </w:pPr>
    </w:p>
    <w:p>
      <w:pPr>
        <w:ind w:left="320" w:right="380"/>
        <w:spacing w:after="0" w:line="238" w:lineRule="auto"/>
        <w:rPr>
          <w:sz w:val="20"/>
          <w:szCs w:val="20"/>
          <w:color w:val="auto"/>
        </w:rPr>
      </w:pPr>
      <w:r>
        <w:rPr>
          <w:rFonts w:ascii="Times New Roman" w:cs="Times New Roman" w:eastAsia="Times New Roman" w:hAnsi="Times New Roman"/>
          <w:sz w:val="16"/>
          <w:szCs w:val="16"/>
          <w:color w:val="auto"/>
        </w:rPr>
        <w:t>Our data centers are physically secure, network-rich and equipped to meet the power and cooling requirements of smaller footprints up to the most demanding IT applications. Many of our data centers are located on major aggregation points formed by the physical presence of multiple major telecommunications service providers, which reduces our customers’ costs and operational risks and enhances the attractiveness of our properties. In addition, our strategically located global data center campuses offer our customers the ability to expand their global footprint as their businesses grow, while our connectivity offerings on our campuses enhance the capabilities and attractiveness of these facilities. Further, the network density, interconnection infrastructure and connectivity-centric customers in certain of our data centers have led to the organic formation of densely connected data communities that are difficult for competitors to replicate and deliver added value to our customers.</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Our Product Offerings</w:t>
      </w:r>
    </w:p>
    <w:p>
      <w:pPr>
        <w:spacing w:after="0" w:line="190" w:lineRule="exact"/>
        <w:rPr>
          <w:sz w:val="20"/>
          <w:szCs w:val="20"/>
          <w:color w:val="auto"/>
        </w:rPr>
      </w:pPr>
    </w:p>
    <w:p>
      <w:pPr>
        <w:ind w:left="320" w:right="380"/>
        <w:spacing w:after="0" w:line="280" w:lineRule="auto"/>
        <w:rPr>
          <w:sz w:val="20"/>
          <w:szCs w:val="20"/>
          <w:color w:val="auto"/>
        </w:rPr>
      </w:pPr>
      <w:r>
        <w:rPr>
          <w:rFonts w:ascii="Times New Roman" w:cs="Times New Roman" w:eastAsia="Times New Roman" w:hAnsi="Times New Roman"/>
          <w:sz w:val="14"/>
          <w:szCs w:val="14"/>
          <w:color w:val="auto"/>
        </w:rPr>
        <w:t>We provide a flexible, global data center platform that allows our customers to achieve infrastructure deployments and controls matched to their business needs. Our data centers and comprehensive suite of product offerings are conceived to scale, from a single cabinet up to multi-megawatt data halls, complemented by connectivity and partnered solutions to support their requirements. We strive to provide a product mix that appeals to leading technology companies and enterprises, especially those seeking to support a greater portion of their data center requirements through a single provider. Our Critical Facilities Management® services and team of engineers and data center operations experts provide 24/7 support for these mission-critical facilities.</w:t>
      </w:r>
    </w:p>
    <w:p>
      <w:pPr>
        <w:spacing w:after="0" w:line="129" w:lineRule="exact"/>
        <w:rPr>
          <w:sz w:val="20"/>
          <w:szCs w:val="20"/>
          <w:color w:val="auto"/>
        </w:rPr>
      </w:pPr>
    </w:p>
    <w:p>
      <w:pPr>
        <w:ind w:left="320" w:right="300"/>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PlatformDIGITAL® Solution Model</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PlatformDIGITAL® solution model is based on our patented Pervasive Data Center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Architecture (PDx®) methodology, which brings users, networks, clouds, controls and systems to the data, removing barriers, creating centers of data exchange to accommodate distributed workflows and scaling digital business. PlatformDIGITAL® offers solutions for service providers and enterprises supporting their IT architecture requirements with features such as:</w:t>
      </w:r>
    </w:p>
    <w:p>
      <w:pPr>
        <w:spacing w:after="0" w:line="97"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Network</w:t>
            </w:r>
          </w:p>
        </w:tc>
        <w:tc>
          <w:tcPr>
            <w:tcW w:w="7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Consolidates and localizes traffic into ingress/egress points to optimize network performance and cost</w:t>
            </w:r>
          </w:p>
        </w:tc>
        <w:tc>
          <w:tcPr>
            <w:tcW w:w="60" w:type="dxa"/>
            <w:vAlign w:val="bottom"/>
          </w:tcPr>
          <w:p>
            <w:pPr>
              <w:spacing w:after="0"/>
              <w:rPr>
                <w:sz w:val="19"/>
                <w:szCs w:val="19"/>
                <w:color w:val="auto"/>
              </w:rPr>
            </w:pPr>
          </w:p>
        </w:tc>
      </w:tr>
      <w:tr>
        <w:trPr>
          <w:trHeight w:val="99"/>
        </w:trPr>
        <w:tc>
          <w:tcPr>
            <w:tcW w:w="1120" w:type="dxa"/>
            <w:vAlign w:val="bottom"/>
            <w:shd w:val="clear" w:color="auto" w:fill="CCEEFF"/>
          </w:tcPr>
          <w:p>
            <w:pPr>
              <w:spacing w:after="0"/>
              <w:rPr>
                <w:sz w:val="8"/>
                <w:szCs w:val="8"/>
                <w:color w:val="auto"/>
              </w:rPr>
            </w:pPr>
          </w:p>
        </w:tc>
        <w:tc>
          <w:tcPr>
            <w:tcW w:w="7180" w:type="dxa"/>
            <w:vAlign w:val="bottom"/>
            <w:shd w:val="clear" w:color="auto" w:fill="CCEEFF"/>
          </w:tcPr>
          <w:p>
            <w:pPr>
              <w:spacing w:after="0"/>
              <w:rPr>
                <w:sz w:val="8"/>
                <w:szCs w:val="8"/>
                <w:color w:val="auto"/>
              </w:rPr>
            </w:pPr>
          </w:p>
        </w:tc>
        <w:tc>
          <w:tcPr>
            <w:tcW w:w="60" w:type="dxa"/>
            <w:vAlign w:val="bottom"/>
          </w:tcPr>
          <w:p>
            <w:pPr>
              <w:spacing w:after="0"/>
              <w:rPr>
                <w:sz w:val="8"/>
                <w:szCs w:val="8"/>
                <w:color w:val="auto"/>
              </w:rPr>
            </w:pPr>
          </w:p>
        </w:tc>
      </w:tr>
      <w:tr>
        <w:trPr>
          <w:trHeight w:val="214"/>
        </w:trPr>
        <w:tc>
          <w:tcPr>
            <w:tcW w:w="1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Control</w:t>
            </w:r>
          </w:p>
        </w:tc>
        <w:tc>
          <w:tcPr>
            <w:tcW w:w="72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Hosts adjacent security and IT controls to improve security posture and Hybrid-IT operations</w:t>
            </w:r>
          </w:p>
        </w:tc>
      </w:tr>
      <w:tr>
        <w:trPr>
          <w:trHeight w:val="110"/>
        </w:trPr>
        <w:tc>
          <w:tcPr>
            <w:tcW w:w="1120" w:type="dxa"/>
            <w:vAlign w:val="bottom"/>
          </w:tcPr>
          <w:p>
            <w:pPr>
              <w:spacing w:after="0"/>
              <w:rPr>
                <w:sz w:val="9"/>
                <w:szCs w:val="9"/>
                <w:color w:val="auto"/>
              </w:rPr>
            </w:pPr>
          </w:p>
        </w:tc>
        <w:tc>
          <w:tcPr>
            <w:tcW w:w="7240" w:type="dxa"/>
            <w:vAlign w:val="bottom"/>
            <w:gridSpan w:val="2"/>
          </w:tcPr>
          <w:p>
            <w:pPr>
              <w:spacing w:after="0"/>
              <w:rPr>
                <w:sz w:val="9"/>
                <w:szCs w:val="9"/>
                <w:color w:val="auto"/>
              </w:rPr>
            </w:pPr>
          </w:p>
        </w:tc>
      </w:tr>
      <w:tr>
        <w:trPr>
          <w:trHeight w:val="191"/>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Data</w:t>
            </w:r>
          </w:p>
        </w:tc>
        <w:tc>
          <w:tcPr>
            <w:tcW w:w="7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Localizes data aggregation, staging, analytics, streaming and data management to optimize data exchange and</w:t>
            </w:r>
          </w:p>
        </w:tc>
        <w:tc>
          <w:tcPr>
            <w:tcW w:w="60" w:type="dxa"/>
            <w:vAlign w:val="bottom"/>
          </w:tcPr>
          <w:p>
            <w:pPr>
              <w:spacing w:after="0"/>
              <w:rPr>
                <w:sz w:val="16"/>
                <w:szCs w:val="16"/>
                <w:color w:val="auto"/>
              </w:rPr>
            </w:pPr>
          </w:p>
        </w:tc>
      </w:tr>
      <w:tr>
        <w:trPr>
          <w:trHeight w:val="203"/>
        </w:trPr>
        <w:tc>
          <w:tcPr>
            <w:tcW w:w="1120" w:type="dxa"/>
            <w:vAlign w:val="bottom"/>
            <w:shd w:val="clear" w:color="auto" w:fill="CCEEFF"/>
          </w:tcPr>
          <w:p>
            <w:pPr>
              <w:spacing w:after="0"/>
              <w:rPr>
                <w:sz w:val="17"/>
                <w:szCs w:val="17"/>
                <w:color w:val="auto"/>
              </w:rPr>
            </w:pPr>
          </w:p>
        </w:tc>
        <w:tc>
          <w:tcPr>
            <w:tcW w:w="7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Private AI workloads</w:t>
            </w:r>
          </w:p>
        </w:tc>
        <w:tc>
          <w:tcPr>
            <w:tcW w:w="60" w:type="dxa"/>
            <w:vAlign w:val="bottom"/>
          </w:tcPr>
          <w:p>
            <w:pPr>
              <w:spacing w:after="0"/>
              <w:rPr>
                <w:sz w:val="17"/>
                <w:szCs w:val="17"/>
                <w:color w:val="auto"/>
              </w:rPr>
            </w:pPr>
          </w:p>
        </w:tc>
      </w:tr>
      <w:tr>
        <w:trPr>
          <w:trHeight w:val="577"/>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High Density</w:t>
            </w:r>
          </w:p>
        </w:tc>
        <w:tc>
          <w:tcPr>
            <w:tcW w:w="7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8"/>
              </w:rPr>
              <w:t>Supports advances in mechanical cooling for next generation chipsets / infrastructure, maximizing performance</w:t>
            </w:r>
          </w:p>
        </w:tc>
        <w:tc>
          <w:tcPr>
            <w:tcW w:w="60" w:type="dxa"/>
            <w:vAlign w:val="bottom"/>
          </w:tcPr>
          <w:p>
            <w:pPr>
              <w:spacing w:after="0"/>
              <w:rPr>
                <w:sz w:val="24"/>
                <w:szCs w:val="24"/>
                <w:color w:val="auto"/>
              </w:rPr>
            </w:pPr>
          </w:p>
        </w:tc>
      </w:tr>
      <w:tr>
        <w:trPr>
          <w:trHeight w:val="203"/>
        </w:trPr>
        <w:tc>
          <w:tcPr>
            <w:tcW w:w="1120" w:type="dxa"/>
            <w:vAlign w:val="bottom"/>
            <w:shd w:val="clear" w:color="auto" w:fill="CCEEFF"/>
          </w:tcPr>
          <w:p>
            <w:pPr>
              <w:spacing w:after="0"/>
              <w:rPr>
                <w:sz w:val="17"/>
                <w:szCs w:val="17"/>
                <w:color w:val="auto"/>
              </w:rPr>
            </w:pPr>
          </w:p>
        </w:tc>
        <w:tc>
          <w:tcPr>
            <w:tcW w:w="7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of customer data center infrastructure</w:t>
            </w:r>
          </w:p>
        </w:tc>
        <w:tc>
          <w:tcPr>
            <w:tcW w:w="60" w:type="dxa"/>
            <w:vAlign w:val="bottom"/>
          </w:tcPr>
          <w:p>
            <w:pPr>
              <w:spacing w:after="0"/>
              <w:rPr>
                <w:sz w:val="17"/>
                <w:szCs w:val="17"/>
                <w:color w:val="auto"/>
              </w:rPr>
            </w:pPr>
          </w:p>
        </w:tc>
      </w:tr>
      <w:tr>
        <w:trPr>
          <w:trHeight w:val="110"/>
        </w:trPr>
        <w:tc>
          <w:tcPr>
            <w:tcW w:w="1120" w:type="dxa"/>
            <w:vAlign w:val="bottom"/>
            <w:shd w:val="clear" w:color="auto" w:fill="CCEEFF"/>
          </w:tcPr>
          <w:p>
            <w:pPr>
              <w:spacing w:after="0"/>
              <w:rPr>
                <w:sz w:val="9"/>
                <w:szCs w:val="9"/>
                <w:color w:val="auto"/>
              </w:rPr>
            </w:pPr>
          </w:p>
        </w:tc>
        <w:tc>
          <w:tcPr>
            <w:tcW w:w="7180" w:type="dxa"/>
            <w:vAlign w:val="bottom"/>
            <w:shd w:val="clear" w:color="auto" w:fill="CCEEFF"/>
          </w:tcPr>
          <w:p>
            <w:pPr>
              <w:spacing w:after="0"/>
              <w:rPr>
                <w:sz w:val="9"/>
                <w:szCs w:val="9"/>
                <w:color w:val="auto"/>
              </w:rPr>
            </w:pPr>
          </w:p>
        </w:tc>
        <w:tc>
          <w:tcPr>
            <w:tcW w:w="60" w:type="dxa"/>
            <w:vAlign w:val="bottom"/>
          </w:tcPr>
          <w:p>
            <w:pPr>
              <w:spacing w:after="0"/>
              <w:rPr>
                <w:sz w:val="9"/>
                <w:szCs w:val="9"/>
                <w:color w:val="auto"/>
              </w:rPr>
            </w:pPr>
          </w:p>
        </w:tc>
      </w:tr>
      <w:tr>
        <w:trPr>
          <w:trHeight w:val="574"/>
        </w:trPr>
        <w:tc>
          <w:tcPr>
            <w:tcW w:w="1120" w:type="dxa"/>
            <w:vAlign w:val="bottom"/>
          </w:tcPr>
          <w:p>
            <w:pPr>
              <w:spacing w:after="0"/>
              <w:rPr>
                <w:sz w:val="24"/>
                <w:szCs w:val="24"/>
                <w:color w:val="auto"/>
              </w:rPr>
            </w:pPr>
          </w:p>
        </w:tc>
        <w:tc>
          <w:tcPr>
            <w:tcW w:w="7180" w:type="dxa"/>
            <w:vAlign w:val="bottom"/>
          </w:tcPr>
          <w:p>
            <w:pPr>
              <w:ind w:left="3020"/>
              <w:spacing w:after="0"/>
              <w:rPr>
                <w:sz w:val="20"/>
                <w:szCs w:val="20"/>
                <w:color w:val="auto"/>
              </w:rPr>
            </w:pPr>
            <w:r>
              <w:rPr>
                <w:rFonts w:ascii="Times New Roman" w:cs="Times New Roman" w:eastAsia="Times New Roman" w:hAnsi="Times New Roman"/>
                <w:sz w:val="16"/>
                <w:szCs w:val="16"/>
                <w:color w:val="auto"/>
              </w:rPr>
              <w:t>4</w:t>
            </w:r>
          </w:p>
        </w:tc>
        <w:tc>
          <w:tcPr>
            <w:tcW w:w="60" w:type="dxa"/>
            <w:vAlign w:val="bottom"/>
          </w:tcPr>
          <w:p>
            <w:pPr>
              <w:spacing w:after="0"/>
              <w:rPr>
                <w:sz w:val="24"/>
                <w:szCs w:val="24"/>
                <w:color w:val="auto"/>
              </w:rPr>
            </w:pPr>
          </w:p>
        </w:tc>
      </w:tr>
      <w:tr>
        <w:trPr>
          <w:trHeight w:val="474"/>
        </w:trPr>
        <w:tc>
          <w:tcPr>
            <w:tcW w:w="1120" w:type="dxa"/>
            <w:vAlign w:val="bottom"/>
            <w:tcBorders>
              <w:bottom w:val="single" w:sz="8" w:color="auto"/>
            </w:tcBorders>
          </w:tcPr>
          <w:p>
            <w:pPr>
              <w:spacing w:after="0"/>
              <w:rPr>
                <w:sz w:val="24"/>
                <w:szCs w:val="24"/>
                <w:color w:val="auto"/>
              </w:rPr>
            </w:pPr>
          </w:p>
        </w:tc>
        <w:tc>
          <w:tcPr>
            <w:tcW w:w="7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40" w:orient="portrait"/>
          <w:cols w:equalWidth="0" w:num="1">
            <w:col w:w="9020"/>
          </w:cols>
          <w:pgMar w:left="1440" w:top="557" w:right="1440" w:bottom="1440" w:gutter="0" w:footer="0" w:header="0"/>
        </w:sectPr>
      </w:pPr>
    </w:p>
    <w:bookmarkStart w:id="9" w:name="page10"/>
    <w:bookmarkEnd w:id="9"/>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229235</wp:posOffset>
            </wp:positionV>
            <wp:extent cx="532003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20030" cy="7620"/>
                    </a:xfrm>
                    <a:prstGeom prst="rect">
                      <a:avLst/>
                    </a:prstGeom>
                    <a:noFill/>
                  </pic:spPr>
                </pic:pic>
              </a:graphicData>
            </a:graphic>
          </wp:anchor>
        </w:drawing>
      </w:r>
    </w:p>
    <w:p>
      <w:pPr>
        <w:spacing w:after="0" w:line="362"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2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Product Types</w:t>
            </w:r>
          </w:p>
        </w:tc>
        <w:tc>
          <w:tcPr>
            <w:tcW w:w="120" w:type="dxa"/>
            <w:vAlign w:val="bottom"/>
            <w:tcBorders>
              <w:bottom w:val="single" w:sz="8" w:color="CCEEFF"/>
            </w:tcBorders>
          </w:tcPr>
          <w:p>
            <w:pPr>
              <w:spacing w:after="0"/>
              <w:rPr>
                <w:sz w:val="18"/>
                <w:szCs w:val="18"/>
                <w:color w:val="auto"/>
              </w:rPr>
            </w:pPr>
          </w:p>
        </w:tc>
        <w:tc>
          <w:tcPr>
            <w:tcW w:w="5800" w:type="dxa"/>
            <w:vAlign w:val="bottom"/>
            <w:tcBorders>
              <w:bottom w:val="single" w:sz="8" w:color="auto"/>
            </w:tcBorders>
          </w:tcPr>
          <w:p>
            <w:pPr>
              <w:ind w:left="252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90"/>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0 to 1 MW</w:t>
            </w:r>
          </w:p>
        </w:tc>
        <w:tc>
          <w:tcPr>
            <w:tcW w:w="120" w:type="dxa"/>
            <w:vAlign w:val="bottom"/>
            <w:shd w:val="clear" w:color="auto" w:fill="CCEEFF"/>
          </w:tcPr>
          <w:p>
            <w:pPr>
              <w:spacing w:after="0"/>
              <w:rPr>
                <w:sz w:val="16"/>
                <w:szCs w:val="16"/>
                <w:color w:val="auto"/>
              </w:rPr>
            </w:pPr>
          </w:p>
        </w:tc>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Small (one cabinet) to medium (150 cabinets) deployments</w:t>
            </w:r>
          </w:p>
        </w:tc>
      </w:tr>
      <w:tr>
        <w:trPr>
          <w:trHeight w:val="180"/>
        </w:trPr>
        <w:tc>
          <w:tcPr>
            <w:tcW w:w="24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(Colocation)</w:t>
            </w:r>
          </w:p>
        </w:tc>
        <w:tc>
          <w:tcPr>
            <w:tcW w:w="120" w:type="dxa"/>
            <w:vAlign w:val="bottom"/>
            <w:shd w:val="clear" w:color="auto" w:fill="CCEEFF"/>
          </w:tcPr>
          <w:p>
            <w:pPr>
              <w:spacing w:after="0"/>
              <w:rPr>
                <w:sz w:val="15"/>
                <w:szCs w:val="15"/>
                <w:color w:val="auto"/>
              </w:rPr>
            </w:pPr>
          </w:p>
        </w:tc>
        <w:tc>
          <w:tcPr>
            <w:tcW w:w="580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Provides agility to quickly deploy in days</w:t>
            </w:r>
          </w:p>
        </w:tc>
      </w:tr>
      <w:tr>
        <w:trPr>
          <w:trHeight w:val="180"/>
        </w:trPr>
        <w:tc>
          <w:tcPr>
            <w:tcW w:w="2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Contract length generally 2-5 years</w:t>
            </w:r>
          </w:p>
        </w:tc>
      </w:tr>
      <w:tr>
        <w:trPr>
          <w:trHeight w:val="217"/>
        </w:trPr>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Consistent designs, operational environment, power expenses</w:t>
            </w:r>
          </w:p>
        </w:tc>
      </w:tr>
      <w:tr>
        <w:trPr>
          <w:trHeight w:val="191"/>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&gt; 1 MW</w:t>
            </w:r>
          </w:p>
        </w:tc>
        <w:tc>
          <w:tcPr>
            <w:tcW w:w="120" w:type="dxa"/>
            <w:vAlign w:val="bottom"/>
          </w:tcPr>
          <w:p>
            <w:pPr>
              <w:spacing w:after="0"/>
              <w:rPr>
                <w:sz w:val="16"/>
                <w:szCs w:val="16"/>
                <w:color w:val="auto"/>
              </w:rPr>
            </w:pPr>
          </w:p>
        </w:tc>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Scale from medium to very large deployments</w:t>
            </w:r>
          </w:p>
        </w:tc>
      </w:tr>
      <w:tr>
        <w:trPr>
          <w:trHeight w:val="180"/>
        </w:trPr>
        <w:tc>
          <w:tcPr>
            <w:tcW w:w="24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(Scale &amp; Hyperscale</w:t>
            </w:r>
          </w:p>
        </w:tc>
        <w:tc>
          <w:tcPr>
            <w:tcW w:w="120" w:type="dxa"/>
            <w:vAlign w:val="bottom"/>
          </w:tcPr>
          <w:p>
            <w:pPr>
              <w:spacing w:after="0"/>
              <w:rPr>
                <w:sz w:val="15"/>
                <w:szCs w:val="15"/>
                <w:color w:val="auto"/>
              </w:rPr>
            </w:pPr>
          </w:p>
        </w:tc>
        <w:tc>
          <w:tcPr>
            <w:tcW w:w="58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Solution can be executed in weeks</w:t>
            </w:r>
          </w:p>
        </w:tc>
      </w:tr>
      <w:tr>
        <w:trPr>
          <w:trHeight w:val="180"/>
        </w:trPr>
        <w:tc>
          <w:tcPr>
            <w:tcW w:w="24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Powered Base Building</w:t>
            </w:r>
            <w:r>
              <w:rPr>
                <w:rFonts w:ascii="Times New Roman" w:cs="Times New Roman" w:eastAsia="Times New Roman" w:hAnsi="Times New Roman"/>
                <w:sz w:val="12"/>
                <w:szCs w:val="12"/>
                <w:color w:val="auto"/>
                <w:vertAlign w:val="superscript"/>
              </w:rPr>
              <w:t>®</w:t>
            </w: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58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Contract length generally 5-10+ years</w:t>
            </w:r>
          </w:p>
        </w:tc>
      </w:tr>
      <w:tr>
        <w:trPr>
          <w:trHeight w:val="203"/>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Customized data center environment for specific deployment needs</w:t>
            </w:r>
          </w:p>
        </w:tc>
      </w:tr>
    </w:tbl>
    <w:p>
      <w:pPr>
        <w:spacing w:after="0" w:line="183" w:lineRule="exact"/>
        <w:rPr>
          <w:sz w:val="20"/>
          <w:szCs w:val="20"/>
          <w:color w:val="auto"/>
        </w:rPr>
      </w:pPr>
    </w:p>
    <w:p>
      <w:pPr>
        <w:ind w:left="320" w:right="340"/>
        <w:spacing w:after="0" w:line="226" w:lineRule="auto"/>
        <w:rPr>
          <w:sz w:val="20"/>
          <w:szCs w:val="20"/>
          <w:color w:val="auto"/>
        </w:rPr>
      </w:pPr>
      <w:r>
        <w:rPr>
          <w:rFonts w:ascii="Times New Roman" w:cs="Times New Roman" w:eastAsia="Times New Roman" w:hAnsi="Times New Roman"/>
          <w:sz w:val="16"/>
          <w:szCs w:val="16"/>
          <w:color w:val="auto"/>
        </w:rPr>
        <w:t>The PlatformDIGITAL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6"/>
          <w:szCs w:val="16"/>
          <w:color w:val="auto"/>
        </w:rPr>
        <w:t xml:space="preserve"> solution model is available in our colocation and scale data centers, which are move-in ready, physically secure facilities with the power, cooling and interconnection capabilities to support customers requiring a cabinet, cage, suite or entire hall or building. We believe our colocation facilities are effective solutions for customers who may lack the bandwidth, capital budget, expertise or desire to provide their own extensive data center infrastructure, management and security. We believe our offerings are also well-suited for those customers who seek to efficiently exchange data with others in our connected data communities lowering their costs and creating value for their business. For customers who possess the ability to build and operate their own facility, our Powered Base Building® solution provides the physical location, requisite power and network access necessary to support a state-of-the-art data center.</w:t>
      </w:r>
    </w:p>
    <w:p>
      <w:pPr>
        <w:spacing w:after="0" w:line="170" w:lineRule="exact"/>
        <w:rPr>
          <w:sz w:val="20"/>
          <w:szCs w:val="20"/>
          <w:color w:val="auto"/>
        </w:rPr>
      </w:pPr>
    </w:p>
    <w:p>
      <w:pPr>
        <w:ind w:left="320" w:right="340"/>
        <w:spacing w:after="0" w:line="259" w:lineRule="auto"/>
        <w:rPr>
          <w:sz w:val="20"/>
          <w:szCs w:val="20"/>
          <w:color w:val="auto"/>
        </w:rPr>
      </w:pPr>
      <w:r>
        <w:rPr>
          <w:rFonts w:ascii="Times New Roman" w:cs="Times New Roman" w:eastAsia="Times New Roman" w:hAnsi="Times New Roman"/>
          <w:sz w:val="16"/>
          <w:szCs w:val="16"/>
          <w:color w:val="auto"/>
        </w:rPr>
        <w:t>Additionally, our data center campuses offer our customers the opportunity to expand in or near their existing deployments within our data center campuses.</w:t>
      </w:r>
    </w:p>
    <w:p>
      <w:pPr>
        <w:spacing w:after="0" w:line="1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Connectivity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130175</wp:posOffset>
            </wp:positionV>
            <wp:extent cx="532003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2003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p>
      <w:pPr>
        <w:spacing w:after="0" w:line="2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Product</w:t>
      </w:r>
    </w:p>
    <w:p>
      <w:pPr>
        <w:spacing w:after="0" w:line="14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Cross Connect</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Campus Connect</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-1473835</wp:posOffset>
            </wp:positionH>
            <wp:positionV relativeFrom="paragraph">
              <wp:posOffset>22225</wp:posOffset>
            </wp:positionV>
            <wp:extent cx="5320030" cy="266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20030" cy="266700"/>
                    </a:xfrm>
                    <a:prstGeom prst="rect">
                      <a:avLst/>
                    </a:prstGeom>
                    <a:noFill/>
                  </pic:spPr>
                </pic:pic>
              </a:graphicData>
            </a:graphic>
          </wp:anchor>
        </w:drawing>
      </w:r>
    </w:p>
    <w:p>
      <w:pPr>
        <w:spacing w:after="0" w:line="38" w:lineRule="exact"/>
        <w:rPr>
          <w:sz w:val="20"/>
          <w:szCs w:val="20"/>
          <w:color w:val="auto"/>
        </w:rPr>
      </w:pPr>
    </w:p>
    <w:p>
      <w:pPr>
        <w:ind w:right="680"/>
        <w:spacing w:after="0" w:line="259" w:lineRule="auto"/>
        <w:rPr>
          <w:sz w:val="20"/>
          <w:szCs w:val="20"/>
          <w:color w:val="auto"/>
        </w:rPr>
      </w:pPr>
      <w:r>
        <w:rPr>
          <w:rFonts w:ascii="Times New Roman" w:cs="Times New Roman" w:eastAsia="Times New Roman" w:hAnsi="Times New Roman"/>
          <w:sz w:val="16"/>
          <w:szCs w:val="16"/>
          <w:color w:val="auto"/>
        </w:rPr>
        <w:t>A physical connection between two customer defined end points in a Digital Realty facility enabling customers to directly exchange data traffic</w:t>
      </w:r>
    </w:p>
    <w:p>
      <w:pPr>
        <w:spacing w:after="0" w:line="11" w:lineRule="exact"/>
        <w:rPr>
          <w:sz w:val="20"/>
          <w:szCs w:val="20"/>
          <w:color w:val="auto"/>
        </w:rPr>
      </w:pPr>
    </w:p>
    <w:p>
      <w:pPr>
        <w:ind w:right="580"/>
        <w:spacing w:after="0" w:line="247" w:lineRule="auto"/>
        <w:rPr>
          <w:sz w:val="20"/>
          <w:szCs w:val="20"/>
          <w:color w:val="auto"/>
        </w:rPr>
      </w:pPr>
      <w:r>
        <w:rPr>
          <w:rFonts w:ascii="Times New Roman" w:cs="Times New Roman" w:eastAsia="Times New Roman" w:hAnsi="Times New Roman"/>
          <w:sz w:val="16"/>
          <w:szCs w:val="16"/>
          <w:color w:val="auto"/>
        </w:rPr>
        <w:t>Local, dedicated connectivity solution within Digital Realty campus environments located in hyperconnected metros around the world enabling multiple facilities on a single campus to exchange data traffic and therefore operate as a virtual single data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-1473835</wp:posOffset>
            </wp:positionH>
            <wp:positionV relativeFrom="paragraph">
              <wp:posOffset>5715</wp:posOffset>
            </wp:positionV>
            <wp:extent cx="5320030" cy="6324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20030" cy="632460"/>
                    </a:xfrm>
                    <a:prstGeom prst="rect">
                      <a:avLst/>
                    </a:prstGeom>
                    <a:noFill/>
                  </pic:spPr>
                </pic:pic>
              </a:graphicData>
            </a:graphic>
          </wp:anchor>
        </w:drawing>
      </w:r>
    </w:p>
    <w:p>
      <w:pPr>
        <w:spacing w:after="0" w:line="20" w:lineRule="exact"/>
        <w:rPr>
          <w:sz w:val="20"/>
          <w:szCs w:val="20"/>
          <w:color w:val="auto"/>
        </w:rPr>
      </w:pPr>
    </w:p>
    <w:p>
      <w:pPr>
        <w:sectPr>
          <w:pgSz w:w="11900" w:h="16840" w:orient="portrait"/>
          <w:cols w:equalWidth="0" w:num="2">
            <w:col w:w="1920" w:space="720"/>
            <w:col w:w="6380"/>
          </w:cols>
          <w:pgMar w:left="1440" w:top="557" w:right="1440" w:bottom="1440" w:gutter="0" w:footer="0" w:header="0"/>
          <w:type w:val="continuous"/>
        </w:sectPr>
      </w:pPr>
    </w:p>
    <w:p>
      <w:pPr>
        <w:spacing w:after="0" w:line="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Metro Connect</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ServiceFabric™</w:t>
      </w:r>
    </w:p>
    <w:p>
      <w:pPr>
        <w:spacing w:after="0" w:line="20" w:lineRule="exact"/>
        <w:rPr>
          <w:sz w:val="20"/>
          <w:szCs w:val="20"/>
          <w:color w:val="auto"/>
        </w:rPr>
      </w:pPr>
      <w:r>
        <w:rPr>
          <w:sz w:val="20"/>
          <w:szCs w:val="20"/>
          <w:color w:val="auto"/>
        </w:rPr>
        <w:br w:type="column"/>
      </w:r>
    </w:p>
    <w:p>
      <w:pPr>
        <w:ind w:right="460"/>
        <w:spacing w:after="0" w:line="259" w:lineRule="auto"/>
        <w:rPr>
          <w:sz w:val="20"/>
          <w:szCs w:val="20"/>
          <w:color w:val="auto"/>
        </w:rPr>
      </w:pPr>
      <w:r>
        <w:rPr>
          <w:rFonts w:ascii="Times New Roman" w:cs="Times New Roman" w:eastAsia="Times New Roman" w:hAnsi="Times New Roman"/>
          <w:sz w:val="16"/>
          <w:szCs w:val="16"/>
          <w:color w:val="auto"/>
        </w:rPr>
        <w:t>Dedicated connection between multiple Digital Realty facilities located in the same metro area enabling fast connectivity for data traffic between them</w:t>
      </w:r>
    </w:p>
    <w:p>
      <w:pPr>
        <w:spacing w:after="0" w:line="11" w:lineRule="exact"/>
        <w:rPr>
          <w:sz w:val="20"/>
          <w:szCs w:val="20"/>
          <w:color w:val="auto"/>
        </w:rPr>
      </w:pPr>
    </w:p>
    <w:p>
      <w:pPr>
        <w:ind w:right="380"/>
        <w:spacing w:after="0" w:line="247" w:lineRule="auto"/>
        <w:rPr>
          <w:sz w:val="20"/>
          <w:szCs w:val="20"/>
          <w:color w:val="auto"/>
        </w:rPr>
      </w:pPr>
      <w:r>
        <w:rPr>
          <w:rFonts w:ascii="Times New Roman" w:cs="Times New Roman" w:eastAsia="Times New Roman" w:hAnsi="Times New Roman"/>
          <w:sz w:val="16"/>
          <w:szCs w:val="16"/>
          <w:color w:val="auto"/>
        </w:rPr>
        <w:t>A global open orchestration platform enabling customers to easily provision global connectivity and orchestrate connected services across Digital Realty’s worldwide data center footprint and in third party locations</w:t>
      </w:r>
    </w:p>
    <w:p>
      <w:pPr>
        <w:spacing w:after="0" w:line="16" w:lineRule="exact"/>
        <w:rPr>
          <w:sz w:val="20"/>
          <w:szCs w:val="20"/>
          <w:color w:val="auto"/>
        </w:rPr>
      </w:pPr>
    </w:p>
    <w:p>
      <w:pPr>
        <w:sectPr>
          <w:pgSz w:w="11900" w:h="16840" w:orient="portrait"/>
          <w:cols w:equalWidth="0" w:num="2">
            <w:col w:w="1920" w:space="720"/>
            <w:col w:w="6380"/>
          </w:cols>
          <w:pgMar w:left="1440" w:top="557" w:right="1440" w:bottom="1440" w:gutter="0" w:footer="0" w:header="0"/>
          <w:type w:val="continuous"/>
        </w:sectPr>
      </w:pPr>
    </w:p>
    <w:tbl>
      <w:tblPr>
        <w:tblLayout w:type="fixed"/>
        <w:tblInd w:w="320" w:type="dxa"/>
        <w:tblCellMar>
          <w:top w:w="0" w:type="dxa"/>
          <w:left w:w="0" w:type="dxa"/>
          <w:bottom w:w="0" w:type="dxa"/>
          <w:right w:w="0" w:type="dxa"/>
        </w:tblCellMar>
      </w:tblPr>
      <w:tr>
        <w:trPr>
          <w:trHeight w:val="184"/>
        </w:trPr>
        <w:tc>
          <w:tcPr>
            <w:tcW w:w="1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IP Bandwidth</w:t>
            </w:r>
          </w:p>
        </w:tc>
        <w:tc>
          <w:tcPr>
            <w:tcW w:w="678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w w:val="97"/>
              </w:rPr>
              <w:t>Dedicated Internet Access using blend of ISPs. Provides customer with highly resilient customer</w:t>
            </w:r>
          </w:p>
        </w:tc>
        <w:tc>
          <w:tcPr>
            <w:tcW w:w="0" w:type="dxa"/>
            <w:vAlign w:val="bottom"/>
          </w:tcPr>
          <w:p>
            <w:pPr>
              <w:spacing w:after="0"/>
              <w:rPr>
                <w:sz w:val="1"/>
                <w:szCs w:val="1"/>
                <w:color w:val="auto"/>
              </w:rPr>
            </w:pPr>
          </w:p>
        </w:tc>
      </w:tr>
      <w:tr>
        <w:trPr>
          <w:trHeight w:val="107"/>
        </w:trPr>
        <w:tc>
          <w:tcPr>
            <w:tcW w:w="1600" w:type="dxa"/>
            <w:vAlign w:val="bottom"/>
            <w:vMerge w:val="continue"/>
          </w:tcPr>
          <w:p>
            <w:pPr>
              <w:spacing w:after="0"/>
              <w:rPr>
                <w:sz w:val="9"/>
                <w:szCs w:val="9"/>
                <w:color w:val="auto"/>
              </w:rPr>
            </w:pPr>
          </w:p>
        </w:tc>
        <w:tc>
          <w:tcPr>
            <w:tcW w:w="6780" w:type="dxa"/>
            <w:vAlign w:val="bottom"/>
            <w:gridSpan w:val="2"/>
            <w:vMerge w:val="restart"/>
          </w:tcPr>
          <w:p>
            <w:pPr>
              <w:ind w:left="720"/>
              <w:spacing w:after="0"/>
              <w:rPr>
                <w:sz w:val="20"/>
                <w:szCs w:val="20"/>
                <w:color w:val="auto"/>
              </w:rPr>
            </w:pPr>
            <w:r>
              <w:rPr>
                <w:rFonts w:ascii="Times New Roman" w:cs="Times New Roman" w:eastAsia="Times New Roman" w:hAnsi="Times New Roman"/>
                <w:sz w:val="16"/>
                <w:szCs w:val="16"/>
                <w:color w:val="auto"/>
              </w:rPr>
              <w:t>dedicated connections including Fixed and Burstable Service options</w:t>
            </w:r>
          </w:p>
        </w:tc>
        <w:tc>
          <w:tcPr>
            <w:tcW w:w="0" w:type="dxa"/>
            <w:vAlign w:val="bottom"/>
          </w:tcPr>
          <w:p>
            <w:pPr>
              <w:spacing w:after="0"/>
              <w:rPr>
                <w:sz w:val="1"/>
                <w:szCs w:val="1"/>
                <w:color w:val="auto"/>
              </w:rPr>
            </w:pPr>
          </w:p>
        </w:tc>
      </w:tr>
      <w:tr>
        <w:trPr>
          <w:trHeight w:val="103"/>
        </w:trPr>
        <w:tc>
          <w:tcPr>
            <w:tcW w:w="1600" w:type="dxa"/>
            <w:vAlign w:val="bottom"/>
          </w:tcPr>
          <w:p>
            <w:pPr>
              <w:spacing w:after="0"/>
              <w:rPr>
                <w:sz w:val="8"/>
                <w:szCs w:val="8"/>
                <w:color w:val="auto"/>
              </w:rPr>
            </w:pPr>
          </w:p>
        </w:tc>
        <w:tc>
          <w:tcPr>
            <w:tcW w:w="67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16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Pathway</w:t>
            </w:r>
          </w:p>
        </w:tc>
        <w:tc>
          <w:tcPr>
            <w:tcW w:w="67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w w:val="97"/>
              </w:rPr>
              <w:t>Conduit based access to support bulk fiber interconnection, typically terminating into the POP or</w:t>
            </w:r>
          </w:p>
        </w:tc>
        <w:tc>
          <w:tcPr>
            <w:tcW w:w="0" w:type="dxa"/>
            <w:vAlign w:val="bottom"/>
          </w:tcPr>
          <w:p>
            <w:pPr>
              <w:spacing w:after="0"/>
              <w:rPr>
                <w:sz w:val="1"/>
                <w:szCs w:val="1"/>
                <w:color w:val="auto"/>
              </w:rPr>
            </w:pPr>
          </w:p>
        </w:tc>
      </w:tr>
      <w:tr>
        <w:trPr>
          <w:trHeight w:val="107"/>
        </w:trPr>
        <w:tc>
          <w:tcPr>
            <w:tcW w:w="1600" w:type="dxa"/>
            <w:vAlign w:val="bottom"/>
            <w:vMerge w:val="continue"/>
            <w:shd w:val="clear" w:color="auto" w:fill="CCEEFF"/>
          </w:tcPr>
          <w:p>
            <w:pPr>
              <w:spacing w:after="0"/>
              <w:rPr>
                <w:sz w:val="9"/>
                <w:szCs w:val="9"/>
                <w:color w:val="auto"/>
              </w:rPr>
            </w:pPr>
          </w:p>
        </w:tc>
        <w:tc>
          <w:tcPr>
            <w:tcW w:w="678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Meet Me Room within a given facility</w:t>
            </w:r>
          </w:p>
        </w:tc>
        <w:tc>
          <w:tcPr>
            <w:tcW w:w="0" w:type="dxa"/>
            <w:vAlign w:val="bottom"/>
          </w:tcPr>
          <w:p>
            <w:pPr>
              <w:spacing w:after="0"/>
              <w:rPr>
                <w:sz w:val="1"/>
                <w:szCs w:val="1"/>
                <w:color w:val="auto"/>
              </w:rPr>
            </w:pPr>
          </w:p>
        </w:tc>
      </w:tr>
      <w:tr>
        <w:trPr>
          <w:trHeight w:val="110"/>
        </w:trPr>
        <w:tc>
          <w:tcPr>
            <w:tcW w:w="1600" w:type="dxa"/>
            <w:vAlign w:val="bottom"/>
            <w:shd w:val="clear" w:color="auto" w:fill="CCEEFF"/>
          </w:tcPr>
          <w:p>
            <w:pPr>
              <w:spacing w:after="0"/>
              <w:rPr>
                <w:sz w:val="9"/>
                <w:szCs w:val="9"/>
                <w:color w:val="auto"/>
              </w:rPr>
            </w:pPr>
          </w:p>
        </w:tc>
        <w:tc>
          <w:tcPr>
            <w:tcW w:w="678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754"/>
        </w:trPr>
        <w:tc>
          <w:tcPr>
            <w:tcW w:w="1600" w:type="dxa"/>
            <w:vAlign w:val="bottom"/>
          </w:tcPr>
          <w:p>
            <w:pPr>
              <w:spacing w:after="0"/>
              <w:rPr>
                <w:sz w:val="24"/>
                <w:szCs w:val="24"/>
                <w:color w:val="auto"/>
              </w:rPr>
            </w:pPr>
          </w:p>
        </w:tc>
        <w:tc>
          <w:tcPr>
            <w:tcW w:w="6760" w:type="dxa"/>
            <w:vAlign w:val="bottom"/>
          </w:tcPr>
          <w:p>
            <w:pPr>
              <w:ind w:left="2540"/>
              <w:spacing w:after="0"/>
              <w:rPr>
                <w:sz w:val="20"/>
                <w:szCs w:val="20"/>
                <w:color w:val="auto"/>
              </w:rPr>
            </w:pPr>
            <w:r>
              <w:rPr>
                <w:rFonts w:ascii="Times New Roman" w:cs="Times New Roman" w:eastAsia="Times New Roman" w:hAnsi="Times New Roman"/>
                <w:sz w:val="16"/>
                <w:szCs w:val="16"/>
                <w:color w:val="auto"/>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1600" w:type="dxa"/>
            <w:vAlign w:val="bottom"/>
            <w:tcBorders>
              <w:bottom w:val="single" w:sz="8" w:color="auto"/>
            </w:tcBorders>
          </w:tcPr>
          <w:p>
            <w:pPr>
              <w:spacing w:after="0"/>
              <w:rPr>
                <w:sz w:val="24"/>
                <w:szCs w:val="24"/>
                <w:color w:val="auto"/>
              </w:rPr>
            </w:pPr>
          </w:p>
        </w:tc>
        <w:tc>
          <w:tcPr>
            <w:tcW w:w="67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020"/>
          </w:cols>
          <w:pgMar w:left="1440" w:top="557" w:right="1440" w:bottom="1440" w:gutter="0" w:footer="0" w:header="0"/>
          <w:type w:val="continuous"/>
        </w:sectPr>
      </w:pPr>
    </w:p>
    <w:bookmarkStart w:id="10" w:name="page11"/>
    <w:bookmarkEnd w:id="10"/>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6" w:lineRule="exact"/>
        <w:rPr>
          <w:sz w:val="20"/>
          <w:szCs w:val="20"/>
          <w:color w:val="auto"/>
        </w:rPr>
      </w:pPr>
    </w:p>
    <w:p>
      <w:pPr>
        <w:ind w:left="320" w:right="580"/>
        <w:spacing w:after="0" w:line="241" w:lineRule="auto"/>
        <w:rPr>
          <w:sz w:val="20"/>
          <w:szCs w:val="20"/>
          <w:color w:val="auto"/>
        </w:rPr>
      </w:pPr>
      <w:r>
        <w:rPr>
          <w:rFonts w:ascii="Times New Roman" w:cs="Times New Roman" w:eastAsia="Times New Roman" w:hAnsi="Times New Roman"/>
          <w:sz w:val="16"/>
          <w:szCs w:val="16"/>
          <w:color w:val="auto"/>
        </w:rPr>
        <w:t>Through investments and strategic partnerships, we have significantly expanded our capabilities as a leading provider of interconnection and cloud-enablement services globally. We believe interconnection is an attractive line of business that would be difficult to build organically and enhances the overall value proposition of our data center product offerings. Through product offerings such as our ServiceFabric™ and partnerships with cloud service providers, we can support our customers’ hybrid cloud architecture requirements.</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Our Global Customers</w:t>
      </w:r>
    </w:p>
    <w:p>
      <w:pPr>
        <w:spacing w:after="0" w:line="190" w:lineRule="exact"/>
        <w:rPr>
          <w:sz w:val="20"/>
          <w:szCs w:val="20"/>
          <w:color w:val="auto"/>
        </w:rPr>
      </w:pPr>
    </w:p>
    <w:p>
      <w:pPr>
        <w:jc w:val="both"/>
        <w:ind w:left="320" w:right="380"/>
        <w:spacing w:after="0" w:line="331" w:lineRule="auto"/>
        <w:rPr>
          <w:sz w:val="20"/>
          <w:szCs w:val="20"/>
          <w:color w:val="auto"/>
        </w:rPr>
      </w:pPr>
      <w:r>
        <w:rPr>
          <w:rFonts w:ascii="Times New Roman" w:cs="Times New Roman" w:eastAsia="Times New Roman" w:hAnsi="Times New Roman"/>
          <w:sz w:val="14"/>
          <w:szCs w:val="14"/>
          <w:color w:val="auto"/>
        </w:rPr>
        <w:t>Our portfolio has attracted a high-quality, diversified mix of customers. We have more than 5,000 customers, and no single customer represented more than approximately 11.5% of the aggregate annualized recurring revenue of our portfolio as of December 31, 2024.</w:t>
      </w:r>
    </w:p>
    <w:p>
      <w:pPr>
        <w:spacing w:after="0" w:line="104" w:lineRule="exact"/>
        <w:rPr>
          <w:sz w:val="20"/>
          <w:szCs w:val="20"/>
          <w:color w:val="auto"/>
        </w:rPr>
      </w:pPr>
    </w:p>
    <w:p>
      <w:pPr>
        <w:ind w:left="320" w:right="420"/>
        <w:spacing w:after="0" w:line="239" w:lineRule="auto"/>
        <w:rPr>
          <w:sz w:val="20"/>
          <w:szCs w:val="20"/>
          <w:color w:val="auto"/>
        </w:rPr>
      </w:pPr>
      <w:r>
        <w:rPr>
          <w:rFonts w:ascii="Times New Roman" w:cs="Times New Roman" w:eastAsia="Times New Roman" w:hAnsi="Times New Roman"/>
          <w:sz w:val="16"/>
          <w:szCs w:val="16"/>
          <w:b w:val="1"/>
          <w:bCs w:val="1"/>
          <w:i w:val="1"/>
          <w:iCs w:val="1"/>
          <w:color w:val="auto"/>
        </w:rPr>
        <w:t>Global Customer Base across a Wide Variety of Industry Sectors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We use our in- depth knowledge of requirements for trends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impacting cloud and information technology service providers, content providers, network and communications providers, and other data center users, including enterprise customers, to market our data centers to meet these customers’ specific technology needs. Our customers are increasingly launching multi-regional deployments and growing with us globally. Our largest customer accounted for approximately 11.5% of our aggregate annualized recurring revenue as of December 31, 2024. No other single customer accounted for more than approximately 6.4% of the aggregate annualized recurring revenue of our portfolio. Our customers represent a variety of industry verticals, ranging from cloud and information technology services, communications and social networking to financial services, manufacturing, energy, gaming, life sciences and consumer products.</w:t>
      </w:r>
    </w:p>
    <w:p>
      <w:pPr>
        <w:spacing w:after="0" w:line="200" w:lineRule="exact"/>
        <w:rPr>
          <w:sz w:val="20"/>
          <w:szCs w:val="20"/>
          <w:color w:val="auto"/>
        </w:rPr>
      </w:pPr>
    </w:p>
    <w:p>
      <w:pPr>
        <w:spacing w:after="0" w:line="324" w:lineRule="exact"/>
        <w:rPr>
          <w:sz w:val="20"/>
          <w:szCs w:val="20"/>
          <w:color w:val="auto"/>
        </w:rPr>
      </w:pPr>
    </w:p>
    <w:tbl>
      <w:tblPr>
        <w:tblLayout w:type="fixed"/>
        <w:tblInd w:w="330" w:type="dxa"/>
        <w:tblCellMar>
          <w:top w:w="0" w:type="dxa"/>
          <w:left w:w="0" w:type="dxa"/>
          <w:bottom w:w="0" w:type="dxa"/>
          <w:right w:w="0" w:type="dxa"/>
        </w:tblCellMar>
      </w:tblPr>
      <w:tr>
        <w:trPr>
          <w:trHeight w:val="177"/>
        </w:trPr>
        <w:tc>
          <w:tcPr>
            <w:tcW w:w="3060" w:type="dxa"/>
            <w:vAlign w:val="bottom"/>
            <w:tcBorders>
              <w:top w:val="single" w:sz="8" w:color="auto"/>
              <w:left w:val="single" w:sz="8" w:color="auto"/>
              <w:right w:val="single" w:sz="8" w:color="auto"/>
            </w:tcBorders>
          </w:tcPr>
          <w:p>
            <w:pPr>
              <w:ind w:left="20"/>
              <w:spacing w:after="0" w:line="177" w:lineRule="exact"/>
              <w:rPr>
                <w:sz w:val="20"/>
                <w:szCs w:val="20"/>
                <w:color w:val="auto"/>
              </w:rPr>
            </w:pPr>
            <w:r>
              <w:rPr>
                <w:rFonts w:ascii="Times New Roman" w:cs="Times New Roman" w:eastAsia="Times New Roman" w:hAnsi="Times New Roman"/>
                <w:sz w:val="16"/>
                <w:szCs w:val="16"/>
                <w:b w:val="1"/>
                <w:bCs w:val="1"/>
                <w:color w:val="auto"/>
              </w:rPr>
              <w:t>Cloud and IT Services</w:t>
            </w:r>
          </w:p>
        </w:tc>
        <w:tc>
          <w:tcPr>
            <w:tcW w:w="2700" w:type="dxa"/>
            <w:vAlign w:val="bottom"/>
            <w:tcBorders>
              <w:top w:val="single" w:sz="8" w:color="auto"/>
              <w:right w:val="single" w:sz="8" w:color="auto"/>
            </w:tcBorders>
          </w:tcPr>
          <w:p>
            <w:pPr>
              <w:ind w:left="200"/>
              <w:spacing w:after="0" w:line="177" w:lineRule="exact"/>
              <w:rPr>
                <w:sz w:val="20"/>
                <w:szCs w:val="20"/>
                <w:color w:val="auto"/>
              </w:rPr>
            </w:pPr>
            <w:r>
              <w:rPr>
                <w:rFonts w:ascii="Times New Roman" w:cs="Times New Roman" w:eastAsia="Times New Roman" w:hAnsi="Times New Roman"/>
                <w:sz w:val="16"/>
                <w:szCs w:val="16"/>
                <w:b w:val="1"/>
                <w:bCs w:val="1"/>
                <w:color w:val="auto"/>
              </w:rPr>
              <w:t>Digital Content Providers and</w:t>
            </w:r>
          </w:p>
        </w:tc>
        <w:tc>
          <w:tcPr>
            <w:tcW w:w="2640" w:type="dxa"/>
            <w:vAlign w:val="bottom"/>
            <w:tcBorders>
              <w:top w:val="single" w:sz="8" w:color="auto"/>
              <w:right w:val="single" w:sz="8" w:color="auto"/>
            </w:tcBorders>
          </w:tcPr>
          <w:p>
            <w:pPr>
              <w:ind w:left="220"/>
              <w:spacing w:after="0" w:line="177" w:lineRule="exact"/>
              <w:rPr>
                <w:sz w:val="20"/>
                <w:szCs w:val="20"/>
                <w:color w:val="auto"/>
              </w:rPr>
            </w:pPr>
            <w:r>
              <w:rPr>
                <w:rFonts w:ascii="Times New Roman" w:cs="Times New Roman" w:eastAsia="Times New Roman" w:hAnsi="Times New Roman"/>
                <w:sz w:val="16"/>
                <w:szCs w:val="16"/>
                <w:b w:val="1"/>
                <w:bCs w:val="1"/>
                <w:color w:val="auto"/>
              </w:rPr>
              <w:t>Network and Mobile Services</w:t>
            </w:r>
          </w:p>
        </w:tc>
      </w:tr>
      <w:tr>
        <w:trPr>
          <w:trHeight w:val="195"/>
        </w:trPr>
        <w:tc>
          <w:tcPr>
            <w:tcW w:w="3060" w:type="dxa"/>
            <w:vAlign w:val="bottom"/>
            <w:tcBorders>
              <w:left w:val="single" w:sz="8" w:color="auto"/>
              <w:bottom w:val="single" w:sz="8" w:color="auto"/>
              <w:right w:val="single" w:sz="8" w:color="auto"/>
            </w:tcBorders>
          </w:tcPr>
          <w:p>
            <w:pPr>
              <w:spacing w:after="0"/>
              <w:rPr>
                <w:sz w:val="16"/>
                <w:szCs w:val="16"/>
                <w:color w:val="auto"/>
              </w:rPr>
            </w:pPr>
          </w:p>
        </w:tc>
        <w:tc>
          <w:tcPr>
            <w:tcW w:w="270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Financial Companies</w:t>
            </w:r>
          </w:p>
        </w:tc>
        <w:tc>
          <w:tcPr>
            <w:tcW w:w="2640" w:type="dxa"/>
            <w:vAlign w:val="bottom"/>
            <w:tcBorders>
              <w:bottom w:val="single" w:sz="8" w:color="auto"/>
              <w:right w:val="single" w:sz="8" w:color="auto"/>
            </w:tcBorders>
          </w:tcPr>
          <w:p>
            <w:pPr>
              <w:spacing w:after="0"/>
              <w:rPr>
                <w:sz w:val="16"/>
                <w:szCs w:val="16"/>
                <w:color w:val="auto"/>
              </w:rPr>
            </w:pPr>
          </w:p>
        </w:tc>
      </w:tr>
      <w:tr>
        <w:trPr>
          <w:trHeight w:val="159"/>
        </w:trPr>
        <w:tc>
          <w:tcPr>
            <w:tcW w:w="3060" w:type="dxa"/>
            <w:vAlign w:val="bottom"/>
            <w:tcBorders>
              <w:left w:val="single" w:sz="8" w:color="auto"/>
              <w:right w:val="single" w:sz="8" w:color="auto"/>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Fortune 50 Software Company</w:t>
            </w:r>
          </w:p>
        </w:tc>
        <w:tc>
          <w:tcPr>
            <w:tcW w:w="2700" w:type="dxa"/>
            <w:vAlign w:val="bottom"/>
            <w:tcBorders>
              <w:right w:val="single" w:sz="8" w:color="auto"/>
            </w:tcBorders>
            <w:shd w:val="clear" w:color="auto" w:fill="CCEEFF"/>
          </w:tcPr>
          <w:p>
            <w:pPr>
              <w:ind w:left="200"/>
              <w:spacing w:after="0" w:line="159" w:lineRule="exact"/>
              <w:rPr>
                <w:sz w:val="20"/>
                <w:szCs w:val="20"/>
                <w:color w:val="auto"/>
              </w:rPr>
            </w:pPr>
            <w:r>
              <w:rPr>
                <w:rFonts w:ascii="Times New Roman" w:cs="Times New Roman" w:eastAsia="Times New Roman" w:hAnsi="Times New Roman"/>
                <w:sz w:val="16"/>
                <w:szCs w:val="16"/>
                <w:color w:val="auto"/>
              </w:rPr>
              <w:t>Fortune 25 Investment Grade-Rated</w:t>
            </w:r>
          </w:p>
        </w:tc>
        <w:tc>
          <w:tcPr>
            <w:tcW w:w="2640" w:type="dxa"/>
            <w:vAlign w:val="bottom"/>
            <w:tcBorders>
              <w:right w:val="single" w:sz="8" w:color="auto"/>
            </w:tcBorders>
            <w:shd w:val="clear" w:color="auto" w:fill="CCEEFF"/>
          </w:tcPr>
          <w:p>
            <w:pPr>
              <w:ind w:left="220"/>
              <w:spacing w:after="0" w:line="159" w:lineRule="exact"/>
              <w:rPr>
                <w:sz w:val="20"/>
                <w:szCs w:val="20"/>
                <w:color w:val="auto"/>
              </w:rPr>
            </w:pPr>
            <w:r>
              <w:rPr>
                <w:rFonts w:ascii="Times New Roman" w:cs="Times New Roman" w:eastAsia="Times New Roman" w:hAnsi="Times New Roman"/>
                <w:sz w:val="16"/>
                <w:szCs w:val="16"/>
                <w:color w:val="auto"/>
              </w:rPr>
              <w:t>AT&amp;T</w:t>
            </w:r>
          </w:p>
        </w:tc>
      </w:tr>
      <w:tr>
        <w:trPr>
          <w:trHeight w:val="193"/>
        </w:trPr>
        <w:tc>
          <w:tcPr>
            <w:tcW w:w="3060" w:type="dxa"/>
            <w:vAlign w:val="bottom"/>
            <w:tcBorders>
              <w:left w:val="single" w:sz="8" w:color="auto"/>
              <w:right w:val="single" w:sz="8" w:color="auto"/>
            </w:tcBorders>
            <w:shd w:val="clear" w:color="auto" w:fill="CCEEFF"/>
          </w:tcPr>
          <w:p>
            <w:pPr>
              <w:spacing w:after="0"/>
              <w:rPr>
                <w:sz w:val="16"/>
                <w:szCs w:val="16"/>
                <w:color w:val="auto"/>
              </w:rPr>
            </w:pPr>
          </w:p>
        </w:tc>
        <w:tc>
          <w:tcPr>
            <w:tcW w:w="2700" w:type="dxa"/>
            <w:vAlign w:val="bottom"/>
            <w:tcBorders>
              <w:righ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Company</w:t>
            </w:r>
          </w:p>
        </w:tc>
        <w:tc>
          <w:tcPr>
            <w:tcW w:w="2640" w:type="dxa"/>
            <w:vAlign w:val="bottom"/>
            <w:tcBorders>
              <w:right w:val="single" w:sz="8" w:color="auto"/>
            </w:tcBorders>
            <w:shd w:val="clear" w:color="auto" w:fill="CCEEFF"/>
          </w:tcPr>
          <w:p>
            <w:pPr>
              <w:spacing w:after="0"/>
              <w:rPr>
                <w:sz w:val="16"/>
                <w:szCs w:val="16"/>
                <w:color w:val="auto"/>
              </w:rPr>
            </w:pPr>
          </w:p>
        </w:tc>
      </w:tr>
      <w:tr>
        <w:trPr>
          <w:trHeight w:val="203"/>
        </w:trPr>
        <w:tc>
          <w:tcPr>
            <w:tcW w:w="30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Global Cloud Provider</w:t>
            </w:r>
          </w:p>
        </w:tc>
        <w:tc>
          <w:tcPr>
            <w:tcW w:w="27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JPMorgan Chase &amp; Co.</w:t>
            </w:r>
          </w:p>
        </w:tc>
        <w:tc>
          <w:tcPr>
            <w:tcW w:w="26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Comcast Corporation</w:t>
            </w:r>
          </w:p>
        </w:tc>
      </w:tr>
      <w:tr>
        <w:trPr>
          <w:trHeight w:val="25"/>
        </w:trPr>
        <w:tc>
          <w:tcPr>
            <w:tcW w:w="3060" w:type="dxa"/>
            <w:vAlign w:val="bottom"/>
            <w:tcBorders>
              <w:left w:val="single" w:sz="8" w:color="auto"/>
              <w:right w:val="single" w:sz="8" w:color="auto"/>
            </w:tcBorders>
          </w:tcPr>
          <w:p>
            <w:pPr>
              <w:spacing w:after="0"/>
              <w:rPr>
                <w:sz w:val="2"/>
                <w:szCs w:val="2"/>
                <w:color w:val="auto"/>
              </w:rPr>
            </w:pPr>
          </w:p>
        </w:tc>
        <w:tc>
          <w:tcPr>
            <w:tcW w:w="2700" w:type="dxa"/>
            <w:vAlign w:val="bottom"/>
            <w:tcBorders>
              <w:right w:val="single" w:sz="8" w:color="auto"/>
            </w:tcBorders>
          </w:tcPr>
          <w:p>
            <w:pPr>
              <w:spacing w:after="0"/>
              <w:rPr>
                <w:sz w:val="2"/>
                <w:szCs w:val="2"/>
                <w:color w:val="auto"/>
              </w:rPr>
            </w:pPr>
          </w:p>
        </w:tc>
        <w:tc>
          <w:tcPr>
            <w:tcW w:w="2640" w:type="dxa"/>
            <w:vAlign w:val="bottom"/>
            <w:tcBorders>
              <w:right w:val="single" w:sz="8" w:color="auto"/>
            </w:tcBorders>
          </w:tcPr>
          <w:p>
            <w:pPr>
              <w:spacing w:after="0"/>
              <w:rPr>
                <w:sz w:val="2"/>
                <w:szCs w:val="2"/>
                <w:color w:val="auto"/>
              </w:rPr>
            </w:pPr>
          </w:p>
        </w:tc>
      </w:tr>
      <w:tr>
        <w:trPr>
          <w:trHeight w:val="208"/>
        </w:trPr>
        <w:tc>
          <w:tcPr>
            <w:tcW w:w="3060" w:type="dxa"/>
            <w:vAlign w:val="bottom"/>
            <w:tcBorders>
              <w:left w:val="single" w:sz="8" w:color="auto"/>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IBM</w:t>
            </w:r>
          </w:p>
        </w:tc>
        <w:tc>
          <w:tcPr>
            <w:tcW w:w="2700" w:type="dxa"/>
            <w:vAlign w:val="bottom"/>
            <w:tcBorders>
              <w:bottom w:val="single" w:sz="8" w:color="CCEEFF"/>
              <w:righ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LinkedIn Corporation</w:t>
            </w:r>
          </w:p>
        </w:tc>
        <w:tc>
          <w:tcPr>
            <w:tcW w:w="2640" w:type="dxa"/>
            <w:vAlign w:val="bottom"/>
            <w:tcBorders>
              <w:bottom w:val="single" w:sz="8" w:color="CCEEFF"/>
              <w:right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Lumen Technologies, Inc.</w:t>
            </w:r>
          </w:p>
        </w:tc>
      </w:tr>
      <w:tr>
        <w:trPr>
          <w:trHeight w:val="203"/>
        </w:trPr>
        <w:tc>
          <w:tcPr>
            <w:tcW w:w="30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Oracle Corporation</w:t>
            </w:r>
          </w:p>
        </w:tc>
        <w:tc>
          <w:tcPr>
            <w:tcW w:w="27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Meta Platforms, Inc.</w:t>
            </w:r>
          </w:p>
        </w:tc>
        <w:tc>
          <w:tcPr>
            <w:tcW w:w="26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Verizon</w:t>
            </w:r>
          </w:p>
        </w:tc>
      </w:tr>
      <w:tr>
        <w:trPr>
          <w:trHeight w:val="25"/>
        </w:trPr>
        <w:tc>
          <w:tcPr>
            <w:tcW w:w="306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r>
    </w:tbl>
    <w:p>
      <w:pPr>
        <w:spacing w:after="0" w:line="163" w:lineRule="exact"/>
        <w:rPr>
          <w:sz w:val="20"/>
          <w:szCs w:val="20"/>
          <w:color w:val="auto"/>
        </w:rPr>
      </w:pPr>
    </w:p>
    <w:p>
      <w:pPr>
        <w:ind w:left="320" w:right="400"/>
        <w:spacing w:after="0" w:line="302" w:lineRule="auto"/>
        <w:rPr>
          <w:sz w:val="20"/>
          <w:szCs w:val="20"/>
          <w:color w:val="auto"/>
        </w:rPr>
      </w:pPr>
      <w:r>
        <w:rPr>
          <w:rFonts w:ascii="Times New Roman" w:cs="Times New Roman" w:eastAsia="Times New Roman" w:hAnsi="Times New Roman"/>
          <w:sz w:val="14"/>
          <w:szCs w:val="14"/>
          <w:b w:val="1"/>
          <w:bCs w:val="1"/>
          <w:i w:val="1"/>
          <w:iCs w:val="1"/>
          <w:color w:val="auto"/>
        </w:rPr>
        <w:t>Proven Experience Attracting and Retaining Customers</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Our specialized data center salesforce, which is aligned to meet our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customers’ needs for global, enterprise and network solutions, provides a robust pipeline of new customers, while existing customers continue to grow and expand their utilization of our technology-enabled services to support a greater portion of their IT needs.</w:t>
      </w:r>
    </w:p>
    <w:p>
      <w:pPr>
        <w:spacing w:after="0" w:line="1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Our Design, Engineering and Construction Program</w:t>
      </w:r>
    </w:p>
    <w:p>
      <w:pPr>
        <w:spacing w:after="0" w:line="190" w:lineRule="exact"/>
        <w:rPr>
          <w:sz w:val="20"/>
          <w:szCs w:val="20"/>
          <w:color w:val="auto"/>
        </w:rPr>
      </w:pPr>
    </w:p>
    <w:p>
      <w:pPr>
        <w:ind w:left="320" w:right="340"/>
        <w:spacing w:after="0" w:line="238" w:lineRule="auto"/>
        <w:rPr>
          <w:sz w:val="20"/>
          <w:szCs w:val="20"/>
          <w:color w:val="auto"/>
        </w:rPr>
      </w:pPr>
      <w:r>
        <w:rPr>
          <w:rFonts w:ascii="Times New Roman" w:cs="Times New Roman" w:eastAsia="Times New Roman" w:hAnsi="Times New Roman"/>
          <w:sz w:val="16"/>
          <w:szCs w:val="16"/>
          <w:color w:val="auto"/>
        </w:rPr>
        <w:t>Our extensive development activity, operating scale and process-based approach to data center design and construction result in significant cost savings and added value for our customers. We have leveraged our purchasing power by securing global purchasing agreements and developing relationships with major equipment manufacturers, reducing costs and shortening delivery timeframes on key components, including major mechanical and electrical equipment. See "We and our customers may experience supply chain or procurement disruptions, or increased supply chain costs, which may lead to delays." in Item 1A. Risk Factors for further discussion. Utilizing our innovative modular data center design, we deliver what we believe to be a technically superior data center environment at significant cost savings and reduced time frames. Our access to capital and investment-grade ratings allow us to provide data center solutions for customers who do not want to invest their own capital.</w:t>
      </w: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1" w:name="page12"/>
    <w:bookmarkEnd w:id="11"/>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Our Investment Approach</w:t>
      </w:r>
    </w:p>
    <w:p>
      <w:pPr>
        <w:spacing w:after="0" w:line="190" w:lineRule="exact"/>
        <w:rPr>
          <w:sz w:val="20"/>
          <w:szCs w:val="20"/>
          <w:color w:val="auto"/>
        </w:rPr>
      </w:pPr>
    </w:p>
    <w:p>
      <w:pPr>
        <w:ind w:left="320" w:right="420"/>
        <w:spacing w:after="0" w:line="239" w:lineRule="auto"/>
        <w:rPr>
          <w:sz w:val="20"/>
          <w:szCs w:val="20"/>
          <w:color w:val="auto"/>
        </w:rPr>
      </w:pPr>
      <w:r>
        <w:rPr>
          <w:rFonts w:ascii="Times New Roman" w:cs="Times New Roman" w:eastAsia="Times New Roman" w:hAnsi="Times New Roman"/>
          <w:sz w:val="16"/>
          <w:szCs w:val="16"/>
          <w:color w:val="auto"/>
        </w:rPr>
        <w:t>We have developed detailed, standardized procedures for evaluating acquisitions and investments, including income-producing properties as well as vacant buildings and land suitable for development, to ensure that they meet our strategic, financial, technical and other criteria. These procedures, together with our in-depth knowledge of the technology, data center and real estate industries, allow us to identify strategically located properties and evaluate investment opportunities efficiently and, as appropriate, commit and close quickly. Our investment-grade ratings, along with our broad network of contacts within the data center industry, enable us to effectively capitalize on acquisition and investment opportunities.</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Our Management Team and Organization</w:t>
      </w:r>
    </w:p>
    <w:p>
      <w:pPr>
        <w:spacing w:after="0" w:line="190" w:lineRule="exact"/>
        <w:rPr>
          <w:sz w:val="20"/>
          <w:szCs w:val="20"/>
          <w:color w:val="auto"/>
        </w:rPr>
      </w:pPr>
    </w:p>
    <w:p>
      <w:pPr>
        <w:ind w:left="320" w:right="360"/>
        <w:spacing w:after="0" w:line="239" w:lineRule="auto"/>
        <w:rPr>
          <w:sz w:val="20"/>
          <w:szCs w:val="20"/>
          <w:color w:val="auto"/>
        </w:rPr>
      </w:pPr>
      <w:r>
        <w:rPr>
          <w:rFonts w:ascii="Times New Roman" w:cs="Times New Roman" w:eastAsia="Times New Roman" w:hAnsi="Times New Roman"/>
          <w:sz w:val="16"/>
          <w:szCs w:val="16"/>
          <w:color w:val="auto"/>
        </w:rPr>
        <w:t>Our senior management team has many years of experience in the technology and/or real estate industries, including experience as investors in and advisors to technology companies. We believe that our senior management team’s extensive knowledge of both the technology and the real estate industries provides us with a key competitive advantage. Further, a significant portion of compensation for our senior management team and directors is in the form of common equity interests in our Company. We also maintain minimum stock ownership requirements for our senior management team and directors, further aligning their interests with those of external stockholders, as well as an employee stock purchase plan, which encourages our employees to have ownership in the Company.</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Our Business and Growth Strategies</w:t>
      </w:r>
    </w:p>
    <w:p>
      <w:pPr>
        <w:spacing w:after="0" w:line="190" w:lineRule="exact"/>
        <w:rPr>
          <w:sz w:val="20"/>
          <w:szCs w:val="20"/>
          <w:color w:val="auto"/>
        </w:rPr>
      </w:pPr>
    </w:p>
    <w:p>
      <w:pPr>
        <w:ind w:left="320" w:right="400"/>
        <w:spacing w:after="0" w:line="241" w:lineRule="auto"/>
        <w:rPr>
          <w:sz w:val="20"/>
          <w:szCs w:val="20"/>
          <w:color w:val="auto"/>
        </w:rPr>
      </w:pPr>
      <w:r>
        <w:rPr>
          <w:rFonts w:ascii="Times New Roman" w:cs="Times New Roman" w:eastAsia="Times New Roman" w:hAnsi="Times New Roman"/>
          <w:sz w:val="16"/>
          <w:szCs w:val="16"/>
          <w:color w:val="auto"/>
        </w:rPr>
        <w:t>Our primary business objectives are to maximize: (i) sustainable long-term growth in earnings and funds from operations per share and unit, (ii) cash flow and returns to our stockholders and our Operating Partnership’s unitholders through the payment of dividends and distributions and (iii) return on invested capital. We expect to accomplish these objectives by achieving superior risk-adjusted returns, prudently allocating capital, diversifying our product offerings, accelerating our global reach and scale, and driving revenue growth and operating efficiencies.</w:t>
      </w:r>
    </w:p>
    <w:p>
      <w:pPr>
        <w:spacing w:after="0" w:line="167" w:lineRule="exact"/>
        <w:rPr>
          <w:sz w:val="20"/>
          <w:szCs w:val="20"/>
          <w:color w:val="auto"/>
        </w:rPr>
      </w:pPr>
    </w:p>
    <w:p>
      <w:pPr>
        <w:ind w:left="320" w:right="620"/>
        <w:spacing w:after="0"/>
        <w:rPr>
          <w:sz w:val="20"/>
          <w:szCs w:val="20"/>
          <w:color w:val="auto"/>
        </w:rPr>
      </w:pPr>
      <w:r>
        <w:rPr>
          <w:rFonts w:ascii="Times New Roman" w:cs="Times New Roman" w:eastAsia="Times New Roman" w:hAnsi="Times New Roman"/>
          <w:sz w:val="16"/>
          <w:szCs w:val="16"/>
          <w:b w:val="1"/>
          <w:bCs w:val="1"/>
          <w:color w:val="auto"/>
        </w:rPr>
        <w:t>Superior Risk-Adjusted Returns</w:t>
      </w:r>
      <w:r>
        <w:rPr>
          <w:rFonts w:ascii="Times New Roman" w:cs="Times New Roman" w:eastAsia="Times New Roman" w:hAnsi="Times New Roman"/>
          <w:sz w:val="16"/>
          <w:szCs w:val="16"/>
          <w:color w:val="auto"/>
        </w:rPr>
        <w:t>. We believe that achieving appropriate risk-adjusted returns on our business, including on our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development pipeline and leasing transactions, will deliver superior stockholder returns. We may continue to build out our development pipeline when justified by anticipated returns. We have established robust internal guidelines for reviewing and approving leasing transactions, which we believe will drive risk-adjusted returns. We also believe that providing an even stronger value proposition to our customers, including new and more comprehensive product offerings, as well as continuing to improve operational efficiencies, will further drive improved returns for our business.</w:t>
      </w:r>
    </w:p>
    <w:p>
      <w:pPr>
        <w:spacing w:after="0" w:line="168" w:lineRule="exact"/>
        <w:rPr>
          <w:sz w:val="20"/>
          <w:szCs w:val="20"/>
          <w:color w:val="auto"/>
        </w:rPr>
      </w:pPr>
    </w:p>
    <w:p>
      <w:pPr>
        <w:ind w:left="320" w:right="620"/>
        <w:spacing w:after="0" w:line="262" w:lineRule="auto"/>
        <w:rPr>
          <w:sz w:val="20"/>
          <w:szCs w:val="20"/>
          <w:color w:val="auto"/>
        </w:rPr>
      </w:pPr>
      <w:r>
        <w:rPr>
          <w:rFonts w:ascii="Times New Roman" w:cs="Times New Roman" w:eastAsia="Times New Roman" w:hAnsi="Times New Roman"/>
          <w:sz w:val="16"/>
          <w:szCs w:val="16"/>
          <w:b w:val="1"/>
          <w:bCs w:val="1"/>
          <w:color w:val="auto"/>
        </w:rPr>
        <w:t>Prudently Allocate Capital</w:t>
      </w:r>
      <w:r>
        <w:rPr>
          <w:rFonts w:ascii="Times New Roman" w:cs="Times New Roman" w:eastAsia="Times New Roman" w:hAnsi="Times New Roman"/>
          <w:sz w:val="16"/>
          <w:szCs w:val="16"/>
          <w:color w:val="auto"/>
        </w:rPr>
        <w:t>. We believe that the strategic deployment of capital at sufficiently positive spreads above our cost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capital enables us to increase cash flow and create long-term stockholder value.</w:t>
      </w:r>
    </w:p>
    <w:p>
      <w:pPr>
        <w:spacing w:after="0" w:line="150" w:lineRule="exact"/>
        <w:rPr>
          <w:sz w:val="20"/>
          <w:szCs w:val="20"/>
          <w:color w:val="auto"/>
        </w:rPr>
      </w:pPr>
    </w:p>
    <w:p>
      <w:pPr>
        <w:ind w:left="900" w:right="420"/>
        <w:spacing w:after="0" w:line="239" w:lineRule="auto"/>
        <w:rPr>
          <w:sz w:val="20"/>
          <w:szCs w:val="20"/>
          <w:color w:val="auto"/>
        </w:rPr>
      </w:pPr>
      <w:r>
        <w:rPr>
          <w:rFonts w:ascii="Times New Roman" w:cs="Times New Roman" w:eastAsia="Times New Roman" w:hAnsi="Times New Roman"/>
          <w:sz w:val="16"/>
          <w:szCs w:val="16"/>
          <w:i w:val="1"/>
          <w:iCs w:val="1"/>
          <w:color w:val="auto"/>
        </w:rPr>
        <w:t xml:space="preserve">Strategic and Complementary Investments. </w:t>
      </w:r>
      <w:r>
        <w:rPr>
          <w:rFonts w:ascii="Times New Roman" w:cs="Times New Roman" w:eastAsia="Times New Roman" w:hAnsi="Times New Roman"/>
          <w:sz w:val="16"/>
          <w:szCs w:val="16"/>
          <w:color w:val="auto"/>
        </w:rPr>
        <w:t>We have developed significant expertise at underwriting, financing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executing data center investment opportunities. We employ a collaborative approach to deal analysis, risk management and asset allocation, focusing on key elements, such as market fundamentals, accessibility to fiber and power, and the local regulatory environment. In addition, the specialized nature of data centers makes these investment opportunities more difficult for traditional real estate investors to underwrite, resulting in reduced competition for investments relative to other property types. We believe this dynamic creates an opportunity for us to generate attractive risk-adjusted returns on our capital.</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2" w:name="page13"/>
    <w:bookmarkEnd w:id="12"/>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ind w:left="900" w:right="300"/>
        <w:spacing w:after="0" w:line="237" w:lineRule="auto"/>
        <w:rPr>
          <w:sz w:val="20"/>
          <w:szCs w:val="20"/>
          <w:color w:val="auto"/>
        </w:rPr>
      </w:pPr>
      <w:r>
        <w:rPr>
          <w:rFonts w:ascii="Times New Roman" w:cs="Times New Roman" w:eastAsia="Times New Roman" w:hAnsi="Times New Roman"/>
          <w:sz w:val="16"/>
          <w:szCs w:val="16"/>
          <w:i w:val="1"/>
          <w:iCs w:val="1"/>
          <w:color w:val="auto"/>
        </w:rPr>
        <w:t xml:space="preserve">Preserve the Flexibility of Our Balance Sheet. </w:t>
      </w:r>
      <w:r>
        <w:rPr>
          <w:rFonts w:ascii="Times New Roman" w:cs="Times New Roman" w:eastAsia="Times New Roman" w:hAnsi="Times New Roman"/>
          <w:sz w:val="16"/>
          <w:szCs w:val="16"/>
          <w:color w:val="auto"/>
        </w:rPr>
        <w:t>We are committed to maintaining a conservative capital structure. Our goal 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average through business cycles the following financial ratios: 1) a debt -to -Adjusted EBITDA ratio around 5.5x, 2) a fixed charge coverage of greater than three times, and 3) floating rate debt at less than 20% of total outstanding debt. In addition, we strive to maintain a well-laddered debt maturity schedule, and we seek to maximize the menu of our available sources of capital, while minimizing the cost. Since Digital Realty Trust, Inc.’s initial public offering in 2004, we have raised approximately $74 billion of capital through common (excluding forward contracts), preferred and convertible preferred equity offerings, exchangeable debt offerings, non-exchangeable bond offerings, our Global Revolving Credit Facilities, our term loan facilities, a senior notes shelf facility, secured mortgage financings and re-financings, joint venture partnerships and the sale of non-core assets. We endeavor to maintain financial flexibility while using our liquidity and access to capital to support operations, our acquisition, investment, leasing and development programs and global campus expansion, which are important sources of our growth.</w:t>
      </w:r>
    </w:p>
    <w:p>
      <w:pPr>
        <w:spacing w:after="0" w:line="174" w:lineRule="exact"/>
        <w:rPr>
          <w:sz w:val="20"/>
          <w:szCs w:val="20"/>
          <w:color w:val="auto"/>
        </w:rPr>
      </w:pPr>
    </w:p>
    <w:p>
      <w:pPr>
        <w:ind w:left="320" w:right="680"/>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Leverage Technology to Develop Comprehensive and Diverse Products. </w:t>
      </w:r>
      <w:r>
        <w:rPr>
          <w:rFonts w:ascii="Times New Roman" w:cs="Times New Roman" w:eastAsia="Times New Roman" w:hAnsi="Times New Roman"/>
          <w:sz w:val="16"/>
          <w:szCs w:val="16"/>
          <w:color w:val="auto"/>
        </w:rPr>
        <w:t>We believe we have one of the most comprehensive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suites of global data center solutions available to customers from a single provider.</w:t>
      </w:r>
    </w:p>
    <w:p>
      <w:pPr>
        <w:spacing w:after="0" w:line="150" w:lineRule="exact"/>
        <w:rPr>
          <w:sz w:val="20"/>
          <w:szCs w:val="20"/>
          <w:color w:val="auto"/>
        </w:rPr>
      </w:pPr>
    </w:p>
    <w:p>
      <w:pPr>
        <w:ind w:left="900" w:right="500"/>
        <w:spacing w:after="0"/>
        <w:rPr>
          <w:sz w:val="20"/>
          <w:szCs w:val="20"/>
          <w:color w:val="auto"/>
        </w:rPr>
      </w:pPr>
      <w:r>
        <w:rPr>
          <w:rFonts w:ascii="Times New Roman" w:cs="Times New Roman" w:eastAsia="Times New Roman" w:hAnsi="Times New Roman"/>
          <w:sz w:val="16"/>
          <w:szCs w:val="16"/>
          <w:i w:val="1"/>
          <w:iCs w:val="1"/>
          <w:color w:val="auto"/>
        </w:rPr>
        <w:t>Global Service Infrastructure Platform</w:t>
      </w:r>
      <w:r>
        <w:rPr>
          <w:rFonts w:ascii="Times New Roman" w:cs="Times New Roman" w:eastAsia="Times New Roman" w:hAnsi="Times New Roman"/>
          <w:sz w:val="16"/>
          <w:szCs w:val="16"/>
          <w:color w:val="auto"/>
        </w:rPr>
        <w:t>. With our acquisitions, which extended our footprint further across Latin America,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Europe and Africa, enhanced our portfolio of scale and hyper-scale data centers in the U.S. and furthered our position as a leading provider of colocation, interconnection and cloud -enablement services globally, we are able to offer one of the industry’s broadest range of data center solutions to meet our customers’ needs, from a single rack or cabinet to multi-megawatt deployments. We believe our products like ServiceFabric™ and our partnerships with managed services and cloud service providers further enhance the attractiveness of our data centers.</w:t>
      </w:r>
    </w:p>
    <w:p>
      <w:pPr>
        <w:spacing w:after="0" w:line="168" w:lineRule="exact"/>
        <w:rPr>
          <w:sz w:val="20"/>
          <w:szCs w:val="20"/>
          <w:color w:val="auto"/>
        </w:rPr>
      </w:pPr>
    </w:p>
    <w:p>
      <w:pPr>
        <w:ind w:left="900" w:right="340"/>
        <w:spacing w:after="0" w:line="239" w:lineRule="auto"/>
        <w:rPr>
          <w:sz w:val="20"/>
          <w:szCs w:val="20"/>
          <w:color w:val="auto"/>
        </w:rPr>
      </w:pPr>
      <w:r>
        <w:rPr>
          <w:rFonts w:ascii="Times New Roman" w:cs="Times New Roman" w:eastAsia="Times New Roman" w:hAnsi="Times New Roman"/>
          <w:sz w:val="16"/>
          <w:szCs w:val="16"/>
          <w:i w:val="1"/>
          <w:iCs w:val="1"/>
          <w:color w:val="auto"/>
        </w:rPr>
        <w:t xml:space="preserve">Provide Foundational Services to Enable Customers and Partners. </w:t>
      </w:r>
      <w:r>
        <w:rPr>
          <w:rFonts w:ascii="Times New Roman" w:cs="Times New Roman" w:eastAsia="Times New Roman" w:hAnsi="Times New Roman"/>
          <w:sz w:val="16"/>
          <w:szCs w:val="16"/>
          <w:color w:val="auto"/>
        </w:rPr>
        <w:t>We believe that the platform, through which we offer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foundational services of space, power and connectivity, will enable our customers and partners to serve their customers and grow their businesses. We believe our Internet gateway data centers, individual data centers and data center campuses are attractive to a wide variety of customers and partners of all sizes. Furthermore, we believe our colocation and interconnection offerings, as well as the densely connected data communities that have developed within our facilities, and the availability and scalability of our comprehensive suite of products are valuable and critical to our customers and partners.</w:t>
      </w:r>
    </w:p>
    <w:p>
      <w:pPr>
        <w:spacing w:after="0" w:line="170" w:lineRule="exact"/>
        <w:rPr>
          <w:sz w:val="20"/>
          <w:szCs w:val="20"/>
          <w:color w:val="auto"/>
        </w:rPr>
      </w:pPr>
    </w:p>
    <w:p>
      <w:pPr>
        <w:jc w:val="both"/>
        <w:ind w:left="320" w:right="360"/>
        <w:spacing w:after="0"/>
        <w:rPr>
          <w:sz w:val="20"/>
          <w:szCs w:val="20"/>
          <w:color w:val="auto"/>
        </w:rPr>
      </w:pPr>
      <w:r>
        <w:rPr>
          <w:rFonts w:ascii="Times New Roman" w:cs="Times New Roman" w:eastAsia="Times New Roman" w:hAnsi="Times New Roman"/>
          <w:sz w:val="16"/>
          <w:szCs w:val="16"/>
          <w:b w:val="1"/>
          <w:bCs w:val="1"/>
          <w:color w:val="auto"/>
        </w:rPr>
        <w:t xml:space="preserve">Accelerate Global Reach and Scale. </w:t>
      </w:r>
      <w:r>
        <w:rPr>
          <w:rFonts w:ascii="Times New Roman" w:cs="Times New Roman" w:eastAsia="Times New Roman" w:hAnsi="Times New Roman"/>
          <w:sz w:val="16"/>
          <w:szCs w:val="16"/>
          <w:color w:val="auto"/>
        </w:rPr>
        <w:t>We have strategically pursued international expansion since our IPO in 2004 and now operate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across six continents. We believe that our global multi-product data center portfolio is a foundational element of our strategy and our scale and global platform represent key competitive advantages difficult to replicate. Customers and competitors are recognizing the value of interconnected scale, which aligns with our connected campus strategy that enables customers to “land and expand” with us. We expect to continue to source and execute strategic and complementary transactions to strengthen our data center portfolio, expand our global footprint and product mix, and enhance our scale.</w:t>
      </w:r>
    </w:p>
    <w:p>
      <w:pPr>
        <w:spacing w:after="0" w:line="168" w:lineRule="exact"/>
        <w:rPr>
          <w:sz w:val="20"/>
          <w:szCs w:val="20"/>
          <w:color w:val="auto"/>
        </w:rPr>
      </w:pPr>
    </w:p>
    <w:p>
      <w:pPr>
        <w:ind w:left="320" w:right="620"/>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Drive Revenue Growth and Operating Efficiencies. </w:t>
      </w:r>
      <w:r>
        <w:rPr>
          <w:rFonts w:ascii="Times New Roman" w:cs="Times New Roman" w:eastAsia="Times New Roman" w:hAnsi="Times New Roman"/>
          <w:sz w:val="16"/>
          <w:szCs w:val="16"/>
          <w:color w:val="auto"/>
        </w:rPr>
        <w:t>We aggressively manage our properties to maximize cash flow and control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costs by leveraging our scale to drive operating efficiencies.</w:t>
      </w:r>
    </w:p>
    <w:p>
      <w:pPr>
        <w:spacing w:after="0" w:line="150" w:lineRule="exact"/>
        <w:rPr>
          <w:sz w:val="20"/>
          <w:szCs w:val="20"/>
          <w:color w:val="auto"/>
        </w:rPr>
      </w:pPr>
    </w:p>
    <w:p>
      <w:pPr>
        <w:ind w:left="900" w:right="440"/>
        <w:spacing w:after="0" w:line="277" w:lineRule="auto"/>
        <w:rPr>
          <w:sz w:val="20"/>
          <w:szCs w:val="20"/>
          <w:color w:val="auto"/>
        </w:rPr>
      </w:pPr>
      <w:r>
        <w:rPr>
          <w:rFonts w:ascii="Times New Roman" w:cs="Times New Roman" w:eastAsia="Times New Roman" w:hAnsi="Times New Roman"/>
          <w:sz w:val="14"/>
          <w:szCs w:val="14"/>
          <w:i w:val="1"/>
          <w:iCs w:val="1"/>
          <w:color w:val="auto"/>
        </w:rPr>
        <w:t xml:space="preserve">Leverage Strong Industry Relationships. </w:t>
      </w:r>
      <w:r>
        <w:rPr>
          <w:rFonts w:ascii="Times New Roman" w:cs="Times New Roman" w:eastAsia="Times New Roman" w:hAnsi="Times New Roman"/>
          <w:sz w:val="14"/>
          <w:szCs w:val="14"/>
          <w:color w:val="auto"/>
        </w:rPr>
        <w:t>Our global market leadership position and strong industry relationships provide us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with a unique vantage point to detect and capitalize on secular trends as they emerge globally. We focus our industry relationship efforts towards market sensing, market shaping and helping to set open standards that benefit companies of all types to derive value from digital infrastructure and multi-tenant datacenters. Industry collaboration includes engagements with industry associations, IT industry analysts, venture capitalists, technology incubators, technology service providers, telecommunications providers, systems integrators and large multi-national companies across segments including manufacturing, transportation and logistics, financial services, healthcare, pharmaceutical and digital media. These relationships help us forge new product capabilities, inform investment decisions, develop new routes to market and create differentiated value for customers and drive long-term growth and yield for stockholders.</w:t>
      </w: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3" w:name="page14"/>
    <w:bookmarkEnd w:id="13"/>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ind w:left="900" w:right="320"/>
        <w:spacing w:after="0"/>
        <w:rPr>
          <w:sz w:val="20"/>
          <w:szCs w:val="20"/>
          <w:color w:val="auto"/>
        </w:rPr>
      </w:pPr>
      <w:r>
        <w:rPr>
          <w:rFonts w:ascii="Times New Roman" w:cs="Times New Roman" w:eastAsia="Times New Roman" w:hAnsi="Times New Roman"/>
          <w:sz w:val="16"/>
          <w:szCs w:val="16"/>
          <w:i w:val="1"/>
          <w:iCs w:val="1"/>
          <w:color w:val="auto"/>
        </w:rPr>
        <w:t xml:space="preserve">Maximize Cash Flow. </w:t>
      </w:r>
      <w:r>
        <w:rPr>
          <w:rFonts w:ascii="Times New Roman" w:cs="Times New Roman" w:eastAsia="Times New Roman" w:hAnsi="Times New Roman"/>
          <w:sz w:val="16"/>
          <w:szCs w:val="16"/>
          <w:color w:val="auto"/>
        </w:rPr>
        <w:t>We often acquire operating properties with substantial in-place cash flow and some vacancy, which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enables us to create upside through lease-up. We control our costs by negotiating expense pass-through provisions in customer agreements for operating expenses, including power costs and certain capital expenditure. We have also focused on centralizing functions and optimizing operations as well as improving processes and technologies. We believe that expanding our global data center campuses will also contribute to operating efficiencies because we expect to achieve economies of scale on our campus environments.</w:t>
      </w:r>
    </w:p>
    <w:p>
      <w:pPr>
        <w:spacing w:after="0" w:line="168" w:lineRule="exact"/>
        <w:rPr>
          <w:sz w:val="20"/>
          <w:szCs w:val="20"/>
          <w:color w:val="auto"/>
        </w:rPr>
      </w:pPr>
    </w:p>
    <w:p>
      <w:pPr>
        <w:ind w:left="320" w:right="420"/>
        <w:spacing w:after="0" w:line="241" w:lineRule="auto"/>
        <w:rPr>
          <w:sz w:val="20"/>
          <w:szCs w:val="20"/>
          <w:color w:val="auto"/>
        </w:rPr>
      </w:pPr>
      <w:r>
        <w:rPr>
          <w:rFonts w:ascii="Times New Roman" w:cs="Times New Roman" w:eastAsia="Times New Roman" w:hAnsi="Times New Roman"/>
          <w:sz w:val="16"/>
          <w:szCs w:val="16"/>
          <w:b w:val="1"/>
          <w:bCs w:val="1"/>
          <w:color w:val="auto"/>
        </w:rPr>
        <w:t xml:space="preserve">Sustainability. </w:t>
      </w:r>
      <w:r>
        <w:rPr>
          <w:rFonts w:ascii="Times New Roman" w:cs="Times New Roman" w:eastAsia="Times New Roman" w:hAnsi="Times New Roman"/>
          <w:sz w:val="16"/>
          <w:szCs w:val="16"/>
          <w:color w:val="auto"/>
        </w:rPr>
        <w:t>We believe that addressing sustainability by driving environmental efficiency through the implementation of cost-effective design features and the use of carbon- free and renewable energy serves as a key differentiator enabling us to deliver products that help attract and retain customers, generate cash flow, and manage operational risks. In 2024, for the eighth consecutive year, we received the Nareit “Leader in the Light” award for data centers, recognizing our sustainability and energy-efficiency achievements.</w:t>
      </w:r>
    </w:p>
    <w:p>
      <w:pPr>
        <w:spacing w:after="0" w:line="171" w:lineRule="exact"/>
        <w:rPr>
          <w:sz w:val="20"/>
          <w:szCs w:val="20"/>
          <w:color w:val="auto"/>
        </w:rPr>
      </w:pPr>
    </w:p>
    <w:p>
      <w:pPr>
        <w:jc w:val="both"/>
        <w:ind w:left="320" w:right="600"/>
        <w:spacing w:after="0" w:line="289" w:lineRule="auto"/>
        <w:rPr>
          <w:sz w:val="20"/>
          <w:szCs w:val="20"/>
          <w:color w:val="auto"/>
        </w:rPr>
      </w:pPr>
      <w:r>
        <w:rPr>
          <w:rFonts w:ascii="Times New Roman" w:cs="Times New Roman" w:eastAsia="Times New Roman" w:hAnsi="Times New Roman"/>
          <w:sz w:val="14"/>
          <w:szCs w:val="14"/>
          <w:color w:val="auto"/>
        </w:rPr>
        <w:t>The Real Estate Sustainability Accounting Standard guidance, issued by the Sustainability Accounting Standards Board, outlines proposed disclosure topics and accounting metrics for the real estate industry. We provide data on energy and water management metrics that we believe best correlate with our business and industry as indicated in the following sections. Energy and water data receive third party assurance as part of our annual environmental, social, and governance (“ESG”) report development process.</w:t>
      </w:r>
    </w:p>
    <w:p>
      <w:pPr>
        <w:spacing w:after="0" w:line="1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Energy Management</w:t>
      </w:r>
    </w:p>
    <w:p>
      <w:pPr>
        <w:spacing w:after="0" w:line="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 xml:space="preserve">a) 2023 Energy Data </w:t>
      </w:r>
      <w:r>
        <w:rPr>
          <w:rFonts w:ascii="Times New Roman" w:cs="Times New Roman" w:eastAsia="Times New Roman" w:hAnsi="Times New Roman"/>
          <w:sz w:val="24"/>
          <w:szCs w:val="24"/>
          <w:color w:val="auto"/>
          <w:vertAlign w:val="superscript"/>
        </w:rPr>
        <w:t>(1)</w:t>
      </w:r>
    </w:p>
    <w:p>
      <w:pPr>
        <w:spacing w:after="0" w:line="56"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164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Total Energy</w:t>
            </w:r>
          </w:p>
        </w:tc>
        <w:tc>
          <w:tcPr>
            <w:tcW w:w="15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980" w:type="dxa"/>
            <w:vAlign w:val="bottom"/>
          </w:tcPr>
          <w:p>
            <w:pPr>
              <w:spacing w:after="0"/>
              <w:rPr>
                <w:sz w:val="16"/>
                <w:szCs w:val="16"/>
                <w:color w:val="auto"/>
              </w:rPr>
            </w:pPr>
          </w:p>
        </w:tc>
      </w:tr>
      <w:tr>
        <w:trPr>
          <w:trHeight w:val="180"/>
        </w:trPr>
        <w:tc>
          <w:tcPr>
            <w:tcW w:w="1640" w:type="dxa"/>
            <w:vAlign w:val="bottom"/>
          </w:tcPr>
          <w:p>
            <w:pPr>
              <w:spacing w:after="0"/>
              <w:rPr>
                <w:sz w:val="15"/>
                <w:szCs w:val="15"/>
                <w:color w:val="auto"/>
              </w:rPr>
            </w:pPr>
          </w:p>
        </w:tc>
        <w:tc>
          <w:tcPr>
            <w:tcW w:w="15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Consumed by</w:t>
            </w:r>
          </w:p>
        </w:tc>
        <w:tc>
          <w:tcPr>
            <w:tcW w:w="15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7"/>
              </w:rPr>
              <w:t>Grid electricity</w:t>
            </w:r>
          </w:p>
        </w:tc>
        <w:tc>
          <w:tcPr>
            <w:tcW w:w="1640" w:type="dxa"/>
            <w:vAlign w:val="bottom"/>
          </w:tcPr>
          <w:p>
            <w:pPr>
              <w:spacing w:after="0"/>
              <w:rPr>
                <w:sz w:val="15"/>
                <w:szCs w:val="15"/>
                <w:color w:val="auto"/>
              </w:rPr>
            </w:pPr>
          </w:p>
        </w:tc>
        <w:tc>
          <w:tcPr>
            <w:tcW w:w="19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Like-for-Like Change in</w:t>
            </w:r>
          </w:p>
        </w:tc>
      </w:tr>
      <w:tr>
        <w:trPr>
          <w:trHeight w:val="180"/>
        </w:trPr>
        <w:tc>
          <w:tcPr>
            <w:tcW w:w="16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7"/>
              </w:rPr>
              <w:t>Energy Consumption</w:t>
            </w:r>
          </w:p>
        </w:tc>
        <w:tc>
          <w:tcPr>
            <w:tcW w:w="15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6"/>
              </w:rPr>
              <w:t>Portfolio Area with</w:t>
            </w:r>
          </w:p>
        </w:tc>
        <w:tc>
          <w:tcPr>
            <w:tcW w:w="15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6"/>
              </w:rPr>
              <w:t>consumption as a %</w:t>
            </w:r>
          </w:p>
        </w:tc>
        <w:tc>
          <w:tcPr>
            <w:tcW w:w="16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6"/>
              </w:rPr>
              <w:t>Renewable Energy as</w:t>
            </w:r>
          </w:p>
        </w:tc>
        <w:tc>
          <w:tcPr>
            <w:tcW w:w="19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Energy Consumption for</w:t>
            </w:r>
          </w:p>
        </w:tc>
      </w:tr>
      <w:tr>
        <w:trPr>
          <w:trHeight w:val="168"/>
        </w:trPr>
        <w:tc>
          <w:tcPr>
            <w:tcW w:w="164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w w:val="97"/>
              </w:rPr>
              <w:t>Data Coverage as %</w:t>
            </w:r>
          </w:p>
        </w:tc>
        <w:tc>
          <w:tcPr>
            <w:tcW w:w="156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w w:val="98"/>
              </w:rPr>
              <w:t>Data Coverage</w:t>
            </w:r>
          </w:p>
        </w:tc>
        <w:tc>
          <w:tcPr>
            <w:tcW w:w="156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w w:val="98"/>
              </w:rPr>
              <w:t>of Energy</w:t>
            </w:r>
          </w:p>
        </w:tc>
        <w:tc>
          <w:tcPr>
            <w:tcW w:w="164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w w:val="98"/>
              </w:rPr>
              <w:t>a % of Energy</w:t>
            </w:r>
          </w:p>
        </w:tc>
        <w:tc>
          <w:tcPr>
            <w:tcW w:w="198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w w:val="96"/>
              </w:rPr>
              <w:t>Portfolio Area with Data</w:t>
            </w:r>
          </w:p>
        </w:tc>
      </w:tr>
      <w:tr>
        <w:trPr>
          <w:trHeight w:val="231"/>
        </w:trPr>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of Floor Area</w:t>
            </w:r>
          </w:p>
        </w:tc>
        <w:tc>
          <w:tcPr>
            <w:tcW w:w="156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16"/>
                <w:szCs w:val="16"/>
                <w:b w:val="1"/>
                <w:bCs w:val="1"/>
                <w:color w:val="auto"/>
                <w:w w:val="92"/>
              </w:rPr>
              <w:t>(MWh)</w:t>
            </w:r>
            <w:r>
              <w:rPr>
                <w:rFonts w:ascii="Times New Roman" w:cs="Times New Roman" w:eastAsia="Times New Roman" w:hAnsi="Times New Roman"/>
                <w:sz w:val="24"/>
                <w:szCs w:val="24"/>
                <w:b w:val="1"/>
                <w:bCs w:val="1"/>
                <w:color w:val="auto"/>
                <w:w w:val="92"/>
                <w:vertAlign w:val="superscript"/>
              </w:rPr>
              <w:t>(2)</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Consumption</w:t>
            </w:r>
          </w:p>
        </w:tc>
        <w:tc>
          <w:tcPr>
            <w:tcW w:w="164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16"/>
                <w:szCs w:val="16"/>
                <w:b w:val="1"/>
                <w:bCs w:val="1"/>
                <w:color w:val="auto"/>
                <w:w w:val="93"/>
              </w:rPr>
              <w:t>Consumption</w:t>
            </w:r>
            <w:r>
              <w:rPr>
                <w:rFonts w:ascii="Times New Roman" w:cs="Times New Roman" w:eastAsia="Times New Roman" w:hAnsi="Times New Roman"/>
                <w:sz w:val="24"/>
                <w:szCs w:val="24"/>
                <w:b w:val="1"/>
                <w:bCs w:val="1"/>
                <w:color w:val="auto"/>
                <w:w w:val="93"/>
                <w:vertAlign w:val="superscript"/>
              </w:rPr>
              <w:t>(3)</w:t>
            </w:r>
          </w:p>
        </w:tc>
        <w:tc>
          <w:tcPr>
            <w:tcW w:w="198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16"/>
                <w:szCs w:val="16"/>
                <w:b w:val="1"/>
                <w:bCs w:val="1"/>
                <w:color w:val="auto"/>
                <w:w w:val="90"/>
              </w:rPr>
              <w:t>Coverage</w:t>
            </w:r>
            <w:r>
              <w:rPr>
                <w:rFonts w:ascii="Times New Roman" w:cs="Times New Roman" w:eastAsia="Times New Roman" w:hAnsi="Times New Roman"/>
                <w:sz w:val="24"/>
                <w:szCs w:val="24"/>
                <w:b w:val="1"/>
                <w:bCs w:val="1"/>
                <w:color w:val="auto"/>
                <w:w w:val="90"/>
                <w:vertAlign w:val="superscript"/>
              </w:rPr>
              <w:t>(4)</w:t>
            </w:r>
          </w:p>
        </w:tc>
      </w:tr>
      <w:tr>
        <w:trPr>
          <w:trHeight w:val="213"/>
        </w:trPr>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97%</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11,368,215</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97%</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64%</w:t>
            </w: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3"/>
              </w:rPr>
              <w:t>9%</w:t>
            </w:r>
          </w:p>
        </w:tc>
      </w:tr>
    </w:tbl>
    <w:p>
      <w:pPr>
        <w:spacing w:after="0" w:line="168" w:lineRule="exact"/>
        <w:rPr>
          <w:sz w:val="20"/>
          <w:szCs w:val="20"/>
          <w:color w:val="auto"/>
        </w:rPr>
      </w:pPr>
    </w:p>
    <w:p>
      <w:pPr>
        <w:ind w:left="900" w:right="460" w:hanging="294"/>
        <w:spacing w:after="0" w:line="258" w:lineRule="auto"/>
        <w:tabs>
          <w:tab w:leader="none" w:pos="9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most recent full year for which energy data is available is 2023. The scope of data coverage includes managed and non-managed assets. In 2023, 99% of the Company’s portfolio consisted of data center space along with limited accessory uses, predominantly office space. These secondary space types are not broken out by subsector.</w:t>
      </w:r>
    </w:p>
    <w:p>
      <w:pPr>
        <w:ind w:left="900" w:right="700" w:hanging="294"/>
        <w:spacing w:after="0" w:line="250" w:lineRule="auto"/>
        <w:tabs>
          <w:tab w:leader="none" w:pos="9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of energy includes energy purchased from sources external to the Company and its customers; energy produced by the Company and its customers (i.e., self-generated); and energy from other sources, including direct fuel usage.</w:t>
      </w:r>
    </w:p>
    <w:p>
      <w:pPr>
        <w:jc w:val="both"/>
        <w:ind w:left="900" w:right="480" w:hanging="294"/>
        <w:spacing w:after="0" w:line="250" w:lineRule="auto"/>
        <w:tabs>
          <w:tab w:leader="none" w:pos="9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Provided as a percent of energy consumption for managed assets. Excludes renewable energy delivered as part of the standard utility fuel mix. Includes above-baseline utility renewables (e.g., green tariffs), Energy Attribute Certificate (“EAC”) purchases, customer-sourced renewable energy and EACs generated by the Company.</w:t>
      </w:r>
    </w:p>
    <w:p>
      <w:pPr>
        <w:spacing w:after="0" w:line="1" w:lineRule="exact"/>
        <w:rPr>
          <w:rFonts w:ascii="Times New Roman" w:cs="Times New Roman" w:eastAsia="Times New Roman" w:hAnsi="Times New Roman"/>
          <w:sz w:val="14"/>
          <w:szCs w:val="14"/>
          <w:color w:val="auto"/>
        </w:rPr>
      </w:pPr>
    </w:p>
    <w:p>
      <w:pPr>
        <w:ind w:left="900" w:hanging="294"/>
        <w:spacing w:after="0"/>
        <w:tabs>
          <w:tab w:leader="none" w:pos="9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Scope of data is aligned with the 2023 GRESB Real Estate Assessment Reference Guide (“Like-for-like Comparison”).</w:t>
      </w:r>
    </w:p>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4" w:name="page15"/>
    <w:bookmarkEnd w:id="14"/>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b) Sustainable Data Center Ratings</w:t>
      </w:r>
    </w:p>
    <w:p>
      <w:pPr>
        <w:spacing w:after="0" w:line="94" w:lineRule="exact"/>
        <w:rPr>
          <w:sz w:val="20"/>
          <w:szCs w:val="20"/>
          <w:color w:val="auto"/>
        </w:rPr>
      </w:pPr>
    </w:p>
    <w:p>
      <w:pPr>
        <w:ind w:left="320" w:right="420"/>
        <w:spacing w:after="0" w:line="289" w:lineRule="auto"/>
        <w:rPr>
          <w:sz w:val="20"/>
          <w:szCs w:val="20"/>
          <w:color w:val="auto"/>
        </w:rPr>
      </w:pPr>
      <w:r>
        <w:rPr>
          <w:rFonts w:ascii="Times New Roman" w:cs="Times New Roman" w:eastAsia="Times New Roman" w:hAnsi="Times New Roman"/>
          <w:sz w:val="14"/>
          <w:szCs w:val="14"/>
          <w:color w:val="auto"/>
        </w:rPr>
        <w:t>We seek to certify new construction and major redevelopment projects in accordance with recognized sustainable building standards including the U.S. Green Building Council LEED rating system and the BREEAM rating scheme. We may also certify certain properties in accordance with recognized sustainable operations standards. Our data center space receiving third-party sustainable ratings in 2024 totaled 1.2 million square feet. We received the following sustainable data center ratings for the following sites:</w:t>
      </w:r>
    </w:p>
    <w:p>
      <w:pPr>
        <w:spacing w:after="0" w:line="142" w:lineRule="exact"/>
        <w:rPr>
          <w:sz w:val="20"/>
          <w:szCs w:val="20"/>
          <w:color w:val="auto"/>
        </w:rPr>
      </w:pPr>
    </w:p>
    <w:tbl>
      <w:tblPr>
        <w:tblLayout w:type="fixed"/>
        <w:tblInd w:w="330" w:type="dxa"/>
        <w:tblCellMar>
          <w:top w:w="0" w:type="dxa"/>
          <w:left w:w="0" w:type="dxa"/>
          <w:bottom w:w="0" w:type="dxa"/>
          <w:right w:w="0" w:type="dxa"/>
        </w:tblCellMar>
      </w:tblPr>
      <w:tr>
        <w:trPr>
          <w:trHeight w:val="192"/>
        </w:trPr>
        <w:tc>
          <w:tcPr>
            <w:tcW w:w="25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Data Center</w:t>
            </w:r>
          </w:p>
        </w:tc>
        <w:tc>
          <w:tcPr>
            <w:tcW w:w="22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Metropolitan Area</w:t>
            </w:r>
          </w:p>
        </w:tc>
        <w:tc>
          <w:tcPr>
            <w:tcW w:w="176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Rating System</w:t>
            </w:r>
          </w:p>
        </w:tc>
        <w:tc>
          <w:tcPr>
            <w:tcW w:w="188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Level Achieved</w:t>
            </w:r>
          </w:p>
        </w:tc>
      </w:tr>
      <w:tr>
        <w:trPr>
          <w:trHeight w:val="172"/>
        </w:trPr>
        <w:tc>
          <w:tcPr>
            <w:tcW w:w="2560" w:type="dxa"/>
            <w:vAlign w:val="bottom"/>
            <w:tcBorders>
              <w:left w:val="single" w:sz="8" w:color="auto"/>
              <w:bottom w:val="single" w:sz="8" w:color="auto"/>
              <w:right w:val="single" w:sz="8" w:color="auto"/>
            </w:tcBorders>
            <w:shd w:val="clear" w:color="auto" w:fill="CCEEFF"/>
          </w:tcPr>
          <w:p>
            <w:pPr>
              <w:ind w:left="80"/>
              <w:spacing w:after="0" w:line="172" w:lineRule="exact"/>
              <w:rPr>
                <w:sz w:val="20"/>
                <w:szCs w:val="20"/>
                <w:color w:val="auto"/>
              </w:rPr>
            </w:pPr>
            <w:r>
              <w:rPr>
                <w:rFonts w:ascii="Times New Roman" w:cs="Times New Roman" w:eastAsia="Times New Roman" w:hAnsi="Times New Roman"/>
                <w:sz w:val="16"/>
                <w:szCs w:val="16"/>
                <w:color w:val="auto"/>
              </w:rPr>
              <w:t>22588 Relocation Drive</w:t>
            </w:r>
          </w:p>
        </w:tc>
        <w:tc>
          <w:tcPr>
            <w:tcW w:w="2200" w:type="dxa"/>
            <w:vAlign w:val="bottom"/>
            <w:tcBorders>
              <w:bottom w:val="single" w:sz="8" w:color="auto"/>
              <w:right w:val="single" w:sz="8" w:color="auto"/>
            </w:tcBorders>
            <w:shd w:val="clear" w:color="auto" w:fill="CCEEFF"/>
          </w:tcPr>
          <w:p>
            <w:pPr>
              <w:ind w:left="60"/>
              <w:spacing w:after="0" w:line="172" w:lineRule="exact"/>
              <w:rPr>
                <w:sz w:val="20"/>
                <w:szCs w:val="20"/>
                <w:color w:val="auto"/>
              </w:rPr>
            </w:pPr>
            <w:r>
              <w:rPr>
                <w:rFonts w:ascii="Times New Roman" w:cs="Times New Roman" w:eastAsia="Times New Roman" w:hAnsi="Times New Roman"/>
                <w:sz w:val="16"/>
                <w:szCs w:val="16"/>
                <w:color w:val="auto"/>
              </w:rPr>
              <w:t>Ashburn</w:t>
            </w:r>
          </w:p>
        </w:tc>
        <w:tc>
          <w:tcPr>
            <w:tcW w:w="1760" w:type="dxa"/>
            <w:vAlign w:val="bottom"/>
            <w:tcBorders>
              <w:bottom w:val="single" w:sz="8" w:color="auto"/>
              <w:right w:val="single" w:sz="8" w:color="auto"/>
            </w:tcBorders>
            <w:shd w:val="clear" w:color="auto" w:fill="CCEEFF"/>
          </w:tcPr>
          <w:p>
            <w:pPr>
              <w:ind w:left="60"/>
              <w:spacing w:after="0" w:line="173" w:lineRule="exact"/>
              <w:rPr>
                <w:sz w:val="20"/>
                <w:szCs w:val="20"/>
                <w:color w:val="auto"/>
              </w:rPr>
            </w:pPr>
            <w:r>
              <w:rPr>
                <w:rFonts w:ascii="Times New Roman" w:cs="Times New Roman" w:eastAsia="Times New Roman" w:hAnsi="Times New Roman"/>
                <w:sz w:val="13"/>
                <w:szCs w:val="13"/>
                <w:color w:val="auto"/>
              </w:rPr>
              <w:t xml:space="preserve">LEED </w:t>
            </w:r>
            <w:r>
              <w:rPr>
                <w:rFonts w:ascii="Times New Roman" w:cs="Times New Roman" w:eastAsia="Times New Roman" w:hAnsi="Times New Roman"/>
                <w:sz w:val="19"/>
                <w:szCs w:val="19"/>
                <w:color w:val="auto"/>
                <w:vertAlign w:val="superscript"/>
              </w:rPr>
              <w:t>(1)</w:t>
            </w:r>
          </w:p>
        </w:tc>
        <w:tc>
          <w:tcPr>
            <w:tcW w:w="1880" w:type="dxa"/>
            <w:vAlign w:val="bottom"/>
            <w:tcBorders>
              <w:bottom w:val="single" w:sz="8" w:color="auto"/>
              <w:right w:val="single" w:sz="8" w:color="auto"/>
            </w:tcBorders>
            <w:shd w:val="clear" w:color="auto" w:fill="CCEEFF"/>
          </w:tcPr>
          <w:p>
            <w:pPr>
              <w:ind w:left="60"/>
              <w:spacing w:after="0" w:line="172" w:lineRule="exact"/>
              <w:rPr>
                <w:sz w:val="20"/>
                <w:szCs w:val="20"/>
                <w:color w:val="auto"/>
              </w:rPr>
            </w:pPr>
            <w:r>
              <w:rPr>
                <w:rFonts w:ascii="Times New Roman" w:cs="Times New Roman" w:eastAsia="Times New Roman" w:hAnsi="Times New Roman"/>
                <w:sz w:val="16"/>
                <w:szCs w:val="16"/>
                <w:color w:val="auto"/>
              </w:rPr>
              <w:t>Gold</w:t>
            </w:r>
          </w:p>
        </w:tc>
      </w:tr>
      <w:tr>
        <w:trPr>
          <w:trHeight w:val="172"/>
        </w:trPr>
        <w:tc>
          <w:tcPr>
            <w:tcW w:w="2560" w:type="dxa"/>
            <w:vAlign w:val="bottom"/>
            <w:tcBorders>
              <w:left w:val="single" w:sz="8" w:color="auto"/>
              <w:bottom w:val="single" w:sz="8" w:color="auto"/>
              <w:right w:val="single" w:sz="8" w:color="auto"/>
            </w:tcBorders>
          </w:tcPr>
          <w:p>
            <w:pPr>
              <w:ind w:left="80"/>
              <w:spacing w:after="0" w:line="172" w:lineRule="exact"/>
              <w:rPr>
                <w:sz w:val="20"/>
                <w:szCs w:val="20"/>
                <w:color w:val="auto"/>
              </w:rPr>
            </w:pPr>
            <w:r>
              <w:rPr>
                <w:rFonts w:ascii="Times New Roman" w:cs="Times New Roman" w:eastAsia="Times New Roman" w:hAnsi="Times New Roman"/>
                <w:sz w:val="16"/>
                <w:szCs w:val="16"/>
                <w:color w:val="auto"/>
              </w:rPr>
              <w:t>5870 NE Schaaf Street</w:t>
            </w:r>
          </w:p>
        </w:tc>
        <w:tc>
          <w:tcPr>
            <w:tcW w:w="2200" w:type="dxa"/>
            <w:vAlign w:val="bottom"/>
            <w:tcBorders>
              <w:bottom w:val="single" w:sz="8" w:color="auto"/>
              <w:right w:val="single" w:sz="8" w:color="auto"/>
            </w:tcBorders>
          </w:tcPr>
          <w:p>
            <w:pPr>
              <w:ind w:left="60"/>
              <w:spacing w:after="0" w:line="172" w:lineRule="exact"/>
              <w:rPr>
                <w:sz w:val="20"/>
                <w:szCs w:val="20"/>
                <w:color w:val="auto"/>
              </w:rPr>
            </w:pPr>
            <w:r>
              <w:rPr>
                <w:rFonts w:ascii="Times New Roman" w:cs="Times New Roman" w:eastAsia="Times New Roman" w:hAnsi="Times New Roman"/>
                <w:sz w:val="16"/>
                <w:szCs w:val="16"/>
                <w:color w:val="auto"/>
              </w:rPr>
              <w:t>Portland</w:t>
            </w:r>
          </w:p>
        </w:tc>
        <w:tc>
          <w:tcPr>
            <w:tcW w:w="1760" w:type="dxa"/>
            <w:vAlign w:val="bottom"/>
            <w:tcBorders>
              <w:bottom w:val="single" w:sz="8" w:color="auto"/>
              <w:right w:val="single" w:sz="8" w:color="auto"/>
            </w:tcBorders>
          </w:tcPr>
          <w:p>
            <w:pPr>
              <w:ind w:left="60"/>
              <w:spacing w:after="0" w:line="173" w:lineRule="exact"/>
              <w:rPr>
                <w:sz w:val="20"/>
                <w:szCs w:val="20"/>
                <w:color w:val="auto"/>
              </w:rPr>
            </w:pPr>
            <w:r>
              <w:rPr>
                <w:rFonts w:ascii="Times New Roman" w:cs="Times New Roman" w:eastAsia="Times New Roman" w:hAnsi="Times New Roman"/>
                <w:sz w:val="13"/>
                <w:szCs w:val="13"/>
                <w:color w:val="auto"/>
              </w:rPr>
              <w:t xml:space="preserve">LEED </w:t>
            </w:r>
            <w:r>
              <w:rPr>
                <w:rFonts w:ascii="Times New Roman" w:cs="Times New Roman" w:eastAsia="Times New Roman" w:hAnsi="Times New Roman"/>
                <w:sz w:val="19"/>
                <w:szCs w:val="19"/>
                <w:color w:val="auto"/>
                <w:vertAlign w:val="superscript"/>
              </w:rPr>
              <w:t>(1)</w:t>
            </w:r>
          </w:p>
        </w:tc>
        <w:tc>
          <w:tcPr>
            <w:tcW w:w="1880" w:type="dxa"/>
            <w:vAlign w:val="bottom"/>
            <w:tcBorders>
              <w:bottom w:val="single" w:sz="8" w:color="auto"/>
              <w:right w:val="single" w:sz="8" w:color="auto"/>
            </w:tcBorders>
          </w:tcPr>
          <w:p>
            <w:pPr>
              <w:ind w:left="60"/>
              <w:spacing w:after="0" w:line="172" w:lineRule="exact"/>
              <w:rPr>
                <w:sz w:val="20"/>
                <w:szCs w:val="20"/>
                <w:color w:val="auto"/>
              </w:rPr>
            </w:pPr>
            <w:r>
              <w:rPr>
                <w:rFonts w:ascii="Times New Roman" w:cs="Times New Roman" w:eastAsia="Times New Roman" w:hAnsi="Times New Roman"/>
                <w:sz w:val="16"/>
                <w:szCs w:val="16"/>
                <w:color w:val="auto"/>
              </w:rPr>
              <w:t>Silver</w:t>
            </w:r>
          </w:p>
        </w:tc>
      </w:tr>
      <w:tr>
        <w:trPr>
          <w:trHeight w:val="172"/>
        </w:trPr>
        <w:tc>
          <w:tcPr>
            <w:tcW w:w="2560" w:type="dxa"/>
            <w:vAlign w:val="bottom"/>
            <w:tcBorders>
              <w:left w:val="single" w:sz="8" w:color="auto"/>
              <w:bottom w:val="single" w:sz="8" w:color="auto"/>
              <w:right w:val="single" w:sz="8" w:color="auto"/>
            </w:tcBorders>
            <w:shd w:val="clear" w:color="auto" w:fill="CCEEFF"/>
          </w:tcPr>
          <w:p>
            <w:pPr>
              <w:ind w:left="80"/>
              <w:spacing w:after="0" w:line="172" w:lineRule="exact"/>
              <w:rPr>
                <w:sz w:val="20"/>
                <w:szCs w:val="20"/>
                <w:color w:val="auto"/>
              </w:rPr>
            </w:pPr>
            <w:r>
              <w:rPr>
                <w:rFonts w:ascii="Times New Roman" w:cs="Times New Roman" w:eastAsia="Times New Roman" w:hAnsi="Times New Roman"/>
                <w:sz w:val="16"/>
                <w:szCs w:val="16"/>
                <w:color w:val="auto"/>
              </w:rPr>
              <w:t>Calle Alfonso Gomez 4</w:t>
            </w:r>
          </w:p>
        </w:tc>
        <w:tc>
          <w:tcPr>
            <w:tcW w:w="2200" w:type="dxa"/>
            <w:vAlign w:val="bottom"/>
            <w:tcBorders>
              <w:bottom w:val="single" w:sz="8" w:color="auto"/>
              <w:right w:val="single" w:sz="8" w:color="auto"/>
            </w:tcBorders>
            <w:shd w:val="clear" w:color="auto" w:fill="CCEEFF"/>
          </w:tcPr>
          <w:p>
            <w:pPr>
              <w:ind w:left="60"/>
              <w:spacing w:after="0" w:line="172" w:lineRule="exact"/>
              <w:rPr>
                <w:sz w:val="20"/>
                <w:szCs w:val="20"/>
                <w:color w:val="auto"/>
              </w:rPr>
            </w:pPr>
            <w:r>
              <w:rPr>
                <w:rFonts w:ascii="Times New Roman" w:cs="Times New Roman" w:eastAsia="Times New Roman" w:hAnsi="Times New Roman"/>
                <w:sz w:val="16"/>
                <w:szCs w:val="16"/>
                <w:color w:val="auto"/>
              </w:rPr>
              <w:t>Madrid</w:t>
            </w:r>
          </w:p>
        </w:tc>
        <w:tc>
          <w:tcPr>
            <w:tcW w:w="1760" w:type="dxa"/>
            <w:vAlign w:val="bottom"/>
            <w:tcBorders>
              <w:bottom w:val="single" w:sz="8" w:color="auto"/>
              <w:right w:val="single" w:sz="8" w:color="auto"/>
            </w:tcBorders>
            <w:shd w:val="clear" w:color="auto" w:fill="CCEEFF"/>
          </w:tcPr>
          <w:p>
            <w:pPr>
              <w:ind w:left="60"/>
              <w:spacing w:after="0" w:line="173" w:lineRule="exact"/>
              <w:rPr>
                <w:sz w:val="20"/>
                <w:szCs w:val="20"/>
                <w:color w:val="auto"/>
              </w:rPr>
            </w:pPr>
            <w:r>
              <w:rPr>
                <w:rFonts w:ascii="Times New Roman" w:cs="Times New Roman" w:eastAsia="Times New Roman" w:hAnsi="Times New Roman"/>
                <w:sz w:val="13"/>
                <w:szCs w:val="13"/>
                <w:color w:val="auto"/>
              </w:rPr>
              <w:t xml:space="preserve">LEED </w:t>
            </w:r>
            <w:r>
              <w:rPr>
                <w:rFonts w:ascii="Times New Roman" w:cs="Times New Roman" w:eastAsia="Times New Roman" w:hAnsi="Times New Roman"/>
                <w:sz w:val="19"/>
                <w:szCs w:val="19"/>
                <w:color w:val="auto"/>
                <w:vertAlign w:val="superscript"/>
              </w:rPr>
              <w:t>(1)</w:t>
            </w:r>
          </w:p>
        </w:tc>
        <w:tc>
          <w:tcPr>
            <w:tcW w:w="1880" w:type="dxa"/>
            <w:vAlign w:val="bottom"/>
            <w:tcBorders>
              <w:bottom w:val="single" w:sz="8" w:color="auto"/>
              <w:right w:val="single" w:sz="8" w:color="auto"/>
            </w:tcBorders>
            <w:shd w:val="clear" w:color="auto" w:fill="CCEEFF"/>
          </w:tcPr>
          <w:p>
            <w:pPr>
              <w:ind w:left="60"/>
              <w:spacing w:after="0" w:line="172" w:lineRule="exact"/>
              <w:rPr>
                <w:sz w:val="20"/>
                <w:szCs w:val="20"/>
                <w:color w:val="auto"/>
              </w:rPr>
            </w:pPr>
            <w:r>
              <w:rPr>
                <w:rFonts w:ascii="Times New Roman" w:cs="Times New Roman" w:eastAsia="Times New Roman" w:hAnsi="Times New Roman"/>
                <w:sz w:val="16"/>
                <w:szCs w:val="16"/>
                <w:color w:val="auto"/>
              </w:rPr>
              <w:t>Gold</w:t>
            </w:r>
          </w:p>
        </w:tc>
      </w:tr>
      <w:tr>
        <w:trPr>
          <w:trHeight w:val="172"/>
        </w:trPr>
        <w:tc>
          <w:tcPr>
            <w:tcW w:w="2560" w:type="dxa"/>
            <w:vAlign w:val="bottom"/>
            <w:tcBorders>
              <w:left w:val="single" w:sz="8" w:color="auto"/>
              <w:bottom w:val="single" w:sz="8" w:color="auto"/>
              <w:right w:val="single" w:sz="8" w:color="auto"/>
            </w:tcBorders>
          </w:tcPr>
          <w:p>
            <w:pPr>
              <w:ind w:left="80"/>
              <w:spacing w:after="0" w:line="172" w:lineRule="exact"/>
              <w:rPr>
                <w:sz w:val="20"/>
                <w:szCs w:val="20"/>
                <w:color w:val="auto"/>
              </w:rPr>
            </w:pPr>
            <w:r>
              <w:rPr>
                <w:rFonts w:ascii="Times New Roman" w:cs="Times New Roman" w:eastAsia="Times New Roman" w:hAnsi="Times New Roman"/>
                <w:sz w:val="16"/>
                <w:szCs w:val="16"/>
                <w:color w:val="auto"/>
              </w:rPr>
              <w:t>Enceinte Portuaire—Building 4</w:t>
            </w:r>
          </w:p>
        </w:tc>
        <w:tc>
          <w:tcPr>
            <w:tcW w:w="2200" w:type="dxa"/>
            <w:vAlign w:val="bottom"/>
            <w:tcBorders>
              <w:bottom w:val="single" w:sz="8" w:color="auto"/>
              <w:right w:val="single" w:sz="8" w:color="auto"/>
            </w:tcBorders>
          </w:tcPr>
          <w:p>
            <w:pPr>
              <w:ind w:left="60"/>
              <w:spacing w:after="0" w:line="172" w:lineRule="exact"/>
              <w:rPr>
                <w:sz w:val="20"/>
                <w:szCs w:val="20"/>
                <w:color w:val="auto"/>
              </w:rPr>
            </w:pPr>
            <w:r>
              <w:rPr>
                <w:rFonts w:ascii="Times New Roman" w:cs="Times New Roman" w:eastAsia="Times New Roman" w:hAnsi="Times New Roman"/>
                <w:sz w:val="16"/>
                <w:szCs w:val="16"/>
                <w:color w:val="auto"/>
              </w:rPr>
              <w:t>Marseille</w:t>
            </w:r>
          </w:p>
        </w:tc>
        <w:tc>
          <w:tcPr>
            <w:tcW w:w="1760" w:type="dxa"/>
            <w:vAlign w:val="bottom"/>
            <w:tcBorders>
              <w:bottom w:val="single" w:sz="8" w:color="auto"/>
              <w:right w:val="single" w:sz="8" w:color="auto"/>
            </w:tcBorders>
          </w:tcPr>
          <w:p>
            <w:pPr>
              <w:ind w:left="60"/>
              <w:spacing w:after="0" w:line="173" w:lineRule="exact"/>
              <w:rPr>
                <w:sz w:val="20"/>
                <w:szCs w:val="20"/>
                <w:color w:val="auto"/>
              </w:rPr>
            </w:pPr>
            <w:r>
              <w:rPr>
                <w:rFonts w:ascii="Times New Roman" w:cs="Times New Roman" w:eastAsia="Times New Roman" w:hAnsi="Times New Roman"/>
                <w:sz w:val="13"/>
                <w:szCs w:val="13"/>
                <w:color w:val="auto"/>
              </w:rPr>
              <w:t xml:space="preserve">BREEAM </w:t>
            </w:r>
            <w:r>
              <w:rPr>
                <w:rFonts w:ascii="Times New Roman" w:cs="Times New Roman" w:eastAsia="Times New Roman" w:hAnsi="Times New Roman"/>
                <w:sz w:val="19"/>
                <w:szCs w:val="19"/>
                <w:color w:val="auto"/>
                <w:vertAlign w:val="superscript"/>
              </w:rPr>
              <w:t>(2)</w:t>
            </w:r>
          </w:p>
        </w:tc>
        <w:tc>
          <w:tcPr>
            <w:tcW w:w="1880" w:type="dxa"/>
            <w:vAlign w:val="bottom"/>
            <w:tcBorders>
              <w:bottom w:val="single" w:sz="8" w:color="auto"/>
              <w:right w:val="single" w:sz="8" w:color="auto"/>
            </w:tcBorders>
          </w:tcPr>
          <w:p>
            <w:pPr>
              <w:ind w:left="60"/>
              <w:spacing w:after="0" w:line="172" w:lineRule="exact"/>
              <w:rPr>
                <w:sz w:val="20"/>
                <w:szCs w:val="20"/>
                <w:color w:val="auto"/>
              </w:rPr>
            </w:pPr>
            <w:r>
              <w:rPr>
                <w:rFonts w:ascii="Times New Roman" w:cs="Times New Roman" w:eastAsia="Times New Roman" w:hAnsi="Times New Roman"/>
                <w:sz w:val="16"/>
                <w:szCs w:val="16"/>
                <w:color w:val="auto"/>
              </w:rPr>
              <w:t>Very Good</w:t>
            </w:r>
          </w:p>
        </w:tc>
      </w:tr>
      <w:tr>
        <w:trPr>
          <w:trHeight w:val="172"/>
        </w:trPr>
        <w:tc>
          <w:tcPr>
            <w:tcW w:w="2560" w:type="dxa"/>
            <w:vAlign w:val="bottom"/>
            <w:tcBorders>
              <w:left w:val="single" w:sz="8" w:color="auto"/>
              <w:bottom w:val="single" w:sz="8" w:color="auto"/>
              <w:right w:val="single" w:sz="8" w:color="auto"/>
            </w:tcBorders>
          </w:tcPr>
          <w:p>
            <w:pPr>
              <w:ind w:left="80"/>
              <w:spacing w:after="0" w:line="172" w:lineRule="exact"/>
              <w:rPr>
                <w:sz w:val="20"/>
                <w:szCs w:val="20"/>
                <w:color w:val="auto"/>
              </w:rPr>
            </w:pPr>
            <w:r>
              <w:rPr>
                <w:rFonts w:ascii="Times New Roman" w:cs="Times New Roman" w:eastAsia="Times New Roman" w:hAnsi="Times New Roman"/>
                <w:sz w:val="16"/>
                <w:szCs w:val="16"/>
                <w:color w:val="auto"/>
              </w:rPr>
              <w:t>Ifestoy Street 72-74</w:t>
            </w:r>
          </w:p>
        </w:tc>
        <w:tc>
          <w:tcPr>
            <w:tcW w:w="2200" w:type="dxa"/>
            <w:vAlign w:val="bottom"/>
            <w:tcBorders>
              <w:bottom w:val="single" w:sz="8" w:color="auto"/>
              <w:right w:val="single" w:sz="8" w:color="auto"/>
            </w:tcBorders>
          </w:tcPr>
          <w:p>
            <w:pPr>
              <w:ind w:left="60"/>
              <w:spacing w:after="0" w:line="172" w:lineRule="exact"/>
              <w:rPr>
                <w:sz w:val="20"/>
                <w:szCs w:val="20"/>
                <w:color w:val="auto"/>
              </w:rPr>
            </w:pPr>
            <w:r>
              <w:rPr>
                <w:rFonts w:ascii="Times New Roman" w:cs="Times New Roman" w:eastAsia="Times New Roman" w:hAnsi="Times New Roman"/>
                <w:sz w:val="16"/>
                <w:szCs w:val="16"/>
                <w:color w:val="auto"/>
              </w:rPr>
              <w:t>Athens</w:t>
            </w:r>
          </w:p>
        </w:tc>
        <w:tc>
          <w:tcPr>
            <w:tcW w:w="1760" w:type="dxa"/>
            <w:vAlign w:val="bottom"/>
            <w:tcBorders>
              <w:bottom w:val="single" w:sz="8" w:color="auto"/>
              <w:right w:val="single" w:sz="8" w:color="auto"/>
            </w:tcBorders>
          </w:tcPr>
          <w:p>
            <w:pPr>
              <w:ind w:left="60"/>
              <w:spacing w:after="0" w:line="173" w:lineRule="exact"/>
              <w:rPr>
                <w:sz w:val="20"/>
                <w:szCs w:val="20"/>
                <w:color w:val="auto"/>
              </w:rPr>
            </w:pPr>
            <w:r>
              <w:rPr>
                <w:rFonts w:ascii="Times New Roman" w:cs="Times New Roman" w:eastAsia="Times New Roman" w:hAnsi="Times New Roman"/>
                <w:sz w:val="13"/>
                <w:szCs w:val="13"/>
                <w:color w:val="auto"/>
              </w:rPr>
              <w:t xml:space="preserve">LEED </w:t>
            </w:r>
            <w:r>
              <w:rPr>
                <w:rFonts w:ascii="Times New Roman" w:cs="Times New Roman" w:eastAsia="Times New Roman" w:hAnsi="Times New Roman"/>
                <w:sz w:val="19"/>
                <w:szCs w:val="19"/>
                <w:color w:val="auto"/>
                <w:vertAlign w:val="superscript"/>
              </w:rPr>
              <w:t>(1)</w:t>
            </w:r>
          </w:p>
        </w:tc>
        <w:tc>
          <w:tcPr>
            <w:tcW w:w="1880" w:type="dxa"/>
            <w:vAlign w:val="bottom"/>
            <w:tcBorders>
              <w:bottom w:val="single" w:sz="8" w:color="auto"/>
              <w:right w:val="single" w:sz="8" w:color="auto"/>
            </w:tcBorders>
          </w:tcPr>
          <w:p>
            <w:pPr>
              <w:ind w:left="60"/>
              <w:spacing w:after="0" w:line="172" w:lineRule="exact"/>
              <w:rPr>
                <w:sz w:val="20"/>
                <w:szCs w:val="20"/>
                <w:color w:val="auto"/>
              </w:rPr>
            </w:pPr>
            <w:r>
              <w:rPr>
                <w:rFonts w:ascii="Times New Roman" w:cs="Times New Roman" w:eastAsia="Times New Roman" w:hAnsi="Times New Roman"/>
                <w:sz w:val="16"/>
                <w:szCs w:val="16"/>
                <w:color w:val="auto"/>
              </w:rPr>
              <w:t>Gold</w:t>
            </w:r>
          </w:p>
        </w:tc>
      </w:tr>
    </w:tbl>
    <w:p>
      <w:pPr>
        <w:spacing w:after="0" w:line="98" w:lineRule="exact"/>
        <w:rPr>
          <w:sz w:val="20"/>
          <w:szCs w:val="20"/>
          <w:color w:val="auto"/>
        </w:rPr>
      </w:pPr>
    </w:p>
    <w:p>
      <w:pPr>
        <w:ind w:left="900" w:hanging="294"/>
        <w:spacing w:after="0"/>
        <w:tabs>
          <w:tab w:leader="none" w:pos="9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LEED</w:t>
      </w:r>
      <w:r>
        <w:rPr>
          <w:rFonts w:ascii="Times New Roman" w:cs="Times New Roman" w:eastAsia="Times New Roman" w:hAnsi="Times New Roman"/>
          <w:sz w:val="21"/>
          <w:szCs w:val="21"/>
          <w:color w:val="auto"/>
          <w:vertAlign w:val="superscript"/>
        </w:rPr>
        <w:t>TM</w:t>
      </w:r>
      <w:r>
        <w:rPr>
          <w:rFonts w:ascii="Times New Roman" w:cs="Times New Roman" w:eastAsia="Times New Roman" w:hAnsi="Times New Roman"/>
          <w:sz w:val="14"/>
          <w:szCs w:val="14"/>
          <w:color w:val="auto"/>
        </w:rPr>
        <w:t>: Leadership in Energy and Environmental Design</w:t>
      </w:r>
    </w:p>
    <w:p>
      <w:pPr>
        <w:ind w:left="900" w:hanging="294"/>
        <w:spacing w:after="0"/>
        <w:tabs>
          <w:tab w:leader="none" w:pos="9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BREEAM: Building Research Establishment Environmental Assessment Method</w:t>
      </w:r>
    </w:p>
    <w:p>
      <w:pPr>
        <w:spacing w:after="0" w:line="158" w:lineRule="exact"/>
        <w:rPr>
          <w:sz w:val="20"/>
          <w:szCs w:val="20"/>
          <w:color w:val="auto"/>
        </w:rPr>
      </w:pPr>
    </w:p>
    <w:p>
      <w:pPr>
        <w:ind w:left="320" w:right="360"/>
        <w:spacing w:after="0" w:line="223" w:lineRule="auto"/>
        <w:rPr>
          <w:sz w:val="20"/>
          <w:szCs w:val="20"/>
          <w:color w:val="auto"/>
        </w:rPr>
      </w:pPr>
      <w:r>
        <w:rPr>
          <w:rFonts w:ascii="Times New Roman" w:cs="Times New Roman" w:eastAsia="Times New Roman" w:hAnsi="Times New Roman"/>
          <w:sz w:val="16"/>
          <w:szCs w:val="16"/>
          <w:color w:val="auto"/>
        </w:rPr>
        <w:t>For existing buildings, we seek to benchmark 100% of applicable U.S. properties in ENERGY STAR Portfolio Manager and pursue EPA ENERGY STAR certification for eligible U.S. properties. In 2024, we achieved ENERGY STAR for Data Centers recognition for 39 data centers, representing 52% of our U.S. managed data center portfolio by square feet. We may also certify certain properties outside the U.S. in accordance with regionally recognized energy performance rating standards, such as the NABERS rating scheme in Australia, the Switzerland Data Center Efficiency Association rating scheme and others. In total, 37% of our total global managed portfolio by square feet had an energy rating as of December 31, 2024, excluding Powered Base Building</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6"/>
          <w:szCs w:val="16"/>
          <w:color w:val="auto"/>
        </w:rPr>
        <w:t xml:space="preserve"> space, space under active development, space held for development and non-managed assets.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c) Energy management considerations</w:t>
      </w:r>
    </w:p>
    <w:p>
      <w:pPr>
        <w:spacing w:after="0" w:line="202" w:lineRule="exact"/>
        <w:rPr>
          <w:sz w:val="20"/>
          <w:szCs w:val="20"/>
          <w:color w:val="auto"/>
        </w:rPr>
      </w:pPr>
    </w:p>
    <w:p>
      <w:pPr>
        <w:ind w:left="320" w:right="380"/>
        <w:spacing w:after="0" w:line="241" w:lineRule="auto"/>
        <w:rPr>
          <w:sz w:val="20"/>
          <w:szCs w:val="20"/>
          <w:color w:val="auto"/>
        </w:rPr>
      </w:pPr>
      <w:r>
        <w:rPr>
          <w:rFonts w:ascii="Times New Roman" w:cs="Times New Roman" w:eastAsia="Times New Roman" w:hAnsi="Times New Roman"/>
          <w:sz w:val="16"/>
          <w:szCs w:val="16"/>
          <w:color w:val="auto"/>
        </w:rPr>
        <w:t>Energy and resource management considerations are integrated into our business decisions and strategy. For our operating portfolio, annual capital expense investment planning identifies and evaluates resource efficiency project opportunities alongside non-resource-impacting capital investments. For acquisitions and new development activity, resiliency risks, resource availability, and renewable energy access are considered. Our design and construction process incorporates sustainable features that support resource efficiency during construction as well as during the operational lifecycle of the sites.</w:t>
      </w:r>
    </w:p>
    <w:p>
      <w:pPr>
        <w:spacing w:after="0" w:line="157" w:lineRule="exact"/>
        <w:rPr>
          <w:sz w:val="20"/>
          <w:szCs w:val="20"/>
          <w:color w:val="auto"/>
        </w:rPr>
      </w:pPr>
    </w:p>
    <w:p>
      <w:pPr>
        <w:ind w:left="320" w:right="460"/>
        <w:spacing w:after="0" w:line="243" w:lineRule="auto"/>
        <w:rPr>
          <w:sz w:val="20"/>
          <w:szCs w:val="20"/>
          <w:color w:val="auto"/>
        </w:rPr>
      </w:pPr>
      <w:r>
        <w:rPr>
          <w:rFonts w:ascii="Times New Roman" w:cs="Times New Roman" w:eastAsia="Times New Roman" w:hAnsi="Times New Roman"/>
          <w:sz w:val="16"/>
          <w:szCs w:val="16"/>
          <w:color w:val="auto"/>
        </w:rPr>
        <w:t>We seek to proactively identify and support opportunities to efficiently utilize resources, such as energy and water, throughout our operating portfolio. We set annual power usage effectiveness targets for assets. Forty-six of our data centers in EMEA participate in the European Union’s Code of Conduct for Energy Efficiency in Data Centers, a voluntary initiative which addresses airflow management, cooling system efficiency and capital plant replacement.</w:t>
      </w:r>
    </w:p>
    <w:p>
      <w:pPr>
        <w:spacing w:after="0" w:line="155" w:lineRule="exact"/>
        <w:rPr>
          <w:sz w:val="20"/>
          <w:szCs w:val="20"/>
          <w:color w:val="auto"/>
        </w:rPr>
      </w:pPr>
    </w:p>
    <w:p>
      <w:pPr>
        <w:ind w:left="320" w:right="480"/>
        <w:spacing w:after="0" w:line="243" w:lineRule="auto"/>
        <w:rPr>
          <w:sz w:val="20"/>
          <w:szCs w:val="20"/>
          <w:color w:val="auto"/>
        </w:rPr>
      </w:pPr>
      <w:r>
        <w:rPr>
          <w:rFonts w:ascii="Times New Roman" w:cs="Times New Roman" w:eastAsia="Times New Roman" w:hAnsi="Times New Roman"/>
          <w:sz w:val="16"/>
          <w:szCs w:val="16"/>
          <w:color w:val="auto"/>
        </w:rPr>
        <w:t>Globally, we conduct external technical building assessments as well as utilize ENERGY STAR Portfolio Manager scores to prioritize efficiency opportunities. Energy efficiency measures typically affect building management systems, operational practices, HVAC and lighting improvements and building commissioning. In 2023, energy efficiency measures implemented totaled over 19,800MWh in projected energy saving.</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5" w:name="page16"/>
    <w:bookmarkEnd w:id="15"/>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6" w:lineRule="exact"/>
        <w:rPr>
          <w:sz w:val="20"/>
          <w:szCs w:val="20"/>
          <w:color w:val="auto"/>
        </w:rPr>
      </w:pPr>
    </w:p>
    <w:p>
      <w:pPr>
        <w:ind w:left="320" w:right="320"/>
        <w:spacing w:after="0" w:line="238" w:lineRule="auto"/>
        <w:rPr>
          <w:sz w:val="20"/>
          <w:szCs w:val="20"/>
          <w:color w:val="auto"/>
        </w:rPr>
      </w:pPr>
      <w:r>
        <w:rPr>
          <w:rFonts w:ascii="Times New Roman" w:cs="Times New Roman" w:eastAsia="Times New Roman" w:hAnsi="Times New Roman"/>
          <w:sz w:val="16"/>
          <w:szCs w:val="16"/>
          <w:color w:val="auto"/>
        </w:rPr>
        <w:t>We set a global carbon reduction target that has been validated by the Science-Based Target Initiative to reduce our Scope 1 and 2 emissions 68% per square foot and Scope 3 emissions from purchased goods and services and fuel- and energy-related activities 24% per square foot by 2030, from a 2018 baseline. In 2023, we showed a 38% reduction in Scope 1 and 2 emissions and 58% reduction in Scope 3 emissions against our baseline. Additionally, we are a signatory to the EU Climate Neutral Data Centre Pact, a Self-Regulatory Initiative committing to climate neutrality by 2030 and setting additional goals around energy efficiency, carbon-free energy sourcing, water conservation and waste heat recycling. We continue to match the energy consumption of our European portfolio and the U.S. colocation business unit with renewable energy. Our six operational U.S. renewable energy purchase agreements produced 1,209 GWh of renewable energy credits in 2023.</w:t>
      </w:r>
    </w:p>
    <w:p>
      <w:pPr>
        <w:spacing w:after="0" w:line="161" w:lineRule="exact"/>
        <w:rPr>
          <w:sz w:val="20"/>
          <w:szCs w:val="20"/>
          <w:color w:val="auto"/>
        </w:rPr>
      </w:pPr>
    </w:p>
    <w:p>
      <w:pPr>
        <w:ind w:left="320" w:right="380"/>
        <w:spacing w:after="0" w:line="243" w:lineRule="auto"/>
        <w:rPr>
          <w:sz w:val="20"/>
          <w:szCs w:val="20"/>
          <w:color w:val="auto"/>
        </w:rPr>
      </w:pPr>
      <w:r>
        <w:rPr>
          <w:rFonts w:ascii="Times New Roman" w:cs="Times New Roman" w:eastAsia="Times New Roman" w:hAnsi="Times New Roman"/>
          <w:sz w:val="16"/>
          <w:szCs w:val="16"/>
          <w:color w:val="auto"/>
        </w:rPr>
        <w:t>We implement ISO 14001 (Environmental Management) and ISO 50001 (Energy Management) to measure, manage and improve the energy and environmental performance of our data centers. In 2023, 49% of our global portfolio had ISO 14001 certifications and 31% of our global portfolio was covered under ISO 50001. Additionally, 100% of our Singapore portfolio was certified under the SS564 Green Data Centres standard for Energy and Environmental Management Systems.</w:t>
      </w:r>
    </w:p>
    <w:p>
      <w:pPr>
        <w:spacing w:after="0" w:line="1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Water Management</w:t>
      </w:r>
    </w:p>
    <w:p>
      <w:pPr>
        <w:sectPr>
          <w:pgSz w:w="11900" w:h="16840" w:orient="portrait"/>
          <w:cols w:equalWidth="0" w:num="1">
            <w:col w:w="9020"/>
          </w:cols>
          <w:pgMar w:left="1440" w:top="557" w:right="1440" w:bottom="1440" w:gutter="0" w:footer="0" w:header="0"/>
        </w:sectPr>
      </w:pPr>
    </w:p>
    <w:p>
      <w:pPr>
        <w:spacing w:after="0" w:line="1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 xml:space="preserve">a) 2023 Water Data </w:t>
      </w:r>
      <w:r>
        <w:rPr>
          <w:rFonts w:ascii="Times New Roman" w:cs="Times New Roman" w:eastAsia="Times New Roman" w:hAnsi="Times New Roman"/>
          <w:sz w:val="24"/>
          <w:szCs w:val="24"/>
          <w:color w:val="auto"/>
          <w:vertAlign w:val="superscript"/>
        </w:rPr>
        <w:t>(1)</w:t>
      </w:r>
    </w:p>
    <w:tbl>
      <w:tblPr>
        <w:tblLayout w:type="fixed"/>
        <w:tblInd w:w="400" w:type="dxa"/>
        <w:tblCellMar>
          <w:top w:w="0" w:type="dxa"/>
          <w:left w:w="0" w:type="dxa"/>
          <w:bottom w:w="0" w:type="dxa"/>
          <w:right w:w="0" w:type="dxa"/>
        </w:tblCellMar>
      </w:tblPr>
      <w:tr>
        <w:trPr>
          <w:trHeight w:val="160"/>
        </w:trPr>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Water</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 of Floor Area with</w:t>
            </w:r>
          </w:p>
        </w:tc>
        <w:tc>
          <w:tcPr>
            <w:tcW w:w="0" w:type="dxa"/>
            <w:vAlign w:val="bottom"/>
          </w:tcPr>
          <w:p>
            <w:pPr>
              <w:spacing w:after="0"/>
              <w:rPr>
                <w:sz w:val="1"/>
                <w:szCs w:val="1"/>
                <w:color w:val="auto"/>
              </w:rPr>
            </w:pPr>
          </w:p>
        </w:tc>
      </w:tr>
      <w:tr>
        <w:trPr>
          <w:trHeight w:val="84"/>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Withdrawal Data</w:t>
            </w:r>
          </w:p>
        </w:tc>
        <w:tc>
          <w:tcPr>
            <w:tcW w:w="1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1200" w:type="dxa"/>
            <w:vAlign w:val="bottom"/>
            <w:vMerge w:val="continue"/>
          </w:tcPr>
          <w:p>
            <w:pPr>
              <w:spacing w:after="0"/>
              <w:rPr>
                <w:sz w:val="13"/>
                <w:szCs w:val="13"/>
                <w:color w:val="auto"/>
              </w:rPr>
            </w:pPr>
          </w:p>
        </w:tc>
        <w:tc>
          <w:tcPr>
            <w:tcW w:w="170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7"/>
              </w:rPr>
              <w:t>40% or Greater Baseline</w:t>
            </w:r>
          </w:p>
        </w:tc>
        <w:tc>
          <w:tcPr>
            <w:tcW w:w="0" w:type="dxa"/>
            <w:vAlign w:val="bottom"/>
          </w:tcPr>
          <w:p>
            <w:pPr>
              <w:spacing w:after="0"/>
              <w:rPr>
                <w:sz w:val="1"/>
                <w:szCs w:val="1"/>
                <w:color w:val="auto"/>
              </w:rPr>
            </w:pPr>
          </w:p>
        </w:tc>
      </w:tr>
      <w:tr>
        <w:trPr>
          <w:trHeight w:val="117"/>
        </w:trPr>
        <w:tc>
          <w:tcPr>
            <w:tcW w:w="120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b w:val="1"/>
                <w:bCs w:val="1"/>
                <w:color w:val="auto"/>
              </w:rPr>
              <w:t>Coverage as % of</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 xml:space="preserve">Water Stress </w:t>
            </w:r>
            <w:r>
              <w:rPr>
                <w:rFonts w:ascii="Times New Roman" w:cs="Times New Roman" w:eastAsia="Times New Roman" w:hAnsi="Times New Roman"/>
                <w:sz w:val="24"/>
                <w:szCs w:val="24"/>
                <w:b w:val="1"/>
                <w:bCs w:val="1"/>
                <w:color w:val="auto"/>
                <w:w w:val="93"/>
                <w:vertAlign w:val="superscript"/>
              </w:rPr>
              <w:t>(2)</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Floor Area</w:t>
            </w:r>
          </w:p>
        </w:tc>
        <w:tc>
          <w:tcPr>
            <w:tcW w:w="1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1200" w:type="dxa"/>
            <w:vAlign w:val="bottom"/>
            <w:vMerge w:val="continue"/>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Total Water Withdrawn</w:t>
            </w:r>
          </w:p>
        </w:tc>
        <w:tc>
          <w:tcPr>
            <w:tcW w:w="1640" w:type="dxa"/>
            <w:vAlign w:val="bottom"/>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6"/>
              </w:rPr>
              <w:t>% of Water</w:t>
            </w:r>
          </w:p>
        </w:tc>
        <w:tc>
          <w:tcPr>
            <w:tcW w:w="1760" w:type="dxa"/>
            <w:vAlign w:val="bottom"/>
          </w:tcPr>
          <w:p>
            <w:pPr>
              <w:spacing w:after="0"/>
              <w:rPr>
                <w:sz w:val="16"/>
                <w:szCs w:val="16"/>
                <w:color w:val="auto"/>
              </w:rPr>
            </w:pPr>
          </w:p>
        </w:tc>
      </w:tr>
      <w:tr>
        <w:trPr>
          <w:trHeight w:val="168"/>
        </w:trPr>
        <w:tc>
          <w:tcPr>
            <w:tcW w:w="168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w w:val="96"/>
              </w:rPr>
              <w:t>by Portfolio Area with</w:t>
            </w:r>
          </w:p>
        </w:tc>
        <w:tc>
          <w:tcPr>
            <w:tcW w:w="1640" w:type="dxa"/>
            <w:vAlign w:val="bottom"/>
          </w:tcPr>
          <w:p>
            <w:pPr>
              <w:jc w:val="center"/>
              <w:ind w:right="22"/>
              <w:spacing w:after="0" w:line="168" w:lineRule="exact"/>
              <w:rPr>
                <w:sz w:val="20"/>
                <w:szCs w:val="20"/>
                <w:color w:val="auto"/>
              </w:rPr>
            </w:pPr>
            <w:r>
              <w:rPr>
                <w:rFonts w:ascii="Times New Roman" w:cs="Times New Roman" w:eastAsia="Times New Roman" w:hAnsi="Times New Roman"/>
                <w:sz w:val="16"/>
                <w:szCs w:val="16"/>
                <w:b w:val="1"/>
                <w:bCs w:val="1"/>
                <w:color w:val="auto"/>
                <w:w w:val="97"/>
              </w:rPr>
              <w:t>Withdrawn with 40%</w:t>
            </w:r>
          </w:p>
        </w:tc>
        <w:tc>
          <w:tcPr>
            <w:tcW w:w="1760" w:type="dxa"/>
            <w:vAlign w:val="bottom"/>
          </w:tcPr>
          <w:p>
            <w:pPr>
              <w:jc w:val="center"/>
              <w:ind w:left="68"/>
              <w:spacing w:after="0" w:line="168" w:lineRule="exact"/>
              <w:rPr>
                <w:sz w:val="20"/>
                <w:szCs w:val="20"/>
                <w:color w:val="auto"/>
              </w:rPr>
            </w:pPr>
            <w:r>
              <w:rPr>
                <w:rFonts w:ascii="Times New Roman" w:cs="Times New Roman" w:eastAsia="Times New Roman" w:hAnsi="Times New Roman"/>
                <w:sz w:val="16"/>
                <w:szCs w:val="16"/>
                <w:b w:val="1"/>
                <w:bCs w:val="1"/>
                <w:color w:val="auto"/>
                <w:w w:val="96"/>
              </w:rPr>
              <w:t>Like-for-Like Change in</w:t>
            </w:r>
          </w:p>
        </w:tc>
      </w:tr>
      <w:tr>
        <w:trPr>
          <w:trHeight w:val="180"/>
        </w:trPr>
        <w:tc>
          <w:tcPr>
            <w:tcW w:w="16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7"/>
              </w:rPr>
              <w:t>Data Coverage (cubic</w:t>
            </w:r>
          </w:p>
        </w:tc>
        <w:tc>
          <w:tcPr>
            <w:tcW w:w="1640" w:type="dxa"/>
            <w:vAlign w:val="bottom"/>
          </w:tcPr>
          <w:p>
            <w:pPr>
              <w:jc w:val="center"/>
              <w:ind w:right="22"/>
              <w:spacing w:after="0" w:line="180" w:lineRule="exact"/>
              <w:rPr>
                <w:sz w:val="20"/>
                <w:szCs w:val="20"/>
                <w:color w:val="auto"/>
              </w:rPr>
            </w:pPr>
            <w:r>
              <w:rPr>
                <w:rFonts w:ascii="Times New Roman" w:cs="Times New Roman" w:eastAsia="Times New Roman" w:hAnsi="Times New Roman"/>
                <w:sz w:val="16"/>
                <w:szCs w:val="16"/>
                <w:b w:val="1"/>
                <w:bCs w:val="1"/>
                <w:color w:val="auto"/>
                <w:w w:val="96"/>
              </w:rPr>
              <w:t>or Greater Baseline</w:t>
            </w:r>
          </w:p>
        </w:tc>
        <w:tc>
          <w:tcPr>
            <w:tcW w:w="1760" w:type="dxa"/>
            <w:vAlign w:val="bottom"/>
          </w:tcPr>
          <w:p>
            <w:pPr>
              <w:jc w:val="center"/>
              <w:ind w:left="68"/>
              <w:spacing w:after="0" w:line="180" w:lineRule="exact"/>
              <w:rPr>
                <w:sz w:val="20"/>
                <w:szCs w:val="20"/>
                <w:color w:val="auto"/>
              </w:rPr>
            </w:pPr>
            <w:r>
              <w:rPr>
                <w:rFonts w:ascii="Times New Roman" w:cs="Times New Roman" w:eastAsia="Times New Roman" w:hAnsi="Times New Roman"/>
                <w:sz w:val="13"/>
                <w:szCs w:val="13"/>
                <w:b w:val="1"/>
                <w:bCs w:val="1"/>
                <w:color w:val="auto"/>
              </w:rPr>
              <w:t xml:space="preserve">Water Withdrawals </w:t>
            </w:r>
            <w:r>
              <w:rPr>
                <w:rFonts w:ascii="Times New Roman" w:cs="Times New Roman" w:eastAsia="Times New Roman" w:hAnsi="Times New Roman"/>
                <w:sz w:val="20"/>
                <w:szCs w:val="20"/>
                <w:b w:val="1"/>
                <w:bCs w:val="1"/>
                <w:color w:val="auto"/>
                <w:vertAlign w:val="superscript"/>
              </w:rPr>
              <w:t>(4)</w:t>
            </w:r>
          </w:p>
        </w:tc>
      </w:tr>
      <w:tr>
        <w:trPr>
          <w:trHeight w:val="248"/>
        </w:trPr>
        <w:tc>
          <w:tcPr>
            <w:tcW w:w="1680" w:type="dxa"/>
            <w:vAlign w:val="bottom"/>
          </w:tcPr>
          <w:p>
            <w:pPr>
              <w:jc w:val="center"/>
              <w:spacing w:after="0" w:line="248" w:lineRule="exact"/>
              <w:rPr>
                <w:sz w:val="20"/>
                <w:szCs w:val="20"/>
                <w:color w:val="auto"/>
              </w:rPr>
            </w:pPr>
            <w:r>
              <w:rPr>
                <w:rFonts w:ascii="Times New Roman" w:cs="Times New Roman" w:eastAsia="Times New Roman" w:hAnsi="Times New Roman"/>
                <w:sz w:val="16"/>
                <w:szCs w:val="16"/>
                <w:b w:val="1"/>
                <w:bCs w:val="1"/>
                <w:color w:val="auto"/>
                <w:w w:val="94"/>
              </w:rPr>
              <w:t xml:space="preserve">meters, in thousands) </w:t>
            </w:r>
            <w:r>
              <w:rPr>
                <w:rFonts w:ascii="Times New Roman" w:cs="Times New Roman" w:eastAsia="Times New Roman" w:hAnsi="Times New Roman"/>
                <w:sz w:val="24"/>
                <w:szCs w:val="24"/>
                <w:b w:val="1"/>
                <w:bCs w:val="1"/>
                <w:color w:val="auto"/>
                <w:w w:val="94"/>
                <w:vertAlign w:val="superscript"/>
              </w:rPr>
              <w:t>(3)</w:t>
            </w:r>
          </w:p>
        </w:tc>
        <w:tc>
          <w:tcPr>
            <w:tcW w:w="1640" w:type="dxa"/>
            <w:vAlign w:val="bottom"/>
          </w:tcPr>
          <w:p>
            <w:pPr>
              <w:jc w:val="center"/>
              <w:ind w:right="42"/>
              <w:spacing w:after="0" w:line="248" w:lineRule="exact"/>
              <w:rPr>
                <w:sz w:val="20"/>
                <w:szCs w:val="20"/>
                <w:color w:val="auto"/>
              </w:rPr>
            </w:pPr>
            <w:r>
              <w:rPr>
                <w:rFonts w:ascii="Times New Roman" w:cs="Times New Roman" w:eastAsia="Times New Roman" w:hAnsi="Times New Roman"/>
                <w:sz w:val="16"/>
                <w:szCs w:val="16"/>
                <w:b w:val="1"/>
                <w:bCs w:val="1"/>
                <w:color w:val="auto"/>
                <w:w w:val="93"/>
              </w:rPr>
              <w:t xml:space="preserve">Water Stress </w:t>
            </w:r>
            <w:r>
              <w:rPr>
                <w:rFonts w:ascii="Times New Roman" w:cs="Times New Roman" w:eastAsia="Times New Roman" w:hAnsi="Times New Roman"/>
                <w:sz w:val="24"/>
                <w:szCs w:val="24"/>
                <w:b w:val="1"/>
                <w:bCs w:val="1"/>
                <w:color w:val="auto"/>
                <w:w w:val="93"/>
                <w:vertAlign w:val="superscript"/>
              </w:rPr>
              <w:t>(2)</w:t>
            </w:r>
          </w:p>
        </w:tc>
        <w:tc>
          <w:tcPr>
            <w:tcW w:w="17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-1931035</wp:posOffset>
            </wp:positionH>
            <wp:positionV relativeFrom="paragraph">
              <wp:posOffset>-25400</wp:posOffset>
            </wp:positionV>
            <wp:extent cx="532003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20030" cy="7620"/>
                    </a:xfrm>
                    <a:prstGeom prst="rect">
                      <a:avLst/>
                    </a:prstGeom>
                    <a:noFill/>
                  </pic:spPr>
                </pic:pic>
              </a:graphicData>
            </a:graphic>
          </wp:anchor>
        </w:drawing>
      </w:r>
    </w:p>
    <w:p>
      <w:pPr>
        <w:spacing w:after="0" w:line="1" w:lineRule="exact"/>
        <w:rPr>
          <w:sz w:val="20"/>
          <w:szCs w:val="20"/>
          <w:color w:val="auto"/>
        </w:rPr>
      </w:pPr>
    </w:p>
    <w:p>
      <w:pPr>
        <w:sectPr>
          <w:pgSz w:w="11900" w:h="16840" w:orient="portrait"/>
          <w:cols w:equalWidth="0" w:num="2">
            <w:col w:w="3300" w:space="60"/>
            <w:col w:w="5660"/>
          </w:cols>
          <w:pgMar w:left="1440" w:top="557" w:right="1440" w:bottom="1440" w:gutter="0" w:footer="0" w:header="0"/>
          <w:type w:val="continuous"/>
        </w:sectPr>
      </w:pPr>
    </w:p>
    <w:p>
      <w:pPr>
        <w:ind w:left="840"/>
        <w:spacing w:after="0"/>
        <w:tabs>
          <w:tab w:leader="none" w:pos="2300" w:val="left"/>
          <w:tab w:leader="none" w:pos="3980" w:val="left"/>
          <w:tab w:leader="none" w:pos="5640" w:val="left"/>
          <w:tab w:leader="none" w:pos="7480" w:val="left"/>
        </w:tabs>
        <w:rPr>
          <w:sz w:val="20"/>
          <w:szCs w:val="20"/>
          <w:color w:val="auto"/>
        </w:rPr>
      </w:pPr>
      <w:r>
        <w:rPr>
          <w:rFonts w:ascii="Times New Roman" w:cs="Times New Roman" w:eastAsia="Times New Roman" w:hAnsi="Times New Roman"/>
          <w:sz w:val="16"/>
          <w:szCs w:val="16"/>
          <w:color w:val="auto"/>
        </w:rPr>
        <w:t>92%</w:t>
      </w:r>
      <w:r>
        <w:rPr>
          <w:sz w:val="20"/>
          <w:szCs w:val="20"/>
          <w:color w:val="auto"/>
        </w:rPr>
        <w:tab/>
      </w:r>
      <w:r>
        <w:rPr>
          <w:rFonts w:ascii="Times New Roman" w:cs="Times New Roman" w:eastAsia="Times New Roman" w:hAnsi="Times New Roman"/>
          <w:sz w:val="16"/>
          <w:szCs w:val="16"/>
          <w:color w:val="auto"/>
        </w:rPr>
        <w:t>15%</w:t>
      </w:r>
      <w:r>
        <w:rPr>
          <w:sz w:val="20"/>
          <w:szCs w:val="20"/>
          <w:color w:val="auto"/>
        </w:rPr>
        <w:tab/>
      </w:r>
      <w:r>
        <w:rPr>
          <w:rFonts w:ascii="Times New Roman" w:cs="Times New Roman" w:eastAsia="Times New Roman" w:hAnsi="Times New Roman"/>
          <w:sz w:val="16"/>
          <w:szCs w:val="16"/>
          <w:color w:val="auto"/>
        </w:rPr>
        <w:t>5,685</w:t>
      </w:r>
      <w:r>
        <w:rPr>
          <w:sz w:val="20"/>
          <w:szCs w:val="20"/>
          <w:color w:val="auto"/>
        </w:rPr>
        <w:tab/>
      </w:r>
      <w:r>
        <w:rPr>
          <w:rFonts w:ascii="Times New Roman" w:cs="Times New Roman" w:eastAsia="Times New Roman" w:hAnsi="Times New Roman"/>
          <w:sz w:val="16"/>
          <w:szCs w:val="16"/>
          <w:color w:val="auto"/>
        </w:rPr>
        <w:t>12%</w:t>
      </w:r>
      <w:r>
        <w:rPr>
          <w:sz w:val="20"/>
          <w:szCs w:val="20"/>
          <w:color w:val="auto"/>
        </w:rPr>
        <w:tab/>
      </w:r>
      <w:r>
        <w:rPr>
          <w:rFonts w:ascii="Times New Roman" w:cs="Times New Roman" w:eastAsia="Times New Roman" w:hAnsi="Times New Roman"/>
          <w:sz w:val="14"/>
          <w:szCs w:val="14"/>
          <w:color w:val="auto"/>
        </w:rPr>
        <w:t>18%</w:t>
      </w:r>
    </w:p>
    <w:p>
      <w:pPr>
        <w:spacing w:after="0" w:line="15" w:lineRule="exact"/>
        <w:rPr>
          <w:sz w:val="20"/>
          <w:szCs w:val="20"/>
          <w:color w:val="auto"/>
        </w:rPr>
      </w:pPr>
    </w:p>
    <w:p>
      <w:pPr>
        <w:ind w:left="900" w:right="540" w:hanging="294"/>
        <w:spacing w:after="0" w:line="256" w:lineRule="auto"/>
        <w:tabs>
          <w:tab w:leader="none" w:pos="90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most recent full year for which water data is available is 2023. The scope of data coverage includes managed and non-managed assets. The scope of water withdrawals is aligned with the 2023 GRESB Real Estate Assessment Reference Guide. In 2023, 99% of the Company’s portfolio consisted of data center space along with limited accessory uses, predominantly office. These secondary space types are not broken out by subsector.</w:t>
      </w:r>
    </w:p>
    <w:p>
      <w:pPr>
        <w:spacing w:after="0" w:line="1" w:lineRule="exact"/>
        <w:rPr>
          <w:rFonts w:ascii="Times New Roman" w:cs="Times New Roman" w:eastAsia="Times New Roman" w:hAnsi="Times New Roman"/>
          <w:sz w:val="14"/>
          <w:szCs w:val="14"/>
          <w:color w:val="auto"/>
        </w:rPr>
      </w:pPr>
    </w:p>
    <w:p>
      <w:pPr>
        <w:ind w:left="900" w:right="400" w:hanging="294"/>
        <w:spacing w:after="0" w:line="250" w:lineRule="auto"/>
        <w:tabs>
          <w:tab w:leader="none" w:pos="90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properties classified as High or Extremely High Baseline Water Stress determined by the World Resources Institute’s Water Risk Atlas tool, Aqueduct. Includes properties that have complete water withdrawal data coverage.</w:t>
      </w:r>
    </w:p>
    <w:p>
      <w:pPr>
        <w:ind w:left="900" w:hanging="294"/>
        <w:spacing w:after="0"/>
        <w:tabs>
          <w:tab w:leader="none" w:pos="90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of water consumed includes potable water and non-potable water purchased from third-party suppliers and water reused.</w:t>
      </w:r>
    </w:p>
    <w:p>
      <w:pPr>
        <w:spacing w:after="0" w:line="7" w:lineRule="exact"/>
        <w:rPr>
          <w:rFonts w:ascii="Times New Roman" w:cs="Times New Roman" w:eastAsia="Times New Roman" w:hAnsi="Times New Roman"/>
          <w:sz w:val="14"/>
          <w:szCs w:val="14"/>
          <w:color w:val="auto"/>
        </w:rPr>
      </w:pPr>
    </w:p>
    <w:p>
      <w:pPr>
        <w:ind w:left="900" w:hanging="294"/>
        <w:spacing w:after="0"/>
        <w:tabs>
          <w:tab w:leader="none" w:pos="90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Scope of data is aligned with the 2023 GRESB Real Estate Assessment Reference Guide (“Like-for-like Comparison”).</w:t>
      </w:r>
    </w:p>
    <w:p>
      <w:pPr>
        <w:spacing w:after="0" w:line="168" w:lineRule="exact"/>
        <w:rPr>
          <w:rFonts w:ascii="Times New Roman" w:cs="Times New Roman" w:eastAsia="Times New Roman" w:hAnsi="Times New Roman"/>
          <w:sz w:val="14"/>
          <w:szCs w:val="14"/>
          <w:color w:val="auto"/>
        </w:rPr>
      </w:pPr>
    </w:p>
    <w:p>
      <w:pPr>
        <w:ind w:left="480" w:hanging="162"/>
        <w:spacing w:after="0"/>
        <w:tabs>
          <w:tab w:leader="none" w:pos="480" w:val="left"/>
        </w:tabs>
        <w:numPr>
          <w:ilvl w:val="0"/>
          <w:numId w:val="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Water Management Risks and Mitigation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-1082040</wp:posOffset>
            </wp:positionV>
            <wp:extent cx="532003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20030" cy="7620"/>
                    </a:xfrm>
                    <a:prstGeom prst="rect">
                      <a:avLst/>
                    </a:prstGeom>
                    <a:noFill/>
                  </pic:spPr>
                </pic:pic>
              </a:graphicData>
            </a:graphic>
          </wp:anchor>
        </w:drawing>
      </w:r>
    </w:p>
    <w:p>
      <w:pPr>
        <w:spacing w:after="0" w:line="158" w:lineRule="exact"/>
        <w:rPr>
          <w:sz w:val="20"/>
          <w:szCs w:val="20"/>
          <w:color w:val="auto"/>
        </w:rPr>
      </w:pPr>
    </w:p>
    <w:p>
      <w:pPr>
        <w:ind w:left="320" w:right="320"/>
        <w:spacing w:after="0" w:line="239" w:lineRule="auto"/>
        <w:rPr>
          <w:sz w:val="20"/>
          <w:szCs w:val="20"/>
          <w:color w:val="auto"/>
        </w:rPr>
      </w:pPr>
      <w:r>
        <w:rPr>
          <w:rFonts w:ascii="Times New Roman" w:cs="Times New Roman" w:eastAsia="Times New Roman" w:hAnsi="Times New Roman"/>
          <w:sz w:val="16"/>
          <w:szCs w:val="16"/>
          <w:color w:val="auto"/>
        </w:rPr>
        <w:t>Our global water strategy addresses the strategic role that water plays in our operations and regions where water quality and scarcity pose the greatest interruption risk to our business. Some of our assets are in regions of high or extremely high baseline water stress and may face future risk of water scarcity, higher water costs, and regulatory constraints on water consumption. We consider water availability, cost, and alternate supply solutions to potable water such as municipally supplied non -potable water, which accounted for 43% of our total water usage in 2024. We also consider cooling system designs to maximize ‘free cooling’ and reduce or eliminate reliance on water for cooling.</w:t>
      </w:r>
    </w:p>
    <w:p>
      <w:pPr>
        <w:spacing w:after="0" w:line="1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Climate Change Adaptation</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a) Properties exposed in 100-Year Flood Plains</w:t>
      </w:r>
    </w:p>
    <w:p>
      <w:pPr>
        <w:spacing w:after="0" w:line="178" w:lineRule="exact"/>
        <w:rPr>
          <w:sz w:val="20"/>
          <w:szCs w:val="20"/>
          <w:color w:val="auto"/>
        </w:rPr>
      </w:pPr>
    </w:p>
    <w:p>
      <w:pPr>
        <w:ind w:left="320" w:right="680"/>
        <w:spacing w:after="0" w:line="247" w:lineRule="auto"/>
        <w:rPr>
          <w:sz w:val="20"/>
          <w:szCs w:val="20"/>
          <w:color w:val="auto"/>
        </w:rPr>
      </w:pPr>
      <w:r>
        <w:rPr>
          <w:rFonts w:ascii="Times New Roman" w:cs="Times New Roman" w:eastAsia="Times New Roman" w:hAnsi="Times New Roman"/>
          <w:sz w:val="16"/>
          <w:szCs w:val="16"/>
          <w:color w:val="auto"/>
        </w:rPr>
        <w:t>Two U.S. data centers totaling approximately 0.5 million square feet are exposed to 100-year flood zones designated by the U.S. Federal Emergency Management Agency as special flood hazard areas. An additional three properties in Europe totaling approximately 0.1 million square feet are exposed to 100-year flood zones.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type w:val="continuous"/>
        </w:sectPr>
      </w:pPr>
    </w:p>
    <w:bookmarkStart w:id="16" w:name="page17"/>
    <w:bookmarkEnd w:id="16"/>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b) Climate Change Risks and Mitigation Strategies</w:t>
      </w:r>
    </w:p>
    <w:p>
      <w:pPr>
        <w:spacing w:after="0" w:line="178" w:lineRule="exact"/>
        <w:rPr>
          <w:sz w:val="20"/>
          <w:szCs w:val="20"/>
          <w:color w:val="auto"/>
        </w:rPr>
      </w:pPr>
    </w:p>
    <w:p>
      <w:pPr>
        <w:ind w:left="320" w:right="360"/>
        <w:spacing w:after="0" w:line="237" w:lineRule="auto"/>
        <w:rPr>
          <w:sz w:val="20"/>
          <w:szCs w:val="20"/>
          <w:color w:val="auto"/>
        </w:rPr>
      </w:pPr>
      <w:r>
        <w:rPr>
          <w:rFonts w:ascii="Times New Roman" w:cs="Times New Roman" w:eastAsia="Times New Roman" w:hAnsi="Times New Roman"/>
          <w:sz w:val="16"/>
          <w:szCs w:val="16"/>
          <w:color w:val="auto"/>
        </w:rPr>
        <w:t>We evaluate potential risks and opportunities as a result of climate change and have implemented strategies to mitigate risks and capitalize on opportunities. Climate change risks that we have identified include acute and chronic physical risks, as well as transition risks such as market, policy, reputational, and technology risks. Management of climate-related risks and opportunities is a company-wide effort, delivered through an interdisciplinary effort with contributions from our global operations team, risk management, environmental occupational health and safety, compliance, information security, physical security and other functions, with oversight by our executive management team and governed by our Board of Directors. We manage potential risks first via our siting and design standards, then by implementing recommendations to proactively mitigate losses related to short -term acute weather events as well as long-term climate-related changes. Climate resilience measures include maintaining appropriate levels of insurance for each asset, performing climate risk scenario analyses for a selection of our global portfolio, and implementing operational risk reduction measures at the site level. We continue to align our ESG Report with the recommendations of the Task Force on Climate-related Financial Disclosures to disclose specific climate-related financial risks and opportunities, mitigation strategies, and associated metrics and targets.</w:t>
      </w:r>
    </w:p>
    <w:p>
      <w:pPr>
        <w:spacing w:after="0" w:line="1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Competition</w:t>
      </w:r>
    </w:p>
    <w:p>
      <w:pPr>
        <w:spacing w:after="0" w:line="190" w:lineRule="exact"/>
        <w:rPr>
          <w:sz w:val="20"/>
          <w:szCs w:val="20"/>
          <w:color w:val="auto"/>
        </w:rPr>
      </w:pPr>
    </w:p>
    <w:p>
      <w:pPr>
        <w:ind w:left="320" w:right="340"/>
        <w:spacing w:after="0" w:line="241" w:lineRule="auto"/>
        <w:rPr>
          <w:sz w:val="20"/>
          <w:szCs w:val="20"/>
          <w:color w:val="auto"/>
        </w:rPr>
      </w:pPr>
      <w:r>
        <w:rPr>
          <w:rFonts w:ascii="Times New Roman" w:cs="Times New Roman" w:eastAsia="Times New Roman" w:hAnsi="Times New Roman"/>
          <w:sz w:val="16"/>
          <w:szCs w:val="16"/>
          <w:color w:val="auto"/>
        </w:rPr>
        <w:t>We compete with numerous data center providers globally, many of whom own or operate properties similar to ours in some of the same metropolitan areas where our data centers are located, including Equinix, Inc. and NTT; various private operators in the U.S.; as well as Global Switch Holdings Limited and various regional operators in Europe, Asia, Latin America, Africa and Australia. See "We face significant competition, which may adversely affect the occupancy and rental rates of our data centers." in Item 1A. Risk Factors.</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Regulation</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General</w:t>
      </w:r>
    </w:p>
    <w:p>
      <w:pPr>
        <w:spacing w:after="0" w:line="192" w:lineRule="exact"/>
        <w:rPr>
          <w:sz w:val="20"/>
          <w:szCs w:val="20"/>
          <w:color w:val="auto"/>
        </w:rPr>
      </w:pPr>
    </w:p>
    <w:p>
      <w:pPr>
        <w:ind w:left="320" w:right="560"/>
        <w:spacing w:after="0" w:line="259" w:lineRule="auto"/>
        <w:rPr>
          <w:sz w:val="20"/>
          <w:szCs w:val="20"/>
          <w:color w:val="auto"/>
        </w:rPr>
      </w:pPr>
      <w:r>
        <w:rPr>
          <w:rFonts w:ascii="Times New Roman" w:cs="Times New Roman" w:eastAsia="Times New Roman" w:hAnsi="Times New Roman"/>
          <w:sz w:val="16"/>
          <w:szCs w:val="16"/>
          <w:color w:val="auto"/>
        </w:rPr>
        <w:t>Our properties are subject to various laws, ordinances and regulations, including regulations relating to common areas. We believe each of our properties as of December 31, 2024 has the necessary permits and approvals to operate.</w:t>
      </w:r>
    </w:p>
    <w:p>
      <w:pPr>
        <w:spacing w:after="0" w:line="1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Americans with Disabilities Act</w:t>
      </w:r>
    </w:p>
    <w:p>
      <w:pPr>
        <w:spacing w:after="0" w:line="192" w:lineRule="exact"/>
        <w:rPr>
          <w:sz w:val="20"/>
          <w:szCs w:val="20"/>
          <w:color w:val="auto"/>
        </w:rPr>
      </w:pPr>
    </w:p>
    <w:p>
      <w:pPr>
        <w:ind w:left="320" w:right="400"/>
        <w:spacing w:after="0" w:line="278" w:lineRule="auto"/>
        <w:rPr>
          <w:sz w:val="20"/>
          <w:szCs w:val="20"/>
          <w:color w:val="auto"/>
        </w:rPr>
      </w:pPr>
      <w:r>
        <w:rPr>
          <w:rFonts w:ascii="Times New Roman" w:cs="Times New Roman" w:eastAsia="Times New Roman" w:hAnsi="Times New Roman"/>
          <w:sz w:val="14"/>
          <w:szCs w:val="14"/>
          <w:color w:val="auto"/>
        </w:rPr>
        <w:t>Our properties must comply with Title III of the Americans with Disabilities Act of 1990, or the ADA, to the extent that such properties are “public accommodations” as defined by the ADA. We believe our properties are in substantial compliance with the ADA and that we will not be required to make substantial capital expenditures to address the requirements of the ADA. However, non-compliance with the ADA could result in imposition of fines or an award of damages to private litigants. The obligation to make accommodations in accordance with the ADA, as well as other applicable laws and regulations is an ongoing one, and we will continue to assess our properties and make alterations as appropriate in this respect. See “We may incur significant costs complying with applicable laws and governmental regulations, including the Americans with Disabilities Act.” in Item 1A. Risk Factors.</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Environmental Matters</w:t>
      </w:r>
    </w:p>
    <w:p>
      <w:pPr>
        <w:spacing w:after="0" w:line="192" w:lineRule="exact"/>
        <w:rPr>
          <w:sz w:val="20"/>
          <w:szCs w:val="20"/>
          <w:color w:val="auto"/>
        </w:rPr>
      </w:pPr>
    </w:p>
    <w:p>
      <w:pPr>
        <w:ind w:left="320" w:right="360"/>
        <w:spacing w:after="0" w:line="280" w:lineRule="auto"/>
        <w:rPr>
          <w:sz w:val="20"/>
          <w:szCs w:val="20"/>
          <w:color w:val="auto"/>
        </w:rPr>
      </w:pPr>
      <w:r>
        <w:rPr>
          <w:rFonts w:ascii="Times New Roman" w:cs="Times New Roman" w:eastAsia="Times New Roman" w:hAnsi="Times New Roman"/>
          <w:sz w:val="14"/>
          <w:szCs w:val="14"/>
          <w:color w:val="auto"/>
        </w:rPr>
        <w:t>We are exposed to various environmental risks that may result in unanticipated losses and could affect our operating results and financial condition. Either the previous owners or we have conducted environmental reviews on a majority of the properties we have acquired, including land. While some of these assessments have led to further investigation and sampling, none of the environmental assessments have revealed an environmental liability that we believe would have a material adverse effect on our business, financial condition or results of operations. See "We could incur significant costs related to environmental matters, including from government regulation, private litigation, and existing conditions at some of our properties." in Item 1A. Risk Factors for further discussion.</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7" w:name="page18"/>
    <w:bookmarkEnd w:id="17"/>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Climate Change Legislation</w:t>
      </w:r>
    </w:p>
    <w:p>
      <w:pPr>
        <w:spacing w:after="0" w:line="192" w:lineRule="exact"/>
        <w:rPr>
          <w:sz w:val="20"/>
          <w:szCs w:val="20"/>
          <w:color w:val="auto"/>
        </w:rPr>
      </w:pPr>
    </w:p>
    <w:p>
      <w:pPr>
        <w:ind w:left="320" w:right="380"/>
        <w:spacing w:after="0" w:line="239" w:lineRule="auto"/>
        <w:rPr>
          <w:sz w:val="20"/>
          <w:szCs w:val="20"/>
          <w:color w:val="auto"/>
        </w:rPr>
      </w:pPr>
      <w:r>
        <w:rPr>
          <w:rFonts w:ascii="Times New Roman" w:cs="Times New Roman" w:eastAsia="Times New Roman" w:hAnsi="Times New Roman"/>
          <w:sz w:val="16"/>
          <w:szCs w:val="16"/>
          <w:color w:val="auto"/>
        </w:rPr>
        <w:t>There continue to be numerous international, U.S. federal and state-level initiatives and proposals to address domestic and global climate issues. Climate change effects, if they occur, and governmental initiatives, laws and regulations to address potential climate concerns, could increase our costs and have a long-term adverse effect on our business and results of operations. Future legislation or regulatory activity in this area remains uncertain, and its effect on our operations is unclear at this time. See "We could incur significant costs related to environmental matters, including from government regulation, private litigation, and existing conditions at some of our properties." in Item 1A. Risk Factors for further discussion.</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Insurance</w:t>
      </w:r>
    </w:p>
    <w:p>
      <w:pPr>
        <w:spacing w:after="0" w:line="190" w:lineRule="exact"/>
        <w:rPr>
          <w:sz w:val="20"/>
          <w:szCs w:val="20"/>
          <w:color w:val="auto"/>
        </w:rPr>
      </w:pPr>
    </w:p>
    <w:p>
      <w:pPr>
        <w:ind w:left="320" w:right="380"/>
        <w:spacing w:after="0" w:line="239" w:lineRule="auto"/>
        <w:rPr>
          <w:sz w:val="20"/>
          <w:szCs w:val="20"/>
          <w:color w:val="auto"/>
        </w:rPr>
      </w:pPr>
      <w:r>
        <w:rPr>
          <w:rFonts w:ascii="Times New Roman" w:cs="Times New Roman" w:eastAsia="Times New Roman" w:hAnsi="Times New Roman"/>
          <w:sz w:val="16"/>
          <w:szCs w:val="16"/>
          <w:color w:val="auto"/>
        </w:rPr>
        <w:t>We carry commercial general liability, property and business interruption insurance, and other insurance coverage on all of the properties in our portfolio. We select coverages, policy specifications and insured limits which we believe to be appropriate given the relative risk of loss, the cost of coverage, and industry practice. Insurance is maintained through a combination of commercial insurance, self- insurance and wholly-owned captive insurance entity. We believe the properties in our portfolio are adequately insured. We do not carry insurance for generally uninsured exposures such as loss from war or nuclear reaction. In addition, we carry earthquake insurance on our properties in an amount and with deductibles we believe are commercially reasonable. See “Potential losses may not be covered by insurance.” in Item 1A. Risk Factors.</w:t>
      </w:r>
    </w:p>
    <w:p>
      <w:pPr>
        <w:spacing w:after="0" w:line="168" w:lineRule="exact"/>
        <w:rPr>
          <w:sz w:val="20"/>
          <w:szCs w:val="20"/>
          <w:color w:val="auto"/>
        </w:rPr>
      </w:pPr>
    </w:p>
    <w:tbl>
      <w:tblPr>
        <w:tblLayout w:type="fixed"/>
        <w:tblInd w:w="320" w:type="dxa"/>
        <w:tblCellMar>
          <w:top w:w="0" w:type="dxa"/>
          <w:left w:w="0" w:type="dxa"/>
          <w:bottom w:w="0" w:type="dxa"/>
          <w:right w:w="0" w:type="dxa"/>
        </w:tblCellMar>
      </w:tblPr>
      <w:tr>
        <w:trPr>
          <w:trHeight w:val="205"/>
        </w:trPr>
        <w:tc>
          <w:tcPr>
            <w:tcW w:w="78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Human Capital Resource Management</w:t>
            </w:r>
          </w:p>
        </w:tc>
        <w:tc>
          <w:tcPr>
            <w:tcW w:w="520" w:type="dxa"/>
            <w:vAlign w:val="bottom"/>
          </w:tcPr>
          <w:p>
            <w:pPr>
              <w:spacing w:after="0"/>
              <w:rPr>
                <w:sz w:val="17"/>
                <w:szCs w:val="17"/>
                <w:color w:val="auto"/>
              </w:rPr>
            </w:pPr>
          </w:p>
        </w:tc>
      </w:tr>
      <w:tr>
        <w:trPr>
          <w:trHeight w:val="337"/>
        </w:trPr>
        <w:tc>
          <w:tcPr>
            <w:tcW w:w="7860" w:type="dxa"/>
            <w:vAlign w:val="bottom"/>
            <w:gridSpan w:val="3"/>
          </w:tcPr>
          <w:p>
            <w:pPr>
              <w:spacing w:after="0"/>
              <w:rPr>
                <w:sz w:val="20"/>
                <w:szCs w:val="20"/>
                <w:color w:val="auto"/>
              </w:rPr>
            </w:pPr>
            <w:r>
              <w:rPr>
                <w:rFonts w:ascii="Times New Roman" w:cs="Times New Roman" w:eastAsia="Times New Roman" w:hAnsi="Times New Roman"/>
                <w:sz w:val="16"/>
                <w:szCs w:val="16"/>
                <w:color w:val="auto"/>
                <w:w w:val="98"/>
              </w:rPr>
              <w:t>As of December 31, 2024, we had 3,936 full-time employees. The geographic distribution of our global employee base as of</w:t>
            </w:r>
          </w:p>
        </w:tc>
        <w:tc>
          <w:tcPr>
            <w:tcW w:w="520" w:type="dxa"/>
            <w:vAlign w:val="bottom"/>
          </w:tcPr>
          <w:p>
            <w:pPr>
              <w:spacing w:after="0"/>
              <w:rPr>
                <w:sz w:val="24"/>
                <w:szCs w:val="24"/>
                <w:color w:val="auto"/>
              </w:rPr>
            </w:pPr>
          </w:p>
        </w:tc>
      </w:tr>
      <w:tr>
        <w:trPr>
          <w:trHeight w:val="203"/>
        </w:trPr>
        <w:tc>
          <w:tcPr>
            <w:tcW w:w="78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December 31, 2024 is summarized in the following table.</w:t>
            </w:r>
          </w:p>
        </w:tc>
        <w:tc>
          <w:tcPr>
            <w:tcW w:w="520" w:type="dxa"/>
            <w:vAlign w:val="bottom"/>
          </w:tcPr>
          <w:p>
            <w:pPr>
              <w:spacing w:after="0"/>
              <w:rPr>
                <w:sz w:val="17"/>
                <w:szCs w:val="17"/>
                <w:color w:val="auto"/>
              </w:rPr>
            </w:pPr>
          </w:p>
        </w:tc>
      </w:tr>
      <w:tr>
        <w:trPr>
          <w:trHeight w:val="362"/>
        </w:trPr>
        <w:tc>
          <w:tcPr>
            <w:tcW w:w="78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Region</w:t>
            </w:r>
          </w:p>
        </w:tc>
        <w:tc>
          <w:tcPr>
            <w:tcW w:w="520" w:type="dxa"/>
            <w:vAlign w:val="bottom"/>
          </w:tcPr>
          <w:p>
            <w:pPr>
              <w:spacing w:after="0"/>
              <w:rPr>
                <w:sz w:val="24"/>
                <w:szCs w:val="24"/>
                <w:color w:val="auto"/>
              </w:rPr>
            </w:pPr>
          </w:p>
        </w:tc>
      </w:tr>
      <w:tr>
        <w:trPr>
          <w:trHeight w:val="172"/>
        </w:trPr>
        <w:tc>
          <w:tcPr>
            <w:tcW w:w="3960" w:type="dxa"/>
            <w:vAlign w:val="bottom"/>
            <w:tcBorders>
              <w:top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North America</w:t>
            </w:r>
          </w:p>
        </w:tc>
        <w:tc>
          <w:tcPr>
            <w:tcW w:w="540" w:type="dxa"/>
            <w:vAlign w:val="bottom"/>
            <w:tcBorders>
              <w:top w:val="single" w:sz="8" w:color="CCEEFF"/>
            </w:tcBorders>
            <w:shd w:val="clear" w:color="auto" w:fill="CCEEFF"/>
          </w:tcPr>
          <w:p>
            <w:pPr>
              <w:spacing w:after="0"/>
              <w:rPr>
                <w:sz w:val="14"/>
                <w:szCs w:val="14"/>
                <w:color w:val="auto"/>
              </w:rPr>
            </w:pPr>
          </w:p>
        </w:tc>
        <w:tc>
          <w:tcPr>
            <w:tcW w:w="336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1,781</w:t>
            </w:r>
          </w:p>
        </w:tc>
      </w:tr>
      <w:tr>
        <w:trPr>
          <w:trHeight w:val="180"/>
        </w:trPr>
        <w:tc>
          <w:tcPr>
            <w:tcW w:w="7860" w:type="dxa"/>
            <w:vAlign w:val="bottom"/>
            <w:gridSpan w:val="3"/>
          </w:tcPr>
          <w:p>
            <w:pPr>
              <w:spacing w:after="0" w:line="180" w:lineRule="exact"/>
              <w:rPr>
                <w:sz w:val="20"/>
                <w:szCs w:val="20"/>
                <w:color w:val="auto"/>
              </w:rPr>
            </w:pPr>
            <w:r>
              <w:rPr>
                <w:rFonts w:ascii="Times New Roman" w:cs="Times New Roman" w:eastAsia="Times New Roman" w:hAnsi="Times New Roman"/>
                <w:sz w:val="16"/>
                <w:szCs w:val="16"/>
                <w:color w:val="auto"/>
              </w:rPr>
              <w:t>EMEA</w:t>
            </w:r>
          </w:p>
        </w:tc>
        <w:tc>
          <w:tcPr>
            <w:tcW w:w="5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1,922</w:t>
            </w:r>
          </w:p>
        </w:tc>
      </w:tr>
      <w:tr>
        <w:trPr>
          <w:trHeight w:val="180"/>
        </w:trPr>
        <w:tc>
          <w:tcPr>
            <w:tcW w:w="7860" w:type="dxa"/>
            <w:vAlign w:val="bottom"/>
            <w:gridSpan w:val="3"/>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Asia Pacific</w:t>
            </w:r>
          </w:p>
        </w:tc>
        <w:tc>
          <w:tcPr>
            <w:tcW w:w="5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233</w:t>
            </w:r>
          </w:p>
        </w:tc>
      </w:tr>
      <w:tr>
        <w:trPr>
          <w:trHeight w:val="172"/>
        </w:trPr>
        <w:tc>
          <w:tcPr>
            <w:tcW w:w="4500" w:type="dxa"/>
            <w:vAlign w:val="bottom"/>
            <w:gridSpan w:val="2"/>
          </w:tcPr>
          <w:p>
            <w:pPr>
              <w:ind w:left="100"/>
              <w:spacing w:after="0" w:line="172" w:lineRule="exact"/>
              <w:rPr>
                <w:sz w:val="20"/>
                <w:szCs w:val="20"/>
                <w:color w:val="auto"/>
              </w:rPr>
            </w:pPr>
            <w:r>
              <w:rPr>
                <w:rFonts w:ascii="Times New Roman" w:cs="Times New Roman" w:eastAsia="Times New Roman" w:hAnsi="Times New Roman"/>
                <w:sz w:val="16"/>
                <w:szCs w:val="16"/>
                <w:b w:val="1"/>
                <w:bCs w:val="1"/>
                <w:color w:val="auto"/>
              </w:rPr>
              <w:t>Total</w:t>
            </w:r>
          </w:p>
        </w:tc>
        <w:tc>
          <w:tcPr>
            <w:tcW w:w="336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3,936</w:t>
            </w:r>
          </w:p>
        </w:tc>
      </w:tr>
      <w:tr>
        <w:trPr>
          <w:trHeight w:val="20"/>
        </w:trPr>
        <w:tc>
          <w:tcPr>
            <w:tcW w:w="3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Compensation, Benefits and Employee Wellbeing</w:t>
      </w:r>
    </w:p>
    <w:p>
      <w:pPr>
        <w:spacing w:after="0" w:line="180" w:lineRule="exact"/>
        <w:rPr>
          <w:sz w:val="20"/>
          <w:szCs w:val="20"/>
          <w:color w:val="auto"/>
        </w:rPr>
      </w:pPr>
    </w:p>
    <w:p>
      <w:pPr>
        <w:ind w:left="320" w:right="360"/>
        <w:spacing w:after="0" w:line="241" w:lineRule="auto"/>
        <w:rPr>
          <w:sz w:val="20"/>
          <w:szCs w:val="20"/>
          <w:color w:val="auto"/>
        </w:rPr>
      </w:pPr>
      <w:r>
        <w:rPr>
          <w:rFonts w:ascii="Times New Roman" w:cs="Times New Roman" w:eastAsia="Times New Roman" w:hAnsi="Times New Roman"/>
          <w:sz w:val="16"/>
          <w:szCs w:val="16"/>
          <w:color w:val="auto"/>
        </w:rPr>
        <w:t>To attract and retain the best-qualified talent and to help our employees maintain healthy and balanced lives, and meet their financial and retirement goals, we offer market-competitive compensation and competitive benefits, including healthcare, vacation benefits, parental leave, 401(k)/pension company match, an employee stock purchase plan, fitness reimbursement program, commuter benefits, tuition reimbursement, employee skills development and leadership development. Employee surveys are conducted annually to solicit feedback and to help prioritize and improve employee engagement.</w:t>
      </w:r>
    </w:p>
    <w:p>
      <w:pPr>
        <w:spacing w:after="0" w:line="157" w:lineRule="exact"/>
        <w:rPr>
          <w:sz w:val="20"/>
          <w:szCs w:val="20"/>
          <w:color w:val="auto"/>
        </w:rPr>
      </w:pPr>
    </w:p>
    <w:p>
      <w:pPr>
        <w:ind w:left="320" w:right="320"/>
        <w:spacing w:after="0" w:line="247" w:lineRule="auto"/>
        <w:rPr>
          <w:sz w:val="20"/>
          <w:szCs w:val="20"/>
          <w:color w:val="auto"/>
        </w:rPr>
      </w:pPr>
      <w:r>
        <w:rPr>
          <w:rFonts w:ascii="Times New Roman" w:cs="Times New Roman" w:eastAsia="Times New Roman" w:hAnsi="Times New Roman"/>
          <w:sz w:val="16"/>
          <w:szCs w:val="16"/>
          <w:color w:val="auto"/>
        </w:rPr>
        <w:t>We also encourage our employees to give back to the community by matching their contributions to eligible charitable organizations through our Matching Gifts Program. Additionally, our Donate 8 Program grants paid time off each year to employees for the purpose of volunteering for eligible organizations.</w:t>
      </w:r>
    </w:p>
    <w:p>
      <w:pPr>
        <w:spacing w:after="0" w:line="152" w:lineRule="exact"/>
        <w:rPr>
          <w:sz w:val="20"/>
          <w:szCs w:val="20"/>
          <w:color w:val="auto"/>
        </w:rPr>
      </w:pPr>
    </w:p>
    <w:p>
      <w:pPr>
        <w:ind w:left="320" w:right="620"/>
        <w:spacing w:after="0" w:line="247" w:lineRule="auto"/>
        <w:rPr>
          <w:sz w:val="20"/>
          <w:szCs w:val="20"/>
          <w:color w:val="auto"/>
        </w:rPr>
      </w:pPr>
      <w:r>
        <w:rPr>
          <w:rFonts w:ascii="Times New Roman" w:cs="Times New Roman" w:eastAsia="Times New Roman" w:hAnsi="Times New Roman"/>
          <w:sz w:val="16"/>
          <w:szCs w:val="16"/>
          <w:color w:val="auto"/>
        </w:rPr>
        <w:t>We prioritize providing programs and benefits that promote healthy and productive lifestyles. We offer a company-wide wellness program that invests in the health, fitness, financial wellness and overall quality of life for our employees through education, challenges, incentives and reimbursements.</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During 2024, we sought to play an active role in supporting the communities we operate in across North America, EMEA and APAC.</w:t>
      </w:r>
    </w:p>
    <w:p>
      <w:pPr>
        <w:spacing w:after="0" w:line="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This included companywide giving focused on our areas of philanthropic focus (disaster relief, STEM education and sustainability).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8" w:name="page19"/>
    <w:bookmarkEnd w:id="18"/>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Workplace Belonging</w:t>
      </w:r>
    </w:p>
    <w:p>
      <w:pPr>
        <w:spacing w:after="0" w:line="180" w:lineRule="exact"/>
        <w:rPr>
          <w:sz w:val="20"/>
          <w:szCs w:val="20"/>
          <w:color w:val="auto"/>
        </w:rPr>
      </w:pPr>
    </w:p>
    <w:p>
      <w:pPr>
        <w:ind w:left="320" w:right="380"/>
        <w:spacing w:after="0" w:line="243" w:lineRule="auto"/>
        <w:rPr>
          <w:sz w:val="20"/>
          <w:szCs w:val="20"/>
          <w:color w:val="auto"/>
        </w:rPr>
      </w:pPr>
      <w:r>
        <w:rPr>
          <w:rFonts w:ascii="Times New Roman" w:cs="Times New Roman" w:eastAsia="Times New Roman" w:hAnsi="Times New Roman"/>
          <w:sz w:val="16"/>
          <w:szCs w:val="16"/>
          <w:color w:val="auto"/>
        </w:rPr>
        <w:t>It is our Company’s policy to recruit talent based on merit, without discrimination on the basis of any legally protected characteristic. Digital Realty’s Together@Digital workplace program aims to unlock innovation, enhance decision-making, attract top talent and better serve our customers. Together@Digital also runs a philanthropic program with charitable giving to non-profit groups that support a range of programs from veterans to cultural institutions.</w:t>
      </w:r>
    </w:p>
    <w:p>
      <w:pPr>
        <w:spacing w:after="0" w:line="155" w:lineRule="exact"/>
        <w:rPr>
          <w:sz w:val="20"/>
          <w:szCs w:val="20"/>
          <w:color w:val="auto"/>
        </w:rPr>
      </w:pPr>
    </w:p>
    <w:p>
      <w:pPr>
        <w:ind w:left="320" w:right="620"/>
        <w:spacing w:after="0" w:line="259" w:lineRule="auto"/>
        <w:rPr>
          <w:sz w:val="20"/>
          <w:szCs w:val="20"/>
          <w:color w:val="auto"/>
        </w:rPr>
      </w:pPr>
      <w:r>
        <w:rPr>
          <w:rFonts w:ascii="Times New Roman" w:cs="Times New Roman" w:eastAsia="Times New Roman" w:hAnsi="Times New Roman"/>
          <w:sz w:val="16"/>
          <w:szCs w:val="16"/>
          <w:color w:val="auto"/>
        </w:rPr>
        <w:t>In 2023, we published our EEO-1 report, providing transparency on the racial and gender composition of our U.S. workforce. We disclose our inclusion strategy and initiatives annually in our ESG Report.</w:t>
      </w:r>
    </w:p>
    <w:p>
      <w:pPr>
        <w:spacing w:after="0" w:line="1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Available Information</w:t>
      </w:r>
    </w:p>
    <w:p>
      <w:pPr>
        <w:spacing w:after="0" w:line="190" w:lineRule="exact"/>
        <w:rPr>
          <w:sz w:val="20"/>
          <w:szCs w:val="20"/>
          <w:color w:val="auto"/>
        </w:rPr>
      </w:pPr>
    </w:p>
    <w:p>
      <w:pPr>
        <w:ind w:left="320" w:right="420"/>
        <w:spacing w:after="0" w:line="284" w:lineRule="auto"/>
        <w:rPr>
          <w:sz w:val="20"/>
          <w:szCs w:val="20"/>
          <w:color w:val="auto"/>
        </w:rPr>
      </w:pPr>
      <w:r>
        <w:rPr>
          <w:rFonts w:ascii="Times New Roman" w:cs="Times New Roman" w:eastAsia="Times New Roman" w:hAnsi="Times New Roman"/>
          <w:sz w:val="14"/>
          <w:szCs w:val="14"/>
          <w:color w:val="auto"/>
        </w:rPr>
        <w:t>All reports we file with the SEC are available free of charge via EDGAR through the SEC website at www.sec.gov. We will also provide copies of our Forms 8-K, Forms 10 -K, Forms 10-Q, Proxy Statements and amendments to those documents at no charge to investors upon request and make electronic copies of such reports available through our website at www.digitalrealty.com as soon as reasonably practicable after filing such material with the SEC. The information found on, or otherwise accessible through, our website is not incorporated by reference into, nor does it form a part of, this report or any other document that we file with the SEC.</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Offices</w:t>
      </w:r>
    </w:p>
    <w:p>
      <w:pPr>
        <w:spacing w:after="0" w:line="190" w:lineRule="exact"/>
        <w:rPr>
          <w:sz w:val="20"/>
          <w:szCs w:val="20"/>
          <w:color w:val="auto"/>
        </w:rPr>
      </w:pPr>
    </w:p>
    <w:p>
      <w:pPr>
        <w:ind w:left="320" w:right="860"/>
        <w:spacing w:after="0" w:line="259" w:lineRule="auto"/>
        <w:rPr>
          <w:sz w:val="20"/>
          <w:szCs w:val="20"/>
          <w:color w:val="auto"/>
        </w:rPr>
      </w:pPr>
      <w:r>
        <w:rPr>
          <w:rFonts w:ascii="Times New Roman" w:cs="Times New Roman" w:eastAsia="Times New Roman" w:hAnsi="Times New Roman"/>
          <w:sz w:val="16"/>
          <w:szCs w:val="16"/>
          <w:color w:val="auto"/>
        </w:rPr>
        <w:t>We have regional U.S. offices in Boston, Chicago, Dallas, Los Angeles, New York, Northern Virginia and San Francisco and regional international offices in Amsterdam, Dublin, London, Singapore, Sydney, Tokyo and Hong Kong.</w:t>
      </w:r>
    </w:p>
    <w:p>
      <w:pPr>
        <w:spacing w:after="0" w:line="1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Reports to Security Holders</w:t>
      </w:r>
    </w:p>
    <w:p>
      <w:pPr>
        <w:spacing w:after="0" w:line="190" w:lineRule="exact"/>
        <w:rPr>
          <w:sz w:val="20"/>
          <w:szCs w:val="20"/>
          <w:color w:val="auto"/>
        </w:rPr>
      </w:pPr>
    </w:p>
    <w:p>
      <w:pPr>
        <w:ind w:left="320" w:right="1080" w:firstLine="288"/>
        <w:spacing w:after="0" w:line="259" w:lineRule="auto"/>
        <w:rPr>
          <w:sz w:val="20"/>
          <w:szCs w:val="20"/>
          <w:color w:val="auto"/>
        </w:rPr>
      </w:pPr>
      <w:r>
        <w:rPr>
          <w:rFonts w:ascii="Times New Roman" w:cs="Times New Roman" w:eastAsia="Times New Roman" w:hAnsi="Times New Roman"/>
          <w:sz w:val="16"/>
          <w:szCs w:val="16"/>
          <w:color w:val="auto"/>
        </w:rPr>
        <w:t>Digital Realty Trust, Inc. is required to send an annual report to its securityholders and to our Operating Partnership’s unitholders.</w:t>
      </w:r>
    </w:p>
    <w:p>
      <w:pPr>
        <w:spacing w:after="0" w:line="141" w:lineRule="exact"/>
        <w:rPr>
          <w:sz w:val="20"/>
          <w:szCs w:val="20"/>
          <w:color w:val="auto"/>
        </w:rPr>
      </w:pPr>
    </w:p>
    <w:p>
      <w:pPr>
        <w:ind w:left="320"/>
        <w:spacing w:after="0"/>
        <w:tabs>
          <w:tab w:leader="none" w:pos="1220" w:val="left"/>
        </w:tabs>
        <w:rPr>
          <w:sz w:val="20"/>
          <w:szCs w:val="20"/>
          <w:color w:val="auto"/>
        </w:rPr>
      </w:pPr>
      <w:r>
        <w:rPr>
          <w:rFonts w:ascii="Times New Roman" w:cs="Times New Roman" w:eastAsia="Times New Roman" w:hAnsi="Times New Roman"/>
          <w:sz w:val="16"/>
          <w:szCs w:val="16"/>
          <w:b w:val="1"/>
          <w:bCs w:val="1"/>
          <w:color w:val="auto"/>
        </w:rPr>
        <w:t>ITEM 1A.</w:t>
      </w:r>
      <w:r>
        <w:rPr>
          <w:sz w:val="20"/>
          <w:szCs w:val="20"/>
          <w:color w:val="auto"/>
        </w:rPr>
        <w:tab/>
      </w:r>
      <w:r>
        <w:rPr>
          <w:rFonts w:ascii="Times New Roman" w:cs="Times New Roman" w:eastAsia="Times New Roman" w:hAnsi="Times New Roman"/>
          <w:sz w:val="14"/>
          <w:szCs w:val="14"/>
          <w:b w:val="1"/>
          <w:bCs w:val="1"/>
          <w:color w:val="auto"/>
        </w:rPr>
        <w:t>RISK FACTORS</w:t>
      </w:r>
    </w:p>
    <w:p>
      <w:pPr>
        <w:spacing w:after="0" w:line="190" w:lineRule="exact"/>
        <w:rPr>
          <w:sz w:val="20"/>
          <w:szCs w:val="20"/>
          <w:color w:val="auto"/>
        </w:rPr>
      </w:pPr>
    </w:p>
    <w:p>
      <w:pPr>
        <w:ind w:left="320" w:right="400"/>
        <w:spacing w:after="0" w:line="239" w:lineRule="auto"/>
        <w:rPr>
          <w:sz w:val="20"/>
          <w:szCs w:val="20"/>
          <w:color w:val="auto"/>
        </w:rPr>
      </w:pPr>
      <w:r>
        <w:rPr>
          <w:rFonts w:ascii="Times New Roman" w:cs="Times New Roman" w:eastAsia="Times New Roman" w:hAnsi="Times New Roman"/>
          <w:sz w:val="16"/>
          <w:szCs w:val="16"/>
          <w:color w:val="auto"/>
        </w:rPr>
        <w:t>For purposes of this section, the term “stockholders” means the holders of shares of Digital Realty Trust, Inc.’s common stock and preferred stock. Set forth below are the risks that we believe are material to Digital Realty Trust, Inc.’s stockholders and Digital Realty Trust, L.P.’s unitholders. You should carefully consider the following factors in evaluating our Company, our properties and our business. The occurrence of any of the following risks might cause Digital Realty Trust, Inc.’s stockholders and Digital Realty Trust, L.P.’s unitholders to lose all or a part of their investment. Some statements in this report, including statements in the following risk factors, constitute forward-looking statements. Please refer to the section entitled “Forward-Looking Statements” starting on page 46.</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Overview</w:t>
      </w:r>
    </w:p>
    <w:p>
      <w:pPr>
        <w:spacing w:after="0" w:line="96" w:lineRule="exact"/>
        <w:rPr>
          <w:sz w:val="20"/>
          <w:szCs w:val="20"/>
          <w:color w:val="auto"/>
        </w:rPr>
      </w:pPr>
    </w:p>
    <w:p>
      <w:pPr>
        <w:ind w:left="320" w:right="360"/>
        <w:spacing w:after="0" w:line="239" w:lineRule="auto"/>
        <w:rPr>
          <w:sz w:val="20"/>
          <w:szCs w:val="20"/>
          <w:color w:val="auto"/>
        </w:rPr>
      </w:pPr>
      <w:r>
        <w:rPr>
          <w:rFonts w:ascii="Times New Roman" w:cs="Times New Roman" w:eastAsia="Times New Roman" w:hAnsi="Times New Roman"/>
          <w:sz w:val="16"/>
          <w:szCs w:val="16"/>
          <w:color w:val="auto"/>
        </w:rPr>
        <w:t>Our business, operations and financial results are subject to various risks and uncertainties, including those described below, that could adversely affect our business, financial condition, results of operations, cash flows, and the trading price of our common stock and preferred stock. The following material factors, among others, could cause our actual results to differ materially from historical results and those expressed in forward-looking statements made by us or on our behalf in filings with the SEC, press releases, communications with investors and oral statements. The risks that we describe in our public filings are not the only risks that we face. Additional risks and uncertainties not presently known to us, or that we currently consider immaterial, also may materially adversely affect our business, financial condition, and results of operations.</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Risk Factors Summary</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following is a summary of the principal risks that could adversely affect our business, operations and financial results.</w:t>
      </w:r>
    </w:p>
    <w:p>
      <w:pPr>
        <w:spacing w:after="0" w:line="3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9" w:name="page20"/>
    <w:bookmarkEnd w:id="19"/>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Risk Related to Our Business and Operations</w:t>
      </w:r>
    </w:p>
    <w:p>
      <w:pPr>
        <w:spacing w:after="0" w:line="96" w:lineRule="exact"/>
        <w:rPr>
          <w:sz w:val="20"/>
          <w:szCs w:val="20"/>
          <w:color w:val="auto"/>
        </w:rPr>
      </w:pPr>
    </w:p>
    <w:p>
      <w:pPr>
        <w:ind w:left="900" w:hanging="294"/>
        <w:spacing w:after="0"/>
        <w:tabs>
          <w:tab w:leader="none" w:pos="9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business depends upon the demand for data centers.</w:t>
      </w:r>
    </w:p>
    <w:p>
      <w:pPr>
        <w:spacing w:after="0" w:line="14" w:lineRule="exact"/>
        <w:rPr>
          <w:rFonts w:ascii="Times New Roman" w:cs="Times New Roman" w:eastAsia="Times New Roman" w:hAnsi="Times New Roman"/>
          <w:sz w:val="16"/>
          <w:szCs w:val="16"/>
          <w:color w:val="auto"/>
        </w:rPr>
      </w:pPr>
    </w:p>
    <w:p>
      <w:pPr>
        <w:ind w:left="900" w:right="800" w:hanging="294"/>
        <w:spacing w:after="0" w:line="234" w:lineRule="auto"/>
        <w:tabs>
          <w:tab w:leader="none" w:pos="9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depend upon third-party suppliers for power and we are vulnerable to service failures and price increases by such suppliers and to volatility in the supply and price of power in the open market.</w:t>
      </w:r>
    </w:p>
    <w:p>
      <w:pPr>
        <w:spacing w:after="0" w:line="1" w:lineRule="exact"/>
        <w:rPr>
          <w:rFonts w:ascii="Times New Roman" w:cs="Times New Roman" w:eastAsia="Times New Roman" w:hAnsi="Times New Roman"/>
          <w:sz w:val="16"/>
          <w:szCs w:val="16"/>
          <w:color w:val="auto"/>
        </w:rPr>
      </w:pPr>
    </w:p>
    <w:p>
      <w:pPr>
        <w:ind w:left="900" w:hanging="294"/>
        <w:spacing w:after="0" w:line="234" w:lineRule="auto"/>
        <w:tabs>
          <w:tab w:leader="none" w:pos="9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face significant competition, which may adversely affect the occupancy and rental rates of our data centers.</w:t>
      </w:r>
    </w:p>
    <w:p>
      <w:pPr>
        <w:ind w:left="900" w:right="680" w:hanging="294"/>
        <w:spacing w:after="0" w:line="234" w:lineRule="auto"/>
        <w:tabs>
          <w:tab w:leader="none" w:pos="9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failure of our physical or information technology or operational technology infrastructure or services could lead to significant costs and disruptions.</w:t>
      </w:r>
    </w:p>
    <w:p>
      <w:pPr>
        <w:spacing w:after="0" w:line="1" w:lineRule="exact"/>
        <w:rPr>
          <w:rFonts w:ascii="Times New Roman" w:cs="Times New Roman" w:eastAsia="Times New Roman" w:hAnsi="Times New Roman"/>
          <w:sz w:val="16"/>
          <w:szCs w:val="16"/>
          <w:color w:val="auto"/>
        </w:rPr>
      </w:pPr>
    </w:p>
    <w:p>
      <w:pPr>
        <w:ind w:left="900" w:right="800" w:hanging="294"/>
        <w:spacing w:after="0" w:line="234" w:lineRule="auto"/>
        <w:tabs>
          <w:tab w:leader="none" w:pos="9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and our third-party providers are vulnerable to cyberattacks and security breaches that could materially disrupt or compromise our operations, data and results.</w:t>
      </w:r>
    </w:p>
    <w:p>
      <w:pPr>
        <w:spacing w:after="0" w:line="1" w:lineRule="exact"/>
        <w:rPr>
          <w:rFonts w:ascii="Times New Roman" w:cs="Times New Roman" w:eastAsia="Times New Roman" w:hAnsi="Times New Roman"/>
          <w:sz w:val="16"/>
          <w:szCs w:val="16"/>
          <w:color w:val="auto"/>
        </w:rPr>
      </w:pPr>
    </w:p>
    <w:p>
      <w:pPr>
        <w:ind w:left="900" w:right="440" w:hanging="294"/>
        <w:spacing w:after="0" w:line="234" w:lineRule="auto"/>
        <w:tabs>
          <w:tab w:leader="none" w:pos="9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depend on significant customers, and many of our data centers are single-tenant properties or are currently occupied by single tenants.</w:t>
      </w:r>
    </w:p>
    <w:p>
      <w:pPr>
        <w:spacing w:after="0" w:line="1" w:lineRule="exact"/>
        <w:rPr>
          <w:rFonts w:ascii="Times New Roman" w:cs="Times New Roman" w:eastAsia="Times New Roman" w:hAnsi="Times New Roman"/>
          <w:sz w:val="16"/>
          <w:szCs w:val="16"/>
          <w:color w:val="auto"/>
        </w:rPr>
      </w:pPr>
    </w:p>
    <w:p>
      <w:pPr>
        <w:ind w:left="900" w:right="520" w:hanging="294"/>
        <w:spacing w:after="0" w:line="234" w:lineRule="auto"/>
        <w:tabs>
          <w:tab w:leader="none" w:pos="9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attract, grow and retain a diverse and balanced customer base, including key magnet customers, could harm our business and operating results.</w:t>
      </w:r>
    </w:p>
    <w:p>
      <w:pPr>
        <w:spacing w:after="0" w:line="1" w:lineRule="exact"/>
        <w:rPr>
          <w:rFonts w:ascii="Times New Roman" w:cs="Times New Roman" w:eastAsia="Times New Roman" w:hAnsi="Times New Roman"/>
          <w:sz w:val="16"/>
          <w:szCs w:val="16"/>
          <w:color w:val="auto"/>
        </w:rPr>
      </w:pPr>
    </w:p>
    <w:p>
      <w:pPr>
        <w:ind w:left="900" w:hanging="294"/>
        <w:spacing w:after="0" w:line="234" w:lineRule="auto"/>
        <w:tabs>
          <w:tab w:leader="none" w:pos="9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contracts with our customers could subject us to significant liability.</w:t>
      </w:r>
    </w:p>
    <w:p>
      <w:pPr>
        <w:ind w:left="900" w:right="700" w:hanging="294"/>
        <w:spacing w:after="0" w:line="234" w:lineRule="auto"/>
        <w:tabs>
          <w:tab w:leader="none" w:pos="9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of our customer agreements may include restrictions on the sale of our properties to certain third parties, which could have a material adverse effect on us.</w:t>
      </w:r>
    </w:p>
    <w:p>
      <w:pPr>
        <w:spacing w:after="0" w:line="1" w:lineRule="exact"/>
        <w:rPr>
          <w:rFonts w:ascii="Times New Roman" w:cs="Times New Roman" w:eastAsia="Times New Roman" w:hAnsi="Times New Roman"/>
          <w:sz w:val="16"/>
          <w:szCs w:val="16"/>
          <w:color w:val="auto"/>
        </w:rPr>
      </w:pPr>
    </w:p>
    <w:p>
      <w:pPr>
        <w:ind w:left="900" w:hanging="294"/>
        <w:spacing w:after="0" w:line="234" w:lineRule="auto"/>
        <w:tabs>
          <w:tab w:leader="none" w:pos="9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data centers may not be suitable for re-leasing without significant expenditures or renovations.</w:t>
      </w:r>
    </w:p>
    <w:p>
      <w:pPr>
        <w:ind w:left="900" w:hanging="294"/>
        <w:spacing w:after="0" w:line="234" w:lineRule="auto"/>
        <w:tabs>
          <w:tab w:leader="none" w:pos="9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unable to lease vacant or development space, renew leases, or re-lease space as leases expire.</w:t>
      </w:r>
    </w:p>
    <w:p>
      <w:pPr>
        <w:ind w:left="900" w:right="440" w:hanging="294"/>
        <w:spacing w:after="0" w:line="234" w:lineRule="auto"/>
        <w:tabs>
          <w:tab w:leader="none" w:pos="9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Even if we have additional space available for lease at any one of our data centers, our ability to lease this space to existing or new customers could be constrained by our ability to provide sufficient electrical power.</w:t>
      </w:r>
    </w:p>
    <w:p>
      <w:pPr>
        <w:spacing w:after="0" w:line="1" w:lineRule="exact"/>
        <w:rPr>
          <w:rFonts w:ascii="Times New Roman" w:cs="Times New Roman" w:eastAsia="Times New Roman" w:hAnsi="Times New Roman"/>
          <w:sz w:val="16"/>
          <w:szCs w:val="16"/>
          <w:color w:val="auto"/>
        </w:rPr>
      </w:pPr>
    </w:p>
    <w:p>
      <w:pPr>
        <w:ind w:left="900" w:hanging="294"/>
        <w:spacing w:after="0" w:line="234" w:lineRule="auto"/>
        <w:tabs>
          <w:tab w:leader="none" w:pos="9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portfolio depends upon local economic conditions and is geographically concentrated in certain locations.</w:t>
      </w:r>
    </w:p>
    <w:p>
      <w:pPr>
        <w:ind w:left="900" w:right="560" w:hanging="294"/>
        <w:spacing w:after="0" w:line="234" w:lineRule="auto"/>
        <w:tabs>
          <w:tab w:leader="none" w:pos="9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business and operations, and our customers, suppliers and business partners may be adversely affected by epidemics, pandemics or other outbreaks.</w:t>
      </w:r>
    </w:p>
    <w:p>
      <w:pPr>
        <w:spacing w:after="0" w:line="1" w:lineRule="exact"/>
        <w:rPr>
          <w:rFonts w:ascii="Times New Roman" w:cs="Times New Roman" w:eastAsia="Times New Roman" w:hAnsi="Times New Roman"/>
          <w:sz w:val="16"/>
          <w:szCs w:val="16"/>
          <w:color w:val="auto"/>
        </w:rPr>
      </w:pPr>
    </w:p>
    <w:p>
      <w:pPr>
        <w:ind w:left="900" w:right="660" w:hanging="294"/>
        <w:spacing w:after="0" w:line="234" w:lineRule="auto"/>
        <w:tabs>
          <w:tab w:leader="none" w:pos="9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lease or sublease certain of our data center space from third parties and the ability to retain these leases or subleases could be a significant risk to our ongoing operations.</w:t>
      </w:r>
    </w:p>
    <w:p>
      <w:pPr>
        <w:spacing w:after="0" w:line="1" w:lineRule="exact"/>
        <w:rPr>
          <w:rFonts w:ascii="Times New Roman" w:cs="Times New Roman" w:eastAsia="Times New Roman" w:hAnsi="Times New Roman"/>
          <w:sz w:val="16"/>
          <w:szCs w:val="16"/>
          <w:color w:val="auto"/>
        </w:rPr>
      </w:pPr>
    </w:p>
    <w:p>
      <w:pPr>
        <w:ind w:left="900" w:right="360" w:hanging="294"/>
        <w:spacing w:after="0" w:line="234" w:lineRule="auto"/>
        <w:tabs>
          <w:tab w:leader="none" w:pos="9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and our customers may experience supply chain or procurement disruptions, or increased supply chain costs, which may lead to delays.</w:t>
      </w:r>
    </w:p>
    <w:p>
      <w:pPr>
        <w:spacing w:after="0" w:line="1" w:lineRule="exact"/>
        <w:rPr>
          <w:rFonts w:ascii="Times New Roman" w:cs="Times New Roman" w:eastAsia="Times New Roman" w:hAnsi="Times New Roman"/>
          <w:sz w:val="16"/>
          <w:szCs w:val="16"/>
          <w:color w:val="auto"/>
        </w:rPr>
      </w:pPr>
    </w:p>
    <w:p>
      <w:pPr>
        <w:ind w:left="900" w:right="560" w:hanging="294"/>
        <w:spacing w:after="0" w:line="234" w:lineRule="auto"/>
        <w:tabs>
          <w:tab w:leader="none" w:pos="9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be able to adapt to changing technologies and customer requirements, and our data center infrastructure may become obsolete.</w:t>
      </w:r>
    </w:p>
    <w:p>
      <w:pPr>
        <w:spacing w:after="0" w:line="1" w:lineRule="exact"/>
        <w:rPr>
          <w:rFonts w:ascii="Times New Roman" w:cs="Times New Roman" w:eastAsia="Times New Roman" w:hAnsi="Times New Roman"/>
          <w:sz w:val="16"/>
          <w:szCs w:val="16"/>
          <w:color w:val="auto"/>
        </w:rPr>
      </w:pPr>
    </w:p>
    <w:p>
      <w:pPr>
        <w:ind w:left="900" w:right="1020" w:hanging="294"/>
        <w:spacing w:after="0" w:line="234" w:lineRule="auto"/>
        <w:tabs>
          <w:tab w:leader="none" w:pos="9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depend on third parties to provide network connectivity to the customers in our data centers and any delays or disruptions in connectivity may materially adversely affect our operating results and cash flow.</w:t>
      </w:r>
    </w:p>
    <w:p>
      <w:pPr>
        <w:spacing w:after="0" w:line="1" w:lineRule="exact"/>
        <w:rPr>
          <w:rFonts w:ascii="Times New Roman" w:cs="Times New Roman" w:eastAsia="Times New Roman" w:hAnsi="Times New Roman"/>
          <w:sz w:val="16"/>
          <w:szCs w:val="16"/>
          <w:color w:val="auto"/>
        </w:rPr>
      </w:pPr>
    </w:p>
    <w:p>
      <w:pPr>
        <w:ind w:left="900" w:right="380" w:hanging="294"/>
        <w:spacing w:after="0" w:line="234" w:lineRule="auto"/>
        <w:tabs>
          <w:tab w:leader="none" w:pos="9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international activities, including acquisition, ownership and operation of data centers located outside of the United States, subject us to risks different than those we face in the United States and we may not be able to effectively manage our international business.</w:t>
      </w:r>
    </w:p>
    <w:p>
      <w:pPr>
        <w:spacing w:after="0" w:line="1" w:lineRule="exact"/>
        <w:rPr>
          <w:rFonts w:ascii="Times New Roman" w:cs="Times New Roman" w:eastAsia="Times New Roman" w:hAnsi="Times New Roman"/>
          <w:sz w:val="16"/>
          <w:szCs w:val="16"/>
          <w:color w:val="auto"/>
        </w:rPr>
      </w:pPr>
    </w:p>
    <w:p>
      <w:pPr>
        <w:ind w:left="900" w:hanging="294"/>
        <w:spacing w:after="0" w:line="234" w:lineRule="auto"/>
        <w:tabs>
          <w:tab w:leader="none" w:pos="9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recent acquisitions may not achieve the intended benefits or may disrupt our plans and operations.</w:t>
      </w:r>
    </w:p>
    <w:p>
      <w:pPr>
        <w:ind w:left="900" w:right="680" w:hanging="294"/>
        <w:spacing w:after="0" w:line="234" w:lineRule="auto"/>
        <w:tabs>
          <w:tab w:leader="none" w:pos="9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subject to unknown or contingent liabilities related to our recent acquisitions, for which we may have no or limited recourse against the sellers.</w:t>
      </w:r>
    </w:p>
    <w:p>
      <w:pPr>
        <w:spacing w:after="0" w:line="1" w:lineRule="exact"/>
        <w:rPr>
          <w:rFonts w:ascii="Times New Roman" w:cs="Times New Roman" w:eastAsia="Times New Roman" w:hAnsi="Times New Roman"/>
          <w:sz w:val="16"/>
          <w:szCs w:val="16"/>
          <w:color w:val="auto"/>
        </w:rPr>
      </w:pPr>
    </w:p>
    <w:p>
      <w:pPr>
        <w:ind w:left="900" w:right="320" w:hanging="294"/>
        <w:spacing w:after="0" w:line="234" w:lineRule="auto"/>
        <w:tabs>
          <w:tab w:leader="none" w:pos="9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Joint venture (JV) investments could be adversely affected by our lack of sole decision-making authority, our reliance on our JV partners’ financial condition and disputes between us and our JV partners.</w:t>
      </w:r>
    </w:p>
    <w:p>
      <w:pPr>
        <w:spacing w:after="0" w:line="1" w:lineRule="exact"/>
        <w:rPr>
          <w:rFonts w:ascii="Times New Roman" w:cs="Times New Roman" w:eastAsia="Times New Roman" w:hAnsi="Times New Roman"/>
          <w:sz w:val="16"/>
          <w:szCs w:val="16"/>
          <w:color w:val="auto"/>
        </w:rPr>
      </w:pPr>
    </w:p>
    <w:p>
      <w:pPr>
        <w:ind w:left="900" w:right="420" w:hanging="294"/>
        <w:spacing w:after="0" w:line="234" w:lineRule="auto"/>
        <w:tabs>
          <w:tab w:leader="none" w:pos="9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delays or unexpected costs in the development of our existing space and developable land and new properties acquired for development may delay and harm our growth prospects, future operating results and financial condition.</w:t>
      </w:r>
    </w:p>
    <w:p>
      <w:pPr>
        <w:spacing w:after="0" w:line="1" w:lineRule="exact"/>
        <w:rPr>
          <w:rFonts w:ascii="Times New Roman" w:cs="Times New Roman" w:eastAsia="Times New Roman" w:hAnsi="Times New Roman"/>
          <w:sz w:val="16"/>
          <w:szCs w:val="16"/>
          <w:color w:val="auto"/>
        </w:rPr>
      </w:pPr>
    </w:p>
    <w:p>
      <w:pPr>
        <w:ind w:left="900" w:right="540" w:hanging="294"/>
        <w:spacing w:after="0" w:line="234" w:lineRule="auto"/>
        <w:tabs>
          <w:tab w:leader="none" w:pos="9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Many of our costs, such as operating and general and administrative expenses, interest expense and real estate acquisition and construction costs, could be adversely impacted by periods of heightened inflation.</w:t>
      </w:r>
    </w:p>
    <w:p>
      <w:pPr>
        <w:spacing w:after="0" w:line="1" w:lineRule="exact"/>
        <w:rPr>
          <w:rFonts w:ascii="Times New Roman" w:cs="Times New Roman" w:eastAsia="Times New Roman" w:hAnsi="Times New Roman"/>
          <w:sz w:val="16"/>
          <w:szCs w:val="16"/>
          <w:color w:val="auto"/>
        </w:rPr>
      </w:pPr>
    </w:p>
    <w:p>
      <w:pPr>
        <w:ind w:left="900" w:right="400" w:hanging="294"/>
        <w:spacing w:after="0" w:line="234" w:lineRule="auto"/>
        <w:tabs>
          <w:tab w:leader="none" w:pos="9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substantial debt and face risks associated with the use of debt to fund our business activities, including refinancing and interest rate risks.</w:t>
      </w:r>
    </w:p>
    <w:p>
      <w:pPr>
        <w:spacing w:after="0" w:line="1" w:lineRule="exact"/>
        <w:rPr>
          <w:rFonts w:ascii="Times New Roman" w:cs="Times New Roman" w:eastAsia="Times New Roman" w:hAnsi="Times New Roman"/>
          <w:sz w:val="16"/>
          <w:szCs w:val="16"/>
          <w:color w:val="auto"/>
        </w:rPr>
      </w:pPr>
    </w:p>
    <w:p>
      <w:pPr>
        <w:ind w:left="900" w:hanging="294"/>
        <w:spacing w:after="0" w:line="234" w:lineRule="auto"/>
        <w:tabs>
          <w:tab w:leader="none" w:pos="9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growth depends on external sources of capital which are outside of our control.</w:t>
      </w:r>
    </w:p>
    <w:p>
      <w:pPr>
        <w:ind w:left="900" w:right="660" w:hanging="294"/>
        <w:spacing w:after="0" w:line="234" w:lineRule="auto"/>
        <w:tabs>
          <w:tab w:leader="none" w:pos="9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Declining real estate valuations, impairment charges and illiquidity of real estate investments could adversely affect our earnings and financial condition.</w:t>
      </w:r>
    </w:p>
    <w:p>
      <w:pPr>
        <w:spacing w:after="0" w:line="1" w:lineRule="exact"/>
        <w:rPr>
          <w:rFonts w:ascii="Times New Roman" w:cs="Times New Roman" w:eastAsia="Times New Roman" w:hAnsi="Times New Roman"/>
          <w:sz w:val="16"/>
          <w:szCs w:val="16"/>
          <w:color w:val="auto"/>
        </w:rPr>
      </w:pPr>
    </w:p>
    <w:p>
      <w:pPr>
        <w:ind w:left="900" w:hanging="294"/>
        <w:spacing w:after="0" w:line="234" w:lineRule="auto"/>
        <w:tabs>
          <w:tab w:leader="none" w:pos="9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success depends on key personnel whose continued service is not guaranteed.</w:t>
      </w:r>
    </w:p>
    <w:p>
      <w:pPr>
        <w:ind w:left="900" w:hanging="294"/>
        <w:spacing w:after="0"/>
        <w:tabs>
          <w:tab w:leader="none" w:pos="9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have difficulty managing our growth.</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0" w:name="page21"/>
    <w:bookmarkEnd w:id="20"/>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6" w:lineRule="exact"/>
        <w:rPr>
          <w:sz w:val="20"/>
          <w:szCs w:val="20"/>
          <w:color w:val="auto"/>
        </w:rPr>
      </w:pPr>
    </w:p>
    <w:p>
      <w:pPr>
        <w:ind w:left="900" w:hanging="294"/>
        <w:spacing w:after="0"/>
        <w:tabs>
          <w:tab w:leader="none" w:pos="9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losses may not be covered by insurance.</w:t>
      </w:r>
    </w:p>
    <w:p>
      <w:pPr>
        <w:spacing w:after="0" w:line="14" w:lineRule="exact"/>
        <w:rPr>
          <w:rFonts w:ascii="Times New Roman" w:cs="Times New Roman" w:eastAsia="Times New Roman" w:hAnsi="Times New Roman"/>
          <w:sz w:val="16"/>
          <w:szCs w:val="16"/>
          <w:color w:val="auto"/>
        </w:rPr>
      </w:pPr>
    </w:p>
    <w:p>
      <w:pPr>
        <w:ind w:left="900" w:right="440" w:hanging="294"/>
        <w:spacing w:after="0" w:line="234" w:lineRule="auto"/>
        <w:tabs>
          <w:tab w:leader="none" w:pos="9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could incur significant costs related to environmental matters, including from government regulation, private litigation, and existing conditions at some of our properties.</w:t>
      </w:r>
    </w:p>
    <w:p>
      <w:pPr>
        <w:spacing w:after="0" w:line="1" w:lineRule="exact"/>
        <w:rPr>
          <w:rFonts w:ascii="Times New Roman" w:cs="Times New Roman" w:eastAsia="Times New Roman" w:hAnsi="Times New Roman"/>
          <w:sz w:val="16"/>
          <w:szCs w:val="16"/>
          <w:color w:val="auto"/>
        </w:rPr>
      </w:pPr>
    </w:p>
    <w:p>
      <w:pPr>
        <w:ind w:left="900" w:right="340" w:hanging="294"/>
        <w:spacing w:after="0" w:line="234" w:lineRule="auto"/>
        <w:tabs>
          <w:tab w:leader="none" w:pos="9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incur significant costs complying with applicable laws and governmental regulations, including the Americans with Disabilities Act.</w:t>
      </w:r>
    </w:p>
    <w:p>
      <w:pPr>
        <w:spacing w:after="0" w:line="1" w:lineRule="exact"/>
        <w:rPr>
          <w:rFonts w:ascii="Times New Roman" w:cs="Times New Roman" w:eastAsia="Times New Roman" w:hAnsi="Times New Roman"/>
          <w:sz w:val="16"/>
          <w:szCs w:val="16"/>
          <w:color w:val="auto"/>
        </w:rPr>
      </w:pPr>
    </w:p>
    <w:p>
      <w:pPr>
        <w:ind w:left="900" w:right="700" w:hanging="294"/>
        <w:spacing w:after="0" w:line="238" w:lineRule="auto"/>
        <w:tabs>
          <w:tab w:leader="none" w:pos="9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business could be adversely impacted if there are deficiencies in our disclosure controls and procedures or internal control over financial reporting.</w:t>
      </w:r>
    </w:p>
    <w:p>
      <w:pPr>
        <w:spacing w:after="0" w:line="15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Risks Related to the Organizational Structure</w:t>
      </w:r>
    </w:p>
    <w:p>
      <w:pPr>
        <w:spacing w:after="0" w:line="96" w:lineRule="exact"/>
        <w:rPr>
          <w:sz w:val="20"/>
          <w:szCs w:val="20"/>
          <w:color w:val="auto"/>
        </w:rPr>
      </w:pPr>
    </w:p>
    <w:p>
      <w:pPr>
        <w:ind w:left="900" w:right="780" w:hanging="294"/>
        <w:spacing w:after="0" w:line="246" w:lineRule="auto"/>
        <w:tabs>
          <w:tab w:leader="none" w:pos="9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interests of Digital Realty Trust, Inc.’s stockholders may conflict with the interests of Digital Realty Trust, L.P.’s unitholders.</w:t>
      </w:r>
    </w:p>
    <w:p>
      <w:pPr>
        <w:ind w:left="900" w:right="420" w:hanging="294"/>
        <w:spacing w:after="0" w:line="234" w:lineRule="auto"/>
        <w:tabs>
          <w:tab w:leader="none" w:pos="9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Digital Realty Trust, Inc.’s charter, Digital Realty Trust, L.P.’s partnership agreement and Maryland law contain provisions that may delay, defer or prevent a change of control transaction.</w:t>
      </w:r>
    </w:p>
    <w:p>
      <w:pPr>
        <w:spacing w:after="0" w:line="1" w:lineRule="exact"/>
        <w:rPr>
          <w:rFonts w:ascii="Times New Roman" w:cs="Times New Roman" w:eastAsia="Times New Roman" w:hAnsi="Times New Roman"/>
          <w:sz w:val="16"/>
          <w:szCs w:val="16"/>
          <w:color w:val="auto"/>
        </w:rPr>
      </w:pPr>
    </w:p>
    <w:p>
      <w:pPr>
        <w:ind w:left="900" w:right="920" w:hanging="294"/>
        <w:spacing w:after="0" w:line="234" w:lineRule="auto"/>
        <w:tabs>
          <w:tab w:leader="none" w:pos="9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conversion rights of Digital Realty Trust, Inc.’s preferred stock may be detrimental to holders of Digital Realty Trust, Inc.’s common stock.</w:t>
      </w:r>
    </w:p>
    <w:p>
      <w:pPr>
        <w:spacing w:after="0" w:line="1" w:lineRule="exact"/>
        <w:rPr>
          <w:rFonts w:ascii="Times New Roman" w:cs="Times New Roman" w:eastAsia="Times New Roman" w:hAnsi="Times New Roman"/>
          <w:sz w:val="16"/>
          <w:szCs w:val="16"/>
          <w:color w:val="auto"/>
        </w:rPr>
      </w:pPr>
    </w:p>
    <w:p>
      <w:pPr>
        <w:ind w:left="900" w:hanging="294"/>
        <w:spacing w:after="0"/>
        <w:tabs>
          <w:tab w:leader="none" w:pos="9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Digital Realty Trust, Inc.’s rights and the rights of its stockholders to take action against its directors and officers are limited.</w:t>
      </w:r>
    </w:p>
    <w:p>
      <w:pPr>
        <w:spacing w:after="0" w:line="17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Risks Related to Taxes and Digital Realty Trust, Inc.’s Status as a REIT</w:t>
      </w:r>
    </w:p>
    <w:p>
      <w:pPr>
        <w:spacing w:after="0" w:line="96" w:lineRule="exact"/>
        <w:rPr>
          <w:sz w:val="20"/>
          <w:szCs w:val="20"/>
          <w:color w:val="auto"/>
        </w:rPr>
      </w:pPr>
    </w:p>
    <w:p>
      <w:pPr>
        <w:ind w:left="900" w:right="460" w:hanging="294"/>
        <w:spacing w:after="0" w:line="246" w:lineRule="auto"/>
        <w:tabs>
          <w:tab w:leader="none" w:pos="9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qualify as a REIT would have significant adverse consequences to Digital Realty Trust, Inc. and its stockholders and to Digital Realty Trust, L.P. and its unitholders.</w:t>
      </w:r>
    </w:p>
    <w:p>
      <w:pPr>
        <w:ind w:left="900" w:right="400" w:hanging="294"/>
        <w:spacing w:after="0" w:line="234" w:lineRule="auto"/>
        <w:tabs>
          <w:tab w:leader="none" w:pos="9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certain circumstances, Digital Realty Trust, Inc. may be subject to federal and state taxes as a REIT, which would reduce its cash available for distribution to its stockholders.</w:t>
      </w:r>
    </w:p>
    <w:p>
      <w:pPr>
        <w:spacing w:after="0" w:line="1" w:lineRule="exact"/>
        <w:rPr>
          <w:rFonts w:ascii="Times New Roman" w:cs="Times New Roman" w:eastAsia="Times New Roman" w:hAnsi="Times New Roman"/>
          <w:sz w:val="16"/>
          <w:szCs w:val="16"/>
          <w:color w:val="auto"/>
        </w:rPr>
      </w:pPr>
    </w:p>
    <w:p>
      <w:pPr>
        <w:ind w:left="900" w:hanging="294"/>
        <w:spacing w:after="0" w:line="234" w:lineRule="auto"/>
        <w:tabs>
          <w:tab w:leader="none" w:pos="9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Dividends payable by REITs do not qualify for the reduced tax rates available for some dividends.</w:t>
      </w:r>
    </w:p>
    <w:p>
      <w:pPr>
        <w:ind w:left="900" w:right="320" w:hanging="294"/>
        <w:spacing w:after="0" w:line="234" w:lineRule="auto"/>
        <w:tabs>
          <w:tab w:leader="none" w:pos="9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tax imposed on REITs engaging in “prohibited transactions” may limit our ability to engage in transactions which would be treated as sales for U.S. federal income tax purposes.</w:t>
      </w:r>
    </w:p>
    <w:p>
      <w:pPr>
        <w:spacing w:after="0" w:line="1" w:lineRule="exact"/>
        <w:rPr>
          <w:rFonts w:ascii="Times New Roman" w:cs="Times New Roman" w:eastAsia="Times New Roman" w:hAnsi="Times New Roman"/>
          <w:sz w:val="16"/>
          <w:szCs w:val="16"/>
          <w:color w:val="auto"/>
        </w:rPr>
      </w:pPr>
    </w:p>
    <w:p>
      <w:pPr>
        <w:ind w:left="900" w:right="940" w:hanging="294"/>
        <w:spacing w:after="0" w:line="234" w:lineRule="auto"/>
        <w:tabs>
          <w:tab w:leader="none" w:pos="9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Complying with REIT requirements may cause us to forgo otherwise attractive opportunities or liquidate otherwise attractive investments.</w:t>
      </w:r>
    </w:p>
    <w:p>
      <w:pPr>
        <w:spacing w:after="0" w:line="1" w:lineRule="exact"/>
        <w:rPr>
          <w:rFonts w:ascii="Times New Roman" w:cs="Times New Roman" w:eastAsia="Times New Roman" w:hAnsi="Times New Roman"/>
          <w:sz w:val="16"/>
          <w:szCs w:val="16"/>
          <w:color w:val="auto"/>
        </w:rPr>
      </w:pPr>
    </w:p>
    <w:p>
      <w:pPr>
        <w:ind w:left="900" w:right="580" w:hanging="294"/>
        <w:spacing w:after="0" w:line="234" w:lineRule="auto"/>
        <w:tabs>
          <w:tab w:leader="none" w:pos="9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power of Digital Realty Trust, Inc.’s Board of Directors to revoke Digital Realty Trust, Inc.’s REIT election without stockholder approval may cause adverse consequences to Digital Realty Trust, Inc.’s stockholders and Digital Realty Trust, L.P.’s unitholders.</w:t>
      </w:r>
    </w:p>
    <w:p>
      <w:pPr>
        <w:spacing w:after="0" w:line="1" w:lineRule="exact"/>
        <w:rPr>
          <w:rFonts w:ascii="Times New Roman" w:cs="Times New Roman" w:eastAsia="Times New Roman" w:hAnsi="Times New Roman"/>
          <w:sz w:val="16"/>
          <w:szCs w:val="16"/>
          <w:color w:val="auto"/>
        </w:rPr>
      </w:pPr>
    </w:p>
    <w:p>
      <w:pPr>
        <w:ind w:left="900" w:right="700" w:hanging="294"/>
        <w:spacing w:after="0" w:line="234" w:lineRule="auto"/>
        <w:tabs>
          <w:tab w:leader="none" w:pos="9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Digital Realty Trust, L.P. were to fail to qualify as a partnership for U.S. federal income tax purposes, Digital Realty Trust, Inc. would fail to qualify as a REIT and suffer other adverse consequences.</w:t>
      </w:r>
    </w:p>
    <w:p>
      <w:pPr>
        <w:spacing w:after="0" w:line="1" w:lineRule="exact"/>
        <w:rPr>
          <w:rFonts w:ascii="Times New Roman" w:cs="Times New Roman" w:eastAsia="Times New Roman" w:hAnsi="Times New Roman"/>
          <w:sz w:val="16"/>
          <w:szCs w:val="16"/>
          <w:color w:val="auto"/>
        </w:rPr>
      </w:pPr>
    </w:p>
    <w:p>
      <w:pPr>
        <w:ind w:left="900" w:hanging="294"/>
        <w:spacing w:after="0" w:line="234" w:lineRule="auto"/>
        <w:tabs>
          <w:tab w:leader="none" w:pos="9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liabilities and attributes inherited in connection with acquisitions may adversely impact our business.</w:t>
      </w:r>
    </w:p>
    <w:p>
      <w:pPr>
        <w:ind w:left="900" w:right="840" w:hanging="294"/>
        <w:spacing w:after="0" w:line="238" w:lineRule="auto"/>
        <w:tabs>
          <w:tab w:leader="none" w:pos="9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U.S. or foreign tax laws and regulations, including changes to tax rates, legislation and other actions may adversely affect our results of operations, our stockholders, Digital Realty Trust, L.P.’s unitholders and us.</w:t>
      </w:r>
    </w:p>
    <w:p>
      <w:pPr>
        <w:spacing w:after="0" w:line="1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Risks Related to Our Business and Operations</w:t>
      </w:r>
    </w:p>
    <w:p>
      <w:pPr>
        <w:spacing w:after="0" w:line="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Our business depends upon the demand for data centers.</w:t>
      </w:r>
    </w:p>
    <w:p>
      <w:pPr>
        <w:spacing w:after="0" w:line="94" w:lineRule="exact"/>
        <w:rPr>
          <w:sz w:val="20"/>
          <w:szCs w:val="20"/>
          <w:color w:val="auto"/>
        </w:rPr>
      </w:pPr>
    </w:p>
    <w:p>
      <w:pPr>
        <w:ind w:left="320" w:right="300"/>
        <w:spacing w:after="0" w:line="275" w:lineRule="auto"/>
        <w:rPr>
          <w:sz w:val="20"/>
          <w:szCs w:val="20"/>
          <w:color w:val="auto"/>
        </w:rPr>
      </w:pPr>
      <w:r>
        <w:rPr>
          <w:rFonts w:ascii="Times New Roman" w:cs="Times New Roman" w:eastAsia="Times New Roman" w:hAnsi="Times New Roman"/>
          <w:sz w:val="14"/>
          <w:szCs w:val="14"/>
          <w:color w:val="auto"/>
        </w:rPr>
        <w:t>We are in the business of owning, acquiring, developing and operating data centers. A reduction in the demand for data center space, power or connectivity would have a greater adverse effect on our business and financial condition than if we owned a portfolio with a less specialized use. Our substantial development activities make us particularly susceptible to general economic slowdowns as well as adverse developments in the data center, Internet and data communications and broader technology industries. Any such slowdown or adverse development could lead to reduced corporate IT spending or reduced demand for data center space. Reduced demand could also result from business relocations, including to metropolitan areas that we do not currently serve. Changes in industry practice or in technology could also reduce demand for the physical data center space we provide. In addition, our customers may choose to develop new data centers or expand their own existing data centers or consolidate into data centers that we do not own or operate, which could reduce demand for our newly developed data centers or result in the loss of one or more key customers. If any of our key customers were to do so, it could result in a loss of business to us or put pressure on our pricing. Mergers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1" w:name="page22"/>
    <w:bookmarkEnd w:id="21"/>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6" w:lineRule="exact"/>
        <w:rPr>
          <w:sz w:val="20"/>
          <w:szCs w:val="20"/>
          <w:color w:val="auto"/>
        </w:rPr>
      </w:pPr>
    </w:p>
    <w:p>
      <w:pPr>
        <w:ind w:left="320" w:right="360"/>
        <w:spacing w:after="0" w:line="241" w:lineRule="auto"/>
        <w:rPr>
          <w:sz w:val="20"/>
          <w:szCs w:val="20"/>
          <w:color w:val="auto"/>
        </w:rPr>
      </w:pPr>
      <w:r>
        <w:rPr>
          <w:rFonts w:ascii="Times New Roman" w:cs="Times New Roman" w:eastAsia="Times New Roman" w:hAnsi="Times New Roman"/>
          <w:sz w:val="16"/>
          <w:szCs w:val="16"/>
          <w:color w:val="auto"/>
        </w:rPr>
        <w:t>or consolidations of technology companies could reduce further the number of our customers and potential customers and make us more dependent on a more limited number of customers. If our customers merge with or are acquired by other entities that are not our customers, they may discontinue or reduce the use of our data centers in the future. Our financial condition, results of operations, cash flow, cash available for distribution and ability to satisfy our debt service obligations could be materially adversely affected as a result of any or all of these factors.</w:t>
      </w:r>
    </w:p>
    <w:p>
      <w:pPr>
        <w:spacing w:after="0" w:line="71" w:lineRule="exact"/>
        <w:rPr>
          <w:sz w:val="20"/>
          <w:szCs w:val="20"/>
          <w:color w:val="auto"/>
        </w:rPr>
      </w:pPr>
    </w:p>
    <w:p>
      <w:pPr>
        <w:ind w:left="320" w:right="860"/>
        <w:spacing w:after="0" w:line="262" w:lineRule="auto"/>
        <w:rPr>
          <w:sz w:val="20"/>
          <w:szCs w:val="20"/>
          <w:color w:val="auto"/>
        </w:rPr>
      </w:pPr>
      <w:r>
        <w:rPr>
          <w:rFonts w:ascii="Times New Roman" w:cs="Times New Roman" w:eastAsia="Times New Roman" w:hAnsi="Times New Roman"/>
          <w:sz w:val="16"/>
          <w:szCs w:val="16"/>
          <w:b w:val="1"/>
          <w:bCs w:val="1"/>
          <w:color w:val="auto"/>
        </w:rPr>
        <w:t>We depend upon third-party suppliers for power and we are vulnerable to service failures and price increases by such suppliers and to volatility in the supply and price of power in the open market.</w:t>
      </w:r>
    </w:p>
    <w:p>
      <w:pPr>
        <w:spacing w:after="0" w:line="56" w:lineRule="exact"/>
        <w:rPr>
          <w:sz w:val="20"/>
          <w:szCs w:val="20"/>
          <w:color w:val="auto"/>
        </w:rPr>
      </w:pPr>
    </w:p>
    <w:p>
      <w:pPr>
        <w:ind w:left="320" w:right="420"/>
        <w:spacing w:after="0" w:line="238" w:lineRule="auto"/>
        <w:rPr>
          <w:sz w:val="20"/>
          <w:szCs w:val="20"/>
          <w:color w:val="auto"/>
        </w:rPr>
      </w:pPr>
      <w:r>
        <w:rPr>
          <w:rFonts w:ascii="Times New Roman" w:cs="Times New Roman" w:eastAsia="Times New Roman" w:hAnsi="Times New Roman"/>
          <w:sz w:val="16"/>
          <w:szCs w:val="16"/>
          <w:color w:val="auto"/>
        </w:rPr>
        <w:t>We rely on third parties to provide power to our data centers, and we cannot ensure that these third parties will deliver such power in adequate quantities, at acceptable levels of power quality, or on a consistent basis. We are also reliant on third parties to deliver additional power capacity to support the growth of our business. If the amount of power available to us is inadequate to support our customer requirements, we may be unable to satisfy our obligations to our customers or grow our business. In addition, our data centers may be susceptible to power shortages and planned or unplanned outages caused by these shortages. Power outages may last beyond our backup and alternative power arrangements, which would harm our customers and our business. Any loss of services or equipment damage could adversely affect both our ability to generate revenues and our operating results, harm our reputation and potentially lead to customer disputes or litigation.</w:t>
      </w:r>
    </w:p>
    <w:p>
      <w:pPr>
        <w:spacing w:after="0" w:line="77" w:lineRule="exact"/>
        <w:rPr>
          <w:sz w:val="20"/>
          <w:szCs w:val="20"/>
          <w:color w:val="auto"/>
        </w:rPr>
      </w:pPr>
    </w:p>
    <w:p>
      <w:pPr>
        <w:ind w:left="320" w:right="340"/>
        <w:spacing w:after="0" w:line="239" w:lineRule="auto"/>
        <w:rPr>
          <w:sz w:val="20"/>
          <w:szCs w:val="20"/>
          <w:color w:val="auto"/>
        </w:rPr>
      </w:pPr>
      <w:r>
        <w:rPr>
          <w:rFonts w:ascii="Times New Roman" w:cs="Times New Roman" w:eastAsia="Times New Roman" w:hAnsi="Times New Roman"/>
          <w:sz w:val="16"/>
          <w:szCs w:val="16"/>
          <w:color w:val="auto"/>
        </w:rPr>
        <w:t>In addition, we may be subject to risks and unanticipated costs associated with obtaining power from various utility companies. Utilities that serve our data centers may be dependent on, and sensitive to price increases for, a particular type of fuel, such as natural gas, coal or nuclear. In addition, the price of these fuels and the total cost of delivered electricity could increase as a result of: regulations intended to regulate carbon emissions and other pollutants, ratepayer surcharges related to recovering the cost of extreme weather events and natural disasters, geopolitical conflicts, military conflicts, grid modernization charges, renewable energy adoption, as well as other charges borne by ratepayers. Increases in the cost of power at any of our data centers could put those locations at a competitive disadvantage relative to data centers that are supplied power at a lower price.</w:t>
      </w:r>
    </w:p>
    <w:p>
      <w:pPr>
        <w:spacing w:after="0" w:line="74" w:lineRule="exact"/>
        <w:rPr>
          <w:sz w:val="20"/>
          <w:szCs w:val="20"/>
          <w:color w:val="auto"/>
        </w:rPr>
      </w:pPr>
    </w:p>
    <w:p>
      <w:pPr>
        <w:ind w:left="320" w:right="440"/>
        <w:spacing w:after="0" w:line="239" w:lineRule="auto"/>
        <w:rPr>
          <w:sz w:val="20"/>
          <w:szCs w:val="20"/>
          <w:color w:val="auto"/>
        </w:rPr>
      </w:pPr>
      <w:r>
        <w:rPr>
          <w:rFonts w:ascii="Times New Roman" w:cs="Times New Roman" w:eastAsia="Times New Roman" w:hAnsi="Times New Roman"/>
          <w:sz w:val="16"/>
          <w:szCs w:val="16"/>
          <w:color w:val="auto"/>
        </w:rPr>
        <w:t>We have also entered into power purchase agreements with contract terms ranging from 5-20 years. These agreements require us to purchase renewable energy and/or environmental attribute certificates from producers at fixed prices over the terms of the contracts, subject to certain adjustments. In the event that the market price for energy decreases, we may be required to pay more under the power purchase agreements than we would otherwise if we were to purchase environmental attribute certificate on the open market, which could adversely affect our results of operations. Additionally, interruptions in the operations of one or more of the suppliers under these agreements, as a result of extreme weather events, natural disasters or otherwise, could negatively impact the quantity of renewable energy credits delivered to us.</w:t>
      </w:r>
    </w:p>
    <w:p>
      <w:pPr>
        <w:spacing w:after="0" w:line="74" w:lineRule="exact"/>
        <w:rPr>
          <w:sz w:val="20"/>
          <w:szCs w:val="20"/>
          <w:color w:val="auto"/>
        </w:rPr>
      </w:pPr>
    </w:p>
    <w:p>
      <w:pPr>
        <w:ind w:left="320" w:right="400"/>
        <w:spacing w:after="0" w:line="289" w:lineRule="auto"/>
        <w:rPr>
          <w:sz w:val="20"/>
          <w:szCs w:val="20"/>
          <w:color w:val="auto"/>
        </w:rPr>
      </w:pPr>
      <w:r>
        <w:rPr>
          <w:rFonts w:ascii="Times New Roman" w:cs="Times New Roman" w:eastAsia="Times New Roman" w:hAnsi="Times New Roman"/>
          <w:sz w:val="14"/>
          <w:szCs w:val="14"/>
          <w:color w:val="auto"/>
        </w:rPr>
        <w:t>Disruptions in the oil and gas and electric power markets have caused, and could continue to cause, significant increases in energy prices, which could have a material effect on our business. Additional potential sanctions and penalties have been implemented and/or threatened against Russia, a major supplier of natural gas to Europe, and Russia has in turn threatened to curtail gas exports to Europe. Some of our data centers in Europe could be affected adversely if Russia further curtails or ends gas exports to Europe.</w:t>
      </w:r>
    </w:p>
    <w:p>
      <w:pPr>
        <w:spacing w:after="0" w:line="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We face significant competition, which may adversely affect the occupancy and rental rates of our data centers.</w:t>
      </w:r>
    </w:p>
    <w:p>
      <w:pPr>
        <w:spacing w:after="0" w:line="94" w:lineRule="exact"/>
        <w:rPr>
          <w:sz w:val="20"/>
          <w:szCs w:val="20"/>
          <w:color w:val="auto"/>
        </w:rPr>
      </w:pPr>
    </w:p>
    <w:p>
      <w:pPr>
        <w:ind w:left="320" w:right="320"/>
        <w:spacing w:after="0" w:line="238" w:lineRule="auto"/>
        <w:rPr>
          <w:sz w:val="20"/>
          <w:szCs w:val="20"/>
          <w:color w:val="auto"/>
        </w:rPr>
      </w:pPr>
      <w:r>
        <w:rPr>
          <w:rFonts w:ascii="Times New Roman" w:cs="Times New Roman" w:eastAsia="Times New Roman" w:hAnsi="Times New Roman"/>
          <w:sz w:val="16"/>
          <w:szCs w:val="16"/>
          <w:color w:val="auto"/>
        </w:rPr>
        <w:t>We compete with numerous data center providers globally, many of whom own or operate properties similar to ours in some of the same metropolitan areas where our data centers are located, including Equinix, Inc. and NTT; various private operators in the U.S.; as well as Global Switch Holdings Limited and various regional operators in Europe, Asia, Latin America, Africa and Australia. In addition, we may in the future face competition from new entrants into the data center market, including new entrants who may acquire our current competitors. Some of our competitors and potential competitors have significant advantages over us, including greater name recognition, longer operating histories, pre-existing relationships with current or potential customers, significantly greater financial, marketing and other resources and more ready access to capital which allow them to respond more quickly to new or changing opportunities.</w:t>
      </w:r>
    </w:p>
    <w:p>
      <w:pPr>
        <w:spacing w:after="0" w:line="77" w:lineRule="exact"/>
        <w:rPr>
          <w:sz w:val="20"/>
          <w:szCs w:val="20"/>
          <w:color w:val="auto"/>
        </w:rPr>
      </w:pPr>
    </w:p>
    <w:p>
      <w:pPr>
        <w:ind w:left="320" w:right="520"/>
        <w:spacing w:after="0" w:line="247" w:lineRule="auto"/>
        <w:rPr>
          <w:sz w:val="20"/>
          <w:szCs w:val="20"/>
          <w:color w:val="auto"/>
        </w:rPr>
      </w:pPr>
      <w:r>
        <w:rPr>
          <w:rFonts w:ascii="Times New Roman" w:cs="Times New Roman" w:eastAsia="Times New Roman" w:hAnsi="Times New Roman"/>
          <w:sz w:val="16"/>
          <w:szCs w:val="16"/>
          <w:color w:val="auto"/>
        </w:rPr>
        <w:t>If our competitors offer space that our customers or potential customers perceive to be superior to ours based on factors such as available power, security, location, or connectivity, or if they offer rental rates below current market rates, or below the rental rates we are offering, we may lose customers or potential customers or be required to incur costs to</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2" w:name="page23"/>
    <w:bookmarkEnd w:id="22"/>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6" w:lineRule="exact"/>
        <w:rPr>
          <w:sz w:val="20"/>
          <w:szCs w:val="20"/>
          <w:color w:val="auto"/>
        </w:rPr>
      </w:pPr>
    </w:p>
    <w:p>
      <w:pPr>
        <w:ind w:left="320" w:right="440"/>
        <w:spacing w:after="0" w:line="239" w:lineRule="auto"/>
        <w:rPr>
          <w:sz w:val="20"/>
          <w:szCs w:val="20"/>
          <w:color w:val="auto"/>
        </w:rPr>
      </w:pPr>
      <w:r>
        <w:rPr>
          <w:rFonts w:ascii="Times New Roman" w:cs="Times New Roman" w:eastAsia="Times New Roman" w:hAnsi="Times New Roman"/>
          <w:sz w:val="16"/>
          <w:szCs w:val="16"/>
          <w:color w:val="auto"/>
        </w:rPr>
        <w:t>improve our data centers or reduce our rental rates. In addition, many of our competitors have developed and continue to develop additional data center space. If the supply of data center space continues to increase as a result of these activities or otherwise, rental rates may be reduced or we may face delays in leasing or be unable to lease our vacant space, including space that we develop. Further, if customers or potential customers desire services that we do not offer, we may not be able to lease our space to those customers. Our financial condition, results of operations, cash flow, cash available for distribution and ability to satisfy our debt service obligations could be materially adversely affected as a result of any or all of these factors.</w:t>
      </w:r>
    </w:p>
    <w:p>
      <w:pPr>
        <w:spacing w:after="0" w:line="75" w:lineRule="exact"/>
        <w:rPr>
          <w:sz w:val="20"/>
          <w:szCs w:val="20"/>
          <w:color w:val="auto"/>
        </w:rPr>
      </w:pPr>
    </w:p>
    <w:p>
      <w:pPr>
        <w:ind w:left="320" w:right="780"/>
        <w:spacing w:after="0" w:line="262" w:lineRule="auto"/>
        <w:rPr>
          <w:sz w:val="20"/>
          <w:szCs w:val="20"/>
          <w:color w:val="auto"/>
        </w:rPr>
      </w:pPr>
      <w:r>
        <w:rPr>
          <w:rFonts w:ascii="Times New Roman" w:cs="Times New Roman" w:eastAsia="Times New Roman" w:hAnsi="Times New Roman"/>
          <w:sz w:val="16"/>
          <w:szCs w:val="16"/>
          <w:b w:val="1"/>
          <w:bCs w:val="1"/>
          <w:color w:val="auto"/>
        </w:rPr>
        <w:t>Any failure of our physical or information technology or operational technology infrastructure or services could lead to significant costs and disruptions.</w:t>
      </w:r>
    </w:p>
    <w:p>
      <w:pPr>
        <w:spacing w:after="0" w:line="56" w:lineRule="exact"/>
        <w:rPr>
          <w:sz w:val="20"/>
          <w:szCs w:val="20"/>
          <w:color w:val="auto"/>
        </w:rPr>
      </w:pPr>
    </w:p>
    <w:p>
      <w:pPr>
        <w:ind w:left="320" w:right="360"/>
        <w:spacing w:after="0" w:line="241" w:lineRule="auto"/>
        <w:rPr>
          <w:sz w:val="20"/>
          <w:szCs w:val="20"/>
          <w:color w:val="auto"/>
        </w:rPr>
      </w:pPr>
      <w:r>
        <w:rPr>
          <w:rFonts w:ascii="Times New Roman" w:cs="Times New Roman" w:eastAsia="Times New Roman" w:hAnsi="Times New Roman"/>
          <w:sz w:val="16"/>
          <w:szCs w:val="16"/>
          <w:color w:val="auto"/>
        </w:rPr>
        <w:t>Our business depends on providing customers with highly reliable services, including with respect to power supply, physical security, cybersecurity, and maintenance of environmental conditions. We may fail to provide such services because our operations are vulnerable to, among other things, mechanical or telecommunications failure, power outage, human error, physical or electronic security breaches, cyberattacks, war, terrorism, fire, earthquake, pandemics, hurricane, flood and other natural disasters, sabotage and vandalism.</w:t>
      </w:r>
    </w:p>
    <w:p>
      <w:pPr>
        <w:spacing w:after="0" w:line="73" w:lineRule="exact"/>
        <w:rPr>
          <w:sz w:val="20"/>
          <w:szCs w:val="20"/>
          <w:color w:val="auto"/>
        </w:rPr>
      </w:pPr>
    </w:p>
    <w:p>
      <w:pPr>
        <w:ind w:left="320" w:right="300"/>
        <w:spacing w:after="0" w:line="239" w:lineRule="auto"/>
        <w:rPr>
          <w:sz w:val="20"/>
          <w:szCs w:val="20"/>
          <w:color w:val="auto"/>
        </w:rPr>
      </w:pPr>
      <w:r>
        <w:rPr>
          <w:rFonts w:ascii="Times New Roman" w:cs="Times New Roman" w:eastAsia="Times New Roman" w:hAnsi="Times New Roman"/>
          <w:sz w:val="16"/>
          <w:szCs w:val="16"/>
          <w:color w:val="auto"/>
        </w:rPr>
        <w:t>Substantially all of our customer agreements include terms requiring us to meet certain service level commitments. A failure to meet these or other commitments or equipment damage in our data centers could subject us to contractual liability, including service level credits against customer rent payments, legal liability and monetary damages, regulatory sanctions, or, in certain cases of repeated failures, the right by the customer to terminate the agreement. Service interruptions, equipment failures or security breaches could also materially impact our brand and reputation globally and lead to customer contract terminations or non-renewals and an inability to attract customers in the future.</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3" w:name="page24"/>
    <w:bookmarkEnd w:id="23"/>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ind w:left="320" w:right="760"/>
        <w:spacing w:after="0" w:line="262" w:lineRule="auto"/>
        <w:rPr>
          <w:sz w:val="20"/>
          <w:szCs w:val="20"/>
          <w:color w:val="auto"/>
        </w:rPr>
      </w:pPr>
      <w:r>
        <w:rPr>
          <w:rFonts w:ascii="Times New Roman" w:cs="Times New Roman" w:eastAsia="Times New Roman" w:hAnsi="Times New Roman"/>
          <w:sz w:val="16"/>
          <w:szCs w:val="16"/>
          <w:b w:val="1"/>
          <w:bCs w:val="1"/>
          <w:color w:val="auto"/>
        </w:rPr>
        <w:t>We and our third-party providers are vulnerable to cyberattacks and security breaches that could materially disrupt or compromise our operations, data and results.</w:t>
      </w:r>
    </w:p>
    <w:p>
      <w:pPr>
        <w:spacing w:after="0" w:line="56" w:lineRule="exact"/>
        <w:rPr>
          <w:sz w:val="20"/>
          <w:szCs w:val="20"/>
          <w:color w:val="auto"/>
        </w:rPr>
      </w:pPr>
    </w:p>
    <w:p>
      <w:pPr>
        <w:ind w:left="320" w:right="440"/>
        <w:spacing w:after="0" w:line="238" w:lineRule="auto"/>
        <w:rPr>
          <w:sz w:val="20"/>
          <w:szCs w:val="20"/>
          <w:color w:val="auto"/>
        </w:rPr>
      </w:pPr>
      <w:r>
        <w:rPr>
          <w:rFonts w:ascii="Times New Roman" w:cs="Times New Roman" w:eastAsia="Times New Roman" w:hAnsi="Times New Roman"/>
          <w:sz w:val="16"/>
          <w:szCs w:val="16"/>
          <w:color w:val="auto"/>
        </w:rPr>
        <w:t>We rely on computer systems, hardware, software, online sites and networks, as well as physical, digital and operational technology infrastructure to support our internal and external operations (collectively, “Information Systems”). We own, operate, and manage complex, global Information Systems and also rely on third-party providers for a range of Information Systems and other products and services, such as cloud computing. We face evolving risks that threaten the confidentiality, integrity, and availability of Information Systems and data, including from state-sponsored espionage actors, financially motivated hackers, hacktivists and insiders, as well as through diverse attack vectors, such as social engineering/phishing, malware (including ransomware), human or technological error, or due to “bugs,” misconfigurations and known and unknown vulnerabilities in hardware, software, systems and processes that support our business.</w:t>
      </w:r>
    </w:p>
    <w:p>
      <w:pPr>
        <w:spacing w:after="0" w:line="77" w:lineRule="exact"/>
        <w:rPr>
          <w:sz w:val="20"/>
          <w:szCs w:val="20"/>
          <w:color w:val="auto"/>
        </w:rPr>
      </w:pPr>
    </w:p>
    <w:p>
      <w:pPr>
        <w:ind w:left="320" w:right="400"/>
        <w:spacing w:after="0" w:line="280" w:lineRule="auto"/>
        <w:rPr>
          <w:sz w:val="20"/>
          <w:szCs w:val="20"/>
          <w:color w:val="auto"/>
        </w:rPr>
      </w:pPr>
      <w:r>
        <w:rPr>
          <w:rFonts w:ascii="Times New Roman" w:cs="Times New Roman" w:eastAsia="Times New Roman" w:hAnsi="Times New Roman"/>
          <w:sz w:val="14"/>
          <w:szCs w:val="14"/>
          <w:color w:val="auto"/>
        </w:rPr>
        <w:t>Unauthorized access to our or customers’ physical assets or Information Systems, misappropriation of our or customers’ sensitive or proprietary information, or disruptions to our or customers’ operations as a result of attacks, breaches or disruptions to our, or any providers’ or customers’, Information Systems or controls could lead to material breaches of legal and regulatory (e.g., privacy laws such as GDPR) or contractual obligations, and/or other operational and business impacts. The foregoing could expose us to material lawsuits, regulatory actions, penalties or fines, monetary damages, loss of existing or potential customers, harm to our reputation and significant increases in our security and insurance costs, and other adverse effects on our business and results.</w:t>
      </w:r>
    </w:p>
    <w:p>
      <w:pPr>
        <w:spacing w:after="0" w:line="49" w:lineRule="exact"/>
        <w:rPr>
          <w:sz w:val="20"/>
          <w:szCs w:val="20"/>
          <w:color w:val="auto"/>
        </w:rPr>
      </w:pPr>
    </w:p>
    <w:p>
      <w:pPr>
        <w:ind w:left="320" w:right="460"/>
        <w:spacing w:after="0" w:line="238" w:lineRule="auto"/>
        <w:rPr>
          <w:sz w:val="20"/>
          <w:szCs w:val="20"/>
          <w:color w:val="auto"/>
        </w:rPr>
      </w:pPr>
      <w:r>
        <w:rPr>
          <w:rFonts w:ascii="Times New Roman" w:cs="Times New Roman" w:eastAsia="Times New Roman" w:hAnsi="Times New Roman"/>
          <w:sz w:val="16"/>
          <w:szCs w:val="16"/>
          <w:color w:val="auto"/>
        </w:rPr>
        <w:t>We regularly experience cyberattacks and security incidents, and we expect such attacks and incidents to continue in the future. For example, we have experienced, and may in the future experience, sophisticated social engineering/phishing attacks that involve unauthorized access to our information. While to date no attacks or incidents have materially impacted us, we cannot guarantee that any incidents will not materially impact us or that material incidents will not occur in the future. There can also be no assurance that our cybersecurity risk management processes will be fully implemented as currently anticipated, complied with or effective in protecting our or our customers’ Information Systems and data, particularly because threat actors are increasingly sophisticated and using tools such as artificial intelligence that circumvent controls and evade detection, making mitigation and recovery challenging and uncertain.</w:t>
      </w:r>
    </w:p>
    <w:p>
      <w:pPr>
        <w:spacing w:after="0" w:line="77" w:lineRule="exact"/>
        <w:rPr>
          <w:sz w:val="20"/>
          <w:szCs w:val="20"/>
          <w:color w:val="auto"/>
        </w:rPr>
      </w:pPr>
    </w:p>
    <w:p>
      <w:pPr>
        <w:ind w:left="320" w:right="340"/>
        <w:spacing w:after="0" w:line="243" w:lineRule="auto"/>
        <w:rPr>
          <w:sz w:val="20"/>
          <w:szCs w:val="20"/>
          <w:color w:val="auto"/>
        </w:rPr>
      </w:pPr>
      <w:r>
        <w:rPr>
          <w:rFonts w:ascii="Times New Roman" w:cs="Times New Roman" w:eastAsia="Times New Roman" w:hAnsi="Times New Roman"/>
          <w:sz w:val="16"/>
          <w:szCs w:val="16"/>
          <w:color w:val="auto"/>
        </w:rPr>
        <w:t>Although our customers maintain computing equipment in our facilities, we generally do not have access to, nor knowledge of, what applications or data are stored or processed on such equipment. For some customers, we provide digital infrastructure and platforms-as-a-service, which increases the risk of compromise to customer data, and we have been expanding these aspects of our business globally.</w:t>
      </w:r>
    </w:p>
    <w:p>
      <w:pPr>
        <w:spacing w:after="0" w:line="71" w:lineRule="exact"/>
        <w:rPr>
          <w:sz w:val="20"/>
          <w:szCs w:val="20"/>
          <w:color w:val="auto"/>
        </w:rPr>
      </w:pPr>
    </w:p>
    <w:p>
      <w:pPr>
        <w:ind w:left="320" w:right="440"/>
        <w:spacing w:after="0" w:line="238" w:lineRule="auto"/>
        <w:rPr>
          <w:sz w:val="20"/>
          <w:szCs w:val="20"/>
          <w:color w:val="auto"/>
        </w:rPr>
      </w:pPr>
      <w:r>
        <w:rPr>
          <w:rFonts w:ascii="Times New Roman" w:cs="Times New Roman" w:eastAsia="Times New Roman" w:hAnsi="Times New Roman"/>
          <w:sz w:val="16"/>
          <w:szCs w:val="16"/>
          <w:color w:val="auto"/>
        </w:rPr>
        <w:t>Regulators around the world are increasingly focusing on, and investigating, cybersecurity matters. For example, as we disclosed in our Quarterly Report on Form 10- Q filed on November 9, 2023, the Division of Enforcement of the U.S. Securities and Exchange Commission (SEC) is conducting an investigation into the adequacy of our disclosures of cybersecurity risks and our related disclosure controls and procedures. We are cooperating with the SEC and are not aware of any cybersecurity issue or event that caused the Staff to open this matter. Responding to an investigation of this type can be costly and time-consuming. While we are unable to predict the likely outcome of this matter or the potential cost or exposure or duration of the process, based on the information we currently possess, we do not expect the total potential cost to be material to our financial condition. If the SEC believes that violations occurred, it could seek remedies including, but not limited to, civil monetary penalties and injunctive relief, and/or file litigation against the Company.</w:t>
      </w: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4" w:name="page25"/>
    <w:bookmarkEnd w:id="24"/>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6" w:lineRule="exact"/>
        <w:rPr>
          <w:sz w:val="20"/>
          <w:szCs w:val="20"/>
          <w:color w:val="auto"/>
        </w:rPr>
      </w:pPr>
    </w:p>
    <w:p>
      <w:pPr>
        <w:ind w:left="320" w:right="360"/>
        <w:spacing w:after="0" w:line="273" w:lineRule="auto"/>
        <w:rPr>
          <w:sz w:val="20"/>
          <w:szCs w:val="20"/>
          <w:color w:val="auto"/>
        </w:rPr>
      </w:pPr>
      <w:r>
        <w:rPr>
          <w:rFonts w:ascii="Times New Roman" w:cs="Times New Roman" w:eastAsia="Times New Roman" w:hAnsi="Times New Roman"/>
          <w:sz w:val="14"/>
          <w:szCs w:val="14"/>
          <w:color w:val="auto"/>
        </w:rPr>
        <w:t>We have made, and expect to continue to make, investments to update and modernize both existing and newly acquired Information Systems. We have ongoing acquisitions and investment activity, including through the formation of joint ventures. For example, we have acquired and invested in, and continue to acquire and invest in, businesses and operations (including joint ventures) around the world, including in new regions with complex and evolving regulatory frameworks and differing risk profiles, and including in and with companies that have cybersecurity vulnerabilities and security measures which may be less robust than our existing Information Systems, which increases our cybersecurity risks. In addition, transitioning to new or upgraded Information Systems, and integrating acquired Information Systems and data, creates challenges, causes disruption to current processes, governance and structures, and can increase our cybersecurity vulnerabilities and costs to mitigate and remediate such vulnerabilities. Given the nature of complex systems, software and services like ours, and the scanning tools that we deploy across our networks and products, we regularly identify and track security vulnerabilities. However, certain vulnerabilities may not be discovered, and not all vulnerabilities may be remediated in a timely manner. Further, cybersecurity governance with respect to our joint ventures may be more complex due to the necessary interactions and oversight of multiple joint venture partners and their respective governing bodies. Difficulties in implementing new, upgraded, and/or acquired Information Systems or significant failures, delays, or other inability to modify and respond to changes in our or our customers’ business and cybersecurity needs could adversely affect our results.</w:t>
      </w:r>
    </w:p>
    <w:p>
      <w:pPr>
        <w:spacing w:after="0" w:line="234" w:lineRule="exact"/>
        <w:rPr>
          <w:sz w:val="20"/>
          <w:szCs w:val="20"/>
          <w:color w:val="auto"/>
        </w:rPr>
      </w:pPr>
    </w:p>
    <w:p>
      <w:pPr>
        <w:ind w:left="320" w:right="460"/>
        <w:spacing w:after="0" w:line="262" w:lineRule="auto"/>
        <w:rPr>
          <w:sz w:val="20"/>
          <w:szCs w:val="20"/>
          <w:color w:val="auto"/>
        </w:rPr>
      </w:pPr>
      <w:r>
        <w:rPr>
          <w:rFonts w:ascii="Times New Roman" w:cs="Times New Roman" w:eastAsia="Times New Roman" w:hAnsi="Times New Roman"/>
          <w:sz w:val="16"/>
          <w:szCs w:val="16"/>
          <w:b w:val="1"/>
          <w:bCs w:val="1"/>
          <w:color w:val="auto"/>
        </w:rPr>
        <w:t>We depend on significant customers, and many of our data centers are single-tenant properties or are currently occupied by single tenants.</w:t>
      </w:r>
    </w:p>
    <w:p>
      <w:pPr>
        <w:spacing w:after="0" w:line="56" w:lineRule="exact"/>
        <w:rPr>
          <w:sz w:val="20"/>
          <w:szCs w:val="20"/>
          <w:color w:val="auto"/>
        </w:rPr>
      </w:pPr>
    </w:p>
    <w:p>
      <w:pPr>
        <w:ind w:left="320" w:right="320"/>
        <w:spacing w:after="0" w:line="237" w:lineRule="auto"/>
        <w:rPr>
          <w:sz w:val="20"/>
          <w:szCs w:val="20"/>
          <w:color w:val="auto"/>
        </w:rPr>
      </w:pPr>
      <w:r>
        <w:rPr>
          <w:rFonts w:ascii="Times New Roman" w:cs="Times New Roman" w:eastAsia="Times New Roman" w:hAnsi="Times New Roman"/>
          <w:sz w:val="16"/>
          <w:szCs w:val="16"/>
          <w:color w:val="auto"/>
        </w:rPr>
        <w:t>As of December 31, 2024, the 20 largest customers in our portfolio represented approximately 51% of the total annualized recurring revenue generated by our properties. Our top three customers represented approximately 23% of the total annualized recurring revenue generated by our properties as of December 31, 2024. In addition, 31 of our 308 data centers are occupied by single customers, including data centers occupied solely by our top three customers. Many factors, including global economic conditions, may cause our customers to experience a downturn in their businesses or otherwise experience a lack of liquidity, which may weaken their financial condition and impact our estimates as to the probability of collectability of payments, and ultimately result in their failure to make timely rental and other payments or their default under their agreements with us. Further, the development of new technologies, the adoption of new industry standards or other factors could render many of our customers’ current products and services obsolete or unmarketable and contribute to a downturn in their businesses, thereby increasing the likelihood that they default under their leases, become insolvent or file for bankruptcy. If any customer defaults or fails to make timely rent or other payments, we may experience delays in enforcing our rights as landlord and may incur substantial costs in protecting our investment, which could adversely affect our financial condition and results of operations.</w:t>
      </w:r>
    </w:p>
    <w:p>
      <w:pPr>
        <w:spacing w:after="0" w:line="76" w:lineRule="exact"/>
        <w:rPr>
          <w:sz w:val="20"/>
          <w:szCs w:val="20"/>
          <w:color w:val="auto"/>
        </w:rPr>
      </w:pPr>
    </w:p>
    <w:p>
      <w:pPr>
        <w:ind w:left="320" w:right="360"/>
        <w:spacing w:after="0" w:line="278" w:lineRule="auto"/>
        <w:rPr>
          <w:sz w:val="20"/>
          <w:szCs w:val="20"/>
          <w:color w:val="auto"/>
        </w:rPr>
      </w:pPr>
      <w:r>
        <w:rPr>
          <w:rFonts w:ascii="Times New Roman" w:cs="Times New Roman" w:eastAsia="Times New Roman" w:hAnsi="Times New Roman"/>
          <w:sz w:val="14"/>
          <w:szCs w:val="14"/>
          <w:color w:val="auto"/>
        </w:rPr>
        <w:t>If any customer becomes a debtor in a case under the U.S. Bankruptcy Code, we cannot evict the customer solely because of the bankruptcy. In addition, the bankruptcy court might authorize the customer to reject and terminate its contracts with us. Our claim against the customer for unpaid, future rent and other payments would be subject to a statutory cap that might be substantially less than the remaining amounts actually owed under their agreements with us. In either case, our claim for unpaid rent and other amounts would likely not be paid in full. Our revenue and cash available for distribution could be materially adversely affected if any of our significant customers were to become bankrupt or insolvent, suffer a downturn in their businesses, fail to renew their contracts or renew on terms less favorable to us than their current terms. As of February 18, 2025, we had no material customers in bankruptcy.</w:t>
      </w:r>
    </w:p>
    <w:p>
      <w:pPr>
        <w:spacing w:after="0" w:line="49" w:lineRule="exact"/>
        <w:rPr>
          <w:sz w:val="20"/>
          <w:szCs w:val="20"/>
          <w:color w:val="auto"/>
        </w:rPr>
      </w:pPr>
    </w:p>
    <w:p>
      <w:pPr>
        <w:ind w:left="320" w:right="520"/>
        <w:spacing w:after="0" w:line="262" w:lineRule="auto"/>
        <w:rPr>
          <w:sz w:val="20"/>
          <w:szCs w:val="20"/>
          <w:color w:val="auto"/>
        </w:rPr>
      </w:pPr>
      <w:r>
        <w:rPr>
          <w:rFonts w:ascii="Times New Roman" w:cs="Times New Roman" w:eastAsia="Times New Roman" w:hAnsi="Times New Roman"/>
          <w:sz w:val="16"/>
          <w:szCs w:val="16"/>
          <w:b w:val="1"/>
          <w:bCs w:val="1"/>
          <w:color w:val="auto"/>
        </w:rPr>
        <w:t>Failure to attract, grow and retain a diverse and balanced customer base, including key magnet customers, could harm our business and operating results.</w:t>
      </w:r>
    </w:p>
    <w:p>
      <w:pPr>
        <w:spacing w:after="0" w:line="56" w:lineRule="exact"/>
        <w:rPr>
          <w:sz w:val="20"/>
          <w:szCs w:val="20"/>
          <w:color w:val="auto"/>
        </w:rPr>
      </w:pPr>
    </w:p>
    <w:p>
      <w:pPr>
        <w:ind w:left="320" w:right="300"/>
        <w:spacing w:after="0" w:line="238" w:lineRule="auto"/>
        <w:rPr>
          <w:sz w:val="20"/>
          <w:szCs w:val="20"/>
          <w:color w:val="auto"/>
        </w:rPr>
      </w:pPr>
      <w:r>
        <w:rPr>
          <w:rFonts w:ascii="Times New Roman" w:cs="Times New Roman" w:eastAsia="Times New Roman" w:hAnsi="Times New Roman"/>
          <w:sz w:val="16"/>
          <w:szCs w:val="16"/>
          <w:color w:val="auto"/>
        </w:rPr>
        <w:t>Our ability to attract, grow and retain a diverse and balanced customer base, consisting of enterprises, cloud service providers, network service providers, and digital economy customers, some of which we consider to be key magnets drawing in other customers, may affect our ability to maximize our revenues. Dense and desirable customer concentrations within a facility enable us to better generate significant interconnection revenues, which in turn increases our overall revenues. Our ability to attract customers to our data centers will depend on a variety of factors, including our product offerings, the presence of carriers, the overall mix of customers, the presence of key customers attracting business through ecosystems, the data center’s operating reliability and security and our ability to effectively market our product offerings. Our inability to develop, provide or effectively execute any of these factors may hinder the development, growth and retention of a diverse and balanced customer base and adversely affect our business, financial condition and results of operations.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5" w:name="page26"/>
    <w:bookmarkEnd w:id="25"/>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Our contracts with our customers could subject us to significant liability.</w:t>
      </w:r>
    </w:p>
    <w:p>
      <w:pPr>
        <w:spacing w:after="0" w:line="94" w:lineRule="exact"/>
        <w:rPr>
          <w:sz w:val="20"/>
          <w:szCs w:val="20"/>
          <w:color w:val="auto"/>
        </w:rPr>
      </w:pPr>
    </w:p>
    <w:p>
      <w:pPr>
        <w:ind w:left="320" w:right="340"/>
        <w:spacing w:after="0" w:line="237" w:lineRule="auto"/>
        <w:rPr>
          <w:sz w:val="20"/>
          <w:szCs w:val="20"/>
          <w:color w:val="auto"/>
        </w:rPr>
      </w:pPr>
      <w:r>
        <w:rPr>
          <w:rFonts w:ascii="Times New Roman" w:cs="Times New Roman" w:eastAsia="Times New Roman" w:hAnsi="Times New Roman"/>
          <w:sz w:val="16"/>
          <w:szCs w:val="16"/>
          <w:color w:val="auto"/>
        </w:rPr>
        <w:t>In the ordinary course of business, we enter into agreements with our customers pursuant to which we provide data center space, power, environmental controls, physical security and connectivity products to our customers. These contracts typically contain indemnification and liability provisions, in addition to service level commitments, which could potentially impose a significant cost on us in the event of losses arising out of certain breaches of such agreements, services to be provided by us or our subcontractors or from third- party claims. Customers increasingly are looking to pass through their regulatory obligations and other liabilities to their outsourced data center providers and we may not be able to limit our liability or damages in an event of loss suffered by such customers whether as a result of our breach of an agreement or otherwise. Further, liabilities and standards for damages and enforcement actions, including the regulatory framework applicable to different types of losses, vary by jurisdiction, and we may be subject to greater liability for certain losses in certain jurisdictions. Additionally, in connection with our acquisitions, we have assumed existing agreements with customers that may subject us to greater liability for such an event of loss. If such an event of loss occurred, we could be liable for material monetary damages and could incur significant legal fees in defending against such an action, which could adversely affect our financial condition and results of operations.</w:t>
      </w:r>
    </w:p>
    <w:p>
      <w:pPr>
        <w:spacing w:after="0" w:line="74" w:lineRule="exact"/>
        <w:rPr>
          <w:sz w:val="20"/>
          <w:szCs w:val="20"/>
          <w:color w:val="auto"/>
        </w:rPr>
      </w:pPr>
    </w:p>
    <w:p>
      <w:pPr>
        <w:ind w:left="320" w:right="720"/>
        <w:spacing w:after="0" w:line="262" w:lineRule="auto"/>
        <w:rPr>
          <w:sz w:val="20"/>
          <w:szCs w:val="20"/>
          <w:color w:val="auto"/>
        </w:rPr>
      </w:pPr>
      <w:r>
        <w:rPr>
          <w:rFonts w:ascii="Times New Roman" w:cs="Times New Roman" w:eastAsia="Times New Roman" w:hAnsi="Times New Roman"/>
          <w:sz w:val="16"/>
          <w:szCs w:val="16"/>
          <w:b w:val="1"/>
          <w:bCs w:val="1"/>
          <w:color w:val="auto"/>
        </w:rPr>
        <w:t>Certain of our customer agreements may include restrictions on the sale of our properties to certain third parties, which could have a material adverse effect on us.</w:t>
      </w:r>
    </w:p>
    <w:p>
      <w:pPr>
        <w:spacing w:after="0" w:line="56" w:lineRule="exact"/>
        <w:rPr>
          <w:sz w:val="20"/>
          <w:szCs w:val="20"/>
          <w:color w:val="auto"/>
        </w:rPr>
      </w:pPr>
    </w:p>
    <w:p>
      <w:pPr>
        <w:ind w:left="320" w:right="620"/>
        <w:spacing w:after="0" w:line="247" w:lineRule="auto"/>
        <w:rPr>
          <w:sz w:val="20"/>
          <w:szCs w:val="20"/>
          <w:color w:val="auto"/>
        </w:rPr>
      </w:pPr>
      <w:r>
        <w:rPr>
          <w:rFonts w:ascii="Times New Roman" w:cs="Times New Roman" w:eastAsia="Times New Roman" w:hAnsi="Times New Roman"/>
          <w:sz w:val="16"/>
          <w:szCs w:val="16"/>
          <w:color w:val="auto"/>
        </w:rPr>
        <w:t>Certain of our customer agreements may prohibit us from selling certain properties to a third party unless specified conditions are met. The existence of such restrictions could hinder our ability to sell one or more of these properties, which could materially adversely affect our business, financial condition and results of operations.</w:t>
      </w:r>
    </w:p>
    <w:p>
      <w:pPr>
        <w:spacing w:after="0" w:line="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Our data centers may not be suitable for re-leasing without significant expenditures or renovations.</w:t>
      </w:r>
    </w:p>
    <w:p>
      <w:pPr>
        <w:spacing w:after="0" w:line="94" w:lineRule="exact"/>
        <w:rPr>
          <w:sz w:val="20"/>
          <w:szCs w:val="20"/>
          <w:color w:val="auto"/>
        </w:rPr>
      </w:pPr>
    </w:p>
    <w:p>
      <w:pPr>
        <w:ind w:left="320" w:right="340"/>
        <w:spacing w:after="0" w:line="239" w:lineRule="auto"/>
        <w:rPr>
          <w:sz w:val="20"/>
          <w:szCs w:val="20"/>
          <w:color w:val="auto"/>
        </w:rPr>
      </w:pPr>
      <w:r>
        <w:rPr>
          <w:rFonts w:ascii="Times New Roman" w:cs="Times New Roman" w:eastAsia="Times New Roman" w:hAnsi="Times New Roman"/>
          <w:sz w:val="16"/>
          <w:szCs w:val="16"/>
          <w:color w:val="auto"/>
        </w:rPr>
        <w:t>Because many of our data centers contain tenant improvements installed at our customers’ expense, they may be better suited for a specific data center user or technology industry customer and could require significant modification in order for us to re -lease vacant space to another data center user or technology industry customer. The tenant improvements may also become outdated or obsolete as the result of technological change, the passage of time or other factors. In addition, our development space will generally require substantial improvement to be suitable for data center use. For the same reason, our properties also may not be suitable for leasing to traditional office customers without significant expenditures or renovations.</w:t>
      </w:r>
    </w:p>
    <w:p>
      <w:pPr>
        <w:spacing w:after="0" w:line="77" w:lineRule="exact"/>
        <w:rPr>
          <w:sz w:val="20"/>
          <w:szCs w:val="20"/>
          <w:color w:val="auto"/>
        </w:rPr>
      </w:pPr>
    </w:p>
    <w:p>
      <w:pPr>
        <w:ind w:left="320" w:right="480"/>
        <w:spacing w:after="0" w:line="259" w:lineRule="auto"/>
        <w:rPr>
          <w:sz w:val="20"/>
          <w:szCs w:val="20"/>
          <w:color w:val="auto"/>
        </w:rPr>
      </w:pPr>
      <w:r>
        <w:rPr>
          <w:rFonts w:ascii="Times New Roman" w:cs="Times New Roman" w:eastAsia="Times New Roman" w:hAnsi="Times New Roman"/>
          <w:sz w:val="16"/>
          <w:szCs w:val="16"/>
          <w:color w:val="auto"/>
        </w:rPr>
        <w:t>As a result, we may be required to invest significant amounts or offer significant discounts to customers in order to lease or re-lease that space, either of which could adversely affect our financial and operating results.</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We may be unable to lease vacant or development space, renew leases, or re-lease space as leases expire.</w:t>
      </w:r>
    </w:p>
    <w:p>
      <w:pPr>
        <w:spacing w:after="0" w:line="94" w:lineRule="exact"/>
        <w:rPr>
          <w:sz w:val="20"/>
          <w:szCs w:val="20"/>
          <w:color w:val="auto"/>
        </w:rPr>
      </w:pPr>
    </w:p>
    <w:p>
      <w:pPr>
        <w:ind w:left="320" w:right="320"/>
        <w:spacing w:after="0" w:line="236" w:lineRule="auto"/>
        <w:rPr>
          <w:sz w:val="20"/>
          <w:szCs w:val="20"/>
          <w:color w:val="auto"/>
        </w:rPr>
      </w:pPr>
      <w:r>
        <w:rPr>
          <w:rFonts w:ascii="Times New Roman" w:cs="Times New Roman" w:eastAsia="Times New Roman" w:hAnsi="Times New Roman"/>
          <w:sz w:val="16"/>
          <w:szCs w:val="16"/>
          <w:color w:val="auto"/>
        </w:rPr>
        <w:t>At December 31, 2024, we owned approximately 8.9 million square feet of space under active development and approximately 4.7 million square feet of space held for future development. We intend to continue to add new space to our development inventory and to continue to develop additional space from this inventory. A portion of the space that we develop has been, and may continue to be, developed on a speculative basis, meaning that we do not have a signed customer agreement for the space when we begin the development process. We also develop space specifically for customers pursuant to agreements signed prior to beginning the development process. In those cases, if we fail to meet our development obligations under those agreements, these customers may be able to terminate the agreements and we would be required to find a new customer for this space. In addition, in certain circumstances we lease data center facilities prior to their completion. If we fail to complete the facilities in a timely manner, the customer may be entitled to terminate its agreement, seek damages or penalties against us or pursue other remedies and we may be required to find a new customer for the space. We cannot assure you that once we have developed space or land we will be able to successfully lease it at all, or at rates we consider favorable or expected at the time we commenced development. Further, once development of a data center facility is complete, we incur certain operating expenses even if there are no customers occupying any space. If we are not able to complete development in a timely manner or successfully lease the space that we develop, if development costs are higher than we currently estimate, or if rental rates are lower than expected when we began the project or are otherwise undesirable, our financial condition, results of operations, cash flow, cash available for distribution and ability to satisfy our debt service obligations could be materially adversely affected.</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In addition, as of December 31, 2024, customer agreements representing 23.3% of the square footage of the properties in</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6" w:name="page27"/>
    <w:bookmarkEnd w:id="26"/>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6" w:lineRule="exact"/>
        <w:rPr>
          <w:sz w:val="20"/>
          <w:szCs w:val="20"/>
          <w:color w:val="auto"/>
        </w:rPr>
      </w:pPr>
    </w:p>
    <w:p>
      <w:pPr>
        <w:ind w:left="320" w:right="400"/>
        <w:spacing w:after="0" w:line="238" w:lineRule="auto"/>
        <w:rPr>
          <w:sz w:val="20"/>
          <w:szCs w:val="20"/>
          <w:color w:val="auto"/>
        </w:rPr>
      </w:pPr>
      <w:r>
        <w:rPr>
          <w:rFonts w:ascii="Times New Roman" w:cs="Times New Roman" w:eastAsia="Times New Roman" w:hAnsi="Times New Roman"/>
          <w:sz w:val="16"/>
          <w:szCs w:val="16"/>
          <w:color w:val="auto"/>
        </w:rPr>
        <w:t>our portfolio, excluding month-to-month leases and space held for development, were scheduled to expire through 2026, and an additional 17.2% of the net rentable square footage, excluding space held for development, was available to be leased. Some of this space may require substantial capital investment to meet the power and cooling requirements of our customers, or may no longer be suitable for their needs. In addition, we cannot assure you that customer agreements will be renewed or that our properties will be re-leased at all, or at net effective rental rates equal to or above the current average net effective rental rates. If the rental rates for our properties decrease, our existing customers do not renew their agreements, we do not lease or re-lease our available space, including newly developed space and space for which customer agreements are scheduled to expire, or it takes longer for us to lease or re-lease this space or for rents to commence on this space, our financial condition, results of operations, cash flow, cash available for distribution and ability to satisfy our debt service obligations could be materially adversely affected.</w:t>
      </w:r>
    </w:p>
    <w:p>
      <w:pPr>
        <w:spacing w:after="0" w:line="74" w:lineRule="exact"/>
        <w:rPr>
          <w:sz w:val="20"/>
          <w:szCs w:val="20"/>
          <w:color w:val="auto"/>
        </w:rPr>
      </w:pPr>
    </w:p>
    <w:p>
      <w:pPr>
        <w:ind w:left="320" w:right="280"/>
        <w:spacing w:after="0" w:line="239" w:lineRule="auto"/>
        <w:rPr>
          <w:sz w:val="20"/>
          <w:szCs w:val="20"/>
          <w:color w:val="auto"/>
        </w:rPr>
      </w:pPr>
      <w:r>
        <w:rPr>
          <w:rFonts w:ascii="Times New Roman" w:cs="Times New Roman" w:eastAsia="Times New Roman" w:hAnsi="Times New Roman"/>
          <w:sz w:val="16"/>
          <w:szCs w:val="16"/>
          <w:color w:val="auto"/>
        </w:rPr>
        <w:t>Additionally, a customer’s decision to lease space and power in one of our data centers and to purchase additional products typically involves a significant commitment of resources and due diligence on the part of our customers regarding the adequacy of our facilities. As a result, the leasing of data center space can have a long sales cycle, and we may expend significant time and resources in pursuing a particular transaction that may not result in revenue. Economic conditions, including market downturns, may further impact this long sales cycle by making it difficult for customers to plan future business activities, which could cause customers to slow spending or delay decision-making. Our inability to adequately manage the risks associated with the sales cycle may adversely affect our business, financial condition and results of operations.</w:t>
      </w:r>
    </w:p>
    <w:p>
      <w:pPr>
        <w:spacing w:after="0" w:line="72" w:lineRule="exact"/>
        <w:rPr>
          <w:sz w:val="20"/>
          <w:szCs w:val="20"/>
          <w:color w:val="auto"/>
        </w:rPr>
      </w:pPr>
    </w:p>
    <w:p>
      <w:pPr>
        <w:ind w:left="320" w:right="400"/>
        <w:spacing w:after="0" w:line="262" w:lineRule="auto"/>
        <w:rPr>
          <w:sz w:val="20"/>
          <w:szCs w:val="20"/>
          <w:color w:val="auto"/>
        </w:rPr>
      </w:pPr>
      <w:r>
        <w:rPr>
          <w:rFonts w:ascii="Times New Roman" w:cs="Times New Roman" w:eastAsia="Times New Roman" w:hAnsi="Times New Roman"/>
          <w:sz w:val="16"/>
          <w:szCs w:val="16"/>
          <w:b w:val="1"/>
          <w:bCs w:val="1"/>
          <w:color w:val="auto"/>
        </w:rPr>
        <w:t>Even if we have additional space available for lease at any one of our data centers, our ability to lease this space to existing or new customers could be constrained by our ability to provide sufficient electrical power.</w:t>
      </w:r>
    </w:p>
    <w:p>
      <w:pPr>
        <w:spacing w:after="0" w:line="56" w:lineRule="exact"/>
        <w:rPr>
          <w:sz w:val="20"/>
          <w:szCs w:val="20"/>
          <w:color w:val="auto"/>
        </w:rPr>
      </w:pPr>
    </w:p>
    <w:p>
      <w:pPr>
        <w:ind w:left="320" w:right="340"/>
        <w:spacing w:after="0" w:line="237" w:lineRule="auto"/>
        <w:rPr>
          <w:sz w:val="20"/>
          <w:szCs w:val="20"/>
          <w:color w:val="auto"/>
        </w:rPr>
      </w:pPr>
      <w:r>
        <w:rPr>
          <w:rFonts w:ascii="Times New Roman" w:cs="Times New Roman" w:eastAsia="Times New Roman" w:hAnsi="Times New Roman"/>
          <w:sz w:val="16"/>
          <w:szCs w:val="16"/>
          <w:color w:val="auto"/>
        </w:rPr>
        <w:t>As current and future customers increase their power footprint in our data centers over time, the corresponding reduction in available power could limit our ability to increase occupancy rates or network density within our existing data centers. Furthermore, at certain of our data centers, our aggregate maximum contractual obligation to provide power and cooling to our customers may exceed the physical capacity at such data centers if customers were to quickly increase their demand for power and cooling. If we are not able to increase the available power and/or cooling or move the customer to another location within our data centers with sufficient power and cooling to meet such demand, we could lose the customer as well as be exposed to liability under our customer agreements. In addition, our power and cooling systems are difficult and expensive to upgrade, especially as we design our data centers to the specifications of new and evolving technologies, such as Artificial Intelligence (“AI”), which are more power-intensive. Accordingly, we may not be able to efficiently upgrade or change these systems to meet new demands without incurring significant costs that we may not be able to pass on to our customers. Any such material loss of customers, liability or additional costs could adversely affect our business, financial condition and results of operations.</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7" w:name="page28"/>
    <w:bookmarkEnd w:id="27"/>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3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Our portfolio depends upon local economic conditions and is geographically concentrated in certain locations.</w:t>
      </w:r>
    </w:p>
    <w:p>
      <w:pPr>
        <w:spacing w:after="0" w:line="94" w:lineRule="exact"/>
        <w:rPr>
          <w:sz w:val="20"/>
          <w:szCs w:val="20"/>
          <w:color w:val="auto"/>
        </w:rPr>
      </w:pPr>
    </w:p>
    <w:p>
      <w:pPr>
        <w:ind w:left="320" w:right="740"/>
        <w:spacing w:after="0" w:line="259" w:lineRule="auto"/>
        <w:rPr>
          <w:sz w:val="20"/>
          <w:szCs w:val="20"/>
          <w:color w:val="auto"/>
        </w:rPr>
      </w:pPr>
      <w:r>
        <w:rPr>
          <w:rFonts w:ascii="Times New Roman" w:cs="Times New Roman" w:eastAsia="Times New Roman" w:hAnsi="Times New Roman"/>
          <w:sz w:val="16"/>
          <w:szCs w:val="16"/>
          <w:color w:val="auto"/>
        </w:rPr>
        <w:t>Our portfolio is located in 60 metropolitan areas. As of December 31, 2024, our portfolio, including the 78 data centers held as investments in unconsolidated entities, was geographically concentrated in the following metropolitan areas:</w:t>
      </w:r>
    </w:p>
    <w:p>
      <w:pPr>
        <w:spacing w:after="0" w:line="250" w:lineRule="exact"/>
        <w:rPr>
          <w:sz w:val="20"/>
          <w:szCs w:val="20"/>
          <w:color w:val="auto"/>
        </w:rPr>
      </w:pPr>
    </w:p>
    <w:tbl>
      <w:tblPr>
        <w:tblLayout w:type="fixed"/>
        <w:tblInd w:w="320" w:type="dxa"/>
        <w:tblCellMar>
          <w:top w:w="0" w:type="dxa"/>
          <w:left w:w="0" w:type="dxa"/>
          <w:bottom w:w="0" w:type="dxa"/>
          <w:right w:w="0" w:type="dxa"/>
        </w:tblCellMar>
      </w:tblPr>
      <w:tr>
        <w:trPr>
          <w:trHeight w:val="168"/>
        </w:trPr>
        <w:tc>
          <w:tcPr>
            <w:tcW w:w="20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80" w:type="dxa"/>
            <w:vAlign w:val="bottom"/>
          </w:tcPr>
          <w:p>
            <w:pPr>
              <w:jc w:val="center"/>
              <w:ind w:left="286"/>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8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Metropolitan Area</w:t>
            </w:r>
          </w:p>
        </w:tc>
        <w:tc>
          <w:tcPr>
            <w:tcW w:w="500" w:type="dxa"/>
            <w:vAlign w:val="bottom"/>
          </w:tcPr>
          <w:p>
            <w:pPr>
              <w:spacing w:after="0"/>
              <w:rPr>
                <w:sz w:val="15"/>
                <w:szCs w:val="15"/>
                <w:color w:val="auto"/>
              </w:rPr>
            </w:pPr>
          </w:p>
        </w:tc>
        <w:tc>
          <w:tcPr>
            <w:tcW w:w="2680" w:type="dxa"/>
            <w:vAlign w:val="bottom"/>
          </w:tcPr>
          <w:p>
            <w:pPr>
              <w:jc w:val="center"/>
              <w:ind w:left="28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820" w:type="dxa"/>
            <w:vAlign w:val="bottom"/>
            <w:tcBorders>
              <w:bottom w:val="single" w:sz="8" w:color="auto"/>
            </w:tcBorders>
            <w:gridSpan w:val="2"/>
            <w:vMerge w:val="continue"/>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2680" w:type="dxa"/>
            <w:vAlign w:val="bottom"/>
            <w:tcBorders>
              <w:bottom w:val="single" w:sz="8" w:color="auto"/>
            </w:tcBorders>
          </w:tcPr>
          <w:p>
            <w:pPr>
              <w:jc w:val="center"/>
              <w:ind w:left="286"/>
              <w:spacing w:after="0" w:line="183" w:lineRule="exact"/>
              <w:rPr>
                <w:sz w:val="20"/>
                <w:szCs w:val="20"/>
                <w:color w:val="auto"/>
              </w:rPr>
            </w:pPr>
            <w:r>
              <w:rPr>
                <w:rFonts w:ascii="Times New Roman" w:cs="Times New Roman" w:eastAsia="Times New Roman" w:hAnsi="Times New Roman"/>
                <w:sz w:val="14"/>
                <w:szCs w:val="14"/>
                <w:b w:val="1"/>
                <w:bCs w:val="1"/>
                <w:color w:val="auto"/>
                <w:w w:val="99"/>
              </w:rPr>
              <w:t xml:space="preserve">Total annualized rent </w:t>
            </w:r>
            <w:r>
              <w:rPr>
                <w:rFonts w:ascii="Times New Roman" w:cs="Times New Roman" w:eastAsia="Times New Roman" w:hAnsi="Times New Roman"/>
                <w:sz w:val="21"/>
                <w:szCs w:val="21"/>
                <w:b w:val="1"/>
                <w:bCs w:val="1"/>
                <w:color w:val="auto"/>
                <w:w w:val="99"/>
                <w:vertAlign w:val="superscript"/>
              </w:rPr>
              <w:t>(1)</w:t>
            </w:r>
          </w:p>
        </w:tc>
        <w:tc>
          <w:tcPr>
            <w:tcW w:w="3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820" w:type="dxa"/>
            <w:vAlign w:val="bottom"/>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Northern Virginia</w:t>
            </w:r>
          </w:p>
        </w:tc>
        <w:tc>
          <w:tcPr>
            <w:tcW w:w="500" w:type="dxa"/>
            <w:vAlign w:val="bottom"/>
            <w:shd w:val="clear" w:color="auto" w:fill="CCEEFF"/>
          </w:tcPr>
          <w:p>
            <w:pPr>
              <w:spacing w:after="0"/>
              <w:rPr>
                <w:sz w:val="14"/>
                <w:szCs w:val="14"/>
                <w:color w:val="auto"/>
              </w:rPr>
            </w:pPr>
          </w:p>
        </w:tc>
        <w:tc>
          <w:tcPr>
            <w:tcW w:w="3060" w:type="dxa"/>
            <w:vAlign w:val="bottom"/>
            <w:gridSpan w:val="2"/>
            <w:shd w:val="clear" w:color="auto" w:fill="CCEEFF"/>
          </w:tcPr>
          <w:p>
            <w:pPr>
              <w:jc w:val="right"/>
              <w:ind w:right="142"/>
              <w:spacing w:after="0" w:line="172" w:lineRule="exact"/>
              <w:rPr>
                <w:sz w:val="20"/>
                <w:szCs w:val="20"/>
                <w:color w:val="auto"/>
              </w:rPr>
            </w:pPr>
            <w:r>
              <w:rPr>
                <w:rFonts w:ascii="Times New Roman" w:cs="Times New Roman" w:eastAsia="Times New Roman" w:hAnsi="Times New Roman"/>
                <w:sz w:val="16"/>
                <w:szCs w:val="16"/>
                <w:color w:val="auto"/>
              </w:rPr>
              <w:t>19.6 %</w:t>
            </w:r>
          </w:p>
        </w:tc>
        <w:tc>
          <w:tcPr>
            <w:tcW w:w="0" w:type="dxa"/>
            <w:vAlign w:val="bottom"/>
          </w:tcPr>
          <w:p>
            <w:pPr>
              <w:spacing w:after="0"/>
              <w:rPr>
                <w:sz w:val="1"/>
                <w:szCs w:val="1"/>
                <w:color w:val="auto"/>
              </w:rPr>
            </w:pPr>
          </w:p>
        </w:tc>
      </w:tr>
      <w:tr>
        <w:trPr>
          <w:trHeight w:val="180"/>
        </w:trPr>
        <w:tc>
          <w:tcPr>
            <w:tcW w:w="48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Chicago</w:t>
            </w:r>
          </w:p>
        </w:tc>
        <w:tc>
          <w:tcPr>
            <w:tcW w:w="3560" w:type="dxa"/>
            <w:vAlign w:val="bottom"/>
            <w:gridSpan w:val="3"/>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7.7 %</w:t>
            </w:r>
          </w:p>
        </w:tc>
        <w:tc>
          <w:tcPr>
            <w:tcW w:w="0" w:type="dxa"/>
            <w:vAlign w:val="bottom"/>
          </w:tcPr>
          <w:p>
            <w:pPr>
              <w:spacing w:after="0"/>
              <w:rPr>
                <w:sz w:val="1"/>
                <w:szCs w:val="1"/>
                <w:color w:val="auto"/>
              </w:rPr>
            </w:pPr>
          </w:p>
        </w:tc>
      </w:tr>
      <w:tr>
        <w:trPr>
          <w:trHeight w:val="180"/>
        </w:trPr>
        <w:tc>
          <w:tcPr>
            <w:tcW w:w="48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Frankfurt</w:t>
            </w:r>
          </w:p>
        </w:tc>
        <w:tc>
          <w:tcPr>
            <w:tcW w:w="318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5.9</w:t>
            </w:r>
          </w:p>
        </w:tc>
        <w:tc>
          <w:tcPr>
            <w:tcW w:w="380" w:type="dxa"/>
            <w:vAlign w:val="bottom"/>
            <w:shd w:val="clear" w:color="auto" w:fill="CCEEFF"/>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48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Dallas</w:t>
            </w:r>
          </w:p>
        </w:tc>
        <w:tc>
          <w:tcPr>
            <w:tcW w:w="31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5.3</w:t>
            </w:r>
          </w:p>
        </w:tc>
        <w:tc>
          <w:tcPr>
            <w:tcW w:w="38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48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London</w:t>
            </w:r>
          </w:p>
        </w:tc>
        <w:tc>
          <w:tcPr>
            <w:tcW w:w="3560" w:type="dxa"/>
            <w:vAlign w:val="bottom"/>
            <w:gridSpan w:val="3"/>
            <w:shd w:val="clear" w:color="auto" w:fill="CCEEFF"/>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5.0 %</w:t>
            </w:r>
          </w:p>
        </w:tc>
        <w:tc>
          <w:tcPr>
            <w:tcW w:w="0" w:type="dxa"/>
            <w:vAlign w:val="bottom"/>
          </w:tcPr>
          <w:p>
            <w:pPr>
              <w:spacing w:after="0"/>
              <w:rPr>
                <w:sz w:val="1"/>
                <w:szCs w:val="1"/>
                <w:color w:val="auto"/>
              </w:rPr>
            </w:pPr>
          </w:p>
        </w:tc>
      </w:tr>
      <w:tr>
        <w:trPr>
          <w:trHeight w:val="180"/>
        </w:trPr>
        <w:tc>
          <w:tcPr>
            <w:tcW w:w="48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Singapore</w:t>
            </w:r>
          </w:p>
        </w:tc>
        <w:tc>
          <w:tcPr>
            <w:tcW w:w="3560" w:type="dxa"/>
            <w:vAlign w:val="bottom"/>
            <w:gridSpan w:val="3"/>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4.6 %</w:t>
            </w:r>
          </w:p>
        </w:tc>
        <w:tc>
          <w:tcPr>
            <w:tcW w:w="0" w:type="dxa"/>
            <w:vAlign w:val="bottom"/>
          </w:tcPr>
          <w:p>
            <w:pPr>
              <w:spacing w:after="0"/>
              <w:rPr>
                <w:sz w:val="1"/>
                <w:szCs w:val="1"/>
                <w:color w:val="auto"/>
              </w:rPr>
            </w:pPr>
          </w:p>
        </w:tc>
      </w:tr>
      <w:tr>
        <w:trPr>
          <w:trHeight w:val="180"/>
        </w:trPr>
        <w:tc>
          <w:tcPr>
            <w:tcW w:w="48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New York</w:t>
            </w:r>
          </w:p>
        </w:tc>
        <w:tc>
          <w:tcPr>
            <w:tcW w:w="3560" w:type="dxa"/>
            <w:vAlign w:val="bottom"/>
            <w:gridSpan w:val="3"/>
            <w:shd w:val="clear" w:color="auto" w:fill="CCEEFF"/>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4.4 %</w:t>
            </w:r>
          </w:p>
        </w:tc>
        <w:tc>
          <w:tcPr>
            <w:tcW w:w="0" w:type="dxa"/>
            <w:vAlign w:val="bottom"/>
          </w:tcPr>
          <w:p>
            <w:pPr>
              <w:spacing w:after="0"/>
              <w:rPr>
                <w:sz w:val="1"/>
                <w:szCs w:val="1"/>
                <w:color w:val="auto"/>
              </w:rPr>
            </w:pPr>
          </w:p>
        </w:tc>
      </w:tr>
      <w:tr>
        <w:trPr>
          <w:trHeight w:val="180"/>
        </w:trPr>
        <w:tc>
          <w:tcPr>
            <w:tcW w:w="48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Amsterdam</w:t>
            </w:r>
          </w:p>
        </w:tc>
        <w:tc>
          <w:tcPr>
            <w:tcW w:w="3560" w:type="dxa"/>
            <w:vAlign w:val="bottom"/>
            <w:gridSpan w:val="3"/>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4.0 %</w:t>
            </w:r>
          </w:p>
        </w:tc>
        <w:tc>
          <w:tcPr>
            <w:tcW w:w="0" w:type="dxa"/>
            <w:vAlign w:val="bottom"/>
          </w:tcPr>
          <w:p>
            <w:pPr>
              <w:spacing w:after="0"/>
              <w:rPr>
                <w:sz w:val="1"/>
                <w:szCs w:val="1"/>
                <w:color w:val="auto"/>
              </w:rPr>
            </w:pPr>
          </w:p>
        </w:tc>
      </w:tr>
      <w:tr>
        <w:trPr>
          <w:trHeight w:val="180"/>
        </w:trPr>
        <w:tc>
          <w:tcPr>
            <w:tcW w:w="48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Silicon Valley</w:t>
            </w:r>
          </w:p>
        </w:tc>
        <w:tc>
          <w:tcPr>
            <w:tcW w:w="318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4.0</w:t>
            </w:r>
          </w:p>
        </w:tc>
        <w:tc>
          <w:tcPr>
            <w:tcW w:w="380" w:type="dxa"/>
            <w:vAlign w:val="bottom"/>
            <w:shd w:val="clear" w:color="auto" w:fill="CCEEFF"/>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48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Sao Paulo</w:t>
            </w:r>
          </w:p>
        </w:tc>
        <w:tc>
          <w:tcPr>
            <w:tcW w:w="3560" w:type="dxa"/>
            <w:vAlign w:val="bottom"/>
            <w:gridSpan w:val="3"/>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3.9 %</w:t>
            </w:r>
          </w:p>
        </w:tc>
        <w:tc>
          <w:tcPr>
            <w:tcW w:w="0" w:type="dxa"/>
            <w:vAlign w:val="bottom"/>
          </w:tcPr>
          <w:p>
            <w:pPr>
              <w:spacing w:after="0"/>
              <w:rPr>
                <w:sz w:val="1"/>
                <w:szCs w:val="1"/>
                <w:color w:val="auto"/>
              </w:rPr>
            </w:pPr>
          </w:p>
        </w:tc>
      </w:tr>
      <w:tr>
        <w:trPr>
          <w:trHeight w:val="180"/>
        </w:trPr>
        <w:tc>
          <w:tcPr>
            <w:tcW w:w="48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Portland</w:t>
            </w:r>
          </w:p>
        </w:tc>
        <w:tc>
          <w:tcPr>
            <w:tcW w:w="318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3.4</w:t>
            </w:r>
          </w:p>
        </w:tc>
        <w:tc>
          <w:tcPr>
            <w:tcW w:w="380" w:type="dxa"/>
            <w:vAlign w:val="bottom"/>
            <w:shd w:val="clear" w:color="auto" w:fill="CCEEFF"/>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48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Johannesburg</w:t>
            </w:r>
          </w:p>
        </w:tc>
        <w:tc>
          <w:tcPr>
            <w:tcW w:w="3560" w:type="dxa"/>
            <w:vAlign w:val="bottom"/>
            <w:gridSpan w:val="3"/>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3.2 %</w:t>
            </w:r>
          </w:p>
        </w:tc>
        <w:tc>
          <w:tcPr>
            <w:tcW w:w="0" w:type="dxa"/>
            <w:vAlign w:val="bottom"/>
          </w:tcPr>
          <w:p>
            <w:pPr>
              <w:spacing w:after="0"/>
              <w:rPr>
                <w:sz w:val="1"/>
                <w:szCs w:val="1"/>
                <w:color w:val="auto"/>
              </w:rPr>
            </w:pPr>
          </w:p>
        </w:tc>
      </w:tr>
      <w:tr>
        <w:trPr>
          <w:trHeight w:val="180"/>
        </w:trPr>
        <w:tc>
          <w:tcPr>
            <w:tcW w:w="48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Paris</w:t>
            </w:r>
          </w:p>
        </w:tc>
        <w:tc>
          <w:tcPr>
            <w:tcW w:w="318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2.9</w:t>
            </w:r>
          </w:p>
        </w:tc>
        <w:tc>
          <w:tcPr>
            <w:tcW w:w="380" w:type="dxa"/>
            <w:vAlign w:val="bottom"/>
            <w:shd w:val="clear" w:color="auto" w:fill="CCEEFF"/>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48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Tokyo</w:t>
            </w:r>
          </w:p>
        </w:tc>
        <w:tc>
          <w:tcPr>
            <w:tcW w:w="3560" w:type="dxa"/>
            <w:vAlign w:val="bottom"/>
            <w:gridSpan w:val="3"/>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2.0 %</w:t>
            </w:r>
          </w:p>
        </w:tc>
        <w:tc>
          <w:tcPr>
            <w:tcW w:w="0" w:type="dxa"/>
            <w:vAlign w:val="bottom"/>
          </w:tcPr>
          <w:p>
            <w:pPr>
              <w:spacing w:after="0"/>
              <w:rPr>
                <w:sz w:val="1"/>
                <w:szCs w:val="1"/>
                <w:color w:val="auto"/>
              </w:rPr>
            </w:pPr>
          </w:p>
        </w:tc>
      </w:tr>
      <w:tr>
        <w:trPr>
          <w:trHeight w:val="180"/>
        </w:trPr>
        <w:tc>
          <w:tcPr>
            <w:tcW w:w="48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Phoenix</w:t>
            </w:r>
          </w:p>
        </w:tc>
        <w:tc>
          <w:tcPr>
            <w:tcW w:w="3560" w:type="dxa"/>
            <w:vAlign w:val="bottom"/>
            <w:gridSpan w:val="3"/>
            <w:shd w:val="clear" w:color="auto" w:fill="CCEEFF"/>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1.7 %</w:t>
            </w:r>
          </w:p>
        </w:tc>
        <w:tc>
          <w:tcPr>
            <w:tcW w:w="0" w:type="dxa"/>
            <w:vAlign w:val="bottom"/>
          </w:tcPr>
          <w:p>
            <w:pPr>
              <w:spacing w:after="0"/>
              <w:rPr>
                <w:sz w:val="1"/>
                <w:szCs w:val="1"/>
                <w:color w:val="auto"/>
              </w:rPr>
            </w:pPr>
          </w:p>
        </w:tc>
      </w:tr>
      <w:tr>
        <w:trPr>
          <w:trHeight w:val="180"/>
        </w:trPr>
        <w:tc>
          <w:tcPr>
            <w:tcW w:w="48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Other</w:t>
            </w:r>
          </w:p>
        </w:tc>
        <w:tc>
          <w:tcPr>
            <w:tcW w:w="3560" w:type="dxa"/>
            <w:vAlign w:val="bottom"/>
            <w:gridSpan w:val="3"/>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22.4 %</w:t>
            </w:r>
          </w:p>
        </w:tc>
        <w:tc>
          <w:tcPr>
            <w:tcW w:w="0" w:type="dxa"/>
            <w:vAlign w:val="bottom"/>
          </w:tcPr>
          <w:p>
            <w:pPr>
              <w:spacing w:after="0"/>
              <w:rPr>
                <w:sz w:val="1"/>
                <w:szCs w:val="1"/>
                <w:color w:val="auto"/>
              </w:rPr>
            </w:pPr>
          </w:p>
        </w:tc>
      </w:tr>
      <w:tr>
        <w:trPr>
          <w:trHeight w:val="172"/>
        </w:trPr>
        <w:tc>
          <w:tcPr>
            <w:tcW w:w="4820" w:type="dxa"/>
            <w:vAlign w:val="bottom"/>
            <w:tcBorders>
              <w:top w:val="single" w:sz="8" w:color="CCEEFF"/>
              <w:bottom w:val="single" w:sz="8" w:color="CCEEFF"/>
            </w:tcBorders>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Total</w:t>
            </w:r>
          </w:p>
        </w:tc>
        <w:tc>
          <w:tcPr>
            <w:tcW w:w="500" w:type="dxa"/>
            <w:vAlign w:val="bottom"/>
            <w:tcBorders>
              <w:top w:val="single" w:sz="8" w:color="CCEEFF"/>
              <w:bottom w:val="single" w:sz="8" w:color="CCEEFF"/>
            </w:tcBorders>
            <w:shd w:val="clear" w:color="auto" w:fill="CCEEFF"/>
          </w:tcPr>
          <w:p>
            <w:pPr>
              <w:spacing w:after="0"/>
              <w:rPr>
                <w:sz w:val="14"/>
                <w:szCs w:val="14"/>
                <w:color w:val="auto"/>
              </w:rPr>
            </w:pPr>
          </w:p>
        </w:tc>
        <w:tc>
          <w:tcPr>
            <w:tcW w:w="3060" w:type="dxa"/>
            <w:vAlign w:val="bottom"/>
            <w:tcBorders>
              <w:top w:val="single" w:sz="8" w:color="auto"/>
              <w:bottom w:val="single" w:sz="8" w:color="auto"/>
            </w:tcBorders>
            <w:gridSpan w:val="2"/>
            <w:shd w:val="clear" w:color="auto" w:fill="CCEEFF"/>
          </w:tcPr>
          <w:p>
            <w:pPr>
              <w:jc w:val="right"/>
              <w:ind w:right="142"/>
              <w:spacing w:after="0" w:line="172" w:lineRule="exact"/>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2080" w:type="dxa"/>
            <w:vAlign w:val="bottom"/>
            <w:tcBorders>
              <w:bottom w:val="single" w:sz="8" w:color="auto"/>
            </w:tcBorders>
          </w:tcPr>
          <w:p>
            <w:pPr>
              <w:spacing w:after="0"/>
              <w:rPr>
                <w:sz w:val="6"/>
                <w:szCs w:val="6"/>
                <w:color w:val="auto"/>
              </w:rPr>
            </w:pPr>
          </w:p>
        </w:tc>
        <w:tc>
          <w:tcPr>
            <w:tcW w:w="2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80" w:type="dxa"/>
            <w:vAlign w:val="bottom"/>
          </w:tcPr>
          <w:p>
            <w:pPr>
              <w:spacing w:after="0"/>
              <w:rPr>
                <w:sz w:val="6"/>
                <w:szCs w:val="6"/>
                <w:color w:val="auto"/>
              </w:rPr>
            </w:pPr>
          </w:p>
        </w:tc>
        <w:tc>
          <w:tcPr>
            <w:tcW w:w="3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600" w:hanging="282"/>
        <w:spacing w:after="0"/>
        <w:tabs>
          <w:tab w:leader="none" w:pos="6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Annualized rent is monthly contractual rent (defined as cash base rent before abatements) under existing leases as of</w:t>
      </w:r>
    </w:p>
    <w:p>
      <w:pPr>
        <w:spacing w:after="0" w:line="14" w:lineRule="exact"/>
        <w:rPr>
          <w:rFonts w:ascii="Times New Roman" w:cs="Times New Roman" w:eastAsia="Times New Roman" w:hAnsi="Times New Roman"/>
          <w:sz w:val="16"/>
          <w:szCs w:val="16"/>
          <w:color w:val="auto"/>
        </w:rPr>
      </w:pPr>
    </w:p>
    <w:p>
      <w:pPr>
        <w:ind w:left="600" w:right="340"/>
        <w:spacing w:after="0" w:line="30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December 31, 2024 multiplied by 12. Includes consolidated portfolio and unconsolidated entities at the entities’ 100% ownership level. The aggregate amount of abatements for the year ended December 31, 2024 was approximately $44.3 million.</w:t>
      </w:r>
    </w:p>
    <w:p>
      <w:pPr>
        <w:spacing w:after="0" w:line="126" w:lineRule="exact"/>
        <w:rPr>
          <w:sz w:val="20"/>
          <w:szCs w:val="20"/>
          <w:color w:val="auto"/>
        </w:rPr>
      </w:pPr>
    </w:p>
    <w:p>
      <w:pPr>
        <w:ind w:left="320" w:right="420"/>
        <w:spacing w:after="0" w:line="239" w:lineRule="auto"/>
        <w:rPr>
          <w:sz w:val="20"/>
          <w:szCs w:val="20"/>
          <w:color w:val="auto"/>
        </w:rPr>
      </w:pPr>
      <w:r>
        <w:rPr>
          <w:rFonts w:ascii="Times New Roman" w:cs="Times New Roman" w:eastAsia="Times New Roman" w:hAnsi="Times New Roman"/>
          <w:sz w:val="16"/>
          <w:szCs w:val="16"/>
          <w:color w:val="auto"/>
        </w:rPr>
        <w:t>Some of these areas have experienced downturns in recent years. We depend upon the local economic conditions in these areas, including local real estate conditions, and our operations, revenue and cash available for distribution could be materially adversely affected by a downturn in local economic conditions in these areas. Our operations may also be affected if too many competing properties are built in any of these areas or supply otherwise increases or exceeds demand. We cannot assure you that these locations will grow or will remain favorable to data center investments or operations. In addition, we are currently developing data centers in certain of these metropolitan areas. Any negative changes in real estate, technology or economic conditions in these metropolitan areas in particular could negatively impact our performance.</w:t>
      </w:r>
    </w:p>
    <w:p>
      <w:pPr>
        <w:spacing w:after="0" w:line="168" w:lineRule="exact"/>
        <w:rPr>
          <w:sz w:val="20"/>
          <w:szCs w:val="20"/>
          <w:color w:val="auto"/>
        </w:rPr>
      </w:pPr>
    </w:p>
    <w:p>
      <w:pPr>
        <w:ind w:left="320" w:right="600"/>
        <w:spacing w:after="0" w:line="262" w:lineRule="auto"/>
        <w:rPr>
          <w:sz w:val="20"/>
          <w:szCs w:val="20"/>
          <w:color w:val="auto"/>
        </w:rPr>
      </w:pPr>
      <w:r>
        <w:rPr>
          <w:rFonts w:ascii="Times New Roman" w:cs="Times New Roman" w:eastAsia="Times New Roman" w:hAnsi="Times New Roman"/>
          <w:sz w:val="16"/>
          <w:szCs w:val="16"/>
          <w:b w:val="1"/>
          <w:bCs w:val="1"/>
          <w:color w:val="auto"/>
        </w:rPr>
        <w:t>Our business and operations, and our customers, suppliers and business partners may be adversely affected by epidemics, pandemics or other outbreaks.</w:t>
      </w:r>
    </w:p>
    <w:p>
      <w:pPr>
        <w:spacing w:after="0" w:line="56" w:lineRule="exact"/>
        <w:rPr>
          <w:sz w:val="20"/>
          <w:szCs w:val="20"/>
          <w:color w:val="auto"/>
        </w:rPr>
      </w:pPr>
    </w:p>
    <w:p>
      <w:pPr>
        <w:ind w:left="320" w:right="320"/>
        <w:spacing w:after="0" w:line="276" w:lineRule="auto"/>
        <w:rPr>
          <w:sz w:val="20"/>
          <w:szCs w:val="20"/>
          <w:color w:val="auto"/>
        </w:rPr>
      </w:pPr>
      <w:r>
        <w:rPr>
          <w:rFonts w:ascii="Times New Roman" w:cs="Times New Roman" w:eastAsia="Times New Roman" w:hAnsi="Times New Roman"/>
          <w:sz w:val="14"/>
          <w:szCs w:val="14"/>
          <w:color w:val="auto"/>
        </w:rPr>
        <w:t>Epidemics, pandemics or other outbreaks of an illness, disease or virus that affect countries or regions in which we or our customers, suppliers or business partners operate, and actions taken to contain or prevent their further spread, may have a material and adverse impact on general commercial activity and on our financial condition, results of operations, liquidity and creditworthiness. Epidemics, pandemics or other outbreaks of an illness, disease or virus could result in significant governmental measures being implemented to control the spread of such illness, disease or virus, including quarantines, travel restrictions, manufacturing restrictions, declarations of states of emergency, business shutdowns, prioritization and allocation of resources, and restrictions on the movement of our employees and those of our customers, suppliers and business partners on which we rely, which could adversely affect our ability and their respective abilities to adequately manage our respective businesses. Risks related to epidemics, pandemics or other outbreaks of an illness, disease or virus could also lead to the complete or partial closure of one or more of our offices or properties or our</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8" w:name="page29"/>
    <w:bookmarkEnd w:id="28"/>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6" w:lineRule="exact"/>
        <w:rPr>
          <w:sz w:val="20"/>
          <w:szCs w:val="20"/>
          <w:color w:val="auto"/>
        </w:rPr>
      </w:pPr>
    </w:p>
    <w:p>
      <w:pPr>
        <w:jc w:val="both"/>
        <w:ind w:left="320" w:right="300"/>
        <w:spacing w:after="0" w:line="247" w:lineRule="auto"/>
        <w:rPr>
          <w:sz w:val="20"/>
          <w:szCs w:val="20"/>
          <w:color w:val="auto"/>
        </w:rPr>
      </w:pPr>
      <w:r>
        <w:rPr>
          <w:rFonts w:ascii="Times New Roman" w:cs="Times New Roman" w:eastAsia="Times New Roman" w:hAnsi="Times New Roman"/>
          <w:sz w:val="16"/>
          <w:szCs w:val="16"/>
          <w:color w:val="auto"/>
        </w:rPr>
        <w:t>customers’, suppliers’ or business partners’ businesses, or otherwise result in significant disruptions to our business and operations or theirs. Such events could materially and adversely impact our operations and the rental revenue we generate from our agreements with our customers or could result in defaults by our customers.</w:t>
      </w:r>
    </w:p>
    <w:p>
      <w:pPr>
        <w:spacing w:after="0" w:line="68" w:lineRule="exact"/>
        <w:rPr>
          <w:sz w:val="20"/>
          <w:szCs w:val="20"/>
          <w:color w:val="auto"/>
        </w:rPr>
      </w:pPr>
    </w:p>
    <w:p>
      <w:pPr>
        <w:ind w:left="320" w:right="540"/>
        <w:spacing w:after="0" w:line="238" w:lineRule="auto"/>
        <w:rPr>
          <w:sz w:val="20"/>
          <w:szCs w:val="20"/>
          <w:color w:val="auto"/>
        </w:rPr>
      </w:pPr>
      <w:r>
        <w:rPr>
          <w:rFonts w:ascii="Times New Roman" w:cs="Times New Roman" w:eastAsia="Times New Roman" w:hAnsi="Times New Roman"/>
          <w:sz w:val="16"/>
          <w:szCs w:val="16"/>
          <w:color w:val="auto"/>
        </w:rPr>
        <w:t>We cannot predict the full extent of the impact that the epidemics, pandemics and other global events will have on our customers, suppliers and other business partners; however, any material effect on these parties could adversely impact us, our future financial condition, results of operations and cash flows. The full extent to which epidemics, pandemics and the various responses to such events impact our business, operations and financial results will depend on numerous evolving factors that we may not be able to accurately predict, including: the duration and scope of such event; governmental, business and individuals’ actions that have been and continue to be taken in response to such event; the availability of and cost to access the capital markets; the effect on our customers and customer demand for and ability to pay for our services; the impact on our development projects; and disruptions or restrictions on our employees’ ability to work and travel.</w:t>
      </w:r>
    </w:p>
    <w:p>
      <w:pPr>
        <w:spacing w:after="0" w:line="75" w:lineRule="exact"/>
        <w:rPr>
          <w:sz w:val="20"/>
          <w:szCs w:val="20"/>
          <w:color w:val="auto"/>
        </w:rPr>
      </w:pPr>
    </w:p>
    <w:p>
      <w:pPr>
        <w:ind w:left="320" w:right="720"/>
        <w:spacing w:after="0" w:line="262" w:lineRule="auto"/>
        <w:rPr>
          <w:sz w:val="20"/>
          <w:szCs w:val="20"/>
          <w:color w:val="auto"/>
        </w:rPr>
      </w:pPr>
      <w:r>
        <w:rPr>
          <w:rFonts w:ascii="Times New Roman" w:cs="Times New Roman" w:eastAsia="Times New Roman" w:hAnsi="Times New Roman"/>
          <w:sz w:val="16"/>
          <w:szCs w:val="16"/>
          <w:b w:val="1"/>
          <w:bCs w:val="1"/>
          <w:color w:val="auto"/>
        </w:rPr>
        <w:t>We lease or sublease certain of our data center space from third parties and the ability to retain these leases or subleases could be a significant risk to our ongoing operations.</w:t>
      </w:r>
    </w:p>
    <w:p>
      <w:pPr>
        <w:spacing w:after="0" w:line="56" w:lineRule="exact"/>
        <w:rPr>
          <w:sz w:val="20"/>
          <w:szCs w:val="20"/>
          <w:color w:val="auto"/>
        </w:rPr>
      </w:pPr>
    </w:p>
    <w:p>
      <w:pPr>
        <w:ind w:left="320" w:right="340"/>
        <w:spacing w:after="0" w:line="237" w:lineRule="auto"/>
        <w:rPr>
          <w:sz w:val="20"/>
          <w:szCs w:val="20"/>
          <w:color w:val="auto"/>
        </w:rPr>
      </w:pPr>
      <w:r>
        <w:rPr>
          <w:rFonts w:ascii="Times New Roman" w:cs="Times New Roman" w:eastAsia="Times New Roman" w:hAnsi="Times New Roman"/>
          <w:sz w:val="16"/>
          <w:szCs w:val="16"/>
          <w:color w:val="auto"/>
        </w:rPr>
        <w:t>We do not own all the buildings in our portfolio. These leased buildings accounted for approximately 14% of our total revenue for the year ended December 31, 2024. In addition, we may acquire additional leased data center space or businesses that lease facilities instead of owning them. Our business could be harmed if we are unable to renew the leases for these data centers on favorable terms or at all. Additionally, in several of our smaller facilities we sublease our space, and our rights under these subleases are dependent on our sublandlord retaining its rights under the prime lease. When the initial terms of our existing leases expire, we generally have the right to extend the terms of our leases for one or more renewal periods, subject to, in the case of several of our subleases, our sublandlord renewing its term under the prime lease. If renewal rates are less favorable than those we currently have, we may be required to increase revenues within existing data centers to offset such increase in lease payments. Failure to increase revenues to sufficiently offset these projected higher costs could adversely impact our operating income. Upon the end of our renewal options, we would have to renegotiate our lease terms with the applicable landlords.</w:t>
      </w:r>
    </w:p>
    <w:p>
      <w:pPr>
        <w:spacing w:after="0" w:line="80" w:lineRule="exact"/>
        <w:rPr>
          <w:sz w:val="20"/>
          <w:szCs w:val="20"/>
          <w:color w:val="auto"/>
        </w:rPr>
      </w:pPr>
    </w:p>
    <w:p>
      <w:pPr>
        <w:ind w:left="320" w:right="460"/>
        <w:spacing w:after="0" w:line="241" w:lineRule="auto"/>
        <w:rPr>
          <w:sz w:val="20"/>
          <w:szCs w:val="20"/>
          <w:color w:val="auto"/>
        </w:rPr>
      </w:pPr>
      <w:r>
        <w:rPr>
          <w:rFonts w:ascii="Times New Roman" w:cs="Times New Roman" w:eastAsia="Times New Roman" w:hAnsi="Times New Roman"/>
          <w:sz w:val="16"/>
          <w:szCs w:val="16"/>
          <w:color w:val="auto"/>
        </w:rPr>
        <w:t>Additionally, if we are unable to renew the lease at any of our data centers, we could lose customers due to the disruptions in their operations caused by the relocation. We could also lose those customers that choose our data centers based on their locations. The costs of relocating data center infrastructure equipment, such as generators, power distribution units and cooling units, to different data centers could be prohibitive and, as such, we could lose the value of this equipment. For these reasons, any lease that cannot be renewed could adversely affect our business, financial condition and results of operations.</w:t>
      </w:r>
    </w:p>
    <w:p>
      <w:pPr>
        <w:spacing w:after="0" w:line="71" w:lineRule="exact"/>
        <w:rPr>
          <w:sz w:val="20"/>
          <w:szCs w:val="20"/>
          <w:color w:val="auto"/>
        </w:rPr>
      </w:pPr>
    </w:p>
    <w:p>
      <w:pPr>
        <w:ind w:left="320" w:right="420"/>
        <w:spacing w:after="0" w:line="262" w:lineRule="auto"/>
        <w:rPr>
          <w:sz w:val="20"/>
          <w:szCs w:val="20"/>
          <w:color w:val="auto"/>
        </w:rPr>
      </w:pPr>
      <w:r>
        <w:rPr>
          <w:rFonts w:ascii="Times New Roman" w:cs="Times New Roman" w:eastAsia="Times New Roman" w:hAnsi="Times New Roman"/>
          <w:sz w:val="16"/>
          <w:szCs w:val="16"/>
          <w:b w:val="1"/>
          <w:bCs w:val="1"/>
          <w:color w:val="auto"/>
        </w:rPr>
        <w:t>We and our customers may experience supply chain or procurement disruptions, or increased supply chain costs, which may lead to delays.</w:t>
      </w:r>
    </w:p>
    <w:p>
      <w:pPr>
        <w:spacing w:after="0" w:line="56" w:lineRule="exact"/>
        <w:rPr>
          <w:sz w:val="20"/>
          <w:szCs w:val="20"/>
          <w:color w:val="auto"/>
        </w:rPr>
      </w:pPr>
    </w:p>
    <w:p>
      <w:pPr>
        <w:ind w:left="320" w:right="360"/>
        <w:spacing w:after="0" w:line="236" w:lineRule="auto"/>
        <w:rPr>
          <w:sz w:val="20"/>
          <w:szCs w:val="20"/>
          <w:color w:val="auto"/>
        </w:rPr>
      </w:pPr>
      <w:r>
        <w:rPr>
          <w:rFonts w:ascii="Times New Roman" w:cs="Times New Roman" w:eastAsia="Times New Roman" w:hAnsi="Times New Roman"/>
          <w:sz w:val="16"/>
          <w:szCs w:val="16"/>
          <w:color w:val="auto"/>
        </w:rPr>
        <w:t>The development of our data centers requires the timely delivery of required equipment and materials. We rely on third parties to provide the equipment, materials and services needed for our construction and development needs. Our global supply chain and development activities could be impacted by disruptions, such as political events, international trade disputes and tariffs, war, terrorism, natural disasters, public health issues, industrial accidents, national security concerns, pandemics and other business interruptions, which could impact our ability to meet delivery timelines, including delivery timelines to our customers. These disruptions could also lead to delays, reputational damage, potential penalties that we may be required to pay and potential terminations of agreements by our customers. If any such delay or disruption were to occur, it could have an adverse effect on our liquidity and financial condition. Changes in the timing or cost of procuring materials, equipment and services used in our construction and development programs could have an adverse effect on our results of operations. Similarly, our customers may experience supply chain or procurement disruptions, constraints and increased costs, which may impact their ability to deploy in our facilities, which could have a material adverse impact on our business and financial condition. During the ongoing global supply chain constraints, we have actively monitored our suppliers and remain in frequent communication with customers, contractors and suppliers. We have proactively managed our supply chain, and we believe the required equipment will continue to be delivered to complete our ongoing development activities. Although to date, we have been able to manage through disruptions in our supply chain and procurement process due to the high demand and other global events, continuing disruptions could have a material adverse impact on our business and financial condition. However, the full extent and impact of global</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9" w:name="page30"/>
    <w:bookmarkEnd w:id="29"/>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6" w:lineRule="exact"/>
        <w:rPr>
          <w:sz w:val="20"/>
          <w:szCs w:val="20"/>
          <w:color w:val="auto"/>
        </w:rPr>
      </w:pPr>
    </w:p>
    <w:p>
      <w:pPr>
        <w:ind w:left="320" w:right="380"/>
        <w:spacing w:after="0" w:line="241" w:lineRule="auto"/>
        <w:rPr>
          <w:sz w:val="20"/>
          <w:szCs w:val="20"/>
          <w:color w:val="auto"/>
        </w:rPr>
      </w:pPr>
      <w:r>
        <w:rPr>
          <w:rFonts w:ascii="Times New Roman" w:cs="Times New Roman" w:eastAsia="Times New Roman" w:hAnsi="Times New Roman"/>
          <w:sz w:val="16"/>
          <w:szCs w:val="16"/>
          <w:color w:val="auto"/>
        </w:rPr>
        <w:t>supply chain constraints on our future supply chain and procurement process cannot be reasonably estimated at this time and it could have a material adverse impact on our business and financial condition. In addition, the ongoing military conflict between Russia and Ukraine, as well as the conflict in the Middle East and other potential global conflicts, could lead to market disruptions, including significant volatility in commodity prices, credit and capital markets, an increase in cyber security incidents as well as supply chain disruptions.</w:t>
      </w:r>
    </w:p>
    <w:p>
      <w:pPr>
        <w:spacing w:after="0" w:line="71" w:lineRule="exact"/>
        <w:rPr>
          <w:sz w:val="20"/>
          <w:szCs w:val="20"/>
          <w:color w:val="auto"/>
        </w:rPr>
      </w:pPr>
    </w:p>
    <w:p>
      <w:pPr>
        <w:ind w:left="320" w:right="560"/>
        <w:spacing w:after="0" w:line="262" w:lineRule="auto"/>
        <w:rPr>
          <w:sz w:val="20"/>
          <w:szCs w:val="20"/>
          <w:color w:val="auto"/>
        </w:rPr>
      </w:pPr>
      <w:r>
        <w:rPr>
          <w:rFonts w:ascii="Times New Roman" w:cs="Times New Roman" w:eastAsia="Times New Roman" w:hAnsi="Times New Roman"/>
          <w:sz w:val="16"/>
          <w:szCs w:val="16"/>
          <w:b w:val="1"/>
          <w:bCs w:val="1"/>
          <w:color w:val="auto"/>
        </w:rPr>
        <w:t>We may not be able to adapt to changing technologies and customer requirements, and our data center infrastructure may become obsolete.</w:t>
      </w:r>
    </w:p>
    <w:p>
      <w:pPr>
        <w:spacing w:after="0" w:line="56" w:lineRule="exact"/>
        <w:rPr>
          <w:sz w:val="20"/>
          <w:szCs w:val="20"/>
          <w:color w:val="auto"/>
        </w:rPr>
      </w:pPr>
    </w:p>
    <w:p>
      <w:pPr>
        <w:ind w:left="320" w:right="340"/>
        <w:spacing w:after="0" w:line="275" w:lineRule="auto"/>
        <w:rPr>
          <w:sz w:val="20"/>
          <w:szCs w:val="20"/>
          <w:color w:val="auto"/>
        </w:rPr>
      </w:pPr>
      <w:r>
        <w:rPr>
          <w:rFonts w:ascii="Times New Roman" w:cs="Times New Roman" w:eastAsia="Times New Roman" w:hAnsi="Times New Roman"/>
          <w:sz w:val="14"/>
          <w:szCs w:val="14"/>
          <w:color w:val="auto"/>
        </w:rPr>
        <w:t>The technology industry generally and specific industries in which certain of our customers operate are characterized by rapidly changing technology, customer requirements and industry standards. New systems to deliver power to or eliminate heat in data centers or the development of new server technology that does not require the levels of critical load and heat removal that our facilities are designed to provide and could be run less expensively on a different platform could make our data center infrastructure obsolete. Our power and cooling systems are difficult and expensive to upgrade, and we may not be able to efficiently upgrade or change these systems to meet new demands without incurring significant costs that we may not be able to pass on to our customers which could adversely impact our business, financial condition and results of operations. In addition, the infrastructure that connects our data centers to the Internet and other external networks may become insufficient, including with respect to latency, reliability and connectivity. We may not be able to adapt to changing technologies or meet customer demands for new processes or technologies in a timely and cost-effective manner, if at all, which would adversely impact our ability to sustain and grow our business.</w:t>
      </w:r>
    </w:p>
    <w:p>
      <w:pPr>
        <w:spacing w:after="0" w:line="236" w:lineRule="exact"/>
        <w:rPr>
          <w:sz w:val="20"/>
          <w:szCs w:val="20"/>
          <w:color w:val="auto"/>
        </w:rPr>
      </w:pPr>
    </w:p>
    <w:p>
      <w:pPr>
        <w:ind w:left="320" w:right="360"/>
        <w:spacing w:after="0" w:line="237" w:lineRule="auto"/>
        <w:rPr>
          <w:sz w:val="20"/>
          <w:szCs w:val="20"/>
          <w:color w:val="auto"/>
        </w:rPr>
      </w:pPr>
      <w:r>
        <w:rPr>
          <w:rFonts w:ascii="Times New Roman" w:cs="Times New Roman" w:eastAsia="Times New Roman" w:hAnsi="Times New Roman"/>
          <w:sz w:val="16"/>
          <w:szCs w:val="16"/>
          <w:color w:val="auto"/>
        </w:rPr>
        <w:t>Further, our inability to adapt to changing customer requirements may make our data centers obsolete or unmarketable to such customers. Some of our customers operate at significant scale across numerous data center facilities and have designed cloud and computing networks with redundancies and fail-over capabilities across these facilities, which enhances the resiliency of their networks and applications. As a result, these customers may realize cost benefits by locating their data center operations in facilities with less electrical or mechanical infrastructure redundancy than is found in our existing data center facilities. Additionally, some of our customers have begun to operate their data centers using a wider range of humidity levels and at temperatures that are higher than servers customarily have operated at in the past, all of which may result in energy cost savings for these customers. We may not be able to operate our existing data centers under these environmental conditions, particularly in multi -tenant facilities with other customers who are not willing to operate under these conditions, and our data centers could be at a competitive disadvantage to facilities that satisfy such requirements. Because we may not be able to modify the redundancy levels or environmental systems of our existing data centers cost effectively, these or other changes in customer requirements could have a material adverse effect on our business, results of operations and financial condition.</w:t>
      </w:r>
    </w:p>
    <w:p>
      <w:pPr>
        <w:spacing w:after="0" w:line="76" w:lineRule="exact"/>
        <w:rPr>
          <w:sz w:val="20"/>
          <w:szCs w:val="20"/>
          <w:color w:val="auto"/>
        </w:rPr>
      </w:pPr>
    </w:p>
    <w:p>
      <w:pPr>
        <w:ind w:left="320" w:right="340"/>
        <w:spacing w:after="0" w:line="241" w:lineRule="auto"/>
        <w:rPr>
          <w:sz w:val="20"/>
          <w:szCs w:val="20"/>
          <w:color w:val="auto"/>
        </w:rPr>
      </w:pPr>
      <w:r>
        <w:rPr>
          <w:rFonts w:ascii="Times New Roman" w:cs="Times New Roman" w:eastAsia="Times New Roman" w:hAnsi="Times New Roman"/>
          <w:sz w:val="16"/>
          <w:szCs w:val="16"/>
          <w:color w:val="auto"/>
        </w:rPr>
        <w:t>Additionally, due to regulations that apply to our customers as well as industry standards, such as ISO and SOC certifications which customers may deem desirable, they may seek specific requirements and certifications from their data centers that we are unable to provide. If new or different regulations or standards are adopted or such extra requirements are demanded by our customers, we could lose some customers or be unable to attract new customers in certain industries, which could materially and adversely affect our operations.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30" w:name="page31"/>
    <w:bookmarkEnd w:id="30"/>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ind w:left="320" w:right="1080"/>
        <w:spacing w:after="0" w:line="262" w:lineRule="auto"/>
        <w:rPr>
          <w:sz w:val="20"/>
          <w:szCs w:val="20"/>
          <w:color w:val="auto"/>
        </w:rPr>
      </w:pPr>
      <w:r>
        <w:rPr>
          <w:rFonts w:ascii="Times New Roman" w:cs="Times New Roman" w:eastAsia="Times New Roman" w:hAnsi="Times New Roman"/>
          <w:sz w:val="16"/>
          <w:szCs w:val="16"/>
          <w:b w:val="1"/>
          <w:bCs w:val="1"/>
          <w:color w:val="auto"/>
        </w:rPr>
        <w:t>We depend on third parties to provide network connectivity to the customers in our data centers and any delays or disruptions in connectivity may materially adversely affect our operating results and cash flow.</w:t>
      </w:r>
    </w:p>
    <w:p>
      <w:pPr>
        <w:spacing w:after="0" w:line="56" w:lineRule="exact"/>
        <w:rPr>
          <w:sz w:val="20"/>
          <w:szCs w:val="20"/>
          <w:color w:val="auto"/>
        </w:rPr>
      </w:pPr>
    </w:p>
    <w:p>
      <w:pPr>
        <w:ind w:left="320" w:right="360"/>
        <w:spacing w:after="0" w:line="278" w:lineRule="auto"/>
        <w:rPr>
          <w:sz w:val="20"/>
          <w:szCs w:val="20"/>
          <w:color w:val="auto"/>
        </w:rPr>
      </w:pPr>
      <w:r>
        <w:rPr>
          <w:rFonts w:ascii="Times New Roman" w:cs="Times New Roman" w:eastAsia="Times New Roman" w:hAnsi="Times New Roman"/>
          <w:sz w:val="14"/>
          <w:szCs w:val="14"/>
          <w:color w:val="auto"/>
        </w:rPr>
        <w:t>We are not a telecommunications carrier. Although our customers generally are responsible for providing their own network connectivity, we still depend upon the presence of telecommunications carriers’ fiber networks serving our data centers in order to attract and retain customers. We believe that the availability of carrier capacity will directly affect our ability to achieve our projected results. Any carrier may elect not to offer its services within our data centers. Any carrier that has decided to provide network connectivity to our data centers may not continue to do so for any period of time. Further, some carriers are experiencing business difficulties or have announced consolidations. As a result, some carriers may be forced to downsize or terminate connectivity within our data centers, which could have an adverse effect on the business of our customers and, in turn, our own operating results.</w:t>
      </w:r>
    </w:p>
    <w:p>
      <w:pPr>
        <w:spacing w:after="0" w:line="51" w:lineRule="exact"/>
        <w:rPr>
          <w:sz w:val="20"/>
          <w:szCs w:val="20"/>
          <w:color w:val="auto"/>
        </w:rPr>
      </w:pPr>
    </w:p>
    <w:p>
      <w:pPr>
        <w:ind w:left="320" w:right="340"/>
        <w:spacing w:after="0" w:line="238" w:lineRule="auto"/>
        <w:rPr>
          <w:sz w:val="20"/>
          <w:szCs w:val="20"/>
          <w:color w:val="auto"/>
        </w:rPr>
      </w:pPr>
      <w:r>
        <w:rPr>
          <w:rFonts w:ascii="Times New Roman" w:cs="Times New Roman" w:eastAsia="Times New Roman" w:hAnsi="Times New Roman"/>
          <w:sz w:val="16"/>
          <w:szCs w:val="16"/>
          <w:color w:val="auto"/>
        </w:rPr>
        <w:t>Our data centers may require construction and operation of a sophisticated redundant fiber network. The construction required to connect multiple carrier facilities to our data centers is complex and involves factors outside of our control, including regulatory requirements and the availability of construction resources. We have obtained the right to use network resources owned by other companies, including rights to use dark fiber, in order to attract telecommunications carriers and customers to our portfolio. If the establishment of highly diverse network connectivity to our data centers does not occur, is materially delayed or is discontinued, or is subject to failure, our operating results and cash flow may be materially adversely affected. Additionally, any hardware or fiber failures on this network may result in significant loss of connectivity to our data centers. This could negatively affect our ability to attract new customers or retain existing customers, which could have an adverse effect on our business, financial condition and results of operations.</w:t>
      </w:r>
    </w:p>
    <w:p>
      <w:pPr>
        <w:spacing w:after="0" w:line="72" w:lineRule="exact"/>
        <w:rPr>
          <w:sz w:val="20"/>
          <w:szCs w:val="20"/>
          <w:color w:val="auto"/>
        </w:rPr>
      </w:pPr>
    </w:p>
    <w:p>
      <w:pPr>
        <w:ind w:left="320" w:right="500"/>
        <w:spacing w:after="0" w:line="248" w:lineRule="auto"/>
        <w:rPr>
          <w:sz w:val="20"/>
          <w:szCs w:val="20"/>
          <w:color w:val="auto"/>
        </w:rPr>
      </w:pPr>
      <w:r>
        <w:rPr>
          <w:rFonts w:ascii="Times New Roman" w:cs="Times New Roman" w:eastAsia="Times New Roman" w:hAnsi="Times New Roman"/>
          <w:sz w:val="16"/>
          <w:szCs w:val="16"/>
          <w:b w:val="1"/>
          <w:bCs w:val="1"/>
          <w:color w:val="auto"/>
        </w:rPr>
        <w:t>Our international activities, including acquisition, ownership and operation of data centers located outside of the United States, subject us to risks different than those we face in the United States and we may not be able to effectively manage our international business.</w:t>
      </w:r>
    </w:p>
    <w:p>
      <w:pPr>
        <w:spacing w:after="0" w:line="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Our portfolio included 187 data centers, including 56 held in unconsolidated entities, located outside of the United States as</w:t>
      </w:r>
    </w:p>
    <w:p>
      <w:pPr>
        <w:spacing w:after="0" w:line="14" w:lineRule="exact"/>
        <w:rPr>
          <w:sz w:val="20"/>
          <w:szCs w:val="20"/>
          <w:color w:val="auto"/>
        </w:rPr>
      </w:pPr>
    </w:p>
    <w:p>
      <w:pPr>
        <w:ind w:left="320" w:right="440"/>
        <w:spacing w:after="0" w:line="238" w:lineRule="auto"/>
        <w:rPr>
          <w:sz w:val="20"/>
          <w:szCs w:val="20"/>
          <w:color w:val="auto"/>
        </w:rPr>
      </w:pPr>
      <w:r>
        <w:rPr>
          <w:rFonts w:ascii="Times New Roman" w:cs="Times New Roman" w:eastAsia="Times New Roman" w:hAnsi="Times New Roman"/>
          <w:sz w:val="16"/>
          <w:szCs w:val="16"/>
          <w:color w:val="auto"/>
        </w:rPr>
        <w:t>of December 31, 2024. We have acquired and developed, and may continue to acquire and develop, and operate data centers outside the United States.</w:t>
      </w:r>
    </w:p>
    <w:p>
      <w:pPr>
        <w:spacing w:after="0" w:line="73" w:lineRule="exact"/>
        <w:rPr>
          <w:sz w:val="20"/>
          <w:szCs w:val="20"/>
          <w:color w:val="auto"/>
        </w:rPr>
      </w:pPr>
    </w:p>
    <w:p>
      <w:pPr>
        <w:ind w:left="320" w:right="340"/>
        <w:spacing w:after="0" w:line="238" w:lineRule="auto"/>
        <w:rPr>
          <w:sz w:val="20"/>
          <w:szCs w:val="20"/>
          <w:color w:val="auto"/>
        </w:rPr>
      </w:pPr>
      <w:r>
        <w:rPr>
          <w:rFonts w:ascii="Times New Roman" w:cs="Times New Roman" w:eastAsia="Times New Roman" w:hAnsi="Times New Roman"/>
          <w:sz w:val="16"/>
          <w:szCs w:val="16"/>
          <w:color w:val="auto"/>
        </w:rPr>
        <w:t>The ownership and operation of data centers located outside of the United States subject us to risks from fluctuations in exchange rates between foreign currencies and the U.S. dollar. Changes in the relation of these currencies to the U.S. dollar will affect our revenues and operating margins, and may materially adversely impact our financial condition, results of operations, cash flow, cash available for distribution and ability to satisfy our debt obligations. We may attempt to mitigate some or all of the risk of currency fluctuation by financing our properties in the local currency denominations, although we cannot assure you that we will be able to do so or that this will be effective. We may also engage in direct hedging activities to mitigate the risks of exchange rate fluctuations in a manner consistent with our qualification as a REIT, although we cannot assure you that we will be able to do so or that this will be effective.</w:t>
      </w: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31" w:name="page32"/>
    <w:bookmarkEnd w:id="31"/>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6" w:lineRule="exact"/>
        <w:rPr>
          <w:sz w:val="20"/>
          <w:szCs w:val="20"/>
          <w:color w:val="auto"/>
        </w:rPr>
      </w:pPr>
    </w:p>
    <w:p>
      <w:pPr>
        <w:ind w:left="320" w:right="840"/>
        <w:spacing w:after="0" w:line="259" w:lineRule="auto"/>
        <w:rPr>
          <w:sz w:val="20"/>
          <w:szCs w:val="20"/>
          <w:color w:val="auto"/>
        </w:rPr>
      </w:pPr>
      <w:r>
        <w:rPr>
          <w:rFonts w:ascii="Times New Roman" w:cs="Times New Roman" w:eastAsia="Times New Roman" w:hAnsi="Times New Roman"/>
          <w:sz w:val="16"/>
          <w:szCs w:val="16"/>
          <w:color w:val="auto"/>
        </w:rPr>
        <w:t>Our foreign operations involve additional risks not generally associated with or different from operations in the United States, including:</w:t>
      </w:r>
    </w:p>
    <w:p>
      <w:pPr>
        <w:spacing w:after="0" w:line="59" w:lineRule="exact"/>
        <w:rPr>
          <w:sz w:val="20"/>
          <w:szCs w:val="20"/>
          <w:color w:val="auto"/>
        </w:rPr>
      </w:pPr>
    </w:p>
    <w:p>
      <w:pPr>
        <w:ind w:left="900" w:right="1060" w:hanging="294"/>
        <w:spacing w:after="0" w:line="257" w:lineRule="auto"/>
        <w:tabs>
          <w:tab w:leader="none" w:pos="9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limited knowledge of and relationships with sellers, customers, contractors, suppliers or other parties in these metropolitan areas;</w:t>
      </w:r>
    </w:p>
    <w:p>
      <w:pPr>
        <w:spacing w:after="0" w:line="1" w:lineRule="exact"/>
        <w:rPr>
          <w:rFonts w:ascii="Times New Roman" w:cs="Times New Roman" w:eastAsia="Times New Roman" w:hAnsi="Times New Roman"/>
          <w:sz w:val="16"/>
          <w:szCs w:val="16"/>
          <w:color w:val="auto"/>
        </w:rPr>
      </w:pPr>
    </w:p>
    <w:p>
      <w:pPr>
        <w:ind w:left="900" w:hanging="294"/>
        <w:spacing w:after="0"/>
        <w:tabs>
          <w:tab w:leader="none" w:pos="9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complexity and costs associated with managing international development and operations;</w:t>
      </w:r>
    </w:p>
    <w:p>
      <w:pPr>
        <w:spacing w:after="0" w:line="8" w:lineRule="exact"/>
        <w:rPr>
          <w:rFonts w:ascii="Times New Roman" w:cs="Times New Roman" w:eastAsia="Times New Roman" w:hAnsi="Times New Roman"/>
          <w:sz w:val="16"/>
          <w:szCs w:val="16"/>
          <w:color w:val="auto"/>
        </w:rPr>
      </w:pPr>
    </w:p>
    <w:p>
      <w:pPr>
        <w:ind w:left="900" w:hanging="294"/>
        <w:spacing w:after="0"/>
        <w:tabs>
          <w:tab w:leader="none" w:pos="9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difficulty in hiring qualified management, sales and construction personnel and service providers in a timely fashion;</w:t>
      </w:r>
    </w:p>
    <w:p>
      <w:pPr>
        <w:spacing w:after="0" w:line="8" w:lineRule="exact"/>
        <w:rPr>
          <w:rFonts w:ascii="Times New Roman" w:cs="Times New Roman" w:eastAsia="Times New Roman" w:hAnsi="Times New Roman"/>
          <w:sz w:val="16"/>
          <w:szCs w:val="16"/>
          <w:color w:val="auto"/>
        </w:rPr>
      </w:pPr>
    </w:p>
    <w:p>
      <w:pPr>
        <w:ind w:left="900" w:hanging="294"/>
        <w:spacing w:after="0"/>
        <w:tabs>
          <w:tab w:leader="none" w:pos="9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adoption and expansion of trade restrictions or tariffs or the occurrence of trade wars;</w:t>
      </w:r>
    </w:p>
    <w:p>
      <w:pPr>
        <w:spacing w:after="0" w:line="8" w:lineRule="exact"/>
        <w:rPr>
          <w:rFonts w:ascii="Times New Roman" w:cs="Times New Roman" w:eastAsia="Times New Roman" w:hAnsi="Times New Roman"/>
          <w:sz w:val="16"/>
          <w:szCs w:val="16"/>
          <w:color w:val="auto"/>
        </w:rPr>
      </w:pPr>
    </w:p>
    <w:p>
      <w:pPr>
        <w:ind w:left="900" w:right="560" w:hanging="294"/>
        <w:spacing w:after="0" w:line="250" w:lineRule="auto"/>
        <w:tabs>
          <w:tab w:leader="none" w:pos="9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differing employment practices and labor issues, including related to works councils, employee committees, labor unions and collective rights of action;</w:t>
      </w:r>
    </w:p>
    <w:p>
      <w:pPr>
        <w:ind w:left="900" w:hanging="294"/>
        <w:spacing w:after="0"/>
        <w:tabs>
          <w:tab w:leader="none" w:pos="9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multiple, conflicting and changing legal, regulatory, entitlement and permitting, and tax and treaty environments;</w:t>
      </w:r>
    </w:p>
    <w:p>
      <w:pPr>
        <w:spacing w:after="0" w:line="8" w:lineRule="exact"/>
        <w:rPr>
          <w:rFonts w:ascii="Times New Roman" w:cs="Times New Roman" w:eastAsia="Times New Roman" w:hAnsi="Times New Roman"/>
          <w:sz w:val="16"/>
          <w:szCs w:val="16"/>
          <w:color w:val="auto"/>
        </w:rPr>
      </w:pPr>
    </w:p>
    <w:p>
      <w:pPr>
        <w:ind w:left="900" w:hanging="294"/>
        <w:spacing w:after="0"/>
        <w:tabs>
          <w:tab w:leader="none" w:pos="9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unexpected changes in political environments, such as the United Kingdom’s withdrawal from the European Union;</w:t>
      </w:r>
    </w:p>
    <w:p>
      <w:pPr>
        <w:spacing w:after="0" w:line="8" w:lineRule="exact"/>
        <w:rPr>
          <w:rFonts w:ascii="Times New Roman" w:cs="Times New Roman" w:eastAsia="Times New Roman" w:hAnsi="Times New Roman"/>
          <w:sz w:val="16"/>
          <w:szCs w:val="16"/>
          <w:color w:val="auto"/>
        </w:rPr>
      </w:pPr>
    </w:p>
    <w:p>
      <w:pPr>
        <w:ind w:left="900" w:hanging="294"/>
        <w:spacing w:after="0"/>
        <w:tabs>
          <w:tab w:leader="none" w:pos="9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exposure to increased taxation, confiscation or expropriation;</w:t>
      </w:r>
    </w:p>
    <w:p>
      <w:pPr>
        <w:spacing w:after="0" w:line="8" w:lineRule="exact"/>
        <w:rPr>
          <w:rFonts w:ascii="Times New Roman" w:cs="Times New Roman" w:eastAsia="Times New Roman" w:hAnsi="Times New Roman"/>
          <w:sz w:val="16"/>
          <w:szCs w:val="16"/>
          <w:color w:val="auto"/>
        </w:rPr>
      </w:pPr>
    </w:p>
    <w:p>
      <w:pPr>
        <w:ind w:left="900" w:right="620" w:hanging="294"/>
        <w:spacing w:after="0" w:line="250" w:lineRule="auto"/>
        <w:tabs>
          <w:tab w:leader="none" w:pos="9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currency transfer restrictions and limitations on our ability to distribute cash earned in foreign jurisdictions to the United States;</w:t>
      </w:r>
    </w:p>
    <w:p>
      <w:pPr>
        <w:ind w:left="900" w:right="380" w:hanging="294"/>
        <w:spacing w:after="0" w:line="250" w:lineRule="auto"/>
        <w:tabs>
          <w:tab w:leader="none" w:pos="9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difficulty in enforcing agreements in non-U.S. jurisdictions, including those entered into in connection with our acquisitions or in the event of a default by one or more of our customers, suppliers or contractors;</w:t>
      </w:r>
    </w:p>
    <w:p>
      <w:pPr>
        <w:ind w:left="900" w:hanging="294"/>
        <w:spacing w:after="0"/>
        <w:tabs>
          <w:tab w:leader="none" w:pos="9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local business and cultural factors;</w:t>
      </w:r>
    </w:p>
    <w:p>
      <w:pPr>
        <w:spacing w:after="0" w:line="8" w:lineRule="exact"/>
        <w:rPr>
          <w:rFonts w:ascii="Times New Roman" w:cs="Times New Roman" w:eastAsia="Times New Roman" w:hAnsi="Times New Roman"/>
          <w:sz w:val="16"/>
          <w:szCs w:val="16"/>
          <w:color w:val="auto"/>
        </w:rPr>
      </w:pPr>
    </w:p>
    <w:p>
      <w:pPr>
        <w:ind w:left="900" w:right="820" w:hanging="294"/>
        <w:spacing w:after="0" w:line="286" w:lineRule="auto"/>
        <w:tabs>
          <w:tab w:leader="none" w:pos="9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geographic, political and economic instability, including sovereign credit risk and rapid and unpredictable changes in economic policy and regulatory environments, in certain geographic regions and emerging markets; and</w:t>
      </w:r>
    </w:p>
    <w:p>
      <w:pPr>
        <w:ind w:left="900" w:hanging="294"/>
        <w:spacing w:after="0"/>
        <w:tabs>
          <w:tab w:leader="none" w:pos="9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bribery and corruption.</w:t>
      </w:r>
    </w:p>
    <w:p>
      <w:pPr>
        <w:spacing w:after="0" w:line="177" w:lineRule="exact"/>
        <w:rPr>
          <w:sz w:val="20"/>
          <w:szCs w:val="20"/>
          <w:color w:val="auto"/>
        </w:rPr>
      </w:pPr>
    </w:p>
    <w:p>
      <w:pPr>
        <w:ind w:left="320" w:right="560"/>
        <w:spacing w:after="0" w:line="243" w:lineRule="auto"/>
        <w:rPr>
          <w:sz w:val="20"/>
          <w:szCs w:val="20"/>
          <w:color w:val="auto"/>
        </w:rPr>
      </w:pPr>
      <w:r>
        <w:rPr>
          <w:rFonts w:ascii="Times New Roman" w:cs="Times New Roman" w:eastAsia="Times New Roman" w:hAnsi="Times New Roman"/>
          <w:sz w:val="16"/>
          <w:szCs w:val="16"/>
          <w:color w:val="auto"/>
        </w:rPr>
        <w:t>The likelihood of such occurrences and their potential effect on us vary from country to country and are unpredictable. Certain regions, including Latin America, Asia, Eastern Europe, the Middle East and Africa, have in the past and may continue to be more economically and politically volatile and, as a result, operations in these regions could be subject to heightened risk of disruption, which could have a material adverse effect on our overall results of operations.</w:t>
      </w:r>
    </w:p>
    <w:p>
      <w:pPr>
        <w:spacing w:after="0" w:line="71" w:lineRule="exact"/>
        <w:rPr>
          <w:sz w:val="20"/>
          <w:szCs w:val="20"/>
          <w:color w:val="auto"/>
        </w:rPr>
      </w:pPr>
    </w:p>
    <w:p>
      <w:pPr>
        <w:ind w:left="320" w:right="360"/>
        <w:spacing w:after="0" w:line="278" w:lineRule="auto"/>
        <w:rPr>
          <w:sz w:val="20"/>
          <w:szCs w:val="20"/>
          <w:color w:val="auto"/>
        </w:rPr>
      </w:pPr>
      <w:r>
        <w:rPr>
          <w:rFonts w:ascii="Times New Roman" w:cs="Times New Roman" w:eastAsia="Times New Roman" w:hAnsi="Times New Roman"/>
          <w:sz w:val="14"/>
          <w:szCs w:val="14"/>
          <w:color w:val="auto"/>
        </w:rPr>
        <w:t>With respect to the United Kingdom’s withdrawal from the European Union, significant political and economic uncertainty remains about how the precise terms of the relationship between the parties will differ from the terms before withdrawal. Lack of clarity about future United Kingdom laws and regulations as the United Kingdom determines which European Union laws to replace or replicate, including financial laws and regulations, tax and free trade agreements, tax and customs laws, intellectual property rights, environmental, health and safety laws and regulations, immigration laws, employment laws and transport laws could increase costs, disrupt supply chains, and depress economic activity and restrict our access to capital. Any of these factors could have a material adverse effect on our business, financial condition and results of operations and reduce the price of our securities.</w:t>
      </w:r>
    </w:p>
    <w:p>
      <w:pPr>
        <w:spacing w:after="0" w:line="51" w:lineRule="exact"/>
        <w:rPr>
          <w:sz w:val="20"/>
          <w:szCs w:val="20"/>
          <w:color w:val="auto"/>
        </w:rPr>
      </w:pPr>
    </w:p>
    <w:p>
      <w:pPr>
        <w:ind w:left="320" w:right="340"/>
        <w:spacing w:after="0" w:line="280" w:lineRule="auto"/>
        <w:rPr>
          <w:sz w:val="20"/>
          <w:szCs w:val="20"/>
          <w:color w:val="auto"/>
        </w:rPr>
      </w:pPr>
      <w:r>
        <w:rPr>
          <w:rFonts w:ascii="Times New Roman" w:cs="Times New Roman" w:eastAsia="Times New Roman" w:hAnsi="Times New Roman"/>
          <w:sz w:val="14"/>
          <w:szCs w:val="14"/>
          <w:color w:val="auto"/>
        </w:rPr>
        <w:t>We also face risks with investing in unfamiliar metropolitan areas. We have acquired and may continue to acquire properties in international metropolitan areas that are new to us. When we acquire properties located in these metropolitan areas, we may face risks associated with a lack of market knowledge or understanding of the local economy and culture, forging new business relationships in the area and unfamiliarity with local government and permitting procedures. In addition, due diligence, transaction and structuring costs may be higher than those we may face in the United States. We work to mitigate such risks through extensive diligence and research and associations with experienced local partners; however, we cannot assure you that all such risks will be eliminated.</w:t>
      </w:r>
    </w:p>
    <w:p>
      <w:pPr>
        <w:spacing w:after="0" w:line="49" w:lineRule="exact"/>
        <w:rPr>
          <w:sz w:val="20"/>
          <w:szCs w:val="20"/>
          <w:color w:val="auto"/>
        </w:rPr>
      </w:pPr>
    </w:p>
    <w:p>
      <w:pPr>
        <w:ind w:left="320" w:right="560"/>
        <w:spacing w:after="0" w:line="259" w:lineRule="auto"/>
        <w:rPr>
          <w:sz w:val="20"/>
          <w:szCs w:val="20"/>
          <w:color w:val="auto"/>
        </w:rPr>
      </w:pPr>
      <w:r>
        <w:rPr>
          <w:rFonts w:ascii="Times New Roman" w:cs="Times New Roman" w:eastAsia="Times New Roman" w:hAnsi="Times New Roman"/>
          <w:sz w:val="16"/>
          <w:szCs w:val="16"/>
          <w:color w:val="auto"/>
        </w:rPr>
        <w:t>Our inability to overcome these risks could adversely affect our international activities, including our foreign operations and could harm our business and results of operations.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32" w:name="page33"/>
    <w:bookmarkEnd w:id="32"/>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Our recent acquisitions may not achieve the intended benefits or may disrupt our plans and operations.</w:t>
      </w:r>
    </w:p>
    <w:p>
      <w:pPr>
        <w:spacing w:after="0" w:line="94" w:lineRule="exact"/>
        <w:rPr>
          <w:sz w:val="20"/>
          <w:szCs w:val="20"/>
          <w:color w:val="auto"/>
        </w:rPr>
      </w:pPr>
    </w:p>
    <w:p>
      <w:pPr>
        <w:ind w:left="320" w:right="340"/>
        <w:spacing w:after="0" w:line="237" w:lineRule="auto"/>
        <w:rPr>
          <w:sz w:val="20"/>
          <w:szCs w:val="20"/>
          <w:color w:val="auto"/>
        </w:rPr>
      </w:pPr>
      <w:r>
        <w:rPr>
          <w:rFonts w:ascii="Times New Roman" w:cs="Times New Roman" w:eastAsia="Times New Roman" w:hAnsi="Times New Roman"/>
          <w:sz w:val="16"/>
          <w:szCs w:val="16"/>
          <w:color w:val="auto"/>
        </w:rPr>
        <w:t>Acquisitions present many risks, and we may not realize the financial or strategic goals that were contemplated at the time of the transaction. Our ability to realize the anticipated benefits of our combination with Interxion in March 2020 and other acquisitions depends, to a large extent, on our ability to integrate each of them with our business. The combination of two independent businesses can be a complex, costly and time-consuming process, which requires significant time and focus from our management team and may divert attention from the day -to-day operations of our business. There can be no assurance that we will be able to successfully integrate acquired properties and businesses with our business or otherwise realize the expected benefits of these acquisitions. In addition, even if our operations are integrated successfully with the operations of our acquisitions, we may not realize the full benefits of the acquisitions, including the synergies, operating efficiencies, or sales or growth opportunities that are expected. These benefits may not be achieved within the anticipated time frame or at all. All of these factors could decrease or delay any potential accretive effect of the acquisitions and negatively impact the price of our common stock.</w:t>
      </w:r>
    </w:p>
    <w:p>
      <w:pPr>
        <w:spacing w:after="0" w:line="80" w:lineRule="exact"/>
        <w:rPr>
          <w:sz w:val="20"/>
          <w:szCs w:val="20"/>
          <w:color w:val="auto"/>
        </w:rPr>
      </w:pPr>
    </w:p>
    <w:p>
      <w:pPr>
        <w:ind w:left="320" w:right="340"/>
        <w:spacing w:after="0" w:line="278" w:lineRule="auto"/>
        <w:rPr>
          <w:sz w:val="20"/>
          <w:szCs w:val="20"/>
          <w:color w:val="auto"/>
        </w:rPr>
      </w:pPr>
      <w:r>
        <w:rPr>
          <w:rFonts w:ascii="Times New Roman" w:cs="Times New Roman" w:eastAsia="Times New Roman" w:hAnsi="Times New Roman"/>
          <w:sz w:val="14"/>
          <w:szCs w:val="14"/>
          <w:color w:val="auto"/>
        </w:rPr>
        <w:t>In addition, the overall integration of the businesses may result in material unanticipated problems, expenses, liabilities, competitive responses and loss of customer relationships, among other potential adverse consequences. Actual integration costs may exceed those estimated and there may be further unanticipated costs and the assumption of known and unknown liabilities. While we have assumed that we will incur certain integration expenses, there are factors beyond our control that could affect the total amount or the timing of such expenses. Many of the expenses that will be incurred, by their nature, are difficult to estimate accurately. If we cannot integrate and operate acquired properties or businesses to meet our financial expectations, our financial condition, results of operations, cash flow, cash available for distribution and ability to satisfy our debt service obligations could be materially adversely affected.</w:t>
      </w:r>
    </w:p>
    <w:p>
      <w:pPr>
        <w:spacing w:after="0" w:line="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risks of combining businesses include, among others:</w:t>
      </w:r>
    </w:p>
    <w:p>
      <w:pPr>
        <w:spacing w:after="0" w:line="92" w:lineRule="exact"/>
        <w:rPr>
          <w:sz w:val="20"/>
          <w:szCs w:val="20"/>
          <w:color w:val="auto"/>
        </w:rPr>
      </w:pPr>
    </w:p>
    <w:p>
      <w:pPr>
        <w:ind w:left="1180" w:hanging="286"/>
        <w:spacing w:after="0"/>
        <w:tabs>
          <w:tab w:leader="none" w:pos="11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have underestimated the costs to make any necessary improvements to the acquired properties;</w:t>
      </w:r>
    </w:p>
    <w:p>
      <w:pPr>
        <w:spacing w:after="0" w:line="19" w:lineRule="exact"/>
        <w:rPr>
          <w:rFonts w:ascii="Times New Roman" w:cs="Times New Roman" w:eastAsia="Times New Roman" w:hAnsi="Times New Roman"/>
          <w:sz w:val="16"/>
          <w:szCs w:val="16"/>
          <w:color w:val="auto"/>
        </w:rPr>
      </w:pPr>
    </w:p>
    <w:p>
      <w:pPr>
        <w:ind w:left="1180" w:right="980" w:hanging="286"/>
        <w:spacing w:after="0" w:line="250" w:lineRule="auto"/>
        <w:tabs>
          <w:tab w:leader="none" w:pos="11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acquired properties may be subject to reassessment, which may result in higher than expected property tax payments;</w:t>
      </w:r>
    </w:p>
    <w:p>
      <w:pPr>
        <w:ind w:left="1180" w:right="360" w:hanging="286"/>
        <w:spacing w:after="0" w:line="250" w:lineRule="auto"/>
        <w:tabs>
          <w:tab w:leader="none" w:pos="11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unable to integrate new acquisitions quickly and efficiently, particularly acquisitions of operating businesses or portfolios of properties, into our existing operations;</w:t>
      </w:r>
    </w:p>
    <w:p>
      <w:pPr>
        <w:ind w:left="1180" w:hanging="286"/>
        <w:spacing w:after="0"/>
        <w:tabs>
          <w:tab w:leader="none" w:pos="11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face difficulties in integrating employees and in retaining key personnel;</w:t>
      </w:r>
    </w:p>
    <w:p>
      <w:pPr>
        <w:spacing w:after="0" w:line="8" w:lineRule="exact"/>
        <w:rPr>
          <w:rFonts w:ascii="Times New Roman" w:cs="Times New Roman" w:eastAsia="Times New Roman" w:hAnsi="Times New Roman"/>
          <w:sz w:val="16"/>
          <w:szCs w:val="16"/>
          <w:color w:val="auto"/>
        </w:rPr>
      </w:pPr>
    </w:p>
    <w:p>
      <w:pPr>
        <w:ind w:left="1180" w:right="660" w:hanging="286"/>
        <w:spacing w:after="0" w:line="250" w:lineRule="auto"/>
        <w:tabs>
          <w:tab w:leader="none" w:pos="11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face challenges in keeping existing customers, including key customers, which could adversely impact our revenue;</w:t>
      </w:r>
    </w:p>
    <w:p>
      <w:pPr>
        <w:ind w:left="1180" w:hanging="286"/>
        <w:spacing w:after="0"/>
        <w:tabs>
          <w:tab w:leader="none" w:pos="11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unable to effectively manage our expanded operations; and</w:t>
      </w:r>
    </w:p>
    <w:p>
      <w:pPr>
        <w:spacing w:after="0" w:line="8" w:lineRule="exact"/>
        <w:rPr>
          <w:rFonts w:ascii="Times New Roman" w:cs="Times New Roman" w:eastAsia="Times New Roman" w:hAnsi="Times New Roman"/>
          <w:sz w:val="16"/>
          <w:szCs w:val="16"/>
          <w:color w:val="auto"/>
        </w:rPr>
      </w:pPr>
    </w:p>
    <w:p>
      <w:pPr>
        <w:ind w:left="1180" w:right="580" w:hanging="286"/>
        <w:spacing w:after="0" w:line="250" w:lineRule="auto"/>
        <w:tabs>
          <w:tab w:leader="none" w:pos="11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conditions may result in higher than expected vacancy rates and lower than expected rental rates on acquired properties.</w:t>
      </w:r>
    </w:p>
    <w:p>
      <w:pPr>
        <w:spacing w:after="0" w:line="1" w:lineRule="exact"/>
        <w:rPr>
          <w:sz w:val="20"/>
          <w:szCs w:val="20"/>
          <w:color w:val="auto"/>
        </w:rPr>
      </w:pPr>
    </w:p>
    <w:p>
      <w:pPr>
        <w:ind w:left="320" w:right="400"/>
        <w:spacing w:after="0"/>
        <w:rPr>
          <w:sz w:val="20"/>
          <w:szCs w:val="20"/>
          <w:color w:val="auto"/>
        </w:rPr>
      </w:pPr>
      <w:r>
        <w:rPr>
          <w:rFonts w:ascii="Times New Roman" w:cs="Times New Roman" w:eastAsia="Times New Roman" w:hAnsi="Times New Roman"/>
          <w:sz w:val="16"/>
          <w:szCs w:val="16"/>
          <w:color w:val="auto"/>
        </w:rPr>
        <w:t>Any one of these risks could result in increased costs, decreases in the amount of expected revenue and diversion of our management’s time and energy, which could have a material adverse effect on our business, financial condition, results of operations and cash flows.</w:t>
      </w:r>
    </w:p>
    <w:p>
      <w:pPr>
        <w:spacing w:after="0" w:line="73" w:lineRule="exact"/>
        <w:rPr>
          <w:sz w:val="20"/>
          <w:szCs w:val="20"/>
          <w:color w:val="auto"/>
        </w:rPr>
      </w:pPr>
    </w:p>
    <w:p>
      <w:pPr>
        <w:ind w:left="320" w:right="460"/>
        <w:spacing w:after="0" w:line="243" w:lineRule="auto"/>
        <w:rPr>
          <w:sz w:val="20"/>
          <w:szCs w:val="20"/>
          <w:color w:val="auto"/>
        </w:rPr>
      </w:pPr>
      <w:r>
        <w:rPr>
          <w:rFonts w:ascii="Times New Roman" w:cs="Times New Roman" w:eastAsia="Times New Roman" w:hAnsi="Times New Roman"/>
          <w:sz w:val="16"/>
          <w:szCs w:val="16"/>
          <w:color w:val="auto"/>
        </w:rPr>
        <w:t>Several of our data centers, including the data centers which we have acquired in the past five years, have been under our management for a limited time. The data centers may have characteristics or deficiencies unknown to us that could affect their valuation or revenue potential. We cannot assure you that the operating performance of these data centers will not decline under our management.</w:t>
      </w: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33" w:name="page34"/>
    <w:bookmarkEnd w:id="33"/>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ind w:left="320" w:right="800"/>
        <w:spacing w:after="0" w:line="262" w:lineRule="auto"/>
        <w:rPr>
          <w:sz w:val="20"/>
          <w:szCs w:val="20"/>
          <w:color w:val="auto"/>
        </w:rPr>
      </w:pPr>
      <w:r>
        <w:rPr>
          <w:rFonts w:ascii="Times New Roman" w:cs="Times New Roman" w:eastAsia="Times New Roman" w:hAnsi="Times New Roman"/>
          <w:sz w:val="16"/>
          <w:szCs w:val="16"/>
          <w:b w:val="1"/>
          <w:bCs w:val="1"/>
          <w:color w:val="auto"/>
        </w:rPr>
        <w:t>We may be subject to unknown or contingent liabilities related to our recent acquisitions, for which we may have no or limited recourse against the sellers.</w:t>
      </w:r>
    </w:p>
    <w:p>
      <w:pPr>
        <w:spacing w:after="0" w:line="56" w:lineRule="exact"/>
        <w:rPr>
          <w:sz w:val="20"/>
          <w:szCs w:val="20"/>
          <w:color w:val="auto"/>
        </w:rPr>
      </w:pPr>
    </w:p>
    <w:p>
      <w:pPr>
        <w:ind w:left="320" w:right="420"/>
        <w:spacing w:after="0" w:line="278" w:lineRule="auto"/>
        <w:rPr>
          <w:sz w:val="20"/>
          <w:szCs w:val="20"/>
          <w:color w:val="auto"/>
        </w:rPr>
      </w:pPr>
      <w:r>
        <w:rPr>
          <w:rFonts w:ascii="Times New Roman" w:cs="Times New Roman" w:eastAsia="Times New Roman" w:hAnsi="Times New Roman"/>
          <w:sz w:val="14"/>
          <w:szCs w:val="14"/>
          <w:color w:val="auto"/>
        </w:rPr>
        <w:t>Our recent and future acquisitions may be subject to unknown or contingent liabilities for which we may have no or limited recourse against the sellers. Unknown or contingent liabilities might include liabilities for clean-up or remediation of environmental conditions, claims of customers, vendors or other persons dealing with the acquired entities or the former owners of acquired properties or businesses, tax liabilities, claims for indemnification by general partners, directors, officers and others indemnified by the former owners of acquired properties or businesses, and other liabilities whether incurred in the ordinary course of business or otherwise. In addition, the total amount of costs and expenses that we may incur with respect to liabilities associated with our acquisitions may exceed our expectations, which may adversely affect our business, financial condition and results of operations.</w:t>
      </w:r>
    </w:p>
    <w:p>
      <w:pPr>
        <w:spacing w:after="0" w:line="51" w:lineRule="exact"/>
        <w:rPr>
          <w:sz w:val="20"/>
          <w:szCs w:val="20"/>
          <w:color w:val="auto"/>
        </w:rPr>
      </w:pPr>
    </w:p>
    <w:p>
      <w:pPr>
        <w:ind w:left="320" w:right="620"/>
        <w:spacing w:after="0" w:line="273" w:lineRule="auto"/>
        <w:rPr>
          <w:sz w:val="20"/>
          <w:szCs w:val="20"/>
          <w:color w:val="auto"/>
        </w:rPr>
      </w:pPr>
      <w:r>
        <w:rPr>
          <w:rFonts w:ascii="Times New Roman" w:cs="Times New Roman" w:eastAsia="Times New Roman" w:hAnsi="Times New Roman"/>
          <w:sz w:val="14"/>
          <w:szCs w:val="14"/>
          <w:color w:val="auto"/>
        </w:rPr>
        <w:t>Further, we have entered, and may in the future enter, into transactions with limited representations and warranties or with representations and warranties that do not survive the closing of such transactions, in which event we would have no or limited recourse against the sellers of such properties or businesses. While we usually require the sellers to indemnify us with respect to breaches of representations and warranties that survive, such indemnification is often limited and subject to various materiality thresholds, a significant deductible or an aggregate cap on losses. We may obtain insurance policies providing for coverage for breaches of certain representations and warranties in certain transactions, subject to certain exclusions and a deductible, however, there can be no assurance that we would be able to recover any amounts with respect to losses due to breaches of any such</w:t>
      </w:r>
    </w:p>
    <w:p>
      <w:pPr>
        <w:spacing w:after="0" w:line="3" w:lineRule="exact"/>
        <w:rPr>
          <w:sz w:val="20"/>
          <w:szCs w:val="20"/>
          <w:color w:val="auto"/>
        </w:rPr>
      </w:pPr>
    </w:p>
    <w:p>
      <w:pPr>
        <w:ind w:left="320" w:right="300"/>
        <w:spacing w:after="0" w:line="244" w:lineRule="auto"/>
        <w:rPr>
          <w:sz w:val="20"/>
          <w:szCs w:val="20"/>
          <w:color w:val="auto"/>
        </w:rPr>
      </w:pPr>
      <w:r>
        <w:rPr>
          <w:rFonts w:ascii="Times New Roman" w:cs="Times New Roman" w:eastAsia="Times New Roman" w:hAnsi="Times New Roman"/>
          <w:sz w:val="16"/>
          <w:szCs w:val="16"/>
          <w:color w:val="auto"/>
        </w:rPr>
        <w:t>representations and warranties. As a result, there is no guarantee that we will recover any amounts with respect to losses due to breaches by the sellers of their representations and warranties. Finally, indemnification agreements between us and the sellers typically provide that the sellers will retain certain specified liabilities relating to the properties or businesses acquired by us. While the sellers are generally contractually obligated to pay all losses and other expenses relating to such retained liabilities, there can be no guarantee that such arrangements will not require us to incur losses or other expenses as well.</w:t>
      </w:r>
    </w:p>
    <w:p>
      <w:pPr>
        <w:spacing w:after="0" w:line="71" w:lineRule="exact"/>
        <w:rPr>
          <w:sz w:val="20"/>
          <w:szCs w:val="20"/>
          <w:color w:val="auto"/>
        </w:rPr>
      </w:pPr>
    </w:p>
    <w:p>
      <w:pPr>
        <w:ind w:left="320" w:right="420"/>
        <w:spacing w:after="0" w:line="262" w:lineRule="auto"/>
        <w:rPr>
          <w:sz w:val="20"/>
          <w:szCs w:val="20"/>
          <w:color w:val="auto"/>
        </w:rPr>
      </w:pPr>
      <w:r>
        <w:rPr>
          <w:rFonts w:ascii="Times New Roman" w:cs="Times New Roman" w:eastAsia="Times New Roman" w:hAnsi="Times New Roman"/>
          <w:sz w:val="16"/>
          <w:szCs w:val="16"/>
          <w:b w:val="1"/>
          <w:bCs w:val="1"/>
          <w:color w:val="auto"/>
        </w:rPr>
        <w:t>Joint venture (JV) investments could be adversely affected by our lack of sole decision-making authority, our reliance on our JV partners’ financial condition and disputes between us and our JV partners.</w:t>
      </w:r>
    </w:p>
    <w:p>
      <w:pPr>
        <w:spacing w:after="0" w:line="56" w:lineRule="exact"/>
        <w:rPr>
          <w:sz w:val="20"/>
          <w:szCs w:val="20"/>
          <w:color w:val="auto"/>
        </w:rPr>
      </w:pPr>
    </w:p>
    <w:p>
      <w:pPr>
        <w:ind w:left="320" w:right="360"/>
        <w:spacing w:after="0" w:line="236" w:lineRule="auto"/>
        <w:rPr>
          <w:sz w:val="20"/>
          <w:szCs w:val="20"/>
          <w:color w:val="auto"/>
        </w:rPr>
      </w:pPr>
      <w:r>
        <w:rPr>
          <w:rFonts w:ascii="Times New Roman" w:cs="Times New Roman" w:eastAsia="Times New Roman" w:hAnsi="Times New Roman"/>
          <w:sz w:val="16"/>
          <w:szCs w:val="16"/>
          <w:color w:val="auto"/>
        </w:rPr>
        <w:t>We currently, and may in the future, co-invest with third parties through partnerships, joint ventures or other entities, acquiring non-controlling interests in or sharing responsibility for managing the affairs of a property or portfolio of properties, partnership, joint venture or other entity. In these events, we are not in a position to exercise sole decision-making authority regarding the properties, partnership, joint venture or other entity. Investments in partnerships, joint ventures, or other entities may, under certain circumstances, involve risks not present when a third party is not involved, including the possibility that partners might become bankrupt or fail to fund their share of required capital contributions. Partners may have economic, tax or other business interests or goals which are inconsistent with our business interests or goals, and may be in a position to take actions contrary to our policies or objectives. Our joint venture partners may take actions that are not within our control, which would require us to dispose of the joint venture asset or transfer it to a taxable REIT subsidiary in order for Digital Realty Trust, Inc. to maintain its status as a REIT. Such investments may also lead to impasses, for example, as to whether to sell a property, because neither we nor our partner would have full control over the partnership or joint venture. Disputes between us and our partners may result in litigation or arbitration that would increase our expenses and prevent our management from focusing their time and effort on our day-to-day business. Consequently, actions by or disputes with our partners may subject properties owned by the partnership or joint venture to additional risk. In addition, we may in certain circumstances be liable for the actions of our third- party partners. Each of these factors may result in returns on these investments being less than we expect or in losses and our financial and operating results may be adversely affected. In addition, we cannot assure you that we will be able to close joint ventures, on the anticipated schedule or at all. Failure to complete any such joint venture could have a negative impact on our business and the trading price of our common stock. Over the past few years, we have completed a number of new joint ventures, including development joint ventures, and such investments may increase the risks described herein.</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34" w:name="page35"/>
    <w:bookmarkEnd w:id="34"/>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ind w:left="320" w:right="540"/>
        <w:spacing w:after="0" w:line="262" w:lineRule="auto"/>
        <w:rPr>
          <w:sz w:val="20"/>
          <w:szCs w:val="20"/>
          <w:color w:val="auto"/>
        </w:rPr>
      </w:pPr>
      <w:r>
        <w:rPr>
          <w:rFonts w:ascii="Times New Roman" w:cs="Times New Roman" w:eastAsia="Times New Roman" w:hAnsi="Times New Roman"/>
          <w:sz w:val="16"/>
          <w:szCs w:val="16"/>
          <w:b w:val="1"/>
          <w:bCs w:val="1"/>
          <w:color w:val="auto"/>
        </w:rPr>
        <w:t>Any delays or unexpected costs in the development of our existing space and developable land and new properties acquired for development may delay and harm our growth prospects, future operating results and financial condition.</w:t>
      </w:r>
    </w:p>
    <w:p>
      <w:pPr>
        <w:spacing w:after="0" w:line="56" w:lineRule="exact"/>
        <w:rPr>
          <w:sz w:val="20"/>
          <w:szCs w:val="20"/>
          <w:color w:val="auto"/>
        </w:rPr>
      </w:pPr>
    </w:p>
    <w:p>
      <w:pPr>
        <w:ind w:left="320" w:right="380"/>
        <w:spacing w:after="0" w:line="243" w:lineRule="auto"/>
        <w:rPr>
          <w:sz w:val="20"/>
          <w:szCs w:val="20"/>
          <w:color w:val="auto"/>
        </w:rPr>
      </w:pPr>
      <w:r>
        <w:rPr>
          <w:rFonts w:ascii="Times New Roman" w:cs="Times New Roman" w:eastAsia="Times New Roman" w:hAnsi="Times New Roman"/>
          <w:sz w:val="16"/>
          <w:szCs w:val="16"/>
          <w:color w:val="auto"/>
        </w:rPr>
        <w:t>At December 31, 2024, we had approximately 8.9 million square feet of space under active development and approximately 4.7 million square feet of space held for future development. We have built and may continue to build out a large portion of this space on a speculative basis at significant cost. Our successful development of these projects is subject to many risks, including those associated with:</w:t>
      </w:r>
    </w:p>
    <w:p>
      <w:pPr>
        <w:spacing w:after="0" w:line="71" w:lineRule="exact"/>
        <w:rPr>
          <w:sz w:val="20"/>
          <w:szCs w:val="20"/>
          <w:color w:val="auto"/>
        </w:rPr>
      </w:pPr>
    </w:p>
    <w:p>
      <w:pPr>
        <w:ind w:left="900" w:hanging="294"/>
        <w:spacing w:after="0"/>
        <w:tabs>
          <w:tab w:leader="none" w:pos="9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in construction, or changes to the plans or specifications;</w:t>
      </w:r>
    </w:p>
    <w:p>
      <w:pPr>
        <w:spacing w:after="0" w:line="19" w:lineRule="exact"/>
        <w:rPr>
          <w:rFonts w:ascii="Times New Roman" w:cs="Times New Roman" w:eastAsia="Times New Roman" w:hAnsi="Times New Roman"/>
          <w:sz w:val="16"/>
          <w:szCs w:val="16"/>
          <w:color w:val="auto"/>
        </w:rPr>
      </w:pPr>
    </w:p>
    <w:p>
      <w:pPr>
        <w:ind w:left="900" w:right="600" w:hanging="294"/>
        <w:spacing w:after="0" w:line="250" w:lineRule="auto"/>
        <w:tabs>
          <w:tab w:leader="none" w:pos="9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budget overruns, increased prices for raw materials or building supplies, or lack of availability and/or increased costs for specialized data center components, including long lead time items such as generators;</w:t>
      </w:r>
    </w:p>
    <w:p>
      <w:pPr>
        <w:ind w:left="900" w:hanging="294"/>
        <w:spacing w:after="0"/>
        <w:tabs>
          <w:tab w:leader="none" w:pos="9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construction site accidents and other casualties;</w:t>
      </w:r>
    </w:p>
    <w:p>
      <w:pPr>
        <w:spacing w:after="0" w:line="8" w:lineRule="exact"/>
        <w:rPr>
          <w:rFonts w:ascii="Times New Roman" w:cs="Times New Roman" w:eastAsia="Times New Roman" w:hAnsi="Times New Roman"/>
          <w:sz w:val="16"/>
          <w:szCs w:val="16"/>
          <w:color w:val="auto"/>
        </w:rPr>
      </w:pPr>
    </w:p>
    <w:p>
      <w:pPr>
        <w:ind w:left="900" w:right="360" w:hanging="294"/>
        <w:spacing w:after="0" w:line="250" w:lineRule="auto"/>
        <w:tabs>
          <w:tab w:leader="none" w:pos="9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financing availability, including our ability to obtain construction financing and permanent financing, or increases in interest rates or credit spreads;</w:t>
      </w:r>
    </w:p>
    <w:p>
      <w:pPr>
        <w:ind w:left="900" w:right="640" w:hanging="294"/>
        <w:spacing w:after="0" w:line="250" w:lineRule="auto"/>
        <w:tabs>
          <w:tab w:leader="none" w:pos="9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labor availability, costs, disputes and work stoppages with contractors, subcontractors or others that are constructing the project;</w:t>
      </w:r>
    </w:p>
    <w:p>
      <w:pPr>
        <w:ind w:left="900" w:hanging="294"/>
        <w:spacing w:after="0"/>
        <w:tabs>
          <w:tab w:leader="none" w:pos="9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of contractors to perform on a timely basis or at all, or other misconduct on the part of contractors;</w:t>
      </w:r>
    </w:p>
    <w:p>
      <w:pPr>
        <w:spacing w:after="0" w:line="8" w:lineRule="exact"/>
        <w:rPr>
          <w:rFonts w:ascii="Times New Roman" w:cs="Times New Roman" w:eastAsia="Times New Roman" w:hAnsi="Times New Roman"/>
          <w:sz w:val="16"/>
          <w:szCs w:val="16"/>
          <w:color w:val="auto"/>
        </w:rPr>
      </w:pPr>
    </w:p>
    <w:p>
      <w:pPr>
        <w:ind w:left="900" w:hanging="294"/>
        <w:spacing w:after="0"/>
        <w:tabs>
          <w:tab w:leader="none" w:pos="9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access to sufficient power and related costs of providing such power to our customers;</w:t>
      </w:r>
    </w:p>
    <w:p>
      <w:pPr>
        <w:spacing w:after="0" w:line="8" w:lineRule="exact"/>
        <w:rPr>
          <w:rFonts w:ascii="Times New Roman" w:cs="Times New Roman" w:eastAsia="Times New Roman" w:hAnsi="Times New Roman"/>
          <w:sz w:val="16"/>
          <w:szCs w:val="16"/>
          <w:color w:val="auto"/>
        </w:rPr>
      </w:pPr>
    </w:p>
    <w:p>
      <w:pPr>
        <w:ind w:left="900" w:hanging="294"/>
        <w:spacing w:after="0"/>
        <w:tabs>
          <w:tab w:leader="none" w:pos="9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environmental issues;</w:t>
      </w:r>
    </w:p>
    <w:p>
      <w:pPr>
        <w:spacing w:after="0" w:line="8" w:lineRule="exact"/>
        <w:rPr>
          <w:rFonts w:ascii="Times New Roman" w:cs="Times New Roman" w:eastAsia="Times New Roman" w:hAnsi="Times New Roman"/>
          <w:sz w:val="16"/>
          <w:szCs w:val="16"/>
          <w:color w:val="auto"/>
        </w:rPr>
      </w:pPr>
    </w:p>
    <w:p>
      <w:pPr>
        <w:ind w:left="900" w:hanging="294"/>
        <w:spacing w:after="0"/>
        <w:tabs>
          <w:tab w:leader="none" w:pos="9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supply chain constraints;</w:t>
      </w:r>
    </w:p>
    <w:p>
      <w:pPr>
        <w:spacing w:after="0" w:line="8" w:lineRule="exact"/>
        <w:rPr>
          <w:rFonts w:ascii="Times New Roman" w:cs="Times New Roman" w:eastAsia="Times New Roman" w:hAnsi="Times New Roman"/>
          <w:sz w:val="16"/>
          <w:szCs w:val="16"/>
          <w:color w:val="auto"/>
        </w:rPr>
      </w:pPr>
    </w:p>
    <w:p>
      <w:pPr>
        <w:ind w:left="900" w:hanging="294"/>
        <w:spacing w:after="0"/>
        <w:tabs>
          <w:tab w:leader="none" w:pos="9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fire, flooding, earthquakes and other natural disasters;</w:t>
      </w:r>
    </w:p>
    <w:p>
      <w:pPr>
        <w:spacing w:after="0" w:line="8" w:lineRule="exact"/>
        <w:rPr>
          <w:rFonts w:ascii="Times New Roman" w:cs="Times New Roman" w:eastAsia="Times New Roman" w:hAnsi="Times New Roman"/>
          <w:sz w:val="16"/>
          <w:szCs w:val="16"/>
          <w:color w:val="auto"/>
        </w:rPr>
      </w:pPr>
    </w:p>
    <w:p>
      <w:pPr>
        <w:ind w:left="900" w:hanging="294"/>
        <w:spacing w:after="0"/>
        <w:tabs>
          <w:tab w:leader="none" w:pos="9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pandemics;</w:t>
      </w:r>
    </w:p>
    <w:p>
      <w:pPr>
        <w:spacing w:after="0" w:line="8" w:lineRule="exact"/>
        <w:rPr>
          <w:rFonts w:ascii="Times New Roman" w:cs="Times New Roman" w:eastAsia="Times New Roman" w:hAnsi="Times New Roman"/>
          <w:sz w:val="16"/>
          <w:szCs w:val="16"/>
          <w:color w:val="auto"/>
        </w:rPr>
      </w:pPr>
    </w:p>
    <w:p>
      <w:pPr>
        <w:ind w:left="900" w:hanging="294"/>
        <w:spacing w:after="0"/>
        <w:tabs>
          <w:tab w:leader="none" w:pos="9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geological, construction, excavation and equipment problems; and</w:t>
      </w:r>
    </w:p>
    <w:p>
      <w:pPr>
        <w:spacing w:after="0" w:line="8" w:lineRule="exact"/>
        <w:rPr>
          <w:rFonts w:ascii="Times New Roman" w:cs="Times New Roman" w:eastAsia="Times New Roman" w:hAnsi="Times New Roman"/>
          <w:sz w:val="16"/>
          <w:szCs w:val="16"/>
          <w:color w:val="auto"/>
        </w:rPr>
      </w:pPr>
    </w:p>
    <w:p>
      <w:pPr>
        <w:ind w:left="900" w:right="1140" w:hanging="294"/>
        <w:spacing w:after="0" w:line="261" w:lineRule="auto"/>
        <w:tabs>
          <w:tab w:leader="none" w:pos="9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or denials of entitlements or permits, including zoning and related permits, or other delays resulting from requirements of public agencies and utility companies.</w:t>
      </w:r>
    </w:p>
    <w:p>
      <w:pPr>
        <w:spacing w:after="0" w:line="165" w:lineRule="exact"/>
        <w:rPr>
          <w:sz w:val="20"/>
          <w:szCs w:val="20"/>
          <w:color w:val="auto"/>
        </w:rPr>
      </w:pPr>
    </w:p>
    <w:p>
      <w:pPr>
        <w:ind w:left="320" w:right="300"/>
        <w:spacing w:after="0" w:line="243" w:lineRule="auto"/>
        <w:rPr>
          <w:sz w:val="20"/>
          <w:szCs w:val="20"/>
          <w:color w:val="auto"/>
        </w:rPr>
      </w:pPr>
      <w:r>
        <w:rPr>
          <w:rFonts w:ascii="Times New Roman" w:cs="Times New Roman" w:eastAsia="Times New Roman" w:hAnsi="Times New Roman"/>
          <w:sz w:val="16"/>
          <w:szCs w:val="16"/>
          <w:color w:val="auto"/>
        </w:rPr>
        <w:t>In addition, while we intend to develop data centers primarily in metropolitan areas we are familiar with, we may in the future develop data centers in new geographic regions where we expect the development to result in favorable risk -adjusted returns on our investment. We may not possess the same level of familiarity with the development of data centers in other metropolitan areas, which could adversely affect our ability to develop such data centers successfully or at all or to achieve expected performance.</w:t>
      </w:r>
    </w:p>
    <w:p>
      <w:pPr>
        <w:spacing w:after="0" w:line="155" w:lineRule="exact"/>
        <w:rPr>
          <w:sz w:val="20"/>
          <w:szCs w:val="20"/>
          <w:color w:val="auto"/>
        </w:rPr>
      </w:pPr>
    </w:p>
    <w:p>
      <w:pPr>
        <w:ind w:left="320" w:right="400"/>
        <w:spacing w:after="0" w:line="247" w:lineRule="auto"/>
        <w:rPr>
          <w:sz w:val="20"/>
          <w:szCs w:val="20"/>
          <w:color w:val="auto"/>
        </w:rPr>
      </w:pPr>
      <w:r>
        <w:rPr>
          <w:rFonts w:ascii="Times New Roman" w:cs="Times New Roman" w:eastAsia="Times New Roman" w:hAnsi="Times New Roman"/>
          <w:sz w:val="16"/>
          <w:szCs w:val="16"/>
          <w:color w:val="auto"/>
        </w:rPr>
        <w:t>Development activities, regardless of whether they are ultimately successful, also typically require a substantial portion of our management’s time and attention. This may distract our management from focusing on other operational activities of our business. If we are unable to complete development projects successfully, our business may be adversely affected.</w:t>
      </w:r>
    </w:p>
    <w:p>
      <w:pPr>
        <w:spacing w:after="0" w:line="66" w:lineRule="exact"/>
        <w:rPr>
          <w:sz w:val="20"/>
          <w:szCs w:val="20"/>
          <w:color w:val="auto"/>
        </w:rPr>
      </w:pPr>
    </w:p>
    <w:p>
      <w:pPr>
        <w:ind w:left="320" w:right="320"/>
        <w:spacing w:after="0" w:line="262" w:lineRule="auto"/>
        <w:rPr>
          <w:sz w:val="20"/>
          <w:szCs w:val="20"/>
          <w:color w:val="auto"/>
        </w:rPr>
      </w:pPr>
      <w:r>
        <w:rPr>
          <w:rFonts w:ascii="Times New Roman" w:cs="Times New Roman" w:eastAsia="Times New Roman" w:hAnsi="Times New Roman"/>
          <w:sz w:val="16"/>
          <w:szCs w:val="16"/>
          <w:b w:val="1"/>
          <w:bCs w:val="1"/>
          <w:color w:val="auto"/>
        </w:rPr>
        <w:t>Many of our costs, such as operating and general and administrative expenses, interest expense and real estate acquisition and construction costs, could be adversely impacted by periods of heightened inflation.</w:t>
      </w:r>
    </w:p>
    <w:p>
      <w:pPr>
        <w:spacing w:after="0" w:line="140" w:lineRule="exact"/>
        <w:rPr>
          <w:sz w:val="20"/>
          <w:szCs w:val="20"/>
          <w:color w:val="auto"/>
        </w:rPr>
      </w:pPr>
    </w:p>
    <w:p>
      <w:pPr>
        <w:ind w:left="320" w:right="520"/>
        <w:spacing w:after="0" w:line="247" w:lineRule="auto"/>
        <w:rPr>
          <w:sz w:val="20"/>
          <w:szCs w:val="20"/>
          <w:color w:val="auto"/>
        </w:rPr>
      </w:pPr>
      <w:r>
        <w:rPr>
          <w:rFonts w:ascii="Times New Roman" w:cs="Times New Roman" w:eastAsia="Times New Roman" w:hAnsi="Times New Roman"/>
          <w:sz w:val="16"/>
          <w:szCs w:val="16"/>
          <w:color w:val="auto"/>
        </w:rPr>
        <w:t>Over the past year, the consumer price index has increased substantially year over year. Federal policies and recent global events, such as the rising price of oil and the conflict between Russia and Ukraine, may have exacerbated, and may continue to exacerbate, inflation and increases in the consumer price index.</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35" w:name="page36"/>
    <w:bookmarkEnd w:id="35"/>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6" w:lineRule="exact"/>
        <w:rPr>
          <w:sz w:val="20"/>
          <w:szCs w:val="20"/>
          <w:color w:val="auto"/>
        </w:rPr>
      </w:pPr>
    </w:p>
    <w:p>
      <w:pPr>
        <w:ind w:left="320" w:right="320"/>
        <w:spacing w:after="0" w:line="237" w:lineRule="auto"/>
        <w:rPr>
          <w:sz w:val="20"/>
          <w:szCs w:val="20"/>
          <w:color w:val="auto"/>
        </w:rPr>
      </w:pPr>
      <w:r>
        <w:rPr>
          <w:rFonts w:ascii="Times New Roman" w:cs="Times New Roman" w:eastAsia="Times New Roman" w:hAnsi="Times New Roman"/>
          <w:sz w:val="16"/>
          <w:szCs w:val="16"/>
          <w:color w:val="auto"/>
        </w:rPr>
        <w:t>A sustained or further increase in inflation could have an adverse impact on our operating expenses incurred in connection with, among others, the property-related contracted services such as repairs and maintenance, utilities, security and insurance. With regard to utilities expense, which is our largest expense category, the vast majority of the expense is passed directly through to our customers which significantly mitigates our exposure to increases in power costs. For our other operating expenses, we expect to recover some increases from our customers through our existing lease structures, annual rent escalations or from the resetting of rents from our renewal and re-leasing activities. As a result, we do not believe that inflation would result in a significant adverse effect on our net operating income and operating cash flows at the property level. However, there can be no assurance that the impact of inflation will be adequately offset by some of our annual rent escalations contained in our leases, and it is possible that the resetting of rents from our renewal and re-leasing activities would not fully offset the impact of higher operating expenses resulting from inflationary pressure. As a result, during inflationary periods in which the inflation rate exceeds the annual rent escalation percentages within our customer contracts, we may not adequately mitigate the impact of inflation, which may adversely affect our business, financial condition, results of operations, and cash flows.</w:t>
      </w:r>
    </w:p>
    <w:p>
      <w:pPr>
        <w:spacing w:after="0" w:line="76" w:lineRule="exact"/>
        <w:rPr>
          <w:sz w:val="20"/>
          <w:szCs w:val="20"/>
          <w:color w:val="auto"/>
        </w:rPr>
      </w:pPr>
    </w:p>
    <w:p>
      <w:pPr>
        <w:ind w:left="320" w:right="420"/>
        <w:spacing w:after="0" w:line="241" w:lineRule="auto"/>
        <w:rPr>
          <w:sz w:val="20"/>
          <w:szCs w:val="20"/>
          <w:color w:val="auto"/>
        </w:rPr>
      </w:pPr>
      <w:r>
        <w:rPr>
          <w:rFonts w:ascii="Times New Roman" w:cs="Times New Roman" w:eastAsia="Times New Roman" w:hAnsi="Times New Roman"/>
          <w:sz w:val="16"/>
          <w:szCs w:val="16"/>
          <w:color w:val="auto"/>
        </w:rPr>
        <w:t>Our general and administrative expenses consist primarily of compensation costs and professional service fees. Rising inflation rates may require us to provide compensation increases beyond historical annual increases, which may unexpectedly or significantly increase our compensation costs. Similarly, professional service fees are also subject to the impact of inflation and expected to increase proportionately with increasing market prices for such services. Consequently, inflation may increase our general and administrative expenses over time and may adversely impact our results of operations and cash flows.</w:t>
      </w:r>
    </w:p>
    <w:p>
      <w:pPr>
        <w:spacing w:after="0" w:line="73" w:lineRule="exact"/>
        <w:rPr>
          <w:sz w:val="20"/>
          <w:szCs w:val="20"/>
          <w:color w:val="auto"/>
        </w:rPr>
      </w:pPr>
    </w:p>
    <w:p>
      <w:pPr>
        <w:ind w:left="320" w:right="300"/>
        <w:spacing w:after="0" w:line="237" w:lineRule="auto"/>
        <w:rPr>
          <w:sz w:val="20"/>
          <w:szCs w:val="20"/>
          <w:color w:val="auto"/>
        </w:rPr>
      </w:pPr>
      <w:r>
        <w:rPr>
          <w:rFonts w:ascii="Times New Roman" w:cs="Times New Roman" w:eastAsia="Times New Roman" w:hAnsi="Times New Roman"/>
          <w:sz w:val="16"/>
          <w:szCs w:val="16"/>
          <w:color w:val="auto"/>
        </w:rPr>
        <w:t>Additionally, inflationary pricing may have a negative effect on the construction costs necessary to complete our development projects, including, but not limited to, costs of construction equipment and materials, labor and services from third-party contractors and suppliers. We rely on a number of third-party suppliers and contractors to supply raw materials, skilled labor and services for our construction projects. Certain increases in the costs of construction equipment and materials can often be managed in our development projects through either general budget contingencies built into our overall construction cost estimates for each of our projects or guaranteed maximum price construction contracts, which stipulate a maximum price for certain construction costs and shift inflation risk to our construction general contractors. However, no assurance can be given that our budget contingencies would accurately account for potential construction cost increases given the current severity of inflation and variety of contributing factors or that our general contractors would be able to absorb such increases in costs and complete our construction projects timely, within budget, or at all. Higher construction costs could adversely impact our investments in real estate assets and expected yields on our development projects, which may adversely impact our returns on our investments. As a result, our business, financial condition, results of operations, cash flows, liquidity and ability to satisfy our debt service obligations and to pay dividends and distributions to security holders could be adversely affected over time.</w:t>
      </w:r>
    </w:p>
    <w:p>
      <w:pPr>
        <w:spacing w:after="0" w:line="73" w:lineRule="exact"/>
        <w:rPr>
          <w:sz w:val="20"/>
          <w:szCs w:val="20"/>
          <w:color w:val="auto"/>
        </w:rPr>
      </w:pPr>
    </w:p>
    <w:p>
      <w:pPr>
        <w:ind w:left="320" w:right="500"/>
        <w:spacing w:after="0" w:line="262" w:lineRule="auto"/>
        <w:rPr>
          <w:sz w:val="20"/>
          <w:szCs w:val="20"/>
          <w:color w:val="auto"/>
        </w:rPr>
      </w:pPr>
      <w:r>
        <w:rPr>
          <w:rFonts w:ascii="Times New Roman" w:cs="Times New Roman" w:eastAsia="Times New Roman" w:hAnsi="Times New Roman"/>
          <w:sz w:val="16"/>
          <w:szCs w:val="16"/>
          <w:b w:val="1"/>
          <w:bCs w:val="1"/>
          <w:color w:val="auto"/>
        </w:rPr>
        <w:t>We have substantial debt and face risks associated with the use of debt to fund our business activities, including refinancing and interest rate risks.</w:t>
      </w:r>
    </w:p>
    <w:p>
      <w:pPr>
        <w:spacing w:after="0" w:line="56" w:lineRule="exact"/>
        <w:rPr>
          <w:sz w:val="20"/>
          <w:szCs w:val="20"/>
          <w:color w:val="auto"/>
        </w:rPr>
      </w:pPr>
    </w:p>
    <w:p>
      <w:pPr>
        <w:ind w:left="320" w:right="320"/>
        <w:spacing w:after="0" w:line="238" w:lineRule="auto"/>
        <w:rPr>
          <w:sz w:val="20"/>
          <w:szCs w:val="20"/>
          <w:color w:val="auto"/>
        </w:rPr>
      </w:pPr>
      <w:r>
        <w:rPr>
          <w:rFonts w:ascii="Times New Roman" w:cs="Times New Roman" w:eastAsia="Times New Roman" w:hAnsi="Times New Roman"/>
          <w:sz w:val="16"/>
          <w:szCs w:val="16"/>
          <w:color w:val="auto"/>
        </w:rPr>
        <w:t>Our total consolidated indebtedness at December 31, 2024 was approximately $16.8 billion, and we may incur significant additional debt to finance future acquisition, investment and development activities. We have a Global Revolving Credit Facility and the Yen Revolving Credit Facility, which provide for borrowings of up to $4.4 billion (including approximately $0.3 billion available to be drawn on the Yen Revolving Credit Facility) based on currency commitments and foreign exchange rates as of December 31, 2024. We have the ability from time to time to increase the size of the Global Revolving Credit Facility by up to $1.8 billion, subject to receipt of lender commitments and other conditions precedent. At December 31, 2024, approximately $2.8 billion was available under this facility, net of outstanding letters of credit. As of February 18, 2025, we had approximately $3.3 billion available under the Global Revolving Credit Facility, net of outstanding letters of credit.</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36" w:name="page37"/>
    <w:bookmarkEnd w:id="36"/>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6" w:lineRule="exact"/>
        <w:rPr>
          <w:sz w:val="20"/>
          <w:szCs w:val="20"/>
          <w:color w:val="auto"/>
        </w:rPr>
      </w:pPr>
    </w:p>
    <w:p>
      <w:pPr>
        <w:ind w:left="320" w:right="420"/>
        <w:spacing w:after="0" w:line="239" w:lineRule="auto"/>
        <w:rPr>
          <w:sz w:val="20"/>
          <w:szCs w:val="20"/>
          <w:color w:val="auto"/>
        </w:rPr>
      </w:pPr>
      <w:r>
        <w:rPr>
          <w:rFonts w:ascii="Times New Roman" w:cs="Times New Roman" w:eastAsia="Times New Roman" w:hAnsi="Times New Roman"/>
          <w:sz w:val="16"/>
          <w:szCs w:val="16"/>
          <w:color w:val="auto"/>
        </w:rPr>
        <w:t>Our substantial indebtedness currently requires us to dedicate a significant portion of our cash flow from operations to debt service payments, which reduces the availability of our cash flow to fund working capital, capital expenditures, expansion efforts, distributions and other general corporate purposes. Additionally, it could: make it more difficult for us to satisfy our obligations with respect to our indebtedness; limit our ability in the future to undertake refinancing of our debt or obtain financing for expenditures, acquisitions, development or other general corporate purposes on terms and conditions acceptable to us, if at all; or affect adversely our ability to compete effectively or operate successfully under adverse economic conditions.</w:t>
      </w:r>
    </w:p>
    <w:p>
      <w:pPr>
        <w:spacing w:after="0" w:line="77" w:lineRule="exact"/>
        <w:rPr>
          <w:sz w:val="20"/>
          <w:szCs w:val="20"/>
          <w:color w:val="auto"/>
        </w:rPr>
      </w:pPr>
    </w:p>
    <w:p>
      <w:pPr>
        <w:ind w:left="320" w:right="380"/>
        <w:spacing w:after="0" w:line="238" w:lineRule="auto"/>
        <w:rPr>
          <w:sz w:val="20"/>
          <w:szCs w:val="20"/>
          <w:color w:val="auto"/>
        </w:rPr>
      </w:pPr>
      <w:r>
        <w:rPr>
          <w:rFonts w:ascii="Times New Roman" w:cs="Times New Roman" w:eastAsia="Times New Roman" w:hAnsi="Times New Roman"/>
          <w:sz w:val="16"/>
          <w:szCs w:val="16"/>
          <w:color w:val="auto"/>
        </w:rPr>
        <w:t>In addition, we may violate restrictive covenants or fail to maintain financial ratios specified in our loan documents, which would entitle the lenders to accelerate our debt obligations, and our secured lenders or mortgagees may foreclose on our properties or our interests in the entities that own the properties that secure their loans and receive an assignment of rents and leases. Our default under any one of our loans could result in a cross-default on other indebtedness. A foreclosure on one or more of our properties could adversely affect our access to capital, financial condition, results of operations, cash flow and cash available for distribution. Further, foreclosures could create taxable income without accompanying cash proceeds, a circumstance which could hinder Digital Realty Trust, Inc.’s ability to meet the REIT distribution requirements imposed by the Internal Revenue Code of 1986, as amended, or the Code.</w:t>
      </w:r>
    </w:p>
    <w:p>
      <w:pPr>
        <w:spacing w:after="0" w:line="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Additional risks related to our indebtedness include the following:</w:t>
      </w:r>
    </w:p>
    <w:p>
      <w:pPr>
        <w:spacing w:after="0" w:line="88" w:lineRule="exact"/>
        <w:rPr>
          <w:sz w:val="20"/>
          <w:szCs w:val="20"/>
          <w:color w:val="auto"/>
        </w:rPr>
      </w:pPr>
    </w:p>
    <w:p>
      <w:pPr>
        <w:ind w:left="320" w:right="32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We may be unable to refinance our indebtedness at maturity or the refinancing terms may be less favorable than the terms of our original indebtedness. </w:t>
      </w:r>
      <w:r>
        <w:rPr>
          <w:rFonts w:ascii="Times New Roman" w:cs="Times New Roman" w:eastAsia="Times New Roman" w:hAnsi="Times New Roman"/>
          <w:sz w:val="16"/>
          <w:szCs w:val="16"/>
          <w:color w:val="auto"/>
        </w:rPr>
        <w:t>It is likely that we will need to refinance at least a portion of our outstanding debt as it matures. If we are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unable to refinance or extend principal payments due at maturity or pay them with proceeds of other capital transactions, then our cash flow may not be sufficient in all years to repay all such maturing debt and to pay distributions. Further, if prevailing interest rates or other factors at the time of refinancing, such as the reluctance of lenders to make commercial real estate loans, result in higher interest rates upon refinancing, then the interest expense relating to that refinanced indebtedness would increase.</w:t>
      </w:r>
    </w:p>
    <w:p>
      <w:pPr>
        <w:spacing w:after="0" w:line="72" w:lineRule="exact"/>
        <w:rPr>
          <w:sz w:val="20"/>
          <w:szCs w:val="20"/>
          <w:color w:val="auto"/>
        </w:rPr>
      </w:pPr>
    </w:p>
    <w:p>
      <w:pPr>
        <w:ind w:left="320" w:right="340"/>
        <w:spacing w:after="0" w:line="238" w:lineRule="auto"/>
        <w:rPr>
          <w:sz w:val="20"/>
          <w:szCs w:val="20"/>
          <w:color w:val="auto"/>
        </w:rPr>
      </w:pPr>
      <w:r>
        <w:rPr>
          <w:rFonts w:ascii="Times New Roman" w:cs="Times New Roman" w:eastAsia="Times New Roman" w:hAnsi="Times New Roman"/>
          <w:sz w:val="16"/>
          <w:szCs w:val="16"/>
          <w:b w:val="1"/>
          <w:bCs w:val="1"/>
          <w:i w:val="1"/>
          <w:iCs w:val="1"/>
          <w:color w:val="auto"/>
        </w:rPr>
        <w:t xml:space="preserve">Fluctuations in interest rates could materially affect our financial results and may increase the risk our counterparty defaults on our interest rate hedges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Because a significant portion of our debt, including debt incurred under our Global Revolving Credit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Facilities, bears interest at variable rates, increases in interest rates could materially increase our interest expense. If the United States Federal Reserve and other central banks increase short-term interest rates, this could have a significant upward impact on the interest rates that apply to our variable rate debt. Potential future increases in interest rates and credit spreads may increase our interest expense and therefore negatively affect our financial condition and results of operations, and reduce our access to capital markets. We have entered into interest rate swap agreements and cross currency swap agreements. Our derivative transactions expose us to risk of financial loss if a counterparty fails to perform under a derivative contract. Disruptions in the financial markets could lead to sudden decreases in a counterparty's liquidity, which could make them unable to perform under the terms of their derivative contract and we may not be able to realize the benefit of the derivative contract.</w:t>
      </w:r>
    </w:p>
    <w:p>
      <w:pPr>
        <w:spacing w:after="0" w:line="72" w:lineRule="exact"/>
        <w:rPr>
          <w:sz w:val="20"/>
          <w:szCs w:val="20"/>
          <w:color w:val="auto"/>
        </w:rPr>
      </w:pPr>
    </w:p>
    <w:p>
      <w:pPr>
        <w:ind w:left="320" w:right="320"/>
        <w:spacing w:after="0" w:line="237" w:lineRule="auto"/>
        <w:rPr>
          <w:sz w:val="20"/>
          <w:szCs w:val="20"/>
          <w:color w:val="auto"/>
        </w:rPr>
      </w:pPr>
      <w:r>
        <w:rPr>
          <w:rFonts w:ascii="Times New Roman" w:cs="Times New Roman" w:eastAsia="Times New Roman" w:hAnsi="Times New Roman"/>
          <w:sz w:val="16"/>
          <w:szCs w:val="16"/>
          <w:b w:val="1"/>
          <w:bCs w:val="1"/>
          <w:i w:val="1"/>
          <w:iCs w:val="1"/>
          <w:color w:val="auto"/>
        </w:rPr>
        <w:t xml:space="preserve">Adverse changes in our Company’s credit ratings could negatively affect our financing activity. </w:t>
      </w:r>
      <w:r>
        <w:rPr>
          <w:rFonts w:ascii="Times New Roman" w:cs="Times New Roman" w:eastAsia="Times New Roman" w:hAnsi="Times New Roman"/>
          <w:sz w:val="16"/>
          <w:szCs w:val="16"/>
          <w:color w:val="auto"/>
        </w:rPr>
        <w:t>The credit ratings of our senior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unsecured long-term debt and Digital Realty Trust, Inc.’s preferred stock are based on our Company’s operating performance, liquidity and leverage ratios, overall financial position and other factors employed by the credit rating agencies in their rating analyses of our Company. Our Company’s credit ratings can affect the amount of capital we can access, as well as the terms and pricing of any debt we may incur. We cannot assure you that we will be able to maintain our current credit ratings, and in the event our current credit ratings are downgraded, we would likely incur higher borrowing costs and may encounter difficulty in obtaining additional financing. Also, a downgrade in our credit ratings may trigger additional payments or other negative consequences under our current and future credit facilities and debt instruments. For example, if the credit ratings of our senior unsecured long -term debt are downgraded to below investment grade levels, we may not be able to obtain or maintain extensions on certain of our existing debt. Adverse changes in our credit ratings could negatively impact our refinancing and other capital market activities, our ability to manage our debt maturities, our future growth, our financial condition, the market price of Digital Realty Trust, Inc.’s stock, and our development and acquisition activity.</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37" w:name="page38"/>
    <w:bookmarkEnd w:id="37"/>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2" w:lineRule="exact"/>
        <w:rPr>
          <w:sz w:val="20"/>
          <w:szCs w:val="20"/>
          <w:color w:val="auto"/>
        </w:rPr>
      </w:pPr>
    </w:p>
    <w:p>
      <w:pPr>
        <w:ind w:left="320" w:right="460"/>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Our Global Revolving Credit Facilities and senior notes restrict our ability to engage in some business activities .</w:t>
      </w:r>
      <w:r>
        <w:rPr>
          <w:rFonts w:ascii="Times New Roman" w:cs="Times New Roman" w:eastAsia="Times New Roman" w:hAnsi="Times New Roman"/>
          <w:sz w:val="16"/>
          <w:szCs w:val="16"/>
          <w:color w:val="auto"/>
        </w:rPr>
        <w:t>Our Global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Revolving Credit Facilities contain negative covenants and other financial and operating covenants that, among other things, restrict our ability to: incur additional indebtedness; make certain investments; merge with another company; and create, incur or assume liens; and require us to maintain financial coverage ratios, including with respect to unencumbered assets.</w:t>
      </w:r>
    </w:p>
    <w:p>
      <w:pPr>
        <w:spacing w:after="0" w:line="72" w:lineRule="exact"/>
        <w:rPr>
          <w:sz w:val="20"/>
          <w:szCs w:val="20"/>
          <w:color w:val="auto"/>
        </w:rPr>
      </w:pPr>
    </w:p>
    <w:p>
      <w:pPr>
        <w:ind w:left="320" w:right="440"/>
        <w:spacing w:after="0" w:line="243" w:lineRule="auto"/>
        <w:rPr>
          <w:sz w:val="20"/>
          <w:szCs w:val="20"/>
          <w:color w:val="auto"/>
        </w:rPr>
      </w:pPr>
      <w:r>
        <w:rPr>
          <w:rFonts w:ascii="Times New Roman" w:cs="Times New Roman" w:eastAsia="Times New Roman" w:hAnsi="Times New Roman"/>
          <w:sz w:val="16"/>
          <w:szCs w:val="16"/>
          <w:color w:val="auto"/>
        </w:rPr>
        <w:t>In addition, the Global Revolving Credit Facilities restrict Digital Realty Trust, Inc. from making distributions to its stockholders, or redeeming or otherwise repurchasing shares of its capital stock, after the occurrence and during the continuance of an event of default, except in limited circumstances including as necessary to enable Digital Realty Trust, Inc. to maintain its qualification as a REIT and to avoid the payment of income or excise tax.</w:t>
      </w:r>
    </w:p>
    <w:p>
      <w:pPr>
        <w:spacing w:after="0" w:line="71" w:lineRule="exact"/>
        <w:rPr>
          <w:sz w:val="20"/>
          <w:szCs w:val="20"/>
          <w:color w:val="auto"/>
        </w:rPr>
      </w:pPr>
    </w:p>
    <w:p>
      <w:pPr>
        <w:ind w:left="320" w:right="380"/>
        <w:spacing w:after="0" w:line="239" w:lineRule="auto"/>
        <w:rPr>
          <w:sz w:val="20"/>
          <w:szCs w:val="20"/>
          <w:color w:val="auto"/>
        </w:rPr>
      </w:pPr>
      <w:r>
        <w:rPr>
          <w:rFonts w:ascii="Times New Roman" w:cs="Times New Roman" w:eastAsia="Times New Roman" w:hAnsi="Times New Roman"/>
          <w:sz w:val="16"/>
          <w:szCs w:val="16"/>
          <w:color w:val="auto"/>
        </w:rPr>
        <w:t>In addition, our unsecured senior notes are governed by indentures, which contain various restrictive covenants, including limitations on our ability to incur indebtedness and requirements to maintain a pool of unencumbered assets. These restrictions, and the restrictions in our Global Revolving Credit Facilities, could cause us to default on our senior notes or Global Revolving Credit Facilities, as applicable, or negatively affect our operations or our ability to pay dividends to Digital Realty Trust, Inc.’s stockholders or distributions to Digital Realty Trust, L.P.’s unitholders, which could have a material adverse effect on the market value of Digital Realty Trust, Inc.’s common stock and preferred stock.</w:t>
      </w:r>
    </w:p>
    <w:p>
      <w:pPr>
        <w:spacing w:after="0" w:line="73" w:lineRule="exact"/>
        <w:rPr>
          <w:sz w:val="20"/>
          <w:szCs w:val="20"/>
          <w:color w:val="auto"/>
        </w:rPr>
      </w:pPr>
    </w:p>
    <w:p>
      <w:pPr>
        <w:ind w:left="320" w:right="320"/>
        <w:spacing w:after="0" w:line="237" w:lineRule="auto"/>
        <w:rPr>
          <w:sz w:val="20"/>
          <w:szCs w:val="20"/>
          <w:color w:val="auto"/>
        </w:rPr>
      </w:pPr>
      <w:r>
        <w:rPr>
          <w:rFonts w:ascii="Times New Roman" w:cs="Times New Roman" w:eastAsia="Times New Roman" w:hAnsi="Times New Roman"/>
          <w:sz w:val="16"/>
          <w:szCs w:val="16"/>
          <w:b w:val="1"/>
          <w:bCs w:val="1"/>
          <w:i w:val="1"/>
          <w:iCs w:val="1"/>
          <w:color w:val="auto"/>
        </w:rPr>
        <w:t>Failure to hedge effectively against interest rate changes may adversely affect results of operations .</w:t>
      </w:r>
      <w:r>
        <w:rPr>
          <w:rFonts w:ascii="Times New Roman" w:cs="Times New Roman" w:eastAsia="Times New Roman" w:hAnsi="Times New Roman"/>
          <w:sz w:val="16"/>
          <w:szCs w:val="16"/>
          <w:color w:val="auto"/>
        </w:rPr>
        <w:t>We seek to manage our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exposure to interest rate volatility by issuing fixed rate debt instruments and by using interest rate hedging arrangements, such as interest rate cap, forward or swap lock agreements. These agreements involve risks, such as the risk that counterparties may fail to honor their obligations under these arrangements, that these arrangements may not be effective in reducing our exposure to interest rate changes and that a court could rule that such an agreement is not legally enforceable. Our policy is to use these derivatives only to hedge interest rate risks related to our borrowings, not for speculative or trading purposes, and to enter into contracts only with major financial institutions based on their credit ratings and other factors. However, we may choose to change this policy in the future. Approximately 91% of our total indebtedness as of December 31, 2024 was subject to fixed interest rates or variable rates subject to interest rate swaps. We do not currently hedge our Global Revolving Credit Facilities and as our borrowings under our Global Revolving Credit Facilities increase, our percentage of indebtedness not subject to fixed rates and our exposure to interest rates may increase. Hedging may reduce the overall returns on our investments. Failure to hedge effectively against interest rate changes may materially adversely affect our results of operations.</w:t>
      </w:r>
    </w:p>
    <w:p>
      <w:pPr>
        <w:spacing w:after="0" w:line="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Our growth depends on external sources of capital which are outside of our control.</w:t>
      </w:r>
    </w:p>
    <w:p>
      <w:pPr>
        <w:spacing w:after="0" w:line="94" w:lineRule="exact"/>
        <w:rPr>
          <w:sz w:val="20"/>
          <w:szCs w:val="20"/>
          <w:color w:val="auto"/>
        </w:rPr>
      </w:pPr>
    </w:p>
    <w:p>
      <w:pPr>
        <w:ind w:left="320" w:right="440"/>
        <w:spacing w:after="0" w:line="278" w:lineRule="auto"/>
        <w:rPr>
          <w:sz w:val="20"/>
          <w:szCs w:val="20"/>
          <w:color w:val="auto"/>
        </w:rPr>
      </w:pPr>
      <w:r>
        <w:rPr>
          <w:rFonts w:ascii="Times New Roman" w:cs="Times New Roman" w:eastAsia="Times New Roman" w:hAnsi="Times New Roman"/>
          <w:sz w:val="14"/>
          <w:szCs w:val="14"/>
          <w:color w:val="auto"/>
        </w:rPr>
        <w:t>In order for Digital Realty Trust, Inc. to maintain its qualification as a REIT, it is required under the Code to annually distribute at least 90% of its REIT taxable income determined without regard to the dividends paid deduction and excluding any net capital gain. In addition, Digital Realty Trust, Inc. will be subject to federal and state corporate income taxes to the extent that it distributes less than 100% of its REIT taxable income, including any net capital gains. Digital Realty Trust, L.P. is required to make distributions to Digital Realty Trust, Inc. that will enable the latter to satisfy this distribution requirement and avoid income and excise tax liability. Because of these distribution requirements, we may not be able to fund future capital needs, including any necessary acquisition or development financing, from operating cash flow. Consequently, we may rely on third-party sources to fund our capital needs.</w:t>
      </w:r>
    </w:p>
    <w:p>
      <w:pPr>
        <w:spacing w:after="0" w:line="51" w:lineRule="exact"/>
        <w:rPr>
          <w:sz w:val="20"/>
          <w:szCs w:val="20"/>
          <w:color w:val="auto"/>
        </w:rPr>
      </w:pPr>
    </w:p>
    <w:p>
      <w:pPr>
        <w:ind w:left="320" w:right="360"/>
        <w:spacing w:after="0" w:line="238" w:lineRule="auto"/>
        <w:rPr>
          <w:sz w:val="20"/>
          <w:szCs w:val="20"/>
          <w:color w:val="auto"/>
        </w:rPr>
      </w:pPr>
      <w:r>
        <w:rPr>
          <w:rFonts w:ascii="Times New Roman" w:cs="Times New Roman" w:eastAsia="Times New Roman" w:hAnsi="Times New Roman"/>
          <w:sz w:val="16"/>
          <w:szCs w:val="16"/>
          <w:color w:val="auto"/>
        </w:rPr>
        <w:t>Our access to third-party sources of capital depends on a number of factors, including general market conditions, the market’s perception of our business prospects and growth potential, our current and expected future earnings, funds from operations, our cash flow and cash distributions, and the market price per share of Digital Realty Trust, Inc.’s common stock. We cannot assure you that we will be able to obtain equity or debt financing at all or on terms favorable or acceptable to us. Any additional debt we incur will increase our leverage. Further, equity markets have experienced high volatility recently and we cannot assure you that we will be able to raise capital through the sale of equity securities at all or on favorable terms. Sales of equity on unfavorable terms could result in substantial dilution to Digital Realty Trust, Inc.’s common stockholders and Digital Realty Trust, L.P.’s unitholders. In addition, we may be forced to dispose of one or more of our properties, possibly on disadvantageous terms.</w:t>
      </w:r>
    </w:p>
    <w:p>
      <w:pPr>
        <w:spacing w:after="0" w:line="77" w:lineRule="exact"/>
        <w:rPr>
          <w:sz w:val="20"/>
          <w:szCs w:val="20"/>
          <w:color w:val="auto"/>
        </w:rPr>
      </w:pPr>
    </w:p>
    <w:p>
      <w:pPr>
        <w:ind w:left="320" w:right="780"/>
        <w:spacing w:after="0" w:line="247" w:lineRule="auto"/>
        <w:rPr>
          <w:sz w:val="20"/>
          <w:szCs w:val="20"/>
          <w:color w:val="auto"/>
        </w:rPr>
      </w:pPr>
      <w:r>
        <w:rPr>
          <w:rFonts w:ascii="Times New Roman" w:cs="Times New Roman" w:eastAsia="Times New Roman" w:hAnsi="Times New Roman"/>
          <w:sz w:val="16"/>
          <w:szCs w:val="16"/>
          <w:color w:val="auto"/>
        </w:rPr>
        <w:t>If we cannot obtain capital from third-party sources, we may not be able to acquire or develop data centers when strategic opportunities exist, satisfy our debt service obligations, pay cash dividends to Digital Realty Trust, Inc.’s stockholders or make distributions to Digital Realty Trust, L.P.’s unitholders.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38" w:name="page39"/>
    <w:bookmarkEnd w:id="38"/>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ind w:left="320" w:right="760"/>
        <w:spacing w:after="0" w:line="262" w:lineRule="auto"/>
        <w:rPr>
          <w:sz w:val="20"/>
          <w:szCs w:val="20"/>
          <w:color w:val="auto"/>
        </w:rPr>
      </w:pPr>
      <w:r>
        <w:rPr>
          <w:rFonts w:ascii="Times New Roman" w:cs="Times New Roman" w:eastAsia="Times New Roman" w:hAnsi="Times New Roman"/>
          <w:sz w:val="16"/>
          <w:szCs w:val="16"/>
          <w:b w:val="1"/>
          <w:bCs w:val="1"/>
          <w:color w:val="auto"/>
        </w:rPr>
        <w:t>Declining real estate valuations, impairment charges and illiquidity of real estate investments could adversely affect our earnings and financial condition.</w:t>
      </w:r>
    </w:p>
    <w:p>
      <w:pPr>
        <w:spacing w:after="0" w:line="56" w:lineRule="exact"/>
        <w:rPr>
          <w:sz w:val="20"/>
          <w:szCs w:val="20"/>
          <w:color w:val="auto"/>
        </w:rPr>
      </w:pPr>
    </w:p>
    <w:p>
      <w:pPr>
        <w:ind w:left="320" w:right="360"/>
        <w:spacing w:after="0" w:line="273" w:lineRule="auto"/>
        <w:rPr>
          <w:sz w:val="20"/>
          <w:szCs w:val="20"/>
          <w:color w:val="auto"/>
        </w:rPr>
      </w:pPr>
      <w:r>
        <w:rPr>
          <w:rFonts w:ascii="Times New Roman" w:cs="Times New Roman" w:eastAsia="Times New Roman" w:hAnsi="Times New Roman"/>
          <w:sz w:val="14"/>
          <w:szCs w:val="14"/>
          <w:color w:val="auto"/>
        </w:rPr>
        <w:t>We review each of our properties for indicators that its carrying amount may not be recoverable. Examples of such indicators may include a significant decrease in the market price, a significant adverse change in how the property is being used or expected to be used based on the underwriting at the time of acquisition, an accumulation of costs significantly in excess of the amount originally expected for the acquisition or development, a change in our intended holding period due to our intention to sell an asset, or a history of operating or cash flow losses. When such impairment indicators exist, we review an estimate of the future undiscounted net cash flows (excluding interest charges) expected to result from the real estate investments or group of properties that operate together as a group use and eventual disposition and compare it to the carrying value of the property or asset group. We consider factors such as future operating income, trends and prospects, as well as the effects of leasing demand, competition and other factors. If our future undiscounted net cash flow evaluation indicates that we are unable to recover the carrying value of a real estate investment, an impairment loss is recorded to the extent that the carrying value exceeds the estimated fair value of the property or asset group. These losses have a direct impact on our net income because recording an impairment loss results in an immediate negative adjustment to net income. The evaluation of anticipated cash flows is highly subjective and is based in part on assumptions regarding future occupancy, rental rates and capital requirements that could differ materially from actual results in future periods. A worsening real estate market may cause us to reevaluate the assumptions used in our impairment analysis. These impairment charges could be significant and could adversely affect our financial condition, results of operations and cash available for distribution.</w:t>
      </w:r>
    </w:p>
    <w:p>
      <w:pPr>
        <w:spacing w:after="0" w:line="233" w:lineRule="exact"/>
        <w:rPr>
          <w:sz w:val="20"/>
          <w:szCs w:val="20"/>
          <w:color w:val="auto"/>
        </w:rPr>
      </w:pPr>
    </w:p>
    <w:p>
      <w:pPr>
        <w:ind w:left="320" w:right="400"/>
        <w:spacing w:after="0" w:line="238" w:lineRule="auto"/>
        <w:rPr>
          <w:sz w:val="20"/>
          <w:szCs w:val="20"/>
          <w:color w:val="auto"/>
        </w:rPr>
      </w:pPr>
      <w:r>
        <w:rPr>
          <w:rFonts w:ascii="Times New Roman" w:cs="Times New Roman" w:eastAsia="Times New Roman" w:hAnsi="Times New Roman"/>
          <w:sz w:val="16"/>
          <w:szCs w:val="16"/>
          <w:color w:val="auto"/>
        </w:rPr>
        <w:t>Because real estate investments are relatively illiquid and because there may be even fewer buyers for our specialized real estate, our ability to promptly sell properties in our portfolio in response to adverse changes in their performance may be limited, which may harm our financial condition. Further, Digital Realty Trust, Inc. is subject to provisions in the Code that limit a REIT’s ability to dispose of properties, which limitations are not applicable to other types of real estate companies. See “Risks Related to Our Organizational Structure—Digital Realty Trust, Inc.’s duty to its stockholders may conflict with the interests of Digital Realty Trust, L.P.’s unitholders—Tax consequences upon sale or refinancing.” While Digital Realty Trust, Inc. has exclusive authority under Digital Realty Trust, L.P.’s limited partnership agreement to determine whether, when, and on what terms to sell a property, such decisions may require the approval of Digital Realty Trust, Inc.’s Board of Directors. These limitations may affect our ability to sell properties.</w:t>
      </w:r>
    </w:p>
    <w:p>
      <w:pPr>
        <w:spacing w:after="0" w:line="74" w:lineRule="exact"/>
        <w:rPr>
          <w:sz w:val="20"/>
          <w:szCs w:val="20"/>
          <w:color w:val="auto"/>
        </w:rPr>
      </w:pPr>
    </w:p>
    <w:p>
      <w:pPr>
        <w:ind w:left="320" w:right="620"/>
        <w:spacing w:after="0" w:line="247" w:lineRule="auto"/>
        <w:rPr>
          <w:sz w:val="20"/>
          <w:szCs w:val="20"/>
          <w:color w:val="auto"/>
        </w:rPr>
      </w:pPr>
      <w:r>
        <w:rPr>
          <w:rFonts w:ascii="Times New Roman" w:cs="Times New Roman" w:eastAsia="Times New Roman" w:hAnsi="Times New Roman"/>
          <w:sz w:val="16"/>
          <w:szCs w:val="16"/>
          <w:color w:val="auto"/>
        </w:rPr>
        <w:t>This lack of liquidity and the Code restrictions may limit our ability to adjust our portfolio promptly in response to changes in economic or other conditions and, as a result, could adversely affect our financial condition, results of operations, cash flow, cash available for distribution and ability to access capital necessary to meet our debt payments and other obligations.</w:t>
      </w:r>
    </w:p>
    <w:p>
      <w:pPr>
        <w:spacing w:after="0" w:line="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Our success depends on key personnel whose continued service is not guaranteed.</w:t>
      </w:r>
    </w:p>
    <w:p>
      <w:pPr>
        <w:spacing w:after="0" w:line="94" w:lineRule="exact"/>
        <w:rPr>
          <w:sz w:val="20"/>
          <w:szCs w:val="20"/>
          <w:color w:val="auto"/>
        </w:rPr>
      </w:pPr>
    </w:p>
    <w:p>
      <w:pPr>
        <w:ind w:left="320" w:right="340"/>
        <w:spacing w:after="0" w:line="237" w:lineRule="auto"/>
        <w:rPr>
          <w:sz w:val="20"/>
          <w:szCs w:val="20"/>
          <w:color w:val="auto"/>
        </w:rPr>
      </w:pPr>
      <w:r>
        <w:rPr>
          <w:rFonts w:ascii="Times New Roman" w:cs="Times New Roman" w:eastAsia="Times New Roman" w:hAnsi="Times New Roman"/>
          <w:sz w:val="16"/>
          <w:szCs w:val="16"/>
          <w:color w:val="auto"/>
        </w:rPr>
        <w:t>We depend on the efforts of key personnel of our Company, particularly Andrew P. Power, our President &amp; Chief Executive Officer, and Matthew Mercier, our Chief Financial Officer. They are important to our success for many reasons, including that each has a national or regional reputation in our industry and the investment community that attracts investors and business and investment opportunities and assists us in negotiations with investors, lenders, existing and potential customers and industry personnel. If we lost their services, our business and investment opportunities and our relationships with lenders and other capital markets participants, existing and prospective customers and industry personnel could suffer. Many of our Company’s other senior employees also have strong technology, finance and real estate industry reputations. As a result, we have greater access to potential acquisitions, financing, leasing and other opportunities, and are better able to negotiate with customers. As the number of our competitors increases, it becomes more likely that a competitor would attempt to hire certain of these individuals away from our Company. The loss of any of these key personnel would result in the loss of these and other benefits and could materially and adversely affect our results of operations.</w:t>
      </w:r>
    </w:p>
    <w:p>
      <w:pPr>
        <w:spacing w:after="0" w:line="78" w:lineRule="exact"/>
        <w:rPr>
          <w:sz w:val="20"/>
          <w:szCs w:val="20"/>
          <w:color w:val="auto"/>
        </w:rPr>
      </w:pPr>
    </w:p>
    <w:p>
      <w:pPr>
        <w:jc w:val="both"/>
        <w:ind w:left="320" w:right="580"/>
        <w:spacing w:after="0" w:line="299" w:lineRule="auto"/>
        <w:rPr>
          <w:sz w:val="20"/>
          <w:szCs w:val="20"/>
          <w:color w:val="auto"/>
        </w:rPr>
      </w:pPr>
      <w:r>
        <w:rPr>
          <w:rFonts w:ascii="Times New Roman" w:cs="Times New Roman" w:eastAsia="Times New Roman" w:hAnsi="Times New Roman"/>
          <w:sz w:val="14"/>
          <w:szCs w:val="14"/>
          <w:color w:val="auto"/>
        </w:rPr>
        <w:t>We also depend on the talents and efforts of highly skilled technical individuals. Our success depends on our continuing ability to identify, hire, develop, motivate, and retain highly skilled technical personnel for all areas of our organization. Competition in our industry for qualified technical employees is intense, and the availability of qualified technical personnel is not guaranteed.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39" w:name="page40"/>
    <w:bookmarkEnd w:id="39"/>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We may have difficulty managing our growth.</w:t>
      </w:r>
    </w:p>
    <w:p>
      <w:pPr>
        <w:spacing w:after="0" w:line="94" w:lineRule="exact"/>
        <w:rPr>
          <w:sz w:val="20"/>
          <w:szCs w:val="20"/>
          <w:color w:val="auto"/>
        </w:rPr>
      </w:pPr>
    </w:p>
    <w:p>
      <w:pPr>
        <w:ind w:left="320" w:right="320"/>
        <w:spacing w:after="0" w:line="278" w:lineRule="auto"/>
        <w:rPr>
          <w:sz w:val="20"/>
          <w:szCs w:val="20"/>
          <w:color w:val="auto"/>
        </w:rPr>
      </w:pPr>
      <w:r>
        <w:rPr>
          <w:rFonts w:ascii="Times New Roman" w:cs="Times New Roman" w:eastAsia="Times New Roman" w:hAnsi="Times New Roman"/>
          <w:sz w:val="14"/>
          <w:szCs w:val="14"/>
          <w:color w:val="auto"/>
        </w:rPr>
        <w:t>We have significantly and rapidly expanded the size of our Company. Our growth may significantly strain our management, operational and financial resources and systems. In addition, as a reporting company, we are subject to the reporting requirements of the Securities Exchange Act of 1934 and the Sarbanes -Oxley Act of 2002, or the Sarbanes-Oxley Act. The requirements of these rules and regulations subject us to certain accounting, legal and financial compliance costs and may strain our management and financial, legal and operational resources and systems. An inability to manage our growth effectively or the increased strain on our management of our resources and systems could result in deficiencies in our disclosure controls and procedures or our internal control over financial reporting and could negatively impact financial condition, results of operations and our cash available for distribution.</w:t>
      </w:r>
    </w:p>
    <w:p>
      <w:pPr>
        <w:spacing w:after="0" w:line="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Potential losses may not be covered by insurance.</w:t>
      </w:r>
    </w:p>
    <w:p>
      <w:pPr>
        <w:spacing w:after="0" w:line="94" w:lineRule="exact"/>
        <w:rPr>
          <w:sz w:val="20"/>
          <w:szCs w:val="20"/>
          <w:color w:val="auto"/>
        </w:rPr>
      </w:pPr>
    </w:p>
    <w:p>
      <w:pPr>
        <w:ind w:left="320" w:right="320"/>
        <w:spacing w:after="0" w:line="237" w:lineRule="auto"/>
        <w:rPr>
          <w:sz w:val="20"/>
          <w:szCs w:val="20"/>
          <w:color w:val="auto"/>
        </w:rPr>
      </w:pPr>
      <w:r>
        <w:rPr>
          <w:rFonts w:ascii="Times New Roman" w:cs="Times New Roman" w:eastAsia="Times New Roman" w:hAnsi="Times New Roman"/>
          <w:sz w:val="16"/>
          <w:szCs w:val="16"/>
          <w:color w:val="auto"/>
        </w:rPr>
        <w:t>We currently carry commercial general liability, property, business interruption, including loss of rental income, and other insurance policies to cover insurable risks to our Company. We select policy specifications, insured limits and deductibles which we believe to be appropriate and adequate given the relative risk of loss, the cost of the coverage and standard industry practices. Our insurance policies contain industry standard coverage terms, limits and exclusions. We do not carry insurance for generally uninsurable events, such as loss from war or nuclear reaction. We insure other catastrophic events, such as floods, earthquakes and hurricanes based on commercially reasonable deductible limits, and such insurance may be insufficient to fully cover our losses. For example, an earthquake in California, could significantly impact multiple properties, the aggregate deductible amounts could be significant and the limits we purchase could prove to be insufficient, which could materially and adversely impact our business, financial condition and results of operations. Furthermore, a catastrophic regional event could also severely impact some of our insurers rendering them insolvent or unable to fully pay on claims despite their current financial strength. We may discontinue purchasing insurance against earthquake, flood or windstorm or other perils on some or all of our properties in the future if the cost of premiums for any of these policies exceeds, in our judgment, the value of the coverage relative to the risk of loss.</w:t>
      </w:r>
    </w:p>
    <w:p>
      <w:pPr>
        <w:spacing w:after="0" w:line="76" w:lineRule="exact"/>
        <w:rPr>
          <w:sz w:val="20"/>
          <w:szCs w:val="20"/>
          <w:color w:val="auto"/>
        </w:rPr>
      </w:pPr>
    </w:p>
    <w:p>
      <w:pPr>
        <w:ind w:left="320" w:right="400"/>
        <w:spacing w:after="0" w:line="237" w:lineRule="auto"/>
        <w:rPr>
          <w:sz w:val="20"/>
          <w:szCs w:val="20"/>
          <w:color w:val="auto"/>
        </w:rPr>
      </w:pPr>
      <w:r>
        <w:rPr>
          <w:rFonts w:ascii="Times New Roman" w:cs="Times New Roman" w:eastAsia="Times New Roman" w:hAnsi="Times New Roman"/>
          <w:sz w:val="16"/>
          <w:szCs w:val="16"/>
          <w:color w:val="auto"/>
        </w:rPr>
        <w:t>In addition, many of our buildings contain extensive and highly valuable technology -related improvements. Under the terms of our agreements with customers, customers are obligated to maintain adequate insurance coverage applicable to such improvements and under most circumstances use their insurance proceeds to restore such improvements after a casualty event. In the event of a casualty or other loss involving one of our buildings with extensive installed tenant improvements, our customers may have the right to terminate their leases if we do not rebuild the base building within prescribed times. In such cases, the proceeds from customers’ insurance will not be available to us to restore the improvements, and our insurance coverage may be insufficient to replicate the technology-related improvements made by such customers. Furthermore, the terms of our mortgage indebtedness at certain of our properties may require us to pay insurance proceeds over to our lenders under certain circumstances, rather than use the proceeds to repair the property. If we or one or more of our customers experience a loss which is uninsured or which exceeds policy limits, we could lose the capital invested in the damaged properties as well as the anticipated future cash flows from those properties. In addition, if the damaged properties are subject to recourse indebtedness, we would continue to be liable for the indebtedness, even if these properties were irreparably damaged.</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40" w:name="page41"/>
    <w:bookmarkEnd w:id="40"/>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ind w:left="320" w:right="500"/>
        <w:spacing w:after="0" w:line="262" w:lineRule="auto"/>
        <w:rPr>
          <w:sz w:val="20"/>
          <w:szCs w:val="20"/>
          <w:color w:val="auto"/>
        </w:rPr>
      </w:pPr>
      <w:r>
        <w:rPr>
          <w:rFonts w:ascii="Times New Roman" w:cs="Times New Roman" w:eastAsia="Times New Roman" w:hAnsi="Times New Roman"/>
          <w:sz w:val="16"/>
          <w:szCs w:val="16"/>
          <w:b w:val="1"/>
          <w:bCs w:val="1"/>
          <w:color w:val="auto"/>
        </w:rPr>
        <w:t>We could incur significant costs related to environmental matters, including from government regulation, private litigation, and existing conditions at some of our properties.</w:t>
      </w:r>
    </w:p>
    <w:p>
      <w:pPr>
        <w:spacing w:after="0" w:line="56" w:lineRule="exact"/>
        <w:rPr>
          <w:sz w:val="20"/>
          <w:szCs w:val="20"/>
          <w:color w:val="auto"/>
        </w:rPr>
      </w:pPr>
    </w:p>
    <w:p>
      <w:pPr>
        <w:ind w:left="320" w:right="340"/>
        <w:spacing w:after="0" w:line="236" w:lineRule="auto"/>
        <w:rPr>
          <w:sz w:val="20"/>
          <w:szCs w:val="20"/>
          <w:color w:val="auto"/>
        </w:rPr>
      </w:pPr>
      <w:r>
        <w:rPr>
          <w:rFonts w:ascii="Times New Roman" w:cs="Times New Roman" w:eastAsia="Times New Roman" w:hAnsi="Times New Roman"/>
          <w:sz w:val="16"/>
          <w:szCs w:val="16"/>
          <w:color w:val="auto"/>
        </w:rPr>
        <w:t>Under various laws relating to the protection of the environment in the United States, as well as in many jurisdictions in which we operate, a current or previous owner or operator of real estate may be liable for contamination resulting from the presence or discharge of hazardous or toxic substances at a property, and may be required to investigate and clean up such contamination at or emanating from a property. Such laws often impose liability without regard to whether the owner or operator knew of, or was responsible for, the presence of the contaminants, and the liability may be joint and several. In the United States, the Comprehensive Environmental Response, Compensation, and Liability Act of 1980, or CERCLA, established a regulatory and remedial program intended to provide for the investigation and clean-up of facilities where, or from which, a release of any hazardous substance into the environment has occurred or is threatened. CERCLA’s primary mechanism for remedying such problems is to impose strict joint and several liability for clean-up of facilities on current owners and operators of the site, former owners and operators of the site at the time of the disposal of the hazardous substances, any person who arranges for the transportation, disposal or treatment of the hazardous substances, and the transporters who select the disposal and treatment facilities, regardless of the care exercised by such persons. CERCLA also imposes liability for the cost of evaluating and remedying any damage to natural resources. The costs of CERCLA investigation and clean -up can be very substantial. CERCLA also authorizes the imposition of a lien in favor of the United States on all real property subject to, or affected by, a remedial action for all costs for which a party is liable. Subject to certain procedural restrictions, CERCLA gives a responsible party the right to bring a contribution action against other responsible parties for their allocable shares of investigative and remedial costs. Our ability to obtain reimbursement from others for their allocable shares of such costs would be limited by our ability to find other responsible parties and prove the extent of their responsibility, their financial resources, and other procedural requirements. Various U.S. state laws, as well as laws in other jurisdictions in which we operate, also impose in certain cases strict joint and several liability for investigation, clean-up and other damages associated with hazardous substance releases.</w:t>
      </w:r>
    </w:p>
    <w:p>
      <w:pPr>
        <w:spacing w:after="0" w:line="79" w:lineRule="exact"/>
        <w:rPr>
          <w:sz w:val="20"/>
          <w:szCs w:val="20"/>
          <w:color w:val="auto"/>
        </w:rPr>
      </w:pPr>
    </w:p>
    <w:p>
      <w:pPr>
        <w:ind w:left="320" w:right="380"/>
        <w:spacing w:after="0" w:line="237" w:lineRule="auto"/>
        <w:rPr>
          <w:sz w:val="20"/>
          <w:szCs w:val="20"/>
          <w:color w:val="auto"/>
        </w:rPr>
      </w:pPr>
      <w:r>
        <w:rPr>
          <w:rFonts w:ascii="Times New Roman" w:cs="Times New Roman" w:eastAsia="Times New Roman" w:hAnsi="Times New Roman"/>
          <w:sz w:val="16"/>
          <w:szCs w:val="16"/>
          <w:color w:val="auto"/>
        </w:rPr>
        <w:t>Previous owners used some of our properties for industrial and manufacturing purposes, and those properties may contain some level of environmental contamination. Independent environmental consultants have conducted Phase I or similar environmental site assessments on a majority of the properties in our portfolio. Site assessments are intended to discover and evaluate information regarding the environmental condition of the surveyed property and surrounding properties. These assessments do not generally include soil samplings, subsurface investigations or an asbestos survey and the assessments may fail to reveal all environmental conditions, liabilities or compliance concerns. In addition, material environmental conditions, liabilities or compliance concerns may have arisen after these reviews were completed or may arise in the future. We could be held jointly and severally liable under CERCLA and various state, local and national laws for the investigation and remediation of environmental contamination on our properties caused by previous owners or operators. Further, fuel storage tanks are present at most of our properties, and if releases were to occur, we may be liable for the costs of cleaning any resulting contamination. The presence of contamination or the failure to remediate contamination at our properties may expose us to third-party liability or materially adversely affect our ability to sell, lease or develop the real estate or to borrow using the real estate as collateral.</w:t>
      </w:r>
    </w:p>
    <w:p>
      <w:pPr>
        <w:spacing w:after="0" w:line="76" w:lineRule="exact"/>
        <w:rPr>
          <w:sz w:val="20"/>
          <w:szCs w:val="20"/>
          <w:color w:val="auto"/>
        </w:rPr>
      </w:pPr>
    </w:p>
    <w:p>
      <w:pPr>
        <w:ind w:left="320" w:right="340"/>
        <w:spacing w:after="0" w:line="238" w:lineRule="auto"/>
        <w:rPr>
          <w:sz w:val="20"/>
          <w:szCs w:val="20"/>
          <w:color w:val="auto"/>
        </w:rPr>
      </w:pPr>
      <w:r>
        <w:rPr>
          <w:rFonts w:ascii="Times New Roman" w:cs="Times New Roman" w:eastAsia="Times New Roman" w:hAnsi="Times New Roman"/>
          <w:sz w:val="16"/>
          <w:szCs w:val="16"/>
          <w:color w:val="auto"/>
        </w:rPr>
        <w:t>In addition, some of our customers, particularly those in the biotechnology and life sciences industry and those in the technology manufacturing industry, routinely handle hazardous substances and wastes as part of their operations at our properties. Environmental laws and regulations subject our customers, and potentially us, to liability resulting from these activities or from previous industrial or retail uses of those properties. We could be held jointly and severally liable under CERCLA and various state, local and national laws for the investigation and remediation of hazardous substances released by our customers on our properties. Environmental liabilities could also affect a customer’s ability to make rental payments to us. We cannot assure you that costs of investigation and remediation of environmental matters will not affect our ability to pay dividends to Digital Realty Trust, Inc.’s stockholders and distributions to Digital Realty Trust, L.P.’s unitholders or that such costs or other remedial measures will not have a material adverse effect on our business, assets or results of operations.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41" w:name="page42"/>
    <w:bookmarkEnd w:id="41"/>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6" w:lineRule="exact"/>
        <w:rPr>
          <w:sz w:val="20"/>
          <w:szCs w:val="20"/>
          <w:color w:val="auto"/>
        </w:rPr>
      </w:pPr>
    </w:p>
    <w:p>
      <w:pPr>
        <w:ind w:left="320" w:right="540"/>
        <w:spacing w:after="0" w:line="241" w:lineRule="auto"/>
        <w:rPr>
          <w:sz w:val="20"/>
          <w:szCs w:val="20"/>
          <w:color w:val="auto"/>
        </w:rPr>
      </w:pPr>
      <w:r>
        <w:rPr>
          <w:rFonts w:ascii="Times New Roman" w:cs="Times New Roman" w:eastAsia="Times New Roman" w:hAnsi="Times New Roman"/>
          <w:sz w:val="16"/>
          <w:szCs w:val="16"/>
          <w:color w:val="auto"/>
        </w:rPr>
        <w:t>Some of our properties may contain asbestos-containing building materials and lead-based paint. Environmental laws require that asbestos- containing building materials and lead-based paint be properly managed and maintained, and may impose fines and penalties on building owners or operators for failure to comply with these requirements. These laws may also allow third parties to seek recovery from owners or operators for personal injury associated with exposure to asbestos-containing building materials and lead-based paint.</w:t>
      </w:r>
    </w:p>
    <w:p>
      <w:pPr>
        <w:spacing w:after="0" w:line="73" w:lineRule="exact"/>
        <w:rPr>
          <w:sz w:val="20"/>
          <w:szCs w:val="20"/>
          <w:color w:val="auto"/>
        </w:rPr>
      </w:pPr>
    </w:p>
    <w:p>
      <w:pPr>
        <w:ind w:left="320" w:right="600"/>
        <w:spacing w:after="0" w:line="238" w:lineRule="auto"/>
        <w:rPr>
          <w:sz w:val="20"/>
          <w:szCs w:val="20"/>
          <w:color w:val="auto"/>
        </w:rPr>
      </w:pPr>
      <w:r>
        <w:rPr>
          <w:rFonts w:ascii="Times New Roman" w:cs="Times New Roman" w:eastAsia="Times New Roman" w:hAnsi="Times New Roman"/>
          <w:sz w:val="16"/>
          <w:szCs w:val="16"/>
          <w:color w:val="auto"/>
        </w:rPr>
        <w:t>Our properties and their uses often require permits and entitlements from various government agencies, including permits and entitlements related to zoning and land use. Certain permits from state or local environmental regulatory agencies, including regulators of air quality, are usually required to install and operate diesel-powered generators, which provide emergency back- up power at most of our facilities. These permits often set emissions limits for certain air pollutants, including oxides of nitrogen. In addition, various federal, state, and local environmental, health and safety requirements, such as fire requirements and treated and storm water discharge requirements, apply to some of our properties. Our ability to comply with, as well as changes to, applicable regulations, such as air quality regulations, or the permit requirements for equipment at our facilities, could hinder or prevent our construction or operation of data center facilities.</w:t>
      </w:r>
    </w:p>
    <w:p>
      <w:pPr>
        <w:spacing w:after="0" w:line="77" w:lineRule="exact"/>
        <w:rPr>
          <w:sz w:val="20"/>
          <w:szCs w:val="20"/>
          <w:color w:val="auto"/>
        </w:rPr>
      </w:pPr>
    </w:p>
    <w:p>
      <w:pPr>
        <w:ind w:left="320" w:right="300"/>
        <w:spacing w:after="0" w:line="280" w:lineRule="auto"/>
        <w:rPr>
          <w:sz w:val="20"/>
          <w:szCs w:val="20"/>
          <w:color w:val="auto"/>
        </w:rPr>
      </w:pPr>
      <w:r>
        <w:rPr>
          <w:rFonts w:ascii="Times New Roman" w:cs="Times New Roman" w:eastAsia="Times New Roman" w:hAnsi="Times New Roman"/>
          <w:sz w:val="14"/>
          <w:szCs w:val="14"/>
          <w:color w:val="auto"/>
        </w:rPr>
        <w:t>Governmental authorities have in the past sought to restrict data center development based on environmental considerations. For example, governmental authorities in locations where we operate have imposed moratoria on data center development, citing concerns about energy usage and requiring new data centers to meet energy efficiency requirements. Some government agencies have also sought to restrict the use of diesel generators for back- up power. We may face higher costs from any laws requiring enhanced energy efficiency measures, changes to cooling systems, caps on energy usage, land use restrictions, limitations on back-up power sources, or other environmental requirements. Moratoria on data center construction could hinder our ability to construct new data centers.</w:t>
      </w:r>
    </w:p>
    <w:p>
      <w:pPr>
        <w:spacing w:after="0" w:line="49" w:lineRule="exact"/>
        <w:rPr>
          <w:sz w:val="20"/>
          <w:szCs w:val="20"/>
          <w:color w:val="auto"/>
        </w:rPr>
      </w:pPr>
    </w:p>
    <w:p>
      <w:pPr>
        <w:ind w:left="320" w:right="360"/>
        <w:spacing w:after="0" w:line="241" w:lineRule="auto"/>
        <w:rPr>
          <w:sz w:val="20"/>
          <w:szCs w:val="20"/>
          <w:color w:val="auto"/>
        </w:rPr>
      </w:pPr>
      <w:r>
        <w:rPr>
          <w:rFonts w:ascii="Times New Roman" w:cs="Times New Roman" w:eastAsia="Times New Roman" w:hAnsi="Times New Roman"/>
          <w:sz w:val="16"/>
          <w:szCs w:val="16"/>
          <w:color w:val="auto"/>
        </w:rPr>
        <w:t>Also, drought conditions in certain markets have resulted in water usage restrictions and proposals to further restrict water usage. Our data center facilities could face restrictions on water usage, water efficiency mandates, or higher water prices. Climate change could also limit water availability. In addition, sea level rise and more frequent and severe weather events caused or contributed to by climate change pose physical risks to our facilities. Additional risks related to our business and operations as a result of climate change include both physical and transition risks such as:</w:t>
      </w:r>
    </w:p>
    <w:p>
      <w:pPr>
        <w:spacing w:after="0" w:line="73" w:lineRule="exact"/>
        <w:rPr>
          <w:sz w:val="20"/>
          <w:szCs w:val="20"/>
          <w:color w:val="auto"/>
        </w:rPr>
      </w:pPr>
    </w:p>
    <w:p>
      <w:pPr>
        <w:ind w:left="900" w:right="780" w:hanging="294"/>
        <w:spacing w:after="0" w:line="257" w:lineRule="auto"/>
        <w:tabs>
          <w:tab w:leader="none" w:pos="9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Higher energy costs (e.g., due to more extreme weather events, extreme temperatures or increased demand for limited resources);</w:t>
      </w:r>
    </w:p>
    <w:p>
      <w:pPr>
        <w:spacing w:after="0" w:line="1" w:lineRule="exact"/>
        <w:rPr>
          <w:rFonts w:ascii="Times New Roman" w:cs="Times New Roman" w:eastAsia="Times New Roman" w:hAnsi="Times New Roman"/>
          <w:sz w:val="16"/>
          <w:szCs w:val="16"/>
          <w:color w:val="auto"/>
        </w:rPr>
      </w:pPr>
    </w:p>
    <w:p>
      <w:pPr>
        <w:ind w:left="900" w:hanging="294"/>
        <w:spacing w:after="0"/>
        <w:tabs>
          <w:tab w:leader="none" w:pos="9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Increased environmental regulations impacting the cost to develop, or the ability to develop in certain areas;</w:t>
      </w:r>
    </w:p>
    <w:p>
      <w:pPr>
        <w:spacing w:after="0" w:line="8" w:lineRule="exact"/>
        <w:rPr>
          <w:rFonts w:ascii="Times New Roman" w:cs="Times New Roman" w:eastAsia="Times New Roman" w:hAnsi="Times New Roman"/>
          <w:sz w:val="16"/>
          <w:szCs w:val="16"/>
          <w:color w:val="auto"/>
        </w:rPr>
      </w:pPr>
    </w:p>
    <w:p>
      <w:pPr>
        <w:ind w:left="900" w:right="500" w:hanging="294"/>
        <w:spacing w:after="0" w:line="250" w:lineRule="auto"/>
        <w:tabs>
          <w:tab w:leader="none" w:pos="9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Higher costs of materials due to environmental impacts from extraction and processing of raw materials and production of finished goods;</w:t>
      </w:r>
    </w:p>
    <w:p>
      <w:pPr>
        <w:ind w:left="900" w:hanging="294"/>
        <w:spacing w:after="0"/>
        <w:tabs>
          <w:tab w:leader="none" w:pos="9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Higher costs of supply chain services, with potential supply chain disruptions related to climate change; and</w:t>
      </w:r>
    </w:p>
    <w:p>
      <w:pPr>
        <w:spacing w:after="0" w:line="8" w:lineRule="exact"/>
        <w:rPr>
          <w:rFonts w:ascii="Times New Roman" w:cs="Times New Roman" w:eastAsia="Times New Roman" w:hAnsi="Times New Roman"/>
          <w:sz w:val="16"/>
          <w:szCs w:val="16"/>
          <w:color w:val="auto"/>
        </w:rPr>
      </w:pPr>
    </w:p>
    <w:p>
      <w:pPr>
        <w:ind w:left="900" w:right="420" w:hanging="294"/>
        <w:spacing w:after="0" w:line="261" w:lineRule="auto"/>
        <w:tabs>
          <w:tab w:leader="none" w:pos="9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Lost revenue or higher expenses related to climate change events (e.g., higher insurance costs, uninsured losses, diminished customer retention in areas subject to extreme weather or resource availability constraints).</w:t>
      </w:r>
    </w:p>
    <w:p>
      <w:pPr>
        <w:spacing w:after="0" w:line="69" w:lineRule="exact"/>
        <w:rPr>
          <w:sz w:val="20"/>
          <w:szCs w:val="20"/>
          <w:color w:val="auto"/>
        </w:rPr>
      </w:pPr>
    </w:p>
    <w:p>
      <w:pPr>
        <w:ind w:left="320" w:right="340"/>
        <w:spacing w:after="0" w:line="278" w:lineRule="auto"/>
        <w:rPr>
          <w:sz w:val="20"/>
          <w:szCs w:val="20"/>
          <w:color w:val="auto"/>
        </w:rPr>
      </w:pPr>
      <w:r>
        <w:rPr>
          <w:rFonts w:ascii="Times New Roman" w:cs="Times New Roman" w:eastAsia="Times New Roman" w:hAnsi="Times New Roman"/>
          <w:sz w:val="14"/>
          <w:szCs w:val="14"/>
          <w:color w:val="auto"/>
        </w:rPr>
        <w:t>The environmental laws and regulations to which our properties are subject may change in the future, and new laws and regulations may be created. Future laws, ordinances or regulations may impose additional material environmental liability. Such laws include those directly regulating our climate change impacts and those which regulate the climate change impacts of companies with which we do business, such as utilities providing our facilities with electricity. We do not know if or how the requirements will change, but changes may require that we make significant unanticipated expenditures, and such expenditures may materially adversely impact our financial condition, cash flow, results of operations, cash available for distributions, Digital Realty Trust, Inc.’s common stock’s per share trading price, our competitive position and ability to satisfy our debt service obligations.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42" w:name="page43"/>
    <w:bookmarkEnd w:id="42"/>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ind w:left="320" w:right="480"/>
        <w:spacing w:after="0" w:line="262" w:lineRule="auto"/>
        <w:rPr>
          <w:sz w:val="20"/>
          <w:szCs w:val="20"/>
          <w:color w:val="auto"/>
        </w:rPr>
      </w:pPr>
      <w:r>
        <w:rPr>
          <w:rFonts w:ascii="Times New Roman" w:cs="Times New Roman" w:eastAsia="Times New Roman" w:hAnsi="Times New Roman"/>
          <w:sz w:val="16"/>
          <w:szCs w:val="16"/>
          <w:b w:val="1"/>
          <w:bCs w:val="1"/>
          <w:color w:val="auto"/>
        </w:rPr>
        <w:t>We may incur significant costs complying with applicable laws and governmental regulations, including the Americans with Disabilities Act.</w:t>
      </w:r>
    </w:p>
    <w:p>
      <w:pPr>
        <w:spacing w:after="0" w:line="56" w:lineRule="exact"/>
        <w:rPr>
          <w:sz w:val="20"/>
          <w:szCs w:val="20"/>
          <w:color w:val="auto"/>
        </w:rPr>
      </w:pPr>
    </w:p>
    <w:p>
      <w:pPr>
        <w:ind w:left="320" w:right="360"/>
        <w:spacing w:after="0" w:line="241" w:lineRule="auto"/>
        <w:rPr>
          <w:sz w:val="20"/>
          <w:szCs w:val="20"/>
          <w:color w:val="auto"/>
        </w:rPr>
      </w:pPr>
      <w:r>
        <w:rPr>
          <w:rFonts w:ascii="Times New Roman" w:cs="Times New Roman" w:eastAsia="Times New Roman" w:hAnsi="Times New Roman"/>
          <w:sz w:val="16"/>
          <w:szCs w:val="16"/>
          <w:color w:val="auto"/>
        </w:rPr>
        <w:t>Our business is subject to regulation under a wide variety of U.S. federal, state and local laws, regulations and policies, including those imposed by the SEC, the Sarbanes-Oxley Act of 2002, the Dodd-Frank Wall Street Reform and Consumer Protection Act and the NYSE, as well as applicable local, state, and national labor laws. Although we have policies and procedures designed to comply with applicable laws and regulations, failure to comply with the various laws and regulations may result in civil and criminal liability, fines and penalties and increased costs of compliance.</w:t>
      </w:r>
    </w:p>
    <w:p>
      <w:pPr>
        <w:spacing w:after="0" w:line="73" w:lineRule="exact"/>
        <w:rPr>
          <w:sz w:val="20"/>
          <w:szCs w:val="20"/>
          <w:color w:val="auto"/>
        </w:rPr>
      </w:pPr>
    </w:p>
    <w:p>
      <w:pPr>
        <w:ind w:left="320" w:right="320"/>
        <w:spacing w:after="0" w:line="238" w:lineRule="auto"/>
        <w:rPr>
          <w:sz w:val="20"/>
          <w:szCs w:val="20"/>
          <w:color w:val="auto"/>
        </w:rPr>
      </w:pPr>
      <w:r>
        <w:rPr>
          <w:rFonts w:ascii="Times New Roman" w:cs="Times New Roman" w:eastAsia="Times New Roman" w:hAnsi="Times New Roman"/>
          <w:sz w:val="16"/>
          <w:szCs w:val="16"/>
          <w:color w:val="auto"/>
        </w:rPr>
        <w:t>Under the Americans with Disabilities Act of 1990, or the ADA, all public accommodations must meet federal requirements related to access and use by disabled persons. We have not conducted an audit or investigation of all of our properties to determine our compliance with the ADA or similar laws of other jurisdictions in which we operate. If one or more of the properties in our portfolio does not comply with the ADA or such other laws, then we would be required to incur additional costs to bring the property into compliance. Additional federal, state and local laws also may require modifications to our properties, or restrict our ability to renovate our properties. We cannot predict the ultimate cost of compliance with the ADA or other similar laws. If we incur substantial costs to comply with the ADA and any other similar legislation or are subject to awards of damages to private litigants, our financial condition, results of operations, cash flow, cash available for distribution and ability to satisfy our debt service obligations could be materially adversely affected.</w:t>
      </w:r>
    </w:p>
    <w:p>
      <w:pPr>
        <w:spacing w:after="0" w:line="74" w:lineRule="exact"/>
        <w:rPr>
          <w:sz w:val="20"/>
          <w:szCs w:val="20"/>
          <w:color w:val="auto"/>
        </w:rPr>
      </w:pPr>
    </w:p>
    <w:p>
      <w:pPr>
        <w:ind w:left="320" w:right="340"/>
        <w:spacing w:after="0" w:line="280" w:lineRule="auto"/>
        <w:rPr>
          <w:sz w:val="20"/>
          <w:szCs w:val="20"/>
          <w:color w:val="auto"/>
        </w:rPr>
      </w:pPr>
      <w:r>
        <w:rPr>
          <w:rFonts w:ascii="Times New Roman" w:cs="Times New Roman" w:eastAsia="Times New Roman" w:hAnsi="Times New Roman"/>
          <w:sz w:val="14"/>
          <w:szCs w:val="14"/>
          <w:color w:val="auto"/>
        </w:rPr>
        <w:t>The properties in our portfolio are subject to various federal, state and local regulations, such as state and local fire and life safety regulations. In addition, emerging tools and technologies we utilize in providing our products, like AI and machine learning, may also become subject to regulation under new laws or new applications of existing laws. If we fail to comply with these various regulations, we may have to pay fines or damage awards to private litigants. In addition, we do not know whether existing regulations will change or whether future regulations will require us to make significant unanticipated expenditures that will materially adversely impact our financial condition, results of operations, cash flow, cash available for distribution and ability to satisfy our debt service obligations.</w:t>
      </w:r>
    </w:p>
    <w:p>
      <w:pPr>
        <w:spacing w:after="0" w:line="47" w:lineRule="exact"/>
        <w:rPr>
          <w:sz w:val="20"/>
          <w:szCs w:val="20"/>
          <w:color w:val="auto"/>
        </w:rPr>
      </w:pPr>
    </w:p>
    <w:p>
      <w:pPr>
        <w:ind w:left="320" w:right="780"/>
        <w:spacing w:after="0" w:line="262" w:lineRule="auto"/>
        <w:rPr>
          <w:sz w:val="20"/>
          <w:szCs w:val="20"/>
          <w:color w:val="auto"/>
        </w:rPr>
      </w:pPr>
      <w:r>
        <w:rPr>
          <w:rFonts w:ascii="Times New Roman" w:cs="Times New Roman" w:eastAsia="Times New Roman" w:hAnsi="Times New Roman"/>
          <w:sz w:val="16"/>
          <w:szCs w:val="16"/>
          <w:b w:val="1"/>
          <w:bCs w:val="1"/>
          <w:color w:val="auto"/>
        </w:rPr>
        <w:t>Our business could be adversely impacted if there are deficiencies in our disclosure controls and procedures or internal control over financial reporting.</w:t>
      </w:r>
    </w:p>
    <w:p>
      <w:pPr>
        <w:spacing w:after="0" w:line="56" w:lineRule="exact"/>
        <w:rPr>
          <w:sz w:val="20"/>
          <w:szCs w:val="20"/>
          <w:color w:val="auto"/>
        </w:rPr>
      </w:pPr>
    </w:p>
    <w:p>
      <w:pPr>
        <w:ind w:left="320" w:right="360"/>
        <w:spacing w:after="0" w:line="272" w:lineRule="auto"/>
        <w:rPr>
          <w:sz w:val="20"/>
          <w:szCs w:val="20"/>
          <w:color w:val="auto"/>
        </w:rPr>
      </w:pPr>
      <w:r>
        <w:rPr>
          <w:rFonts w:ascii="Times New Roman" w:cs="Times New Roman" w:eastAsia="Times New Roman" w:hAnsi="Times New Roman"/>
          <w:sz w:val="14"/>
          <w:szCs w:val="14"/>
          <w:color w:val="auto"/>
        </w:rPr>
        <w:t>The design and effectiveness of our disclosure controls and procedures and internal control over financial reporting may not prevent all errors, misstatements or misrepresentations. While management will continue to review the effectiveness of our disclosure controls and procedures and internal control over financial reporting, there can be no guarantee that our internal control over financial reporting will be effective in accomplishing all control objectives all of the time. Furthermore, our disclosure controls and procedures and internal control over financial reporting with respect to entities that we do not control or manage may be substantially more limited than those we maintain with respect to the subsidiaries that we have controlled or managed over the course of time. Deficiencies, including any material weakness, in our internal control over financial reporting which may occur in the future could result in misstatements of our results of operations, restatements of our financial statements, a decline in Digital Realty Trust, Inc.’s</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stock price, or otherwise materially adversely affect our business, reputation, results of operations, financial condition or liquidity</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43" w:name="page44"/>
    <w:bookmarkEnd w:id="43"/>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Risks Related to Our Organizational Structure</w:t>
      </w:r>
    </w:p>
    <w:p>
      <w:pPr>
        <w:spacing w:after="0" w:line="178" w:lineRule="exact"/>
        <w:rPr>
          <w:sz w:val="20"/>
          <w:szCs w:val="20"/>
          <w:color w:val="auto"/>
        </w:rPr>
      </w:pPr>
    </w:p>
    <w:p>
      <w:pPr>
        <w:ind w:left="320" w:right="920"/>
        <w:spacing w:after="0" w:line="262" w:lineRule="auto"/>
        <w:rPr>
          <w:sz w:val="20"/>
          <w:szCs w:val="20"/>
          <w:color w:val="auto"/>
        </w:rPr>
      </w:pPr>
      <w:r>
        <w:rPr>
          <w:rFonts w:ascii="Times New Roman" w:cs="Times New Roman" w:eastAsia="Times New Roman" w:hAnsi="Times New Roman"/>
          <w:sz w:val="16"/>
          <w:szCs w:val="16"/>
          <w:b w:val="1"/>
          <w:bCs w:val="1"/>
          <w:color w:val="auto"/>
        </w:rPr>
        <w:t>The interests of Digital Realty Trust, Inc.’s stockholders may conflict with the interests of Digital Realty Trust, L.P.’s unitholders.</w:t>
      </w:r>
    </w:p>
    <w:p>
      <w:pPr>
        <w:spacing w:after="0" w:line="140" w:lineRule="exact"/>
        <w:rPr>
          <w:sz w:val="20"/>
          <w:szCs w:val="20"/>
          <w:color w:val="auto"/>
        </w:rPr>
      </w:pPr>
    </w:p>
    <w:p>
      <w:pPr>
        <w:ind w:left="320" w:right="360"/>
        <w:spacing w:after="0" w:line="274" w:lineRule="auto"/>
        <w:rPr>
          <w:sz w:val="20"/>
          <w:szCs w:val="20"/>
          <w:color w:val="auto"/>
        </w:rPr>
      </w:pPr>
      <w:r>
        <w:rPr>
          <w:rFonts w:ascii="Times New Roman" w:cs="Times New Roman" w:eastAsia="Times New Roman" w:hAnsi="Times New Roman"/>
          <w:sz w:val="14"/>
          <w:szCs w:val="14"/>
          <w:color w:val="auto"/>
        </w:rPr>
        <w:t>Conflicts of interest may exist or could arise in the future as a result of the relationships between Digital Realty Trust, Inc. and its stockholders, on the one hand, and Digital Realty Trust, L.P. and its partners, on the other. Digital Realty Trust, Inc.’s directors and officers have duties to Digital Realty Trust, Inc. and its stockholders under Maryland law in connection with their management of our Company. At the same time, Digital Realty Trust, Inc., as general partner, has fiduciary duties under Maryland law to Digital Realty Trust, L.P. and to its limited partners in connection with the management of our Operating Partnership. Digital Realty Trust, Inc.’s duties as general partner to Digital Realty Trust, L.P. and its partners may come into conflict with the duties of Digital Realty Trust, Inc.’s directors and officers to Digital Realty Trust, Inc. and its stockholders. Under Maryland law, a general partner of a Maryland limited partnership owes its limited partners the duties of loyalty and care, which must be discharged consistently with the obligation of good faith and fair dealing, unless the partnership agreement provides otherwise. The partnership agreement of Digital Realty Trust, L.P. provides that for so long as Digital Realty Trust, Inc. owns a controlling interest in Digital Realty Trust, L.P., any conflict that cannot be resolved in a manner not adverse to either Digital Realty Trust, Inc.’s stockholders or the limited partners will be resolved in favor of Digital Realty Trust, Inc.’s stockholders.</w:t>
      </w:r>
    </w:p>
    <w:p>
      <w:pPr>
        <w:spacing w:after="0" w:line="235" w:lineRule="exact"/>
        <w:rPr>
          <w:sz w:val="20"/>
          <w:szCs w:val="20"/>
          <w:color w:val="auto"/>
        </w:rPr>
      </w:pPr>
    </w:p>
    <w:p>
      <w:pPr>
        <w:jc w:val="both"/>
        <w:ind w:left="320" w:right="460"/>
        <w:spacing w:after="0" w:line="247" w:lineRule="auto"/>
        <w:rPr>
          <w:sz w:val="20"/>
          <w:szCs w:val="20"/>
          <w:color w:val="auto"/>
        </w:rPr>
      </w:pPr>
      <w:r>
        <w:rPr>
          <w:rFonts w:ascii="Times New Roman" w:cs="Times New Roman" w:eastAsia="Times New Roman" w:hAnsi="Times New Roman"/>
          <w:sz w:val="16"/>
          <w:szCs w:val="16"/>
          <w:color w:val="auto"/>
        </w:rPr>
        <w:t>The provisions of Maryland law that allow the fiduciary duties of a general partner to be modified by a partnership agreement have not been tested in a court of law, and we have not obtained an opinion of counsel covering the provisions set forth in the partnership agreement that purport to waive or restrict Digital Realty Trust, Inc.’s fiduciary duties.</w:t>
      </w:r>
    </w:p>
    <w:p>
      <w:pPr>
        <w:spacing w:after="0" w:line="68" w:lineRule="exact"/>
        <w:rPr>
          <w:sz w:val="20"/>
          <w:szCs w:val="20"/>
          <w:color w:val="auto"/>
        </w:rPr>
      </w:pPr>
    </w:p>
    <w:p>
      <w:pPr>
        <w:ind w:left="320" w:right="760"/>
        <w:spacing w:after="0" w:line="259" w:lineRule="auto"/>
        <w:rPr>
          <w:sz w:val="20"/>
          <w:szCs w:val="20"/>
          <w:color w:val="auto"/>
        </w:rPr>
      </w:pPr>
      <w:r>
        <w:rPr>
          <w:rFonts w:ascii="Times New Roman" w:cs="Times New Roman" w:eastAsia="Times New Roman" w:hAnsi="Times New Roman"/>
          <w:sz w:val="16"/>
          <w:szCs w:val="16"/>
          <w:color w:val="auto"/>
        </w:rPr>
        <w:t>Digital Realty Trust, Inc.’s stockholders and Digital Realty Trust, L.P.’s unitholders are also subject to the following additional conflict of interest:</w:t>
      </w:r>
    </w:p>
    <w:p>
      <w:pPr>
        <w:spacing w:after="0" w:line="55" w:lineRule="exact"/>
        <w:rPr>
          <w:sz w:val="20"/>
          <w:szCs w:val="20"/>
          <w:color w:val="auto"/>
        </w:rPr>
      </w:pPr>
    </w:p>
    <w:p>
      <w:pPr>
        <w:ind w:left="320" w:right="320"/>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 xml:space="preserve">Tax consequences upon sale or refinancing. </w:t>
      </w:r>
      <w:r>
        <w:rPr>
          <w:rFonts w:ascii="Times New Roman" w:cs="Times New Roman" w:eastAsia="Times New Roman" w:hAnsi="Times New Roman"/>
          <w:sz w:val="14"/>
          <w:szCs w:val="14"/>
          <w:color w:val="auto"/>
        </w:rPr>
        <w:t>Sales of properties and repayment of certain indebtedness will affect holders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common units in Digital Realty Trust, L.P. and Digital Realty Trust, Inc.’s stockholders differently. Consequently, these holders of common units in Digital Realty Trust, L.P. may have different objectives regarding the appropriate pricing and timing of any such sale or repayment of debt. While Digital Realty Trust, Inc. has exclusive authority under the partnership agreement of Digital Realty Trust, L.P. to determine when to refinance or repay debt or whether, when, and on what terms to sell a property, such decisions may require the approval of Digital Realty Trust, Inc.’s Board of Directors. Certain of Digital Realty Trust, Inc.’s directors and executive officers could exercise their influence in a manner inconsistent with the interests of some, or a majority, of Digital Realty Trust, L.P.’s unitholders, including in a manner which could prevent completion of a sale of a property or the repayment of indebtedness.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44" w:name="page45"/>
    <w:bookmarkEnd w:id="44"/>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ind w:left="320" w:right="420"/>
        <w:spacing w:after="0" w:line="262" w:lineRule="auto"/>
        <w:rPr>
          <w:sz w:val="20"/>
          <w:szCs w:val="20"/>
          <w:color w:val="auto"/>
        </w:rPr>
      </w:pPr>
      <w:r>
        <w:rPr>
          <w:rFonts w:ascii="Times New Roman" w:cs="Times New Roman" w:eastAsia="Times New Roman" w:hAnsi="Times New Roman"/>
          <w:sz w:val="16"/>
          <w:szCs w:val="16"/>
          <w:b w:val="1"/>
          <w:bCs w:val="1"/>
          <w:color w:val="auto"/>
        </w:rPr>
        <w:t>Digital Realty Trust, Inc.’s charter, Digital Realty Trust, L.P.’s partnership agreement and Maryland law contain provisions that may delay, defer or prevent a change of control transaction.</w:t>
      </w:r>
    </w:p>
    <w:p>
      <w:pPr>
        <w:spacing w:after="0" w:line="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These provisions include the following:</w:t>
      </w:r>
    </w:p>
    <w:p>
      <w:pPr>
        <w:spacing w:after="0" w:line="88" w:lineRule="exact"/>
        <w:rPr>
          <w:sz w:val="20"/>
          <w:szCs w:val="20"/>
          <w:color w:val="auto"/>
        </w:rPr>
      </w:pPr>
    </w:p>
    <w:p>
      <w:pPr>
        <w:ind w:left="320" w:right="320"/>
        <w:spacing w:after="0" w:line="236" w:lineRule="auto"/>
        <w:rPr>
          <w:sz w:val="20"/>
          <w:szCs w:val="20"/>
          <w:color w:val="auto"/>
        </w:rPr>
      </w:pPr>
      <w:r>
        <w:rPr>
          <w:rFonts w:ascii="Times New Roman" w:cs="Times New Roman" w:eastAsia="Times New Roman" w:hAnsi="Times New Roman"/>
          <w:sz w:val="16"/>
          <w:szCs w:val="16"/>
          <w:b w:val="1"/>
          <w:bCs w:val="1"/>
          <w:i w:val="1"/>
          <w:iCs w:val="1"/>
          <w:color w:val="auto"/>
        </w:rPr>
        <w:t xml:space="preserve">Digital Realty Trust, Inc.’s charter, including the articles supplementary governing its preferred stock, contains 9.8% ownership limits. </w:t>
      </w:r>
      <w:r>
        <w:rPr>
          <w:rFonts w:ascii="Times New Roman" w:cs="Times New Roman" w:eastAsia="Times New Roman" w:hAnsi="Times New Roman"/>
          <w:sz w:val="16"/>
          <w:szCs w:val="16"/>
          <w:color w:val="auto"/>
        </w:rPr>
        <w:t>Digital Realty Trust, Inc.’s charter, subject to certain exceptions, authorizes Digital Realty Trust, Inc.’s Board of Directors to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take such actions as are necessary and desirable to preserve Digital Realty Trust, Inc.’s qualification as a REIT and to limit any person to actual or constructive ownership of no more than 9.8% (by value or by number of shares, whichever is more restrictive) of the outstanding shares of Digital Realty Trust, Inc.’s common stock, 9.8% (by value or by number of shares, whichever is more restrictive) of the outstanding shares of any series of Digital Realty Trust, Inc.’s preferred stock and 9.8% of the value of Digital Realty Trust, Inc.’s outstanding capital stock. Digital Realty Trust, Inc.’s Board of Directors, in its sole discretion, may exempt (prospectively or retroactively) a proposed transferee from the ownership limit. However, Digital Realty Trust, Inc.’s Board of Directors may not grant an exemption from the ownership limit to any proposed transferee whose direct or indirect ownership of more than 9.8% (by value or by number of shares, whichever is more restrictive) of the outstanding shares of Digital Realty Trust, Inc.’s common stock, more than 9.8% (by value or by number of shares, whichever is more restrictive) of the outstanding shares of any series of Digital Realty Trust, Inc.’s preferred stock or more than 9.8% of the value of Digital Realty Trust, Inc.’s outstanding capital stock could jeopardize Digital Realty Trust, Inc.’s status as a REIT. These restrictions on transferability and ownership will not apply if Digital Realty Trust, Inc.’s Board of Directors determines that it is no longer in Digital Realty Trust, Inc.’s best interests to attempt to qualify, or to continue to qualify, as a REIT or that compliance is no longer required for REIT qualification. The ownership limit may delay, defer or prevent a transaction or a change of control that might be in the best interests of Digital Realty Trust, Inc.’s stockholders and Digital Realty Trust, L.P.’s unitholders.</w:t>
      </w:r>
    </w:p>
    <w:p>
      <w:pPr>
        <w:spacing w:after="0" w:line="81" w:lineRule="exact"/>
        <w:rPr>
          <w:sz w:val="20"/>
          <w:szCs w:val="20"/>
          <w:color w:val="auto"/>
        </w:rPr>
      </w:pPr>
    </w:p>
    <w:p>
      <w:pPr>
        <w:ind w:left="320" w:right="34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Digital Realty Trust, L.P.’s partnership agreement contains provisions that may delay, defer or prevent a change of control transaction. </w:t>
      </w:r>
      <w:r>
        <w:rPr>
          <w:rFonts w:ascii="Times New Roman" w:cs="Times New Roman" w:eastAsia="Times New Roman" w:hAnsi="Times New Roman"/>
          <w:sz w:val="16"/>
          <w:szCs w:val="16"/>
          <w:color w:val="auto"/>
        </w:rPr>
        <w:t>Digital Realty Trust, L.P.’s partnership agreement provides that Digital Realty Trust, Inc. may not engage in any merger,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consolidation or other combination with or into another person, any sale of all or substantially all of its assets or any reclassification, recapitalization or change of its outstanding equity interests unless the transaction is approved by the holders of common units and long-term incentive units representing at least 35% of the aggregate percentage interests of all holders of common units and long-term incentive units and either:</w:t>
      </w:r>
    </w:p>
    <w:p>
      <w:pPr>
        <w:spacing w:after="0" w:line="76" w:lineRule="exact"/>
        <w:rPr>
          <w:sz w:val="20"/>
          <w:szCs w:val="20"/>
          <w:color w:val="auto"/>
        </w:rPr>
      </w:pPr>
    </w:p>
    <w:p>
      <w:pPr>
        <w:ind w:left="1180" w:right="340" w:hanging="286"/>
        <w:spacing w:after="0" w:line="293" w:lineRule="auto"/>
        <w:tabs>
          <w:tab w:leader="none" w:pos="11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limited partners will receive, or have the right to elect to receive, for each common unit an amount of cash, securities or other property equal to the product of the number of shares of Digital Realty Trust, Inc. common stock into which a common unit is then exchangeable and the greatest amount of cash, securities or other property paid in consideration of each share of Digital Realty Trust, Inc.’s common stock in connection with the transaction (provided that, if, in connection with the transaction, a purchase, tender or exchange offer is made to and accepted by the holders of more than 50% of the shares of Digital Realty Trust, Inc. common stock, each holder of common units will receive, or have the right to elect to receive, the greatest amount of cash, securities or other property which such holder would have received if it exercised its right to redemption and received shares of Digital Realty Trust, Inc. common stock in exchange for its common units immediately prior to the expiration of such purchase, tender or exchange offer and thereupon accepted such purchase, tender or exchange offer and the transaction was then consummated); or</w:t>
      </w:r>
    </w:p>
    <w:p>
      <w:pPr>
        <w:spacing w:after="0" w:line="162" w:lineRule="exact"/>
        <w:rPr>
          <w:rFonts w:ascii="Times New Roman" w:cs="Times New Roman" w:eastAsia="Times New Roman" w:hAnsi="Times New Roman"/>
          <w:sz w:val="14"/>
          <w:szCs w:val="14"/>
          <w:color w:val="auto"/>
        </w:rPr>
      </w:pPr>
    </w:p>
    <w:p>
      <w:pPr>
        <w:ind w:left="1180" w:hanging="286"/>
        <w:spacing w:after="0"/>
        <w:tabs>
          <w:tab w:leader="none" w:pos="11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conditions are met:</w:t>
      </w:r>
    </w:p>
    <w:p>
      <w:pPr>
        <w:spacing w:after="0" w:line="8" w:lineRule="exact"/>
        <w:rPr>
          <w:sz w:val="20"/>
          <w:szCs w:val="20"/>
          <w:color w:val="auto"/>
        </w:rPr>
      </w:pPr>
    </w:p>
    <w:p>
      <w:pPr>
        <w:ind w:left="1760" w:right="320" w:hanging="289"/>
        <w:spacing w:after="0" w:line="246" w:lineRule="auto"/>
        <w:tabs>
          <w:tab w:leader="none" w:pos="1760" w:val="left"/>
        </w:tabs>
        <w:numPr>
          <w:ilvl w:val="0"/>
          <w:numId w:val="18"/>
        </w:numPr>
        <w:rPr>
          <w:rFonts w:ascii="Courier New" w:cs="Courier New" w:eastAsia="Courier New" w:hAnsi="Courier New"/>
          <w:sz w:val="16"/>
          <w:szCs w:val="16"/>
          <w:color w:val="auto"/>
        </w:rPr>
      </w:pPr>
      <w:r>
        <w:rPr>
          <w:rFonts w:ascii="Times New Roman" w:cs="Times New Roman" w:eastAsia="Times New Roman" w:hAnsi="Times New Roman"/>
          <w:sz w:val="16"/>
          <w:szCs w:val="16"/>
          <w:color w:val="auto"/>
        </w:rPr>
        <w:t>substantially all of the assets directly or indirectly owned by the surviving entity in the transaction are held directly or indirectly by Digital Realty Trust, L.P. or another limited partnership or limited liability company which is the survivor of a merger, consolidation or combination of assets with Digital Realty Trust, L.P., which we refer to as the surviving partnership;</w:t>
      </w:r>
    </w:p>
    <w:p>
      <w:pPr>
        <w:ind w:left="1760" w:right="500" w:hanging="289"/>
        <w:spacing w:after="0" w:line="246" w:lineRule="auto"/>
        <w:tabs>
          <w:tab w:leader="none" w:pos="1760" w:val="left"/>
        </w:tabs>
        <w:numPr>
          <w:ilvl w:val="0"/>
          <w:numId w:val="18"/>
        </w:numPr>
        <w:rPr>
          <w:rFonts w:ascii="Courier New" w:cs="Courier New" w:eastAsia="Courier New" w:hAnsi="Courier New"/>
          <w:sz w:val="16"/>
          <w:szCs w:val="16"/>
          <w:color w:val="auto"/>
        </w:rPr>
      </w:pPr>
      <w:r>
        <w:rPr>
          <w:rFonts w:ascii="Times New Roman" w:cs="Times New Roman" w:eastAsia="Times New Roman" w:hAnsi="Times New Roman"/>
          <w:sz w:val="16"/>
          <w:szCs w:val="16"/>
          <w:color w:val="auto"/>
        </w:rPr>
        <w:t>the holders of common units and long-term incentive units own a percentage interest of the surviving partnership based on the relative fair market value of Digital Realty Trust, L.P.’s net assets and the other net assets of the surviving partnership immediately prior to the consummation of such transaction;</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45" w:name="page46"/>
    <w:bookmarkEnd w:id="45"/>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6" w:lineRule="exact"/>
        <w:rPr>
          <w:sz w:val="20"/>
          <w:szCs w:val="20"/>
          <w:color w:val="auto"/>
        </w:rPr>
      </w:pPr>
    </w:p>
    <w:p>
      <w:pPr>
        <w:ind w:left="1760" w:right="380" w:hanging="289"/>
        <w:spacing w:after="0" w:line="249" w:lineRule="auto"/>
        <w:tabs>
          <w:tab w:leader="none" w:pos="1760" w:val="left"/>
        </w:tabs>
        <w:numPr>
          <w:ilvl w:val="0"/>
          <w:numId w:val="19"/>
        </w:numPr>
        <w:rPr>
          <w:rFonts w:ascii="Courier New" w:cs="Courier New" w:eastAsia="Courier New" w:hAnsi="Courier New"/>
          <w:sz w:val="16"/>
          <w:szCs w:val="16"/>
          <w:color w:val="auto"/>
        </w:rPr>
      </w:pPr>
      <w:r>
        <w:rPr>
          <w:rFonts w:ascii="Times New Roman" w:cs="Times New Roman" w:eastAsia="Times New Roman" w:hAnsi="Times New Roman"/>
          <w:sz w:val="16"/>
          <w:szCs w:val="16"/>
          <w:color w:val="auto"/>
        </w:rPr>
        <w:t>the rights, preferences and privileges of the holders of interests in the surviving partnership are at least as favorable as those in effect immediately prior to the consummation of such transaction and as those applicable to any other limited partners or non-managing members of the surviving partnership; and</w:t>
      </w:r>
    </w:p>
    <w:p>
      <w:pPr>
        <w:ind w:left="1760" w:right="320" w:hanging="289"/>
        <w:spacing w:after="0" w:line="249" w:lineRule="auto"/>
        <w:tabs>
          <w:tab w:leader="none" w:pos="1760" w:val="left"/>
        </w:tabs>
        <w:numPr>
          <w:ilvl w:val="0"/>
          <w:numId w:val="19"/>
        </w:numPr>
        <w:rPr>
          <w:rFonts w:ascii="Courier New" w:cs="Courier New" w:eastAsia="Courier New" w:hAnsi="Courier New"/>
          <w:sz w:val="16"/>
          <w:szCs w:val="16"/>
          <w:color w:val="auto"/>
        </w:rPr>
      </w:pPr>
      <w:r>
        <w:rPr>
          <w:rFonts w:ascii="Times New Roman" w:cs="Times New Roman" w:eastAsia="Times New Roman" w:hAnsi="Times New Roman"/>
          <w:sz w:val="16"/>
          <w:szCs w:val="16"/>
          <w:color w:val="auto"/>
        </w:rPr>
        <w:t>the rights of the limited partners or non-managing members of the surviving partnership include at least one of the following: (i) the right to redeem their interests in the surviving partnership for the consideration available to such persons pursuant to Digital Realty Trust, L.P.’s partnership agreement; or (ii) the right to redeem their interests for cash on terms equivalent to those in effect with respect to their common units immediately prior to the consummation of such transaction (or, if the ultimate controlling person of the surviving partnership has publicly traded common equity securities, for such common equity securities, with an exchange ratio based on the determination of relative fair market value of such securities and the shares of Digital Realty Trust, Inc. common stock).</w:t>
      </w:r>
    </w:p>
    <w:p>
      <w:pPr>
        <w:spacing w:after="0" w:line="176" w:lineRule="exact"/>
        <w:rPr>
          <w:sz w:val="20"/>
          <w:szCs w:val="20"/>
          <w:color w:val="auto"/>
        </w:rPr>
      </w:pPr>
    </w:p>
    <w:p>
      <w:pPr>
        <w:ind w:left="320" w:right="400"/>
        <w:spacing w:after="0" w:line="247" w:lineRule="auto"/>
        <w:rPr>
          <w:sz w:val="20"/>
          <w:szCs w:val="20"/>
          <w:color w:val="auto"/>
        </w:rPr>
      </w:pPr>
      <w:r>
        <w:rPr>
          <w:rFonts w:ascii="Times New Roman" w:cs="Times New Roman" w:eastAsia="Times New Roman" w:hAnsi="Times New Roman"/>
          <w:sz w:val="16"/>
          <w:szCs w:val="16"/>
          <w:color w:val="auto"/>
        </w:rPr>
        <w:t>These provisions may discourage others from trying to acquire control of Digital Realty Trust, Inc. and may delay, defer or prevent a change of control transaction that might be in the best interests of Digital Realty Trust, Inc.’s stockholders and Digital Realty Trust, L.P.’s unitholders.</w:t>
      </w:r>
    </w:p>
    <w:p>
      <w:pPr>
        <w:spacing w:after="0" w:line="64" w:lineRule="exact"/>
        <w:rPr>
          <w:sz w:val="20"/>
          <w:szCs w:val="20"/>
          <w:color w:val="auto"/>
        </w:rPr>
      </w:pPr>
    </w:p>
    <w:p>
      <w:pPr>
        <w:ind w:left="320" w:right="400"/>
        <w:spacing w:after="0" w:line="237" w:lineRule="auto"/>
        <w:rPr>
          <w:sz w:val="20"/>
          <w:szCs w:val="20"/>
          <w:color w:val="auto"/>
        </w:rPr>
      </w:pPr>
      <w:r>
        <w:rPr>
          <w:rFonts w:ascii="Times New Roman" w:cs="Times New Roman" w:eastAsia="Times New Roman" w:hAnsi="Times New Roman"/>
          <w:sz w:val="16"/>
          <w:szCs w:val="16"/>
          <w:b w:val="1"/>
          <w:bCs w:val="1"/>
          <w:i w:val="1"/>
          <w:iCs w:val="1"/>
          <w:color w:val="auto"/>
        </w:rPr>
        <w:t xml:space="preserve">The change of control conversion features of Digital Realty Trust, Inc.’s preferred stock may make it more difficult for a party to take over our Company or discourage a party from taking over our Company. </w:t>
      </w:r>
      <w:r>
        <w:rPr>
          <w:rFonts w:ascii="Times New Roman" w:cs="Times New Roman" w:eastAsia="Times New Roman" w:hAnsi="Times New Roman"/>
          <w:sz w:val="16"/>
          <w:szCs w:val="16"/>
          <w:color w:val="auto"/>
        </w:rPr>
        <w:t>Upon the occurrence of specified change of control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transactions, holders of our series J preferred stock, series K preferred stock and series L preferred stock will have the right (unless, prior to the change of control conversion date, we have provided or provide notice of our election to redeem such preferred stock) to convert some or all of their series J preferred stock, series K preferred stock or series L preferred stock, as applicable, into shares of our common stock (or equivalent value of alternative consideration), subject to caps set forth in the articles supplementary governing the applicable series of preferred stock. The change of control conversion features of the series J preferred stock, series K preferred stock and series L preferred stock may have the effect of discouraging a third party from making an acquisition proposal for our Company or of delaying, deferring or preventing certain change of control transactions of our Company under circumstances that otherwise could provide the holders of our common stock, series J preferred stock, series K preferred stock and series L preferred stock with the opportunity to realize a premium over the then-current market price or that stockholders may otherwise believe is in their best interests.</w:t>
      </w:r>
    </w:p>
    <w:p>
      <w:pPr>
        <w:spacing w:after="0" w:line="76" w:lineRule="exact"/>
        <w:rPr>
          <w:sz w:val="20"/>
          <w:szCs w:val="20"/>
          <w:color w:val="auto"/>
        </w:rPr>
      </w:pPr>
    </w:p>
    <w:p>
      <w:pPr>
        <w:ind w:left="320" w:right="320"/>
        <w:spacing w:after="0" w:line="284" w:lineRule="auto"/>
        <w:rPr>
          <w:sz w:val="20"/>
          <w:szCs w:val="20"/>
          <w:color w:val="auto"/>
        </w:rPr>
      </w:pPr>
      <w:r>
        <w:rPr>
          <w:rFonts w:ascii="Times New Roman" w:cs="Times New Roman" w:eastAsia="Times New Roman" w:hAnsi="Times New Roman"/>
          <w:sz w:val="14"/>
          <w:szCs w:val="14"/>
          <w:b w:val="1"/>
          <w:bCs w:val="1"/>
          <w:i w:val="1"/>
          <w:iCs w:val="1"/>
          <w:color w:val="auto"/>
        </w:rPr>
        <w:t xml:space="preserve">Digital Realty Trust, Inc.’s Board of Directors could amend Digital Realty Trust, Inc.’s charter to increase or decrease the number of authorized shares of stock and Digital Realty Trust, Inc. could issue stock without stockholder approval. </w:t>
      </w:r>
      <w:r>
        <w:rPr>
          <w:rFonts w:ascii="Times New Roman" w:cs="Times New Roman" w:eastAsia="Times New Roman" w:hAnsi="Times New Roman"/>
          <w:sz w:val="14"/>
          <w:szCs w:val="14"/>
          <w:color w:val="auto"/>
        </w:rPr>
        <w:t>Digital Realty</w:t>
      </w:r>
    </w:p>
    <w:p>
      <w:pPr>
        <w:spacing w:after="0" w:line="1" w:lineRule="exact"/>
        <w:rPr>
          <w:sz w:val="20"/>
          <w:szCs w:val="20"/>
          <w:color w:val="auto"/>
        </w:rPr>
      </w:pPr>
    </w:p>
    <w:p>
      <w:pPr>
        <w:ind w:left="320" w:right="340"/>
        <w:spacing w:after="0" w:line="235" w:lineRule="auto"/>
        <w:rPr>
          <w:sz w:val="20"/>
          <w:szCs w:val="20"/>
          <w:color w:val="auto"/>
        </w:rPr>
      </w:pPr>
      <w:r>
        <w:rPr>
          <w:rFonts w:ascii="Times New Roman" w:cs="Times New Roman" w:eastAsia="Times New Roman" w:hAnsi="Times New Roman"/>
          <w:sz w:val="16"/>
          <w:szCs w:val="16"/>
          <w:color w:val="auto"/>
        </w:rPr>
        <w:t>Trust, Inc.’s charter authorizes Digital Realty Trust, Inc.’s Board of Directors, without stockholder approval, to amend the charter from time to time to increase or decrease the aggregate number of authorized shares of stock or the number of authorized shares of stock of any class or series, to authorize the issuance of authorized but unissued shares of Digital Realty Trust, Inc.’s common stock or preferred stock and, subject to the voting rights of holders of preferred stock, to classify or reclassify any unissued shares of Digital Realty Trust, Inc.’s common stock or preferred stock into other classes of series of stock and to set the preferences, rights and other terms of such classified or reclassified shares. Although Digital Realty Trust, Inc.’s Board of Directors has no such intention at the present time, it could establish an additional class or series of preferred stock that could, depending on the terms of such class or series, delay, defer or prevent a transaction or a change of control that might be in the best interest of Digital Realty Trust, Inc.’s stockholders and Digital Realty Trust, L.P.’s unitholders.</w:t>
      </w:r>
    </w:p>
    <w:p>
      <w:pPr>
        <w:spacing w:after="0" w:line="73" w:lineRule="exact"/>
        <w:rPr>
          <w:sz w:val="20"/>
          <w:szCs w:val="20"/>
          <w:color w:val="auto"/>
        </w:rPr>
      </w:pPr>
    </w:p>
    <w:p>
      <w:pPr>
        <w:ind w:left="320" w:right="320"/>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 xml:space="preserve">Certain provisions of Maryland law could inhibit changes in control. </w:t>
      </w:r>
      <w:r>
        <w:rPr>
          <w:rFonts w:ascii="Times New Roman" w:cs="Times New Roman" w:eastAsia="Times New Roman" w:hAnsi="Times New Roman"/>
          <w:sz w:val="16"/>
          <w:szCs w:val="16"/>
          <w:color w:val="auto"/>
        </w:rPr>
        <w:t>Certain provisions of the Maryland General Corporation Law,</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or MGCL, may have the effect of impeding a third party from making a proposal to acquire Digital Realty Trust, Inc. or of impeding a change of control under circumstances that otherwise could be in the best interests of Digital Realty Trust, Inc.’s stockholders and Digital Realty Trust, L.P.’s unitholders, including:</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46" w:name="page47"/>
    <w:bookmarkEnd w:id="46"/>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6" w:lineRule="exact"/>
        <w:rPr>
          <w:sz w:val="20"/>
          <w:szCs w:val="20"/>
          <w:color w:val="auto"/>
        </w:rPr>
      </w:pPr>
    </w:p>
    <w:p>
      <w:pPr>
        <w:ind w:left="900" w:right="340" w:hanging="294"/>
        <w:spacing w:after="0" w:line="238" w:lineRule="auto"/>
        <w:tabs>
          <w:tab w:leader="none" w:pos="9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combination” provisions that, subject to limitations, prohibit certain business combinations between Digital Realty Trust, Inc. and an “interested stockholder” (defined generally as any person who beneficially owns, directly or indirectly, 10% or more of the voting power of the outstanding shares of Digital Realty Trust, Inc.’s voting stock or an affiliate or associate of Digital Realty Trust, Inc. who, at any time within the two-year period prior to the date in question, was the beneficial owner, directly or indirectly, of 10% or more of the voting power of the then outstanding shares of Digital Realty Trust, Inc.’s stock) or an affiliate thereof for five years after the most recent date on which the stockholder becomes an interested stockholder, and thereafter impose special appraisal rights and supermajority voting requirements on these combinations; and</w:t>
      </w:r>
    </w:p>
    <w:p>
      <w:pPr>
        <w:spacing w:after="0" w:line="76" w:lineRule="exact"/>
        <w:rPr>
          <w:rFonts w:ascii="Times New Roman" w:cs="Times New Roman" w:eastAsia="Times New Roman" w:hAnsi="Times New Roman"/>
          <w:sz w:val="16"/>
          <w:szCs w:val="16"/>
          <w:color w:val="auto"/>
        </w:rPr>
      </w:pPr>
    </w:p>
    <w:p>
      <w:pPr>
        <w:ind w:left="900" w:right="380" w:hanging="294"/>
        <w:spacing w:after="0" w:line="239" w:lineRule="auto"/>
        <w:tabs>
          <w:tab w:leader="none" w:pos="9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“control share” provisions that provide that “control shares” of Digital Realty Trust, Inc. (defined as shares which, when aggregated with other shares controlled by the stockholder (except solely by virtue of a revocable proxy), entitle the stockholder to exercise one of three increasing ranges of voting power in electing directors) acquired in a “control share acquisition” (defined as the direct or indirect acquisition of ownership or control of issued and outstanding “control shares”) have no voting rights except to the extent approved by Digital Realty Trust, Inc.’s stockholders by the affirmative vote of at least two-thirds of all the votes entitled to be cast on the matter, excluding all interested shares.</w:t>
      </w:r>
    </w:p>
    <w:p>
      <w:pPr>
        <w:spacing w:after="0" w:line="77" w:lineRule="exact"/>
        <w:rPr>
          <w:sz w:val="20"/>
          <w:szCs w:val="20"/>
          <w:color w:val="auto"/>
        </w:rPr>
      </w:pPr>
    </w:p>
    <w:p>
      <w:pPr>
        <w:ind w:left="320" w:right="380"/>
        <w:spacing w:after="0" w:line="241" w:lineRule="auto"/>
        <w:rPr>
          <w:sz w:val="20"/>
          <w:szCs w:val="20"/>
          <w:color w:val="auto"/>
        </w:rPr>
      </w:pPr>
      <w:r>
        <w:rPr>
          <w:rFonts w:ascii="Times New Roman" w:cs="Times New Roman" w:eastAsia="Times New Roman" w:hAnsi="Times New Roman"/>
          <w:sz w:val="16"/>
          <w:szCs w:val="16"/>
          <w:color w:val="auto"/>
        </w:rPr>
        <w:t>Digital Realty Trust, Inc. has opted out of these provisions of the MGCL, in the case of the business combination provisions of the MGCL by resolution of its Board of Directors, and in the case of the control share provisions of the MGCL pursuant to a provision in its bylaws. However, Digital Realty Trust, Inc.’s Board of Directors may by resolution elect to opt in to the business combination provisions of the MGCL and Digital Realty Trust, Inc. may, by amendment to its bylaws, opt in to the control share provisions of the MGCL in the future.</w:t>
      </w:r>
    </w:p>
    <w:p>
      <w:pPr>
        <w:spacing w:after="0" w:line="73" w:lineRule="exact"/>
        <w:rPr>
          <w:sz w:val="20"/>
          <w:szCs w:val="20"/>
          <w:color w:val="auto"/>
        </w:rPr>
      </w:pPr>
    </w:p>
    <w:p>
      <w:pPr>
        <w:ind w:left="320" w:right="360"/>
        <w:spacing w:after="0" w:line="280" w:lineRule="auto"/>
        <w:rPr>
          <w:sz w:val="20"/>
          <w:szCs w:val="20"/>
          <w:color w:val="auto"/>
        </w:rPr>
      </w:pPr>
      <w:r>
        <w:rPr>
          <w:rFonts w:ascii="Times New Roman" w:cs="Times New Roman" w:eastAsia="Times New Roman" w:hAnsi="Times New Roman"/>
          <w:sz w:val="14"/>
          <w:szCs w:val="14"/>
          <w:color w:val="auto"/>
        </w:rPr>
        <w:t>The provisions of Digital Realty Trust, Inc.’s charter governing removal of directors and the advance notice provisions of Digital Realty Trust, Inc.’s bylaws could delay, defer or prevent a change of control or other transaction that might be in the best interests of Digital Realty Trust, Inc.’s stockholders and Digital Realty Trust, L.P.’s unitholders. Likewise, if Digital Realty Trust, Inc.’s board of directors were to opt in to the business combination provisions of the MGCL or the provisions of Title 3, Subtitle 8 of the MGCL not currently applicable to Digital Realty Trust, Inc., or if the provision in Digital Realty Trust, Inc.’s bylaws opting out of the control share acquisition provisions of the MGCL were rescinded, these provisions of the MGCL could have similar effects.</w:t>
      </w:r>
    </w:p>
    <w:p>
      <w:pPr>
        <w:spacing w:after="0" w:line="47" w:lineRule="exact"/>
        <w:rPr>
          <w:sz w:val="20"/>
          <w:szCs w:val="20"/>
          <w:color w:val="auto"/>
        </w:rPr>
      </w:pPr>
    </w:p>
    <w:p>
      <w:pPr>
        <w:ind w:left="320" w:right="1040"/>
        <w:spacing w:after="0" w:line="262" w:lineRule="auto"/>
        <w:rPr>
          <w:sz w:val="20"/>
          <w:szCs w:val="20"/>
          <w:color w:val="auto"/>
        </w:rPr>
      </w:pPr>
      <w:r>
        <w:rPr>
          <w:rFonts w:ascii="Times New Roman" w:cs="Times New Roman" w:eastAsia="Times New Roman" w:hAnsi="Times New Roman"/>
          <w:sz w:val="16"/>
          <w:szCs w:val="16"/>
          <w:b w:val="1"/>
          <w:bCs w:val="1"/>
          <w:color w:val="auto"/>
        </w:rPr>
        <w:t>The conversion rights of Digital Realty Trust, Inc.’s preferred stock may be detrimental to holders of Digital Realty Trust, Inc.’s common stock.</w:t>
      </w:r>
    </w:p>
    <w:p>
      <w:pPr>
        <w:spacing w:after="0" w:line="56" w:lineRule="exact"/>
        <w:rPr>
          <w:sz w:val="20"/>
          <w:szCs w:val="20"/>
          <w:color w:val="auto"/>
        </w:rPr>
      </w:pPr>
    </w:p>
    <w:p>
      <w:pPr>
        <w:ind w:left="320" w:right="380"/>
        <w:spacing w:after="0" w:line="278" w:lineRule="auto"/>
        <w:rPr>
          <w:sz w:val="20"/>
          <w:szCs w:val="20"/>
          <w:color w:val="auto"/>
        </w:rPr>
      </w:pPr>
      <w:r>
        <w:rPr>
          <w:rFonts w:ascii="Times New Roman" w:cs="Times New Roman" w:eastAsia="Times New Roman" w:hAnsi="Times New Roman"/>
          <w:sz w:val="14"/>
          <w:szCs w:val="14"/>
          <w:color w:val="auto"/>
        </w:rPr>
        <w:t>Digital Realty Trust, Inc. currently has outstanding 8,000,000 shares of 5.250% series J cumulative redeemable preferred stock, 8,400,000 shares of 5.850% series K cumulative redeemable preferred stock and 13,800,000 shares of 5.200% series L cumulative redeemable preferred stock, each series of which may be converted into Digital Realty Trust, Inc.’s common stock upon the occurrence of limited specified change in control transactions. The conversion of the series J preferred stock, series K preferred stock or series L preferred stock for Digital Realty Trust, Inc.’s common stock would dilute stockholder ownership in Digital Realty Trust, Inc. and unitholder ownership in Digital Realty Trust, L.P., and could adversely affect the market price of Digital Realty Trust, Inc. common stock and could impair Digital Realty Trust, Inc.’s ability to raise capital through the sale of additional equity securities.</w:t>
      </w:r>
    </w:p>
    <w:p>
      <w:pPr>
        <w:spacing w:after="0" w:line="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Digital Realty Trust, Inc.’s rights and the rights of its stockholders to take action against its directors and officers are limited.</w:t>
      </w:r>
    </w:p>
    <w:p>
      <w:pPr>
        <w:spacing w:after="0" w:line="117" w:lineRule="exact"/>
        <w:rPr>
          <w:sz w:val="20"/>
          <w:szCs w:val="20"/>
          <w:color w:val="auto"/>
        </w:rPr>
      </w:pPr>
    </w:p>
    <w:p>
      <w:pPr>
        <w:ind w:left="320" w:right="420"/>
        <w:spacing w:after="0" w:line="241" w:lineRule="auto"/>
        <w:rPr>
          <w:sz w:val="20"/>
          <w:szCs w:val="20"/>
          <w:color w:val="auto"/>
        </w:rPr>
      </w:pPr>
      <w:r>
        <w:rPr>
          <w:rFonts w:ascii="Times New Roman" w:cs="Times New Roman" w:eastAsia="Times New Roman" w:hAnsi="Times New Roman"/>
          <w:sz w:val="16"/>
          <w:szCs w:val="16"/>
          <w:color w:val="auto"/>
        </w:rPr>
        <w:t>Maryland law provides that Digital Realty Trust, Inc.’s directors have no liability in their capacities as directors if they perform their duties in good faith, in a manner they reasonably believe to be in the Company’s best interests and with the care that an ordinarily prudent person in a like position would use under similar circumstances. As permitted by the MGCL, Digital Realty Trust, Inc.’s charter limits the liability of Digital Realty Trust, Inc.’s directors and officers to the Company and its stockholders for money damages, except for liability resulting from:</w:t>
      </w:r>
    </w:p>
    <w:p>
      <w:pPr>
        <w:spacing w:after="0" w:line="73" w:lineRule="exact"/>
        <w:rPr>
          <w:sz w:val="20"/>
          <w:szCs w:val="20"/>
          <w:color w:val="auto"/>
        </w:rPr>
      </w:pPr>
    </w:p>
    <w:p>
      <w:pPr>
        <w:ind w:left="900" w:hanging="294"/>
        <w:spacing w:after="0"/>
        <w:tabs>
          <w:tab w:leader="none" w:pos="9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actual receipt of an improper benefit or profit in money, property or services; or</w:t>
      </w:r>
    </w:p>
    <w:p>
      <w:pPr>
        <w:spacing w:after="0" w:line="92" w:lineRule="exact"/>
        <w:rPr>
          <w:rFonts w:ascii="Times New Roman" w:cs="Times New Roman" w:eastAsia="Times New Roman" w:hAnsi="Times New Roman"/>
          <w:sz w:val="16"/>
          <w:szCs w:val="16"/>
          <w:color w:val="auto"/>
        </w:rPr>
      </w:pPr>
    </w:p>
    <w:p>
      <w:pPr>
        <w:ind w:left="900" w:right="480" w:hanging="294"/>
        <w:spacing w:after="0" w:line="259" w:lineRule="auto"/>
        <w:tabs>
          <w:tab w:leader="none" w:pos="9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final judgment based upon a finding of active and deliberate dishonesty by the director or officer that was material to the cause of action adjudicated.</w:t>
      </w: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47" w:name="page48"/>
    <w:bookmarkEnd w:id="47"/>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6" w:lineRule="exact"/>
        <w:rPr>
          <w:sz w:val="20"/>
          <w:szCs w:val="20"/>
          <w:color w:val="auto"/>
        </w:rPr>
      </w:pPr>
    </w:p>
    <w:p>
      <w:pPr>
        <w:ind w:left="320" w:right="440"/>
        <w:spacing w:after="0" w:line="277" w:lineRule="auto"/>
        <w:rPr>
          <w:sz w:val="20"/>
          <w:szCs w:val="20"/>
          <w:color w:val="auto"/>
        </w:rPr>
      </w:pPr>
      <w:r>
        <w:rPr>
          <w:rFonts w:ascii="Times New Roman" w:cs="Times New Roman" w:eastAsia="Times New Roman" w:hAnsi="Times New Roman"/>
          <w:sz w:val="14"/>
          <w:szCs w:val="14"/>
          <w:color w:val="auto"/>
        </w:rPr>
        <w:t>In addition, Digital Realty Trust, Inc.’s charter authorizes Digital Realty Trust, Inc. to obligate itself, and Digital Realty Trust, Inc.’s bylaws require it, to indemnify Digital Realty Trust, Inc.’s directors and officers for actions taken by them in those capacities and, without requiring a preliminary determination of the ultimate entitlement to indemnification, to pay or reimburse their reasonable expenses in advance of final disposition of a proceeding to the maximum extent permitted by Maryland law. Further, Digital Realty Trust, Inc. has entered into indemnification agreements with its directors and officers. As a result, Digital Realty Trust, Inc. and its stockholders may have more limited rights against its directors and officers than might otherwise exist under common law. Accordingly, in the event that actions taken in good faith by any of Digital Realty Trust, Inc.’s directors or officers impede the performance of the Company, the Company’s stockholders’ ability to recover damages from that director or officer will be limited.</w:t>
      </w:r>
    </w:p>
    <w:p>
      <w:pPr>
        <w:spacing w:after="0" w:line="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Risks Related to Taxes and Digital Realty Trust, Inc.’s Status as a REIT</w:t>
      </w:r>
    </w:p>
    <w:p>
      <w:pPr>
        <w:spacing w:after="0" w:line="94" w:lineRule="exact"/>
        <w:rPr>
          <w:sz w:val="20"/>
          <w:szCs w:val="20"/>
          <w:color w:val="auto"/>
        </w:rPr>
      </w:pPr>
    </w:p>
    <w:p>
      <w:pPr>
        <w:ind w:left="320" w:right="580"/>
        <w:spacing w:after="0" w:line="262" w:lineRule="auto"/>
        <w:rPr>
          <w:sz w:val="20"/>
          <w:szCs w:val="20"/>
          <w:color w:val="auto"/>
        </w:rPr>
      </w:pPr>
      <w:r>
        <w:rPr>
          <w:rFonts w:ascii="Times New Roman" w:cs="Times New Roman" w:eastAsia="Times New Roman" w:hAnsi="Times New Roman"/>
          <w:sz w:val="16"/>
          <w:szCs w:val="16"/>
          <w:b w:val="1"/>
          <w:bCs w:val="1"/>
          <w:color w:val="auto"/>
        </w:rPr>
        <w:t>Failure to qualify as a REIT would have significant adverse consequences to Digital Realty Trust, Inc. and its stockholders and to Digital Realty Trust, L.P. and its unitholders.</w:t>
      </w:r>
    </w:p>
    <w:p>
      <w:pPr>
        <w:spacing w:after="0" w:line="56" w:lineRule="exact"/>
        <w:rPr>
          <w:sz w:val="20"/>
          <w:szCs w:val="20"/>
          <w:color w:val="auto"/>
        </w:rPr>
      </w:pPr>
    </w:p>
    <w:p>
      <w:pPr>
        <w:ind w:left="320" w:right="320"/>
        <w:spacing w:after="0" w:line="237" w:lineRule="auto"/>
        <w:rPr>
          <w:sz w:val="20"/>
          <w:szCs w:val="20"/>
          <w:color w:val="auto"/>
        </w:rPr>
      </w:pPr>
      <w:r>
        <w:rPr>
          <w:rFonts w:ascii="Times New Roman" w:cs="Times New Roman" w:eastAsia="Times New Roman" w:hAnsi="Times New Roman"/>
          <w:sz w:val="16"/>
          <w:szCs w:val="16"/>
          <w:color w:val="auto"/>
        </w:rPr>
        <w:t>Digital Realty Trust, Inc. has operated and intends to continue operating in a manner that it believes will allow it to qualify as a REIT for U.S. federal income tax purposes under the Code. Digital Realty Trust, Inc. has not requested and does not plan to request a ruling from the Internal Revenue Service, or the IRS, that it qualifies as a REIT. Qualification as a REIT involves the application of highly technical and complex Code provisions for which there are only limited judicial and administrative interpretations. The complexity of these provisions and of the applicable Treasury regulations promulgated under the Code, or Treasury Regulations, is greater in the case of a REIT that, like Digital Realty Trust, Inc., holds its assets through a partnership. The determination of various factual matters and circumstances not entirely within Digital Realty Trust, Inc.’s control may affect its ability to qualify as a REIT. In order to qualify as a REIT, Digital Realty Trust, Inc. must satisfy a number of requirements, including requirements regarding the ownership of its stock, requirements regarding the composition of its assets and requirements regarding the source of its income. Also, Digital Realty Trust, Inc. must make distributions to stockholders aggregating annually at least 90% of its REIT taxable income, excluding any net capital gains.</w:t>
      </w:r>
    </w:p>
    <w:p>
      <w:pPr>
        <w:spacing w:after="0" w:line="78" w:lineRule="exact"/>
        <w:rPr>
          <w:sz w:val="20"/>
          <w:szCs w:val="20"/>
          <w:color w:val="auto"/>
        </w:rPr>
      </w:pPr>
    </w:p>
    <w:p>
      <w:pPr>
        <w:ind w:left="320" w:right="420"/>
        <w:spacing w:after="0" w:line="239" w:lineRule="auto"/>
        <w:rPr>
          <w:sz w:val="20"/>
          <w:szCs w:val="20"/>
          <w:color w:val="auto"/>
        </w:rPr>
      </w:pPr>
      <w:r>
        <w:rPr>
          <w:rFonts w:ascii="Times New Roman" w:cs="Times New Roman" w:eastAsia="Times New Roman" w:hAnsi="Times New Roman"/>
          <w:sz w:val="16"/>
          <w:szCs w:val="16"/>
          <w:color w:val="auto"/>
        </w:rPr>
        <w:t>Furthermore, we own and may acquire direct or indirect interests in one or more entities that have elected or will elect to be taxed as REITs under the Code, or a subsidiary REIT. Provided that each subsidiary REIT qualifies as a REIT, our interest in such subsidiary REIT will be treated as a qualifying real estate asset for purposes of the REIT asset tests. To qualify as a REIT, the subsidiary REIT must independently satisfy all of the REIT qualification requirements. The failure of a subsidiary REIT to qualify as a REIT could have an adverse effect on Digital Realty Trust, Inc.’s ability to comply with the REIT income and asset tests, and thus its ability to qualify as a REIT.</w:t>
      </w:r>
    </w:p>
    <w:p>
      <w:pPr>
        <w:spacing w:after="0" w:line="77" w:lineRule="exact"/>
        <w:rPr>
          <w:sz w:val="20"/>
          <w:szCs w:val="20"/>
          <w:color w:val="auto"/>
        </w:rPr>
      </w:pPr>
    </w:p>
    <w:p>
      <w:pPr>
        <w:jc w:val="both"/>
        <w:ind w:left="320" w:right="820"/>
        <w:spacing w:after="0" w:line="331" w:lineRule="auto"/>
        <w:rPr>
          <w:sz w:val="20"/>
          <w:szCs w:val="20"/>
          <w:color w:val="auto"/>
        </w:rPr>
      </w:pPr>
      <w:r>
        <w:rPr>
          <w:rFonts w:ascii="Times New Roman" w:cs="Times New Roman" w:eastAsia="Times New Roman" w:hAnsi="Times New Roman"/>
          <w:sz w:val="14"/>
          <w:szCs w:val="14"/>
          <w:color w:val="auto"/>
        </w:rPr>
        <w:t>If Digital Realty Trust, Inc. loses its REIT status, it will face serious tax consequences that would substantially reduce its cash available for distribution, including cash available to pay dividends to its stockholders, for each of the years involved because:</w:t>
      </w:r>
    </w:p>
    <w:p>
      <w:pPr>
        <w:spacing w:after="0" w:line="12" w:lineRule="exact"/>
        <w:rPr>
          <w:sz w:val="20"/>
          <w:szCs w:val="20"/>
          <w:color w:val="auto"/>
        </w:rPr>
      </w:pPr>
    </w:p>
    <w:p>
      <w:pPr>
        <w:ind w:left="900" w:right="700" w:hanging="294"/>
        <w:spacing w:after="0" w:line="259" w:lineRule="auto"/>
        <w:tabs>
          <w:tab w:leader="none" w:pos="9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Digital Realty Trust, Inc. would not be allowed a deduction for dividends paid to stockholders in computing its taxable income and would be subject to federal and state corporate income taxes on its taxable income;</w:t>
      </w:r>
    </w:p>
    <w:p>
      <w:pPr>
        <w:spacing w:after="0" w:line="59" w:lineRule="exact"/>
        <w:rPr>
          <w:rFonts w:ascii="Times New Roman" w:cs="Times New Roman" w:eastAsia="Times New Roman" w:hAnsi="Times New Roman"/>
          <w:sz w:val="16"/>
          <w:szCs w:val="16"/>
          <w:color w:val="auto"/>
        </w:rPr>
      </w:pPr>
    </w:p>
    <w:p>
      <w:pPr>
        <w:ind w:left="900" w:right="520" w:hanging="294"/>
        <w:spacing w:after="0" w:line="259" w:lineRule="auto"/>
        <w:tabs>
          <w:tab w:leader="none" w:pos="9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Digital Realty Trust, Inc. also could be subject to a federal alternative minimum tax and possibly increased state and local taxes; and</w:t>
      </w:r>
    </w:p>
    <w:p>
      <w:pPr>
        <w:spacing w:after="0" w:line="59" w:lineRule="exact"/>
        <w:rPr>
          <w:rFonts w:ascii="Times New Roman" w:cs="Times New Roman" w:eastAsia="Times New Roman" w:hAnsi="Times New Roman"/>
          <w:sz w:val="16"/>
          <w:szCs w:val="16"/>
          <w:color w:val="auto"/>
        </w:rPr>
      </w:pPr>
    </w:p>
    <w:p>
      <w:pPr>
        <w:ind w:left="900" w:right="480" w:hanging="294"/>
        <w:spacing w:after="0" w:line="259" w:lineRule="auto"/>
        <w:tabs>
          <w:tab w:leader="none" w:pos="9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Digital Realty Trust, Inc. is entitled to relief under applicable statutory provisions, it could not elect to be taxed as a REIT for four taxable years following the year during which it was disqualified.</w:t>
      </w:r>
    </w:p>
    <w:p>
      <w:pPr>
        <w:spacing w:after="0" w:line="59" w:lineRule="exact"/>
        <w:rPr>
          <w:sz w:val="20"/>
          <w:szCs w:val="20"/>
          <w:color w:val="auto"/>
        </w:rPr>
      </w:pPr>
    </w:p>
    <w:p>
      <w:pPr>
        <w:ind w:left="320" w:right="380"/>
        <w:spacing w:after="0" w:line="289" w:lineRule="auto"/>
        <w:rPr>
          <w:sz w:val="20"/>
          <w:szCs w:val="20"/>
          <w:color w:val="auto"/>
        </w:rPr>
      </w:pPr>
      <w:r>
        <w:rPr>
          <w:rFonts w:ascii="Times New Roman" w:cs="Times New Roman" w:eastAsia="Times New Roman" w:hAnsi="Times New Roman"/>
          <w:sz w:val="14"/>
          <w:szCs w:val="14"/>
          <w:color w:val="auto"/>
        </w:rPr>
        <w:t>In addition, if Digital Realty Trust, Inc. fails to qualify as a REIT, it will not be required to make distributions to common stockholders, and accordingly, distributions Digital Realty Trust, L.P. makes to its unitholders could be similarly reduced. As a result of all these factors, Digital Realty Trust, Inc.’s failure to qualify as a REIT could impair our ability to expand our business and raise capital, and could materially adversely affect the value of Digital Realty Trust, Inc.’s stock and Digital Realty Trust, L.P.’s units.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48" w:name="page49"/>
    <w:bookmarkEnd w:id="48"/>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ind w:left="320" w:right="460"/>
        <w:spacing w:after="0" w:line="262" w:lineRule="auto"/>
        <w:rPr>
          <w:sz w:val="20"/>
          <w:szCs w:val="20"/>
          <w:color w:val="auto"/>
        </w:rPr>
      </w:pPr>
      <w:r>
        <w:rPr>
          <w:rFonts w:ascii="Times New Roman" w:cs="Times New Roman" w:eastAsia="Times New Roman" w:hAnsi="Times New Roman"/>
          <w:sz w:val="16"/>
          <w:szCs w:val="16"/>
          <w:b w:val="1"/>
          <w:bCs w:val="1"/>
          <w:color w:val="auto"/>
        </w:rPr>
        <w:t>In certain circumstances, Digital Realty Trust, Inc. may be subject to federal and state taxes as a REIT, which would reduce its cash available for distribution to its stockholders.</w:t>
      </w:r>
    </w:p>
    <w:p>
      <w:pPr>
        <w:spacing w:after="0" w:line="56" w:lineRule="exact"/>
        <w:rPr>
          <w:sz w:val="20"/>
          <w:szCs w:val="20"/>
          <w:color w:val="auto"/>
        </w:rPr>
      </w:pPr>
    </w:p>
    <w:p>
      <w:pPr>
        <w:ind w:left="320" w:right="420"/>
        <w:spacing w:after="0" w:line="278" w:lineRule="auto"/>
        <w:rPr>
          <w:sz w:val="20"/>
          <w:szCs w:val="20"/>
          <w:color w:val="auto"/>
        </w:rPr>
      </w:pPr>
      <w:r>
        <w:rPr>
          <w:rFonts w:ascii="Times New Roman" w:cs="Times New Roman" w:eastAsia="Times New Roman" w:hAnsi="Times New Roman"/>
          <w:sz w:val="14"/>
          <w:szCs w:val="14"/>
          <w:color w:val="auto"/>
        </w:rPr>
        <w:t>Even if Digital Realty Trust, Inc. qualifies as a REIT for U.S. federal income tax purposes, it may be subject to some federal, state and local taxes on its income or property and, in certain cases, a 100% penalty tax, in the event it sells property as a dealer. In addition, our domestic taxable REIT subsidiaries, including Digital Services, Inc., could be subject to federal, state and local taxes, and our foreign properties and companies are subject to tax in the jurisdictions in which they operate and are located. A domestic taxable REIT subsidiary is subject to U.S. federal income tax as a regular C corporation. In addition, a 100% excise tax will be imposed on certain transactions between a taxable REIT subsidiary and its parent REIT that are not conducted on an arm’s length basis. Any federal, state or foreign taxes Digital Realty Trust, Inc. pays will reduce its cash available for distribution to stockholders.</w:t>
      </w:r>
    </w:p>
    <w:p>
      <w:pPr>
        <w:spacing w:after="0" w:line="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Dividends payable by REITs do not qualify for the reduced tax rates available for some dividends.</w:t>
      </w:r>
    </w:p>
    <w:p>
      <w:pPr>
        <w:spacing w:after="0" w:line="94" w:lineRule="exact"/>
        <w:rPr>
          <w:sz w:val="20"/>
          <w:szCs w:val="20"/>
          <w:color w:val="auto"/>
        </w:rPr>
      </w:pPr>
    </w:p>
    <w:p>
      <w:pPr>
        <w:ind w:left="320" w:right="360"/>
        <w:spacing w:after="0" w:line="237" w:lineRule="auto"/>
        <w:rPr>
          <w:sz w:val="20"/>
          <w:szCs w:val="20"/>
          <w:color w:val="auto"/>
        </w:rPr>
      </w:pPr>
      <w:r>
        <w:rPr>
          <w:rFonts w:ascii="Times New Roman" w:cs="Times New Roman" w:eastAsia="Times New Roman" w:hAnsi="Times New Roman"/>
          <w:sz w:val="16"/>
          <w:szCs w:val="16"/>
          <w:color w:val="auto"/>
        </w:rPr>
        <w:t>The maximum tax rate applicable to “qualified dividend income” payable to U.S. stockholders that are individuals, trusts and estates is 20%. Dividends payable by REITs, however, generally are not eligible for these reduced rates. U.S. stockholders that are individuals, trusts and estates generally may deduct up to 20% of the ordinary dividends (i.e., dividends not designated as capital gain dividends or qualified dividend income) received from a REIT for taxable years beginning before January 1, 2026. Although this deduction reduces the effective tax rate applicable to certain dividends paid by REITs (generally to 29.6% assuming the stockholder is subject to the 37% maximum rate), such tax rate is still higher than the tax rate applicable to corporate dividends that constitute qualified dividend income. Accordingly, investors who are individuals, trusts and estates may perceive investments in REITs to be relatively less attractive than investments in the stocks of non- REIT corporations that pay dividends treated as qualified dividend income, which could materially and adversely affect the value of the shares of REITs, including the per share trading price of Digital Realty Trust, Inc.’s capital stock.</w:t>
      </w:r>
    </w:p>
    <w:p>
      <w:pPr>
        <w:spacing w:after="0" w:line="78" w:lineRule="exact"/>
        <w:rPr>
          <w:sz w:val="20"/>
          <w:szCs w:val="20"/>
          <w:color w:val="auto"/>
        </w:rPr>
      </w:pPr>
    </w:p>
    <w:p>
      <w:pPr>
        <w:ind w:left="320" w:right="380"/>
        <w:spacing w:after="0" w:line="262" w:lineRule="auto"/>
        <w:rPr>
          <w:sz w:val="20"/>
          <w:szCs w:val="20"/>
          <w:color w:val="auto"/>
        </w:rPr>
      </w:pPr>
      <w:r>
        <w:rPr>
          <w:rFonts w:ascii="Times New Roman" w:cs="Times New Roman" w:eastAsia="Times New Roman" w:hAnsi="Times New Roman"/>
          <w:sz w:val="16"/>
          <w:szCs w:val="16"/>
          <w:b w:val="1"/>
          <w:bCs w:val="1"/>
          <w:color w:val="auto"/>
        </w:rPr>
        <w:t>The tax imposed on REITs engaging in “prohibited transactions” may limit our ability to engage in transactions which would be treated as sales for U.S. federal income tax purposes.</w:t>
      </w:r>
    </w:p>
    <w:p>
      <w:pPr>
        <w:spacing w:after="0" w:line="56" w:lineRule="exact"/>
        <w:rPr>
          <w:sz w:val="20"/>
          <w:szCs w:val="20"/>
          <w:color w:val="auto"/>
        </w:rPr>
      </w:pPr>
    </w:p>
    <w:p>
      <w:pPr>
        <w:ind w:left="320" w:right="340"/>
        <w:spacing w:after="0" w:line="239" w:lineRule="auto"/>
        <w:rPr>
          <w:sz w:val="20"/>
          <w:szCs w:val="20"/>
          <w:color w:val="auto"/>
        </w:rPr>
      </w:pPr>
      <w:r>
        <w:rPr>
          <w:rFonts w:ascii="Times New Roman" w:cs="Times New Roman" w:eastAsia="Times New Roman" w:hAnsi="Times New Roman"/>
          <w:sz w:val="16"/>
          <w:szCs w:val="16"/>
          <w:color w:val="auto"/>
        </w:rPr>
        <w:t>A REIT’s net income from prohibited transactions is subject to a 100% penalty tax. In general, prohibited transactions are sales or other dispositions of property, other than foreclosure property, held primarily for sale to customers in the ordinary course of business. Although we do not intend to hold any properties that would be characterized as held for sale to customers in the ordinary course of our business, unless a sale or disposition qualifies under certain statutory safe harbors, such characterization is a factual determination and no guarantee can be given that the IRS would agree with our characterization of our properties or that we will always be able to make use of the available safe harbors.</w:t>
      </w:r>
    </w:p>
    <w:p>
      <w:pPr>
        <w:spacing w:after="0" w:line="75" w:lineRule="exact"/>
        <w:rPr>
          <w:sz w:val="20"/>
          <w:szCs w:val="20"/>
          <w:color w:val="auto"/>
        </w:rPr>
      </w:pPr>
    </w:p>
    <w:p>
      <w:pPr>
        <w:ind w:left="320" w:right="1020"/>
        <w:spacing w:after="0" w:line="262" w:lineRule="auto"/>
        <w:rPr>
          <w:sz w:val="20"/>
          <w:szCs w:val="20"/>
          <w:color w:val="auto"/>
        </w:rPr>
      </w:pPr>
      <w:r>
        <w:rPr>
          <w:rFonts w:ascii="Times New Roman" w:cs="Times New Roman" w:eastAsia="Times New Roman" w:hAnsi="Times New Roman"/>
          <w:sz w:val="16"/>
          <w:szCs w:val="16"/>
          <w:b w:val="1"/>
          <w:bCs w:val="1"/>
          <w:color w:val="auto"/>
        </w:rPr>
        <w:t>Complying with REIT requirements may cause us to forgo otherwise attractive opportunities or liquidate otherwise attractive investments.</w:t>
      </w:r>
    </w:p>
    <w:p>
      <w:pPr>
        <w:spacing w:after="0" w:line="56" w:lineRule="exact"/>
        <w:rPr>
          <w:sz w:val="20"/>
          <w:szCs w:val="20"/>
          <w:color w:val="auto"/>
        </w:rPr>
      </w:pPr>
    </w:p>
    <w:p>
      <w:pPr>
        <w:ind w:left="320" w:right="340"/>
        <w:spacing w:after="0" w:line="277" w:lineRule="auto"/>
        <w:rPr>
          <w:sz w:val="20"/>
          <w:szCs w:val="20"/>
          <w:color w:val="auto"/>
        </w:rPr>
      </w:pPr>
      <w:r>
        <w:rPr>
          <w:rFonts w:ascii="Times New Roman" w:cs="Times New Roman" w:eastAsia="Times New Roman" w:hAnsi="Times New Roman"/>
          <w:sz w:val="14"/>
          <w:szCs w:val="14"/>
          <w:color w:val="auto"/>
        </w:rPr>
        <w:t>To qualify as a REIT for U.S. federal income tax purposes, Digital Realty Trust, Inc. must continually satisfy tests concerning, among other things, its sources of income, the nature and diversification of its assets (including its proportionate share of Digital Realty Trust, L.P.’s assets), the amounts it distributes to its stockholders and the ownership of its capital stock. If Digital Realty Trust, Inc. were to fail to comply with one or more of the asset tests at the end of any calendar quarter, it would need to correct the failure within 30 days after the end of the calendar quarter or qualify for certain statutory relief provisions to avoid losing its REIT qualification and suffering adverse tax consequences. In order to meet these tests, we may be required to forgo investments we might otherwise make or to liquidate otherwise attractive investments. Thus, compliance with the REIT requirements may hinder our performance and reduce amounts available for distribution to Digital Realty Trust, Inc.’s stockholders and Digital Realty Trust, L.P.’s unitholders.</w:t>
      </w: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49" w:name="page50"/>
    <w:bookmarkEnd w:id="49"/>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ind w:left="320" w:right="720"/>
        <w:spacing w:after="0" w:line="248" w:lineRule="auto"/>
        <w:rPr>
          <w:sz w:val="20"/>
          <w:szCs w:val="20"/>
          <w:color w:val="auto"/>
        </w:rPr>
      </w:pPr>
      <w:r>
        <w:rPr>
          <w:rFonts w:ascii="Times New Roman" w:cs="Times New Roman" w:eastAsia="Times New Roman" w:hAnsi="Times New Roman"/>
          <w:sz w:val="16"/>
          <w:szCs w:val="16"/>
          <w:b w:val="1"/>
          <w:bCs w:val="1"/>
          <w:color w:val="auto"/>
        </w:rPr>
        <w:t>The power of Digital Realty Trust, Inc.’s Board of Directors to revoke Digital Realty Trust, Inc.’s REIT election without stockholder approval may cause adverse consequences to Digital Realty Trust, Inc.’s stockholders and Digital Realty Trust, L.P.’s unitholders.</w:t>
      </w:r>
    </w:p>
    <w:p>
      <w:pPr>
        <w:spacing w:after="0" w:line="68" w:lineRule="exact"/>
        <w:rPr>
          <w:sz w:val="20"/>
          <w:szCs w:val="20"/>
          <w:color w:val="auto"/>
        </w:rPr>
      </w:pPr>
    </w:p>
    <w:p>
      <w:pPr>
        <w:ind w:left="320" w:right="300"/>
        <w:spacing w:after="0" w:line="241" w:lineRule="auto"/>
        <w:rPr>
          <w:sz w:val="20"/>
          <w:szCs w:val="20"/>
          <w:color w:val="auto"/>
        </w:rPr>
      </w:pPr>
      <w:r>
        <w:rPr>
          <w:rFonts w:ascii="Times New Roman" w:cs="Times New Roman" w:eastAsia="Times New Roman" w:hAnsi="Times New Roman"/>
          <w:sz w:val="16"/>
          <w:szCs w:val="16"/>
          <w:color w:val="auto"/>
        </w:rPr>
        <w:t>Digital Realty Trust, Inc.’s charter provides that its Board of Directors may revoke or otherwise terminate its REIT election, without the approval of its stockholders, if the Board determines that it is no longer in Digital Realty Trust, Inc.’s best interests to continue to qualify as a REIT. If Digital Realty Trust, Inc. ceases to qualify as a REIT, it would become subject to U.S. federal and state corporate income taxes on its taxable income and it would no longer be required to distribute most of its taxable income to its stockholders and, accordingly, distributions Digital Realty Trust, L.P. makes to its unitholders could be similarly reduced.</w:t>
      </w:r>
    </w:p>
    <w:p>
      <w:pPr>
        <w:spacing w:after="0" w:line="71" w:lineRule="exact"/>
        <w:rPr>
          <w:sz w:val="20"/>
          <w:szCs w:val="20"/>
          <w:color w:val="auto"/>
        </w:rPr>
      </w:pPr>
    </w:p>
    <w:p>
      <w:pPr>
        <w:ind w:left="320" w:right="820"/>
        <w:spacing w:after="0" w:line="262" w:lineRule="auto"/>
        <w:rPr>
          <w:sz w:val="20"/>
          <w:szCs w:val="20"/>
          <w:color w:val="auto"/>
        </w:rPr>
      </w:pPr>
      <w:r>
        <w:rPr>
          <w:rFonts w:ascii="Times New Roman" w:cs="Times New Roman" w:eastAsia="Times New Roman" w:hAnsi="Times New Roman"/>
          <w:sz w:val="16"/>
          <w:szCs w:val="16"/>
          <w:b w:val="1"/>
          <w:bCs w:val="1"/>
          <w:color w:val="auto"/>
        </w:rPr>
        <w:t>If Digital Realty Trust, L.P. were to fail to qualify as a partnership for U.S. federal income tax purposes, Digital Realty Trust, Inc. would fail to qualify as a REIT and suffer other adverse consequences.</w:t>
      </w:r>
    </w:p>
    <w:p>
      <w:pPr>
        <w:spacing w:after="0" w:line="56" w:lineRule="exact"/>
        <w:rPr>
          <w:sz w:val="20"/>
          <w:szCs w:val="20"/>
          <w:color w:val="auto"/>
        </w:rPr>
      </w:pPr>
    </w:p>
    <w:p>
      <w:pPr>
        <w:ind w:left="320" w:right="300"/>
        <w:spacing w:after="0" w:line="237" w:lineRule="auto"/>
        <w:rPr>
          <w:sz w:val="20"/>
          <w:szCs w:val="20"/>
          <w:color w:val="auto"/>
        </w:rPr>
      </w:pPr>
      <w:r>
        <w:rPr>
          <w:rFonts w:ascii="Times New Roman" w:cs="Times New Roman" w:eastAsia="Times New Roman" w:hAnsi="Times New Roman"/>
          <w:sz w:val="16"/>
          <w:szCs w:val="16"/>
          <w:color w:val="auto"/>
        </w:rPr>
        <w:t>We believe that Digital Realty Trust, L.P. has been organized and operated in a manner that will allow it to be treated as a partnership, and not an association or publicly traded partnership taxable as a corporation, for U.S. federal income tax purposes. As a partnership, Digital Realty Trust, L.P. is not subject to U.S. federal income tax on its income. Instead, each of its partners, including Digital Realty Trust, Inc., is allocated, and may be required to pay tax with respect to, that partner’s share of Digital Realty Trust, L.P.’s income. No assurance can be provided, however, that the IRS will not challenge Digital Realty Trust, L.P.’s status as a partnership for U.S. federal income tax purposes or that a court would not sustain such a challenge. If the IRS were successful in treating Digital Realty Trust, L.P. as an association or publicly traded partnership taxable as a corporation for U.S. federal income tax purposes, Digital Realty Trust, Inc. would fail to meet the gross income tests and certain of the asset tests applicable to REITs and, accordingly, would cease to qualify as a REIT. Such REIT qualification failure could impair our ability to expand our business and raise capital, and would materially adversely affect the value of Digital Realty Trust, Inc.’s stock and Digital Realty Trust, L.P.’s units. Also, the failure of Digital Realty Trust, L.P. to qualify as a partnership would cause it to become subject to federal corporate income tax, which would reduce significantly the amount of its cash available for debt service and for distribution to its partners, including Digital Realty Trust, Inc.</w:t>
      </w:r>
    </w:p>
    <w:p>
      <w:pPr>
        <w:spacing w:after="0" w:line="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Tax liabilities and attributes inherited in connection with acquisitions may adversely impact our business.</w:t>
      </w:r>
    </w:p>
    <w:p>
      <w:pPr>
        <w:spacing w:after="0" w:line="94" w:lineRule="exact"/>
        <w:rPr>
          <w:sz w:val="20"/>
          <w:szCs w:val="20"/>
          <w:color w:val="auto"/>
        </w:rPr>
      </w:pPr>
    </w:p>
    <w:p>
      <w:pPr>
        <w:ind w:left="320" w:right="320"/>
        <w:spacing w:after="0" w:line="238" w:lineRule="auto"/>
        <w:rPr>
          <w:sz w:val="20"/>
          <w:szCs w:val="20"/>
          <w:color w:val="auto"/>
        </w:rPr>
      </w:pPr>
      <w:r>
        <w:rPr>
          <w:rFonts w:ascii="Times New Roman" w:cs="Times New Roman" w:eastAsia="Times New Roman" w:hAnsi="Times New Roman"/>
          <w:sz w:val="16"/>
          <w:szCs w:val="16"/>
          <w:color w:val="auto"/>
        </w:rPr>
        <w:t>From time to time, we may acquire other corporations or entities and, in connection with such acquisitions, we may succeed to the historic tax attributes and liabilities of such entities. For example, if we acquire a C corporation and subsequently dispose of its assets within five years of the acquisition, we could be required to pay tax on any built-in gain attributable to such assets determined as of the date on which we acquired the assets. In addition, in order to qualify as a REIT, at the end of any taxable year, we must not have any earnings and profits accumulated in a non-REIT year. As a result, if we acquire a C corporation, we must distribute the corporation’s earnings and profits accumulated prior to the acquisition before the end of the taxable year in which we acquire the corporation. We also could be required to pay the acquired entity’s unpaid taxes even though such liabilities arose prior to the time we acquired the entity.</w:t>
      </w:r>
    </w:p>
    <w:p>
      <w:pPr>
        <w:spacing w:after="0" w:line="75" w:lineRule="exact"/>
        <w:rPr>
          <w:sz w:val="20"/>
          <w:szCs w:val="20"/>
          <w:color w:val="auto"/>
        </w:rPr>
      </w:pPr>
    </w:p>
    <w:p>
      <w:pPr>
        <w:ind w:left="320" w:right="960"/>
        <w:spacing w:after="0" w:line="262" w:lineRule="auto"/>
        <w:rPr>
          <w:sz w:val="20"/>
          <w:szCs w:val="20"/>
          <w:color w:val="auto"/>
        </w:rPr>
      </w:pPr>
      <w:r>
        <w:rPr>
          <w:rFonts w:ascii="Times New Roman" w:cs="Times New Roman" w:eastAsia="Times New Roman" w:hAnsi="Times New Roman"/>
          <w:sz w:val="16"/>
          <w:szCs w:val="16"/>
          <w:b w:val="1"/>
          <w:bCs w:val="1"/>
          <w:color w:val="auto"/>
        </w:rPr>
        <w:t>Changes in U.S. or foreign tax laws and regulations, including changes to tax rates, legislation and other actions may adversely affect our results of operations, our stockholders, Digital Realty Trust, L.P.’s unitholders and us.</w:t>
      </w:r>
    </w:p>
    <w:p>
      <w:pPr>
        <w:spacing w:after="0" w:line="56" w:lineRule="exact"/>
        <w:rPr>
          <w:sz w:val="20"/>
          <w:szCs w:val="20"/>
          <w:color w:val="auto"/>
        </w:rPr>
      </w:pPr>
    </w:p>
    <w:p>
      <w:pPr>
        <w:ind w:left="320" w:right="320"/>
        <w:spacing w:after="0" w:line="237" w:lineRule="auto"/>
        <w:rPr>
          <w:sz w:val="20"/>
          <w:szCs w:val="20"/>
          <w:color w:val="auto"/>
        </w:rPr>
      </w:pPr>
      <w:r>
        <w:rPr>
          <w:rFonts w:ascii="Times New Roman" w:cs="Times New Roman" w:eastAsia="Times New Roman" w:hAnsi="Times New Roman"/>
          <w:sz w:val="16"/>
          <w:szCs w:val="16"/>
          <w:color w:val="auto"/>
        </w:rPr>
        <w:t>We are headquartered in the United States with subsidiaries and operations globally and are subject to income taxes in these jurisdictions. Significant judgment is required in determining our provision for income taxes. Although we believe that we have adequately assessed and accounted for our potential tax liabilities, and that our tax estimates are reasonable, there can be no assurance that additional taxes will not be due upon audit of our tax returns or as a result of changes to applicable tax laws. The governments of many of the countries in which we operate may enact changes to the tax laws of such countries, including changes to the corporate recognition and taxation of worldwide income. The nature and timing of any changes to each jurisdiction’s tax laws and the impact on our future tax liabilities cannot be predicted with any accuracy but could materially and adversely impact our results of operations and cash flows. The Organization for Economic Cooperation and Development (the “OECD”) has developed a framework to establish certain international standards for taxing the worldwide income of multinational companies, including, among other things, provisions that would ensure all companies pay a global minimum tax of 15% (the “Pillar Two rules”). While the United States has not yet adopted the Pillar Two rules, various other governments around the world have enacted or are enacting such legislation. We are continuing to evaluate the impacts of these developments in the jurisdictions in which we operate, including our qualification for certain exceptions to the application of these rules.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50" w:name="page51"/>
    <w:bookmarkEnd w:id="50"/>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6" w:lineRule="exact"/>
        <w:rPr>
          <w:sz w:val="20"/>
          <w:szCs w:val="20"/>
          <w:color w:val="auto"/>
        </w:rPr>
      </w:pPr>
    </w:p>
    <w:p>
      <w:pPr>
        <w:ind w:left="320" w:right="480"/>
        <w:spacing w:after="0" w:line="247" w:lineRule="auto"/>
        <w:rPr>
          <w:sz w:val="20"/>
          <w:szCs w:val="20"/>
          <w:color w:val="auto"/>
        </w:rPr>
      </w:pPr>
      <w:r>
        <w:rPr>
          <w:rFonts w:ascii="Times New Roman" w:cs="Times New Roman" w:eastAsia="Times New Roman" w:hAnsi="Times New Roman"/>
          <w:sz w:val="16"/>
          <w:szCs w:val="16"/>
          <w:color w:val="auto"/>
        </w:rPr>
        <w:t>Additionally, each of our properties is subject to real property and personal property taxes. These taxes may increase as tax rates change and as the properties are assessed or reassessed by taxing authorities. Any increase in property taxes on our properties could have a material adverse effect on our revenues and results of operations.</w:t>
      </w:r>
    </w:p>
    <w:p>
      <w:pPr>
        <w:spacing w:after="0" w:line="68" w:lineRule="exact"/>
        <w:rPr>
          <w:sz w:val="20"/>
          <w:szCs w:val="20"/>
          <w:color w:val="auto"/>
        </w:rPr>
      </w:pPr>
    </w:p>
    <w:p>
      <w:pPr>
        <w:ind w:left="320" w:right="360"/>
        <w:spacing w:after="0" w:line="238" w:lineRule="auto"/>
        <w:rPr>
          <w:sz w:val="20"/>
          <w:szCs w:val="20"/>
          <w:color w:val="auto"/>
        </w:rPr>
      </w:pPr>
      <w:r>
        <w:rPr>
          <w:rFonts w:ascii="Times New Roman" w:cs="Times New Roman" w:eastAsia="Times New Roman" w:hAnsi="Times New Roman"/>
          <w:sz w:val="16"/>
          <w:szCs w:val="16"/>
          <w:color w:val="auto"/>
        </w:rPr>
        <w:t>Further, the rules dealing with U.S. federal income taxation are constantly under review by persons involved in the legislative process and by the IRS and the U.S. Department of the Treasury. Changes to the tax laws, with or without retroactive application, could materially and adversely affect Digital Realty Trust, Inc.’s stockholders, Digital Realty Trust, L.P.’s unitholders and us. We cannot predict how changes in the tax laws might affect our investors and us. New legislation, Treasury Regulations, administrative interpretations or court decisions could significantly and adversely affect Digital Realty Trust, Inc.’s ability to qualify as a REIT, the U.S. federal income tax consequences of such qualification, or the U.S. federal income tax consequences of an investment in us. Moreover, the law relating to the tax treatment of other entities, or an investment in other entities, could change, making an investment in such other entities more attractive relative to an investment in a REIT.</w:t>
      </w:r>
    </w:p>
    <w:p>
      <w:pPr>
        <w:spacing w:after="0" w:line="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94" w:lineRule="exact"/>
        <w:rPr>
          <w:sz w:val="20"/>
          <w:szCs w:val="20"/>
          <w:color w:val="auto"/>
        </w:rPr>
      </w:pPr>
    </w:p>
    <w:p>
      <w:pPr>
        <w:ind w:left="320" w:right="340"/>
        <w:spacing w:after="0" w:line="238" w:lineRule="auto"/>
        <w:rPr>
          <w:sz w:val="20"/>
          <w:szCs w:val="20"/>
          <w:color w:val="auto"/>
        </w:rPr>
      </w:pPr>
      <w:r>
        <w:rPr>
          <w:rFonts w:ascii="Times New Roman" w:cs="Times New Roman" w:eastAsia="Times New Roman" w:hAnsi="Times New Roman"/>
          <w:sz w:val="16"/>
          <w:szCs w:val="16"/>
          <w:color w:val="auto"/>
        </w:rPr>
        <w:t>We make statements in this report that are forward-looking statements within the meaning of the federal securities laws. In particular, statements pertaining to our capital resources, portfolio performance, our ability to lease vacant space and space under development, leverage policy and acquisition and capital expenditure plans, as well as our discussion of “Factors Which May Influence Future Results of Operations,” contain forward-looking statements. Likewise, all of our statements regarding anticipated market conditions, demographics and results of operations are forward-looking statements. You can identify forward-looking statements by the use of forward-looking terminology such as “believes,” “expects,” “may,” “will,” “should,” “seeks,” “approximately,” “intends,” “plans,” “pro forma,” “estimates” or “anticipates” or the negative of these words and phrases or similar words or phrases which are predictions of or indicate future events or trends and which do not relate solely to historical matters. You can also identify forward-looking statements by discussions of strategy, plans or intentions.</w:t>
      </w:r>
    </w:p>
    <w:p>
      <w:pPr>
        <w:spacing w:after="0" w:line="74" w:lineRule="exact"/>
        <w:rPr>
          <w:sz w:val="20"/>
          <w:szCs w:val="20"/>
          <w:color w:val="auto"/>
        </w:rPr>
      </w:pPr>
    </w:p>
    <w:p>
      <w:pPr>
        <w:jc w:val="both"/>
        <w:ind w:left="320" w:right="340"/>
        <w:spacing w:after="0" w:line="241" w:lineRule="auto"/>
        <w:rPr>
          <w:sz w:val="20"/>
          <w:szCs w:val="20"/>
          <w:color w:val="auto"/>
        </w:rPr>
      </w:pPr>
      <w:r>
        <w:rPr>
          <w:rFonts w:ascii="Times New Roman" w:cs="Times New Roman" w:eastAsia="Times New Roman" w:hAnsi="Times New Roman"/>
          <w:sz w:val="16"/>
          <w:szCs w:val="16"/>
          <w:color w:val="auto"/>
        </w:rPr>
        <w:t>Forward-looking statements involve numerous risks and uncertainties and you should not rely on them as predictions of future events. Forward-looking statements depend on assumptions, data or methods that may be incorrect or imprecise and that we may not be able to realize. We do not guarantee that the transactions and events described will happen as described or that they will happen at all. The following factors, among others, could cause actual results and future events to differ materially from those set forth or contemplated in the forward-looking statements:</w:t>
      </w:r>
    </w:p>
    <w:p>
      <w:pPr>
        <w:spacing w:after="0" w:line="73" w:lineRule="exact"/>
        <w:rPr>
          <w:sz w:val="20"/>
          <w:szCs w:val="20"/>
          <w:color w:val="auto"/>
        </w:rPr>
      </w:pPr>
    </w:p>
    <w:p>
      <w:pPr>
        <w:ind w:left="900" w:hanging="294"/>
        <w:spacing w:after="0"/>
        <w:tabs>
          <w:tab w:leader="none" w:pos="9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reduced demand for data centers or decreases in information technology spending;</w:t>
      </w:r>
    </w:p>
    <w:p>
      <w:pPr>
        <w:spacing w:after="0" w:line="14" w:lineRule="exact"/>
        <w:rPr>
          <w:rFonts w:ascii="Times New Roman" w:cs="Times New Roman" w:eastAsia="Times New Roman" w:hAnsi="Times New Roman"/>
          <w:sz w:val="16"/>
          <w:szCs w:val="16"/>
          <w:color w:val="auto"/>
        </w:rPr>
      </w:pPr>
    </w:p>
    <w:p>
      <w:pPr>
        <w:ind w:left="900" w:hanging="294"/>
        <w:spacing w:after="0" w:line="234" w:lineRule="auto"/>
        <w:tabs>
          <w:tab w:leader="none" w:pos="9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decreased rental rates, increased operating costs or increased vacancy rates;</w:t>
      </w:r>
    </w:p>
    <w:p>
      <w:pPr>
        <w:ind w:left="900" w:hanging="294"/>
        <w:spacing w:after="0" w:line="234" w:lineRule="auto"/>
        <w:tabs>
          <w:tab w:leader="none" w:pos="9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increased competition or available supply of data center space;</w:t>
      </w:r>
    </w:p>
    <w:p>
      <w:pPr>
        <w:ind w:left="900" w:right="320" w:hanging="294"/>
        <w:spacing w:after="0" w:line="234" w:lineRule="auto"/>
        <w:tabs>
          <w:tab w:leader="none" w:pos="9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suitability of our data centers and data center infrastructure, delays or disruptions in connectivity or availability of power, or failures or breaches of our physical and information security infrastructure or services;</w:t>
      </w:r>
    </w:p>
    <w:p>
      <w:pPr>
        <w:spacing w:after="0" w:line="1" w:lineRule="exact"/>
        <w:rPr>
          <w:rFonts w:ascii="Times New Roman" w:cs="Times New Roman" w:eastAsia="Times New Roman" w:hAnsi="Times New Roman"/>
          <w:sz w:val="16"/>
          <w:szCs w:val="16"/>
          <w:color w:val="auto"/>
        </w:rPr>
      </w:pPr>
    </w:p>
    <w:p>
      <w:pPr>
        <w:ind w:left="900" w:hanging="294"/>
        <w:spacing w:after="0" w:line="234" w:lineRule="auto"/>
        <w:tabs>
          <w:tab w:leader="none" w:pos="9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breaches of our obligations or restrictions under our contracts with our customers;</w:t>
      </w:r>
    </w:p>
    <w:p>
      <w:pPr>
        <w:ind w:left="900" w:right="620" w:hanging="294"/>
        <w:spacing w:after="0" w:line="234" w:lineRule="auto"/>
        <w:tabs>
          <w:tab w:leader="none" w:pos="9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inability to successfully develop and lease new properties and development space, and delays or unexpected costs in development of properties;</w:t>
      </w:r>
    </w:p>
    <w:p>
      <w:pPr>
        <w:spacing w:after="0" w:line="1" w:lineRule="exact"/>
        <w:rPr>
          <w:rFonts w:ascii="Times New Roman" w:cs="Times New Roman" w:eastAsia="Times New Roman" w:hAnsi="Times New Roman"/>
          <w:sz w:val="16"/>
          <w:szCs w:val="16"/>
          <w:color w:val="auto"/>
        </w:rPr>
      </w:pPr>
    </w:p>
    <w:p>
      <w:pPr>
        <w:ind w:left="900" w:hanging="294"/>
        <w:spacing w:after="0" w:line="234" w:lineRule="auto"/>
        <w:tabs>
          <w:tab w:leader="none" w:pos="9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current global and local economic, credit and market conditions;</w:t>
      </w:r>
    </w:p>
    <w:p>
      <w:pPr>
        <w:ind w:left="900" w:hanging="294"/>
        <w:spacing w:after="0" w:line="234" w:lineRule="auto"/>
        <w:tabs>
          <w:tab w:leader="none" w:pos="9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global supply chain or procurement disruptions, or increased supply chain costs;</w:t>
      </w:r>
    </w:p>
    <w:p>
      <w:pPr>
        <w:ind w:left="900" w:right="620" w:hanging="294"/>
        <w:spacing w:after="0" w:line="234" w:lineRule="auto"/>
        <w:tabs>
          <w:tab w:leader="none" w:pos="9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from periods of heightened inflation on our costs, such as operating and general and administrative expenses, interest expense and real estate acquisition and construction costs;</w:t>
      </w:r>
    </w:p>
    <w:p>
      <w:pPr>
        <w:spacing w:after="0" w:line="1" w:lineRule="exact"/>
        <w:rPr>
          <w:rFonts w:ascii="Times New Roman" w:cs="Times New Roman" w:eastAsia="Times New Roman" w:hAnsi="Times New Roman"/>
          <w:sz w:val="16"/>
          <w:szCs w:val="16"/>
          <w:color w:val="auto"/>
        </w:rPr>
      </w:pPr>
    </w:p>
    <w:p>
      <w:pPr>
        <w:ind w:left="900" w:hanging="294"/>
        <w:spacing w:after="0" w:line="234" w:lineRule="auto"/>
        <w:tabs>
          <w:tab w:leader="none" w:pos="9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on our customers’ and our suppliers’ operations during an epidemic, pandemic, or other global events;</w:t>
      </w:r>
    </w:p>
    <w:p>
      <w:pPr>
        <w:ind w:left="900" w:right="800" w:hanging="294"/>
        <w:spacing w:after="0" w:line="234" w:lineRule="auto"/>
        <w:tabs>
          <w:tab w:leader="none" w:pos="9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dependence upon significant customers, bankruptcy or insolvency of a major customer or a significant number of smaller customers, or defaults on or non-renewal of leases by customers;</w:t>
      </w:r>
    </w:p>
    <w:p>
      <w:pPr>
        <w:spacing w:after="0" w:line="1" w:lineRule="exact"/>
        <w:rPr>
          <w:rFonts w:ascii="Times New Roman" w:cs="Times New Roman" w:eastAsia="Times New Roman" w:hAnsi="Times New Roman"/>
          <w:sz w:val="16"/>
          <w:szCs w:val="16"/>
          <w:color w:val="auto"/>
        </w:rPr>
      </w:pPr>
    </w:p>
    <w:p>
      <w:pPr>
        <w:ind w:left="900" w:right="400" w:hanging="294"/>
        <w:spacing w:after="0" w:line="234" w:lineRule="auto"/>
        <w:tabs>
          <w:tab w:leader="none" w:pos="9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political conditions, geopolitical turmoil, political instability, civil disturbances, restrictive governmental actions or nationalization in the countries in which we operate;</w:t>
      </w:r>
    </w:p>
    <w:p>
      <w:pPr>
        <w:spacing w:after="0" w:line="1" w:lineRule="exact"/>
        <w:rPr>
          <w:rFonts w:ascii="Times New Roman" w:cs="Times New Roman" w:eastAsia="Times New Roman" w:hAnsi="Times New Roman"/>
          <w:sz w:val="16"/>
          <w:szCs w:val="16"/>
          <w:color w:val="auto"/>
        </w:rPr>
      </w:pPr>
    </w:p>
    <w:p>
      <w:pPr>
        <w:ind w:left="900" w:hanging="294"/>
        <w:spacing w:after="0" w:line="234" w:lineRule="auto"/>
        <w:tabs>
          <w:tab w:leader="none" w:pos="9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inability to retain data center space that we lease or sublease from third parties;</w:t>
      </w:r>
    </w:p>
    <w:p>
      <w:pPr>
        <w:ind w:left="900" w:hanging="294"/>
        <w:spacing w:after="0" w:line="234" w:lineRule="auto"/>
        <w:tabs>
          <w:tab w:leader="none" w:pos="9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information security and data privacy breaches;</w:t>
      </w:r>
    </w:p>
    <w:p>
      <w:pPr>
        <w:ind w:left="900" w:right="460" w:hanging="294"/>
        <w:spacing w:after="0" w:line="238" w:lineRule="auto"/>
        <w:tabs>
          <w:tab w:leader="none" w:pos="9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managing an international business and acquiring or operating properties in foreign jurisdictions and unfamiliar metropolitan areas;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51" w:name="page52"/>
    <w:bookmarkEnd w:id="51"/>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6" w:lineRule="exact"/>
        <w:rPr>
          <w:sz w:val="20"/>
          <w:szCs w:val="20"/>
          <w:color w:val="auto"/>
        </w:rPr>
      </w:pPr>
    </w:p>
    <w:p>
      <w:pPr>
        <w:ind w:left="900" w:right="860" w:hanging="294"/>
        <w:spacing w:after="0" w:line="246" w:lineRule="auto"/>
        <w:tabs>
          <w:tab w:leader="none" w:pos="9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failure to realize the intended benefits from, or disruptions to our plans and operations or unknown or contingent liabilities related to, our recent and future acquisitions;</w:t>
      </w:r>
    </w:p>
    <w:p>
      <w:pPr>
        <w:ind w:left="900" w:hanging="294"/>
        <w:spacing w:after="0" w:line="234" w:lineRule="auto"/>
        <w:tabs>
          <w:tab w:leader="none" w:pos="9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failure to successfully integrate and operate acquired or developed properties or businesses;</w:t>
      </w:r>
    </w:p>
    <w:p>
      <w:pPr>
        <w:ind w:left="900" w:hanging="294"/>
        <w:spacing w:after="0" w:line="234" w:lineRule="auto"/>
        <w:tabs>
          <w:tab w:leader="none" w:pos="9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in identifying properties to acquire and completing acquisitions;</w:t>
      </w:r>
    </w:p>
    <w:p>
      <w:pPr>
        <w:ind w:left="900" w:hanging="294"/>
        <w:spacing w:after="0" w:line="234" w:lineRule="auto"/>
        <w:tabs>
          <w:tab w:leader="none" w:pos="9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joint venture investments, including as a result of our lack of control of such investments;</w:t>
      </w:r>
    </w:p>
    <w:p>
      <w:pPr>
        <w:jc w:val="both"/>
        <w:ind w:left="900" w:right="500" w:hanging="294"/>
        <w:spacing w:after="0" w:line="234" w:lineRule="auto"/>
        <w:tabs>
          <w:tab w:leader="none" w:pos="9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associated with using debt to fund our business activities, including re-financing and interest rate risks, our failure to repay debt when due, adverse changes in our credit ratings or our breach of covenants or other terms contained in our loan facilities and agreements;</w:t>
      </w:r>
    </w:p>
    <w:p>
      <w:pPr>
        <w:spacing w:after="0" w:line="1" w:lineRule="exact"/>
        <w:rPr>
          <w:rFonts w:ascii="Times New Roman" w:cs="Times New Roman" w:eastAsia="Times New Roman" w:hAnsi="Times New Roman"/>
          <w:sz w:val="16"/>
          <w:szCs w:val="16"/>
          <w:color w:val="auto"/>
        </w:rPr>
      </w:pPr>
    </w:p>
    <w:p>
      <w:pPr>
        <w:ind w:left="900" w:hanging="294"/>
        <w:spacing w:after="0" w:line="234" w:lineRule="auto"/>
        <w:tabs>
          <w:tab w:leader="none" w:pos="9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failure to obtain necessary debt and equity financing, and our dependence on external sources of capital;</w:t>
      </w:r>
    </w:p>
    <w:p>
      <w:pPr>
        <w:ind w:left="900" w:hanging="294"/>
        <w:spacing w:after="0" w:line="234" w:lineRule="auto"/>
        <w:tabs>
          <w:tab w:leader="none" w:pos="9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market fluctuations and changes in foreign currency exchange rates;</w:t>
      </w:r>
    </w:p>
    <w:p>
      <w:pPr>
        <w:ind w:left="900" w:right="460" w:hanging="294"/>
        <w:spacing w:after="0" w:line="268" w:lineRule="auto"/>
        <w:tabs>
          <w:tab w:leader="none" w:pos="9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economic or real estate developments in our industry or the industry sectors that we sell to, including risks relating to decreasing real estate valuations and impairment charges and goodwill and other intangible asset impairment charges;</w:t>
      </w:r>
    </w:p>
    <w:p>
      <w:pPr>
        <w:ind w:left="900" w:hanging="294"/>
        <w:spacing w:after="0" w:line="234" w:lineRule="auto"/>
        <w:tabs>
          <w:tab w:leader="none" w:pos="9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inability to manage our growth effectively;</w:t>
      </w:r>
    </w:p>
    <w:p>
      <w:pPr>
        <w:ind w:left="900" w:hanging="294"/>
        <w:spacing w:after="0" w:line="234" w:lineRule="auto"/>
        <w:tabs>
          <w:tab w:leader="none" w:pos="9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losses in excess of our insurance coverage;</w:t>
      </w:r>
    </w:p>
    <w:p>
      <w:pPr>
        <w:ind w:left="900" w:hanging="294"/>
        <w:spacing w:after="0" w:line="234" w:lineRule="auto"/>
        <w:tabs>
          <w:tab w:leader="none" w:pos="9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inability to attract and retain talent;</w:t>
      </w:r>
    </w:p>
    <w:p>
      <w:pPr>
        <w:ind w:left="900" w:hanging="294"/>
        <w:spacing w:after="0" w:line="234" w:lineRule="auto"/>
        <w:tabs>
          <w:tab w:leader="none" w:pos="9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environmental liabilities, risks related to natural disasters and our inability to achieve our sustainability goals;</w:t>
      </w:r>
    </w:p>
    <w:p>
      <w:pPr>
        <w:ind w:left="900" w:hanging="294"/>
        <w:spacing w:after="0" w:line="234" w:lineRule="auto"/>
        <w:tabs>
          <w:tab w:leader="none" w:pos="9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expected operating performance of anticipated near-term acquisitions and descriptions relating to these expectations;</w:t>
      </w:r>
    </w:p>
    <w:p>
      <w:pPr>
        <w:ind w:left="900" w:hanging="294"/>
        <w:spacing w:after="0" w:line="234" w:lineRule="auto"/>
        <w:tabs>
          <w:tab w:leader="none" w:pos="9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inability to comply with rules and regulations applicable to our Company;</w:t>
      </w:r>
    </w:p>
    <w:p>
      <w:pPr>
        <w:ind w:left="900" w:hanging="294"/>
        <w:spacing w:after="0" w:line="234" w:lineRule="auto"/>
        <w:tabs>
          <w:tab w:leader="none" w:pos="9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Digital Realty Trust, Inc.’s failure to maintain its status as a REIT for U.S. federal income tax purposes;</w:t>
      </w:r>
    </w:p>
    <w:p>
      <w:pPr>
        <w:ind w:left="900" w:hanging="294"/>
        <w:spacing w:after="0" w:line="234" w:lineRule="auto"/>
        <w:tabs>
          <w:tab w:leader="none" w:pos="9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Digital Realty Trust, L.P.’s failure to qualify as a partnership for U.S. federal income tax purposes;</w:t>
      </w:r>
    </w:p>
    <w:p>
      <w:pPr>
        <w:ind w:left="900" w:hanging="294"/>
        <w:spacing w:after="0" w:line="234" w:lineRule="auto"/>
        <w:tabs>
          <w:tab w:leader="none" w:pos="9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restrictions on our ability to engage in certain business activities;</w:t>
      </w:r>
    </w:p>
    <w:p>
      <w:pPr>
        <w:ind w:left="900" w:right="560" w:hanging="294"/>
        <w:spacing w:after="0" w:line="234" w:lineRule="auto"/>
        <w:tabs>
          <w:tab w:leader="none" w:pos="9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local, state, federal and international laws and regulations, including related to taxation, real estate and zoning laws, and increases in real property tax rates; and</w:t>
      </w:r>
    </w:p>
    <w:p>
      <w:pPr>
        <w:spacing w:after="0" w:line="1" w:lineRule="exact"/>
        <w:rPr>
          <w:rFonts w:ascii="Times New Roman" w:cs="Times New Roman" w:eastAsia="Times New Roman" w:hAnsi="Times New Roman"/>
          <w:sz w:val="16"/>
          <w:szCs w:val="16"/>
          <w:color w:val="auto"/>
        </w:rPr>
      </w:pPr>
    </w:p>
    <w:p>
      <w:pPr>
        <w:ind w:left="900" w:hanging="294"/>
        <w:spacing w:after="0"/>
        <w:tabs>
          <w:tab w:leader="none" w:pos="9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any financial, accounting, legal or regulatory issues or litigation that may affect us.</w:t>
      </w:r>
    </w:p>
    <w:p>
      <w:pPr>
        <w:spacing w:after="0" w:line="158" w:lineRule="exact"/>
        <w:rPr>
          <w:sz w:val="20"/>
          <w:szCs w:val="20"/>
          <w:color w:val="auto"/>
        </w:rPr>
      </w:pPr>
    </w:p>
    <w:p>
      <w:pPr>
        <w:ind w:left="320" w:right="340" w:firstLine="288"/>
        <w:spacing w:after="0" w:line="238" w:lineRule="auto"/>
        <w:rPr>
          <w:sz w:val="20"/>
          <w:szCs w:val="20"/>
          <w:color w:val="auto"/>
        </w:rPr>
      </w:pPr>
      <w:r>
        <w:rPr>
          <w:rFonts w:ascii="Times New Roman" w:cs="Times New Roman" w:eastAsia="Times New Roman" w:hAnsi="Times New Roman"/>
          <w:sz w:val="16"/>
          <w:szCs w:val="16"/>
          <w:color w:val="auto"/>
        </w:rPr>
        <w:t>The risks included here are not exhaustive, and additional factors could adversely affect our business and financial performance, including factors and risks included in other sections of this report, including under Part I, Item 1A, Risk Factors. Moreover, we operate in a very competitive and rapidly changing environment. New risk factors emerge from time to time and it is not possible for management to identify all such risk factors, nor can we assess the impact of all such risk factors on the business or the extent to which any factor, or combination of factors, may cause actual results to differ materially from those contained in any forward-looking statements. While forward -looking statements reflect our good faith beliefs, they are not guaranties of future performance. We disclaim any obligation to publicly update or revise any forward- looking statement to reflect changes in underlying assumptions or factors, new information, data or methods, future events or other changes.</w:t>
      </w:r>
    </w:p>
    <w:p>
      <w:pPr>
        <w:spacing w:after="0" w:line="75" w:lineRule="exact"/>
        <w:rPr>
          <w:sz w:val="20"/>
          <w:szCs w:val="20"/>
          <w:color w:val="auto"/>
        </w:rPr>
      </w:pPr>
    </w:p>
    <w:p>
      <w:pPr>
        <w:ind w:left="320"/>
        <w:spacing w:after="0"/>
        <w:tabs>
          <w:tab w:leader="none" w:pos="1320" w:val="left"/>
        </w:tabs>
        <w:rPr>
          <w:sz w:val="20"/>
          <w:szCs w:val="20"/>
          <w:color w:val="auto"/>
        </w:rPr>
      </w:pPr>
      <w:r>
        <w:rPr>
          <w:rFonts w:ascii="Times New Roman" w:cs="Times New Roman" w:eastAsia="Times New Roman" w:hAnsi="Times New Roman"/>
          <w:sz w:val="16"/>
          <w:szCs w:val="16"/>
          <w:b w:val="1"/>
          <w:bCs w:val="1"/>
          <w:color w:val="auto"/>
        </w:rPr>
        <w:t>ITEM 1B.</w:t>
      </w:r>
      <w:r>
        <w:rPr>
          <w:sz w:val="20"/>
          <w:szCs w:val="20"/>
          <w:color w:val="auto"/>
        </w:rPr>
        <w:tab/>
      </w:r>
      <w:r>
        <w:rPr>
          <w:rFonts w:ascii="Times New Roman" w:cs="Times New Roman" w:eastAsia="Times New Roman" w:hAnsi="Times New Roman"/>
          <w:sz w:val="14"/>
          <w:szCs w:val="14"/>
          <w:b w:val="1"/>
          <w:bCs w:val="1"/>
          <w:color w:val="auto"/>
        </w:rPr>
        <w:t>UNRESOLVED STAFF COMMENTS</w:t>
      </w:r>
    </w:p>
    <w:p>
      <w:pPr>
        <w:spacing w:after="0" w:line="19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None.</w:t>
      </w:r>
    </w:p>
    <w:p>
      <w:pPr>
        <w:spacing w:after="0" w:line="174" w:lineRule="exact"/>
        <w:rPr>
          <w:sz w:val="20"/>
          <w:szCs w:val="20"/>
          <w:color w:val="auto"/>
        </w:rPr>
      </w:pPr>
    </w:p>
    <w:p>
      <w:pPr>
        <w:ind w:left="320"/>
        <w:spacing w:after="0"/>
        <w:tabs>
          <w:tab w:leader="none" w:pos="1340" w:val="left"/>
        </w:tabs>
        <w:rPr>
          <w:sz w:val="20"/>
          <w:szCs w:val="20"/>
          <w:color w:val="auto"/>
        </w:rPr>
      </w:pPr>
      <w:r>
        <w:rPr>
          <w:rFonts w:ascii="Times New Roman" w:cs="Times New Roman" w:eastAsia="Times New Roman" w:hAnsi="Times New Roman"/>
          <w:sz w:val="16"/>
          <w:szCs w:val="16"/>
          <w:b w:val="1"/>
          <w:bCs w:val="1"/>
          <w:color w:val="auto"/>
        </w:rPr>
        <w:t>ITEM 1C.</w:t>
      </w:r>
      <w:r>
        <w:rPr>
          <w:sz w:val="20"/>
          <w:szCs w:val="20"/>
          <w:color w:val="auto"/>
        </w:rPr>
        <w:tab/>
      </w:r>
      <w:r>
        <w:rPr>
          <w:rFonts w:ascii="Times New Roman" w:cs="Times New Roman" w:eastAsia="Times New Roman" w:hAnsi="Times New Roman"/>
          <w:sz w:val="14"/>
          <w:szCs w:val="14"/>
          <w:b w:val="1"/>
          <w:bCs w:val="1"/>
          <w:color w:val="auto"/>
        </w:rPr>
        <w:t>CYBERSECURITY</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Cybersecurity Risk Management and Strategy</w:t>
      </w:r>
    </w:p>
    <w:p>
      <w:pPr>
        <w:spacing w:after="0" w:line="176" w:lineRule="exact"/>
        <w:rPr>
          <w:sz w:val="20"/>
          <w:szCs w:val="20"/>
          <w:color w:val="auto"/>
        </w:rPr>
      </w:pPr>
    </w:p>
    <w:p>
      <w:pPr>
        <w:ind w:left="320" w:right="440"/>
        <w:spacing w:after="0" w:line="259" w:lineRule="auto"/>
        <w:rPr>
          <w:sz w:val="20"/>
          <w:szCs w:val="20"/>
          <w:color w:val="auto"/>
        </w:rPr>
      </w:pPr>
      <w:r>
        <w:rPr>
          <w:rFonts w:ascii="Times New Roman" w:cs="Times New Roman" w:eastAsia="Times New Roman" w:hAnsi="Times New Roman"/>
          <w:sz w:val="16"/>
          <w:szCs w:val="16"/>
          <w:color w:val="auto"/>
        </w:rPr>
        <w:t>We have developed and implemented cybersecurity risk management processes intended to protect the confidentiality, integrity, and availability of our information systems.</w:t>
      </w:r>
    </w:p>
    <w:p>
      <w:pPr>
        <w:spacing w:after="0" w:line="143" w:lineRule="exact"/>
        <w:rPr>
          <w:sz w:val="20"/>
          <w:szCs w:val="20"/>
          <w:color w:val="auto"/>
        </w:rPr>
      </w:pPr>
    </w:p>
    <w:p>
      <w:pPr>
        <w:ind w:left="320" w:right="520"/>
        <w:spacing w:after="0" w:line="243" w:lineRule="auto"/>
        <w:rPr>
          <w:sz w:val="20"/>
          <w:szCs w:val="20"/>
          <w:color w:val="auto"/>
        </w:rPr>
      </w:pPr>
      <w:r>
        <w:rPr>
          <w:rFonts w:ascii="Times New Roman" w:cs="Times New Roman" w:eastAsia="Times New Roman" w:hAnsi="Times New Roman"/>
          <w:sz w:val="16"/>
          <w:szCs w:val="16"/>
          <w:color w:val="auto"/>
        </w:rPr>
        <w:t>We utilize the United States National Institute of Standards and Technology, Cybersecurity Framework (NIST CSF) in considering the design and in assessing our processes. This does not imply that we meet any particular technical standards, specifications, or requirements, only that we use the NIST CSF as a guide to help us identify, assess, and manage cybersecurity risks relevant to our business.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52" w:name="page53"/>
    <w:bookmarkEnd w:id="52"/>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6" w:lineRule="exact"/>
        <w:rPr>
          <w:sz w:val="20"/>
          <w:szCs w:val="20"/>
          <w:color w:val="auto"/>
        </w:rPr>
      </w:pPr>
    </w:p>
    <w:p>
      <w:pPr>
        <w:ind w:left="320" w:right="500"/>
        <w:spacing w:after="0" w:line="247" w:lineRule="auto"/>
        <w:rPr>
          <w:sz w:val="20"/>
          <w:szCs w:val="20"/>
          <w:color w:val="auto"/>
        </w:rPr>
      </w:pPr>
      <w:r>
        <w:rPr>
          <w:rFonts w:ascii="Times New Roman" w:cs="Times New Roman" w:eastAsia="Times New Roman" w:hAnsi="Times New Roman"/>
          <w:sz w:val="16"/>
          <w:szCs w:val="16"/>
          <w:color w:val="auto"/>
        </w:rPr>
        <w:t>We have integrated aspects of our cybersecurity risk management processes into our overall risk management program through, for example, common methodologies, reporting channels and governance processes that apply across the overall risk management program to other risk areas.</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Our cybersecurity risk management processes include, but are not limited to:</w:t>
      </w:r>
    </w:p>
    <w:p>
      <w:pPr>
        <w:spacing w:after="0" w:line="176" w:lineRule="exact"/>
        <w:rPr>
          <w:sz w:val="20"/>
          <w:szCs w:val="20"/>
          <w:color w:val="auto"/>
        </w:rPr>
      </w:pPr>
    </w:p>
    <w:p>
      <w:pPr>
        <w:ind w:left="900" w:right="820" w:hanging="294"/>
        <w:spacing w:after="0" w:line="259" w:lineRule="auto"/>
        <w:tabs>
          <w:tab w:leader="none" w:pos="9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independent maturity assessments designed to help identify significant cybersecurity risks to our IT environment and systems;</w:t>
      </w:r>
    </w:p>
    <w:p>
      <w:pPr>
        <w:spacing w:after="0" w:line="143" w:lineRule="exact"/>
        <w:rPr>
          <w:rFonts w:ascii="Times New Roman" w:cs="Times New Roman" w:eastAsia="Times New Roman" w:hAnsi="Times New Roman"/>
          <w:sz w:val="16"/>
          <w:szCs w:val="16"/>
          <w:color w:val="auto"/>
        </w:rPr>
      </w:pPr>
    </w:p>
    <w:p>
      <w:pPr>
        <w:ind w:left="900" w:right="600" w:hanging="294"/>
        <w:spacing w:after="0" w:line="259" w:lineRule="auto"/>
        <w:tabs>
          <w:tab w:leader="none" w:pos="9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cyber resilience team jointly responsible for managing (1) our cybersecurity risk assessment processes, (2) our security controls, and (3) our response to cybersecurity incidents;</w:t>
      </w:r>
    </w:p>
    <w:p>
      <w:pPr>
        <w:spacing w:after="0" w:line="143" w:lineRule="exact"/>
        <w:rPr>
          <w:rFonts w:ascii="Times New Roman" w:cs="Times New Roman" w:eastAsia="Times New Roman" w:hAnsi="Times New Roman"/>
          <w:sz w:val="16"/>
          <w:szCs w:val="16"/>
          <w:color w:val="auto"/>
        </w:rPr>
      </w:pPr>
    </w:p>
    <w:p>
      <w:pPr>
        <w:ind w:left="900" w:right="820" w:hanging="294"/>
        <w:spacing w:after="0" w:line="259" w:lineRule="auto"/>
        <w:tabs>
          <w:tab w:leader="none" w:pos="9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use of external service providers, where appropriate, to assess, test or otherwise assist with aspects of our security controls;</w:t>
      </w:r>
    </w:p>
    <w:p>
      <w:pPr>
        <w:spacing w:after="0" w:line="143" w:lineRule="exact"/>
        <w:rPr>
          <w:rFonts w:ascii="Times New Roman" w:cs="Times New Roman" w:eastAsia="Times New Roman" w:hAnsi="Times New Roman"/>
          <w:sz w:val="16"/>
          <w:szCs w:val="16"/>
          <w:color w:val="auto"/>
        </w:rPr>
      </w:pPr>
    </w:p>
    <w:p>
      <w:pPr>
        <w:ind w:left="900" w:hanging="294"/>
        <w:spacing w:after="0"/>
        <w:tabs>
          <w:tab w:leader="none" w:pos="9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cybersecurity awareness training of our employees, incident response personnel, and senior management;</w:t>
      </w:r>
    </w:p>
    <w:p>
      <w:pPr>
        <w:spacing w:after="0" w:line="176" w:lineRule="exact"/>
        <w:rPr>
          <w:rFonts w:ascii="Times New Roman" w:cs="Times New Roman" w:eastAsia="Times New Roman" w:hAnsi="Times New Roman"/>
          <w:sz w:val="16"/>
          <w:szCs w:val="16"/>
          <w:color w:val="auto"/>
        </w:rPr>
      </w:pPr>
    </w:p>
    <w:p>
      <w:pPr>
        <w:ind w:left="900" w:hanging="294"/>
        <w:spacing w:after="0"/>
        <w:tabs>
          <w:tab w:leader="none" w:pos="9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cybersecurity incident response plan that includes procedures for responding to cybersecurity incidents; and</w:t>
      </w:r>
    </w:p>
    <w:p>
      <w:pPr>
        <w:spacing w:after="0" w:line="176" w:lineRule="exact"/>
        <w:rPr>
          <w:rFonts w:ascii="Times New Roman" w:cs="Times New Roman" w:eastAsia="Times New Roman" w:hAnsi="Times New Roman"/>
          <w:sz w:val="16"/>
          <w:szCs w:val="16"/>
          <w:color w:val="auto"/>
        </w:rPr>
      </w:pPr>
    </w:p>
    <w:p>
      <w:pPr>
        <w:ind w:left="900" w:hanging="294"/>
        <w:spacing w:after="0"/>
        <w:tabs>
          <w:tab w:leader="none" w:pos="9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risk management process for service providers, suppliers, and vendors that aligns to our compliance requirements.</w:t>
      </w:r>
    </w:p>
    <w:p>
      <w:pPr>
        <w:spacing w:after="0" w:line="176" w:lineRule="exact"/>
        <w:rPr>
          <w:sz w:val="20"/>
          <w:szCs w:val="20"/>
          <w:color w:val="auto"/>
        </w:rPr>
      </w:pPr>
    </w:p>
    <w:p>
      <w:pPr>
        <w:ind w:left="320" w:right="420"/>
        <w:spacing w:after="0" w:line="238" w:lineRule="auto"/>
        <w:rPr>
          <w:sz w:val="20"/>
          <w:szCs w:val="20"/>
          <w:color w:val="auto"/>
        </w:rPr>
      </w:pPr>
      <w:r>
        <w:rPr>
          <w:rFonts w:ascii="Times New Roman" w:cs="Times New Roman" w:eastAsia="Times New Roman" w:hAnsi="Times New Roman"/>
          <w:sz w:val="16"/>
          <w:szCs w:val="16"/>
          <w:color w:val="auto"/>
        </w:rPr>
        <w:t>We have not identified risks from known cybersecurity threats as a result of any prior cybersecurity incidents that have materially affected us, including our operations, business strategy, results of operations, or financial condition. We face complex risks from cybersecurity threats that, if realized, are reasonably likely to materially affect us, including our operations, business strategy, results of operations, or financial condition</w:t>
      </w:r>
      <w:r>
        <w:rPr>
          <w:rFonts w:ascii="Times New Roman" w:cs="Times New Roman" w:eastAsia="Times New Roman" w:hAnsi="Times New Roman"/>
          <w:sz w:val="16"/>
          <w:szCs w:val="16"/>
          <w:i w:val="1"/>
          <w:iCs w:val="1"/>
          <w:color w:val="auto"/>
        </w:rPr>
        <w:t>. See “Risk Factors—We and our third-party providers are vulnerable to cyberattacks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security breaches that could materially disrupt or compromise our operations, data and results.” </w:t>
      </w:r>
      <w:r>
        <w:rPr>
          <w:rFonts w:ascii="Times New Roman" w:cs="Times New Roman" w:eastAsia="Times New Roman" w:hAnsi="Times New Roman"/>
          <w:sz w:val="16"/>
          <w:szCs w:val="16"/>
          <w:color w:val="auto"/>
        </w:rPr>
        <w:t>There can be no assurance that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cybersecurity risk management processes, including our policies, controls or procedures, will be fully implemented as currently anticipated, complied with or effective in protecting our systems and information or in allowing us to recover from a cybersecurity incident.</w:t>
      </w:r>
    </w:p>
    <w:p>
      <w:pPr>
        <w:spacing w:after="0" w:line="1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Cybersecurity Governance</w:t>
      </w:r>
    </w:p>
    <w:p>
      <w:pPr>
        <w:spacing w:after="0" w:line="176" w:lineRule="exact"/>
        <w:rPr>
          <w:sz w:val="20"/>
          <w:szCs w:val="20"/>
          <w:color w:val="auto"/>
        </w:rPr>
      </w:pPr>
    </w:p>
    <w:p>
      <w:pPr>
        <w:ind w:left="320" w:right="520"/>
        <w:spacing w:after="0" w:line="239" w:lineRule="auto"/>
        <w:rPr>
          <w:sz w:val="20"/>
          <w:szCs w:val="20"/>
          <w:color w:val="auto"/>
        </w:rPr>
      </w:pPr>
      <w:r>
        <w:rPr>
          <w:rFonts w:ascii="Times New Roman" w:cs="Times New Roman" w:eastAsia="Times New Roman" w:hAnsi="Times New Roman"/>
          <w:sz w:val="16"/>
          <w:szCs w:val="16"/>
          <w:color w:val="auto"/>
        </w:rPr>
        <w:t>Our Board considers cybersecurity and other information technology risks as part of its risk management and compliance oversight function. The Board oversees management’s implementation of our cybersecurity risk management processes and receives reports from management on our cybersecurity risks at least twice a year. In addition, management updates the Board, as necessary, regarding any material cybersecurity incidents, as well as any incidents with lesser impact potential. The Board receives briefings from management on our cyber risk management processes, and it receives presentations on cybersecurity topics from our Chief Technology Officer, Chief Information Security Officer and Chief Information Officer, internal security staff or external experts as part of the Board’s continuing education on topics that impact public companies.</w:t>
      </w:r>
    </w:p>
    <w:p>
      <w:pPr>
        <w:spacing w:after="0" w:line="158" w:lineRule="exact"/>
        <w:rPr>
          <w:sz w:val="20"/>
          <w:szCs w:val="20"/>
          <w:color w:val="auto"/>
        </w:rPr>
      </w:pPr>
    </w:p>
    <w:p>
      <w:pPr>
        <w:ind w:left="320" w:right="340"/>
        <w:spacing w:after="0" w:line="237" w:lineRule="auto"/>
        <w:rPr>
          <w:sz w:val="20"/>
          <w:szCs w:val="20"/>
          <w:color w:val="auto"/>
        </w:rPr>
      </w:pPr>
      <w:r>
        <w:rPr>
          <w:rFonts w:ascii="Times New Roman" w:cs="Times New Roman" w:eastAsia="Times New Roman" w:hAnsi="Times New Roman"/>
          <w:sz w:val="16"/>
          <w:szCs w:val="16"/>
          <w:color w:val="auto"/>
        </w:rPr>
        <w:t>Our management team has overall responsibility for assessing and managing material risks from cybersecurity threats, and for executing on our cybersecurity risk management processes. Our Chief Technology Officer, Chief Information Officer and Chief Information Security Officer, among others, have decades of combined experience in areas such as information technology, compliance, and cybersecurity program design and management. Additionally, certain leaders and personnel within the cybersecurity operations team hold industry certifications, such as Certified Information Systems Security Professional or Certified Information Security Manager. Our management team works closely with our cybersecurity operations team to stay informed about and monitor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IT, Operational Technology (OT), and products and services environments.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53" w:name="page54"/>
    <w:bookmarkEnd w:id="53"/>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ind w:left="320"/>
        <w:spacing w:after="0"/>
        <w:tabs>
          <w:tab w:leader="none" w:pos="1300" w:val="left"/>
        </w:tabs>
        <w:rPr>
          <w:sz w:val="20"/>
          <w:szCs w:val="20"/>
          <w:color w:val="auto"/>
        </w:rPr>
      </w:pPr>
      <w:r>
        <w:rPr>
          <w:rFonts w:ascii="Times New Roman" w:cs="Times New Roman" w:eastAsia="Times New Roman" w:hAnsi="Times New Roman"/>
          <w:sz w:val="16"/>
          <w:szCs w:val="16"/>
          <w:b w:val="1"/>
          <w:bCs w:val="1"/>
          <w:color w:val="auto"/>
        </w:rPr>
        <w:t>ITEM 2.</w:t>
      </w:r>
      <w:r>
        <w:rPr>
          <w:sz w:val="20"/>
          <w:szCs w:val="20"/>
          <w:color w:val="auto"/>
        </w:rPr>
        <w:tab/>
      </w:r>
      <w:r>
        <w:rPr>
          <w:rFonts w:ascii="Times New Roman" w:cs="Times New Roman" w:eastAsia="Times New Roman" w:hAnsi="Times New Roman"/>
          <w:sz w:val="14"/>
          <w:szCs w:val="14"/>
          <w:b w:val="1"/>
          <w:bCs w:val="1"/>
          <w:color w:val="auto"/>
        </w:rPr>
        <w:t>PROPERTIES</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190" w:lineRule="exact"/>
        <w:rPr>
          <w:sz w:val="20"/>
          <w:szCs w:val="20"/>
          <w:color w:val="auto"/>
        </w:rPr>
      </w:pPr>
    </w:p>
    <w:p>
      <w:pPr>
        <w:ind w:left="320" w:right="820"/>
        <w:spacing w:after="0" w:line="259" w:lineRule="auto"/>
        <w:rPr>
          <w:sz w:val="20"/>
          <w:szCs w:val="20"/>
          <w:color w:val="auto"/>
        </w:rPr>
      </w:pPr>
      <w:r>
        <w:rPr>
          <w:rFonts w:ascii="Times New Roman" w:cs="Times New Roman" w:eastAsia="Times New Roman" w:hAnsi="Times New Roman"/>
          <w:sz w:val="16"/>
          <w:szCs w:val="16"/>
          <w:color w:val="auto"/>
        </w:rPr>
        <w:t>In addition to the information in this Item 2, certain information regarding our portfolio is contained in Schedule III (Financial Statement Schedule) under Part IV, Item 15(a)(2) and which is included in Part II, Item 8.</w:t>
      </w:r>
    </w:p>
    <w:p>
      <w:pPr>
        <w:spacing w:after="0" w:line="1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Our Portfolio</w:t>
      </w:r>
    </w:p>
    <w:p>
      <w:pPr>
        <w:spacing w:after="0" w:line="190" w:lineRule="exact"/>
        <w:rPr>
          <w:sz w:val="20"/>
          <w:szCs w:val="20"/>
          <w:color w:val="auto"/>
        </w:rPr>
      </w:pPr>
    </w:p>
    <w:p>
      <w:pPr>
        <w:ind w:left="320" w:right="340"/>
        <w:spacing w:after="0" w:line="241" w:lineRule="auto"/>
        <w:rPr>
          <w:sz w:val="20"/>
          <w:szCs w:val="20"/>
          <w:color w:val="auto"/>
        </w:rPr>
      </w:pPr>
      <w:r>
        <w:rPr>
          <w:rFonts w:ascii="Times New Roman" w:cs="Times New Roman" w:eastAsia="Times New Roman" w:hAnsi="Times New Roman"/>
          <w:sz w:val="16"/>
          <w:szCs w:val="16"/>
          <w:color w:val="auto"/>
        </w:rPr>
        <w:t>The following table presents an overview of our portfolio of properties, including the 78 data centers held as investments in unconsolidated entities and developable land, based on information as of December 31, 2024 (amounts in thousands). All data centers are held in fee simple except as otherwise indicated. Please refer to Note 11. “Debt of the Operating Partnership” in the Notes to the Consolidated Financial Statements included in Part II, Item 8 of this Annual Report on Form 10-K for a description of all applicable encumbrances as of December 31, 2024.</w:t>
      </w:r>
    </w:p>
    <w:p>
      <w:pPr>
        <w:spacing w:after="0" w:line="192" w:lineRule="exact"/>
        <w:rPr>
          <w:sz w:val="20"/>
          <w:szCs w:val="20"/>
          <w:color w:val="auto"/>
        </w:rPr>
      </w:pPr>
    </w:p>
    <w:tbl>
      <w:tblPr>
        <w:tblLayout w:type="fixed"/>
        <w:tblInd w:w="320" w:type="dxa"/>
        <w:tblCellMar>
          <w:top w:w="0" w:type="dxa"/>
          <w:left w:w="0" w:type="dxa"/>
          <w:bottom w:w="0" w:type="dxa"/>
          <w:right w:w="0" w:type="dxa"/>
        </w:tblCellMar>
      </w:tblPr>
      <w:tr>
        <w:trPr>
          <w:trHeight w:val="120"/>
        </w:trPr>
        <w:tc>
          <w:tcPr>
            <w:tcW w:w="2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Space Under</w:t>
            </w: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09"/>
        </w:trPr>
        <w:tc>
          <w:tcPr>
            <w:tcW w:w="2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jc w:val="center"/>
              <w:ind w:left="152"/>
              <w:spacing w:after="0" w:line="110" w:lineRule="exact"/>
              <w:rPr>
                <w:sz w:val="20"/>
                <w:szCs w:val="20"/>
                <w:color w:val="auto"/>
              </w:rPr>
            </w:pPr>
            <w:r>
              <w:rPr>
                <w:rFonts w:ascii="Times New Roman" w:cs="Times New Roman" w:eastAsia="Times New Roman" w:hAnsi="Times New Roman"/>
                <w:sz w:val="10"/>
                <w:szCs w:val="10"/>
                <w:b w:val="1"/>
                <w:bCs w:val="1"/>
                <w:color w:val="auto"/>
                <w:w w:val="95"/>
              </w:rPr>
              <w:t>Data Center</w:t>
            </w: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tcPr>
          <w:p>
            <w:pPr>
              <w:jc w:val="right"/>
              <w:ind w:right="272"/>
              <w:spacing w:after="0" w:line="110" w:lineRule="exact"/>
              <w:rPr>
                <w:sz w:val="20"/>
                <w:szCs w:val="20"/>
                <w:color w:val="auto"/>
              </w:rPr>
            </w:pPr>
            <w:r>
              <w:rPr>
                <w:rFonts w:ascii="Times New Roman" w:cs="Times New Roman" w:eastAsia="Times New Roman" w:hAnsi="Times New Roman"/>
                <w:sz w:val="10"/>
                <w:szCs w:val="10"/>
                <w:b w:val="1"/>
                <w:bCs w:val="1"/>
                <w:color w:val="auto"/>
              </w:rPr>
              <w:t>Net Rentable</w:t>
            </w:r>
          </w:p>
        </w:tc>
        <w:tc>
          <w:tcPr>
            <w:tcW w:w="160" w:type="dxa"/>
            <w:vAlign w:val="bottom"/>
          </w:tcPr>
          <w:p>
            <w:pPr>
              <w:spacing w:after="0"/>
              <w:rPr>
                <w:sz w:val="9"/>
                <w:szCs w:val="9"/>
                <w:color w:val="auto"/>
              </w:rPr>
            </w:pPr>
          </w:p>
        </w:tc>
        <w:tc>
          <w:tcPr>
            <w:tcW w:w="118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5"/>
              </w:rPr>
              <w:t>Active</w:t>
            </w:r>
          </w:p>
        </w:tc>
        <w:tc>
          <w:tcPr>
            <w:tcW w:w="160" w:type="dxa"/>
            <w:vAlign w:val="bottom"/>
          </w:tcPr>
          <w:p>
            <w:pPr>
              <w:spacing w:after="0"/>
              <w:rPr>
                <w:sz w:val="9"/>
                <w:szCs w:val="9"/>
                <w:color w:val="auto"/>
              </w:rPr>
            </w:pPr>
          </w:p>
        </w:tc>
        <w:tc>
          <w:tcPr>
            <w:tcW w:w="1180" w:type="dxa"/>
            <w:vAlign w:val="bottom"/>
          </w:tcPr>
          <w:p>
            <w:pPr>
              <w:jc w:val="right"/>
              <w:ind w:right="232"/>
              <w:spacing w:after="0" w:line="110" w:lineRule="exact"/>
              <w:rPr>
                <w:sz w:val="20"/>
                <w:szCs w:val="20"/>
                <w:color w:val="auto"/>
              </w:rPr>
            </w:pPr>
            <w:r>
              <w:rPr>
                <w:rFonts w:ascii="Times New Roman" w:cs="Times New Roman" w:eastAsia="Times New Roman" w:hAnsi="Times New Roman"/>
                <w:sz w:val="10"/>
                <w:szCs w:val="10"/>
                <w:b w:val="1"/>
                <w:bCs w:val="1"/>
                <w:color w:val="auto"/>
              </w:rPr>
              <w:t>Space Held for</w:t>
            </w:r>
          </w:p>
        </w:tc>
        <w:tc>
          <w:tcPr>
            <w:tcW w:w="160" w:type="dxa"/>
            <w:vAlign w:val="bottom"/>
          </w:tcPr>
          <w:p>
            <w:pPr>
              <w:spacing w:after="0"/>
              <w:rPr>
                <w:sz w:val="9"/>
                <w:szCs w:val="9"/>
                <w:color w:val="auto"/>
              </w:rPr>
            </w:pPr>
          </w:p>
        </w:tc>
        <w:tc>
          <w:tcPr>
            <w:tcW w:w="800" w:type="dxa"/>
            <w:vAlign w:val="bottom"/>
          </w:tcPr>
          <w:p>
            <w:pPr>
              <w:jc w:val="right"/>
              <w:ind w:right="112"/>
              <w:spacing w:after="0" w:line="110" w:lineRule="exact"/>
              <w:rPr>
                <w:sz w:val="20"/>
                <w:szCs w:val="20"/>
                <w:color w:val="auto"/>
              </w:rPr>
            </w:pPr>
            <w:r>
              <w:rPr>
                <w:rFonts w:ascii="Times New Roman" w:cs="Times New Roman" w:eastAsia="Times New Roman" w:hAnsi="Times New Roman"/>
                <w:sz w:val="10"/>
                <w:szCs w:val="10"/>
                <w:b w:val="1"/>
                <w:bCs w:val="1"/>
                <w:color w:val="auto"/>
              </w:rPr>
              <w:t>Occupancy</w:t>
            </w:r>
          </w:p>
        </w:tc>
      </w:tr>
      <w:tr>
        <w:trPr>
          <w:trHeight w:val="132"/>
        </w:trPr>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Metropolitan Area</w:t>
            </w:r>
          </w:p>
        </w:tc>
        <w:tc>
          <w:tcPr>
            <w:tcW w:w="160" w:type="dxa"/>
            <w:vAlign w:val="bottom"/>
          </w:tcPr>
          <w:p>
            <w:pPr>
              <w:spacing w:after="0"/>
              <w:rPr>
                <w:sz w:val="11"/>
                <w:szCs w:val="11"/>
                <w:color w:val="auto"/>
              </w:rPr>
            </w:pPr>
          </w:p>
        </w:tc>
        <w:tc>
          <w:tcPr>
            <w:tcW w:w="740" w:type="dxa"/>
            <w:vAlign w:val="bottom"/>
            <w:tcBorders>
              <w:bottom w:val="single" w:sz="8" w:color="auto"/>
            </w:tcBorders>
          </w:tcPr>
          <w:p>
            <w:pPr>
              <w:jc w:val="center"/>
              <w:ind w:left="152"/>
              <w:spacing w:after="0"/>
              <w:rPr>
                <w:sz w:val="20"/>
                <w:szCs w:val="20"/>
                <w:color w:val="auto"/>
              </w:rPr>
            </w:pPr>
            <w:r>
              <w:rPr>
                <w:rFonts w:ascii="Times New Roman" w:cs="Times New Roman" w:eastAsia="Times New Roman" w:hAnsi="Times New Roman"/>
                <w:sz w:val="10"/>
                <w:szCs w:val="10"/>
                <w:b w:val="1"/>
                <w:bCs w:val="1"/>
                <w:color w:val="auto"/>
                <w:w w:val="93"/>
              </w:rPr>
              <w:t>Buildings</w:t>
            </w:r>
          </w:p>
        </w:tc>
        <w:tc>
          <w:tcPr>
            <w:tcW w:w="1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Borders>
              <w:bottom w:val="single" w:sz="8" w:color="auto"/>
            </w:tcBorders>
          </w:tcPr>
          <w:p>
            <w:pPr>
              <w:jc w:val="right"/>
              <w:ind w:right="232"/>
              <w:spacing w:after="0" w:line="133" w:lineRule="exact"/>
              <w:rPr>
                <w:sz w:val="20"/>
                <w:szCs w:val="20"/>
                <w:color w:val="auto"/>
              </w:rPr>
            </w:pPr>
            <w:r>
              <w:rPr>
                <w:rFonts w:ascii="Times New Roman" w:cs="Times New Roman" w:eastAsia="Times New Roman" w:hAnsi="Times New Roman"/>
                <w:sz w:val="10"/>
                <w:szCs w:val="10"/>
                <w:b w:val="1"/>
                <w:bCs w:val="1"/>
                <w:color w:val="auto"/>
              </w:rPr>
              <w:t xml:space="preserve">Square Feet </w:t>
            </w:r>
            <w:r>
              <w:rPr>
                <w:rFonts w:ascii="Times New Roman" w:cs="Times New Roman" w:eastAsia="Times New Roman" w:hAnsi="Times New Roman"/>
                <w:sz w:val="14"/>
                <w:szCs w:val="14"/>
                <w:b w:val="1"/>
                <w:bCs w:val="1"/>
                <w:color w:val="auto"/>
                <w:vertAlign w:val="superscript"/>
              </w:rPr>
              <w:t>(1)</w:t>
            </w:r>
          </w:p>
        </w:tc>
        <w:tc>
          <w:tcPr>
            <w:tcW w:w="160" w:type="dxa"/>
            <w:vAlign w:val="bottom"/>
          </w:tcPr>
          <w:p>
            <w:pPr>
              <w:spacing w:after="0"/>
              <w:rPr>
                <w:sz w:val="11"/>
                <w:szCs w:val="11"/>
                <w:color w:val="auto"/>
              </w:rPr>
            </w:pPr>
          </w:p>
        </w:tc>
        <w:tc>
          <w:tcPr>
            <w:tcW w:w="118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0"/>
                <w:szCs w:val="10"/>
                <w:b w:val="1"/>
                <w:bCs w:val="1"/>
                <w:color w:val="auto"/>
                <w:w w:val="94"/>
              </w:rPr>
              <w:t xml:space="preserve">Development (Sq Ft) </w:t>
            </w:r>
            <w:r>
              <w:rPr>
                <w:rFonts w:ascii="Times New Roman" w:cs="Times New Roman" w:eastAsia="Times New Roman" w:hAnsi="Times New Roman"/>
                <w:sz w:val="14"/>
                <w:szCs w:val="14"/>
                <w:b w:val="1"/>
                <w:bCs w:val="1"/>
                <w:color w:val="auto"/>
                <w:w w:val="94"/>
                <w:vertAlign w:val="superscript"/>
              </w:rPr>
              <w:t>(2)</w:t>
            </w:r>
          </w:p>
        </w:tc>
        <w:tc>
          <w:tcPr>
            <w:tcW w:w="160" w:type="dxa"/>
            <w:vAlign w:val="bottom"/>
          </w:tcPr>
          <w:p>
            <w:pPr>
              <w:spacing w:after="0"/>
              <w:rPr>
                <w:sz w:val="11"/>
                <w:szCs w:val="11"/>
                <w:color w:val="auto"/>
              </w:rPr>
            </w:pPr>
          </w:p>
        </w:tc>
        <w:tc>
          <w:tcPr>
            <w:tcW w:w="1180" w:type="dxa"/>
            <w:vAlign w:val="bottom"/>
            <w:tcBorders>
              <w:bottom w:val="single" w:sz="8" w:color="auto"/>
            </w:tcBorders>
          </w:tcPr>
          <w:p>
            <w:pPr>
              <w:jc w:val="right"/>
              <w:ind w:right="52"/>
              <w:spacing w:after="0" w:line="133" w:lineRule="exact"/>
              <w:rPr>
                <w:sz w:val="20"/>
                <w:szCs w:val="20"/>
                <w:color w:val="auto"/>
              </w:rPr>
            </w:pPr>
            <w:r>
              <w:rPr>
                <w:rFonts w:ascii="Times New Roman" w:cs="Times New Roman" w:eastAsia="Times New Roman" w:hAnsi="Times New Roman"/>
                <w:sz w:val="10"/>
                <w:szCs w:val="10"/>
                <w:b w:val="1"/>
                <w:bCs w:val="1"/>
                <w:color w:val="auto"/>
              </w:rPr>
              <w:t xml:space="preserve">Development (Sq Ft) </w:t>
            </w:r>
            <w:r>
              <w:rPr>
                <w:rFonts w:ascii="Times New Roman" w:cs="Times New Roman" w:eastAsia="Times New Roman" w:hAnsi="Times New Roman"/>
                <w:sz w:val="14"/>
                <w:szCs w:val="14"/>
                <w:b w:val="1"/>
                <w:bCs w:val="1"/>
                <w:color w:val="auto"/>
                <w:vertAlign w:val="superscript"/>
              </w:rPr>
              <w:t>(3)</w:t>
            </w:r>
          </w:p>
        </w:tc>
        <w:tc>
          <w:tcPr>
            <w:tcW w:w="160" w:type="dxa"/>
            <w:vAlign w:val="bottom"/>
          </w:tcPr>
          <w:p>
            <w:pPr>
              <w:spacing w:after="0"/>
              <w:rPr>
                <w:sz w:val="11"/>
                <w:szCs w:val="11"/>
                <w:color w:val="auto"/>
              </w:rPr>
            </w:pPr>
          </w:p>
        </w:tc>
        <w:tc>
          <w:tcPr>
            <w:tcW w:w="800" w:type="dxa"/>
            <w:vAlign w:val="bottom"/>
            <w:tcBorders>
              <w:bottom w:val="single" w:sz="8" w:color="auto"/>
            </w:tcBorders>
          </w:tcPr>
          <w:p>
            <w:pPr>
              <w:jc w:val="right"/>
              <w:ind w:right="72"/>
              <w:spacing w:after="0" w:line="133" w:lineRule="exact"/>
              <w:rPr>
                <w:sz w:val="20"/>
                <w:szCs w:val="20"/>
                <w:color w:val="auto"/>
              </w:rPr>
            </w:pPr>
            <w:r>
              <w:rPr>
                <w:rFonts w:ascii="Times New Roman" w:cs="Times New Roman" w:eastAsia="Times New Roman" w:hAnsi="Times New Roman"/>
                <w:sz w:val="10"/>
                <w:szCs w:val="10"/>
                <w:b w:val="1"/>
                <w:bCs w:val="1"/>
                <w:color w:val="auto"/>
              </w:rPr>
              <w:t xml:space="preserve">Percentage </w:t>
            </w:r>
            <w:r>
              <w:rPr>
                <w:rFonts w:ascii="Times New Roman" w:cs="Times New Roman" w:eastAsia="Times New Roman" w:hAnsi="Times New Roman"/>
                <w:sz w:val="14"/>
                <w:szCs w:val="14"/>
                <w:b w:val="1"/>
                <w:bCs w:val="1"/>
                <w:color w:val="auto"/>
                <w:vertAlign w:val="superscript"/>
              </w:rPr>
              <w:t>(4)</w:t>
            </w:r>
          </w:p>
        </w:tc>
      </w:tr>
      <w:tr>
        <w:trPr>
          <w:trHeight w:val="112"/>
        </w:trPr>
        <w:tc>
          <w:tcPr>
            <w:tcW w:w="2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20"/>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North America</w:t>
            </w: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r>
      <w:tr>
        <w:trPr>
          <w:trHeight w:val="120"/>
        </w:trPr>
        <w:tc>
          <w:tcPr>
            <w:tcW w:w="2320" w:type="dxa"/>
            <w:vAlign w:val="bottom"/>
          </w:tcPr>
          <w:p>
            <w:pPr>
              <w:spacing w:after="0"/>
              <w:rPr>
                <w:sz w:val="20"/>
                <w:szCs w:val="20"/>
                <w:color w:val="auto"/>
              </w:rPr>
            </w:pPr>
            <w:r>
              <w:rPr>
                <w:rFonts w:ascii="Times New Roman" w:cs="Times New Roman" w:eastAsia="Times New Roman" w:hAnsi="Times New Roman"/>
                <w:sz w:val="10"/>
                <w:szCs w:val="10"/>
                <w:color w:val="auto"/>
              </w:rPr>
              <w:t>Northern Virginia</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5,372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1,571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254</w:t>
            </w:r>
          </w:p>
        </w:tc>
        <w:tc>
          <w:tcPr>
            <w:tcW w:w="960" w:type="dxa"/>
            <w:vAlign w:val="bottom"/>
            <w:gridSpan w:val="2"/>
          </w:tcPr>
          <w:p>
            <w:pPr>
              <w:jc w:val="right"/>
              <w:ind w:right="112"/>
              <w:spacing w:after="0"/>
              <w:rPr>
                <w:sz w:val="20"/>
                <w:szCs w:val="20"/>
                <w:color w:val="auto"/>
              </w:rPr>
            </w:pPr>
            <w:r>
              <w:rPr>
                <w:rFonts w:ascii="Times New Roman" w:cs="Times New Roman" w:eastAsia="Times New Roman" w:hAnsi="Times New Roman"/>
                <w:sz w:val="10"/>
                <w:szCs w:val="10"/>
                <w:color w:val="auto"/>
              </w:rPr>
              <w:t>92.8 %</w:t>
            </w:r>
          </w:p>
        </w:tc>
      </w:tr>
      <w:tr>
        <w:trPr>
          <w:trHeight w:val="120"/>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Dallas</w:t>
            </w: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3,126</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408</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110</w:t>
            </w:r>
          </w:p>
        </w:tc>
        <w:tc>
          <w:tcPr>
            <w:tcW w:w="96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84.0 %</w:t>
            </w:r>
          </w:p>
        </w:tc>
      </w:tr>
      <w:tr>
        <w:trPr>
          <w:trHeight w:val="120"/>
        </w:trPr>
        <w:tc>
          <w:tcPr>
            <w:tcW w:w="2320" w:type="dxa"/>
            <w:vAlign w:val="bottom"/>
          </w:tcPr>
          <w:p>
            <w:pPr>
              <w:spacing w:after="0"/>
              <w:rPr>
                <w:sz w:val="20"/>
                <w:szCs w:val="20"/>
                <w:color w:val="auto"/>
              </w:rPr>
            </w:pPr>
            <w:r>
              <w:rPr>
                <w:rFonts w:ascii="Times New Roman" w:cs="Times New Roman" w:eastAsia="Times New Roman" w:hAnsi="Times New Roman"/>
                <w:sz w:val="10"/>
                <w:szCs w:val="10"/>
                <w:color w:val="auto"/>
              </w:rPr>
              <w:t>Chicago</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2,262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553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48</w:t>
            </w:r>
          </w:p>
        </w:tc>
        <w:tc>
          <w:tcPr>
            <w:tcW w:w="960" w:type="dxa"/>
            <w:vAlign w:val="bottom"/>
            <w:gridSpan w:val="2"/>
          </w:tcPr>
          <w:p>
            <w:pPr>
              <w:jc w:val="right"/>
              <w:ind w:right="112"/>
              <w:spacing w:after="0"/>
              <w:rPr>
                <w:sz w:val="20"/>
                <w:szCs w:val="20"/>
                <w:color w:val="auto"/>
              </w:rPr>
            </w:pPr>
            <w:r>
              <w:rPr>
                <w:rFonts w:ascii="Times New Roman" w:cs="Times New Roman" w:eastAsia="Times New Roman" w:hAnsi="Times New Roman"/>
                <w:sz w:val="10"/>
                <w:szCs w:val="10"/>
                <w:color w:val="auto"/>
              </w:rPr>
              <w:t>92.6 %</w:t>
            </w:r>
          </w:p>
        </w:tc>
      </w:tr>
      <w:tr>
        <w:trPr>
          <w:trHeight w:val="120"/>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New York</w:t>
            </w: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1,553</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87</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100</w:t>
            </w:r>
          </w:p>
        </w:tc>
        <w:tc>
          <w:tcPr>
            <w:tcW w:w="96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73.7 %</w:t>
            </w:r>
          </w:p>
        </w:tc>
      </w:tr>
      <w:tr>
        <w:trPr>
          <w:trHeight w:val="120"/>
        </w:trPr>
        <w:tc>
          <w:tcPr>
            <w:tcW w:w="2320" w:type="dxa"/>
            <w:vAlign w:val="bottom"/>
          </w:tcPr>
          <w:p>
            <w:pPr>
              <w:spacing w:after="0"/>
              <w:rPr>
                <w:sz w:val="20"/>
                <w:szCs w:val="20"/>
                <w:color w:val="auto"/>
              </w:rPr>
            </w:pPr>
            <w:r>
              <w:rPr>
                <w:rFonts w:ascii="Times New Roman" w:cs="Times New Roman" w:eastAsia="Times New Roman" w:hAnsi="Times New Roman"/>
                <w:sz w:val="10"/>
                <w:szCs w:val="10"/>
                <w:color w:val="auto"/>
              </w:rPr>
              <w:t>Silicon Valley</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1,524</w:t>
            </w:r>
          </w:p>
        </w:tc>
        <w:tc>
          <w:tcPr>
            <w:tcW w:w="16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tcPr>
          <w:p>
            <w:pPr>
              <w:jc w:val="right"/>
              <w:ind w:right="112"/>
              <w:spacing w:after="0"/>
              <w:rPr>
                <w:sz w:val="20"/>
                <w:szCs w:val="20"/>
                <w:color w:val="auto"/>
              </w:rPr>
            </w:pPr>
            <w:r>
              <w:rPr>
                <w:rFonts w:ascii="Times New Roman" w:cs="Times New Roman" w:eastAsia="Times New Roman" w:hAnsi="Times New Roman"/>
                <w:sz w:val="10"/>
                <w:szCs w:val="10"/>
                <w:color w:val="auto"/>
              </w:rPr>
              <w:t>87.9 %</w:t>
            </w:r>
          </w:p>
        </w:tc>
      </w:tr>
      <w:tr>
        <w:trPr>
          <w:trHeight w:val="120"/>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Portland</w:t>
            </w: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1,147</w:t>
            </w: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98.9 %</w:t>
            </w:r>
          </w:p>
        </w:tc>
      </w:tr>
      <w:tr>
        <w:trPr>
          <w:trHeight w:val="120"/>
        </w:trPr>
        <w:tc>
          <w:tcPr>
            <w:tcW w:w="2320" w:type="dxa"/>
            <w:vAlign w:val="bottom"/>
          </w:tcPr>
          <w:p>
            <w:pPr>
              <w:spacing w:after="0"/>
              <w:rPr>
                <w:sz w:val="20"/>
                <w:szCs w:val="20"/>
                <w:color w:val="auto"/>
              </w:rPr>
            </w:pPr>
            <w:r>
              <w:rPr>
                <w:rFonts w:ascii="Times New Roman" w:cs="Times New Roman" w:eastAsia="Times New Roman" w:hAnsi="Times New Roman"/>
                <w:sz w:val="10"/>
                <w:szCs w:val="10"/>
                <w:color w:val="auto"/>
              </w:rPr>
              <w:t>San Francisco</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844</w:t>
            </w:r>
          </w:p>
        </w:tc>
        <w:tc>
          <w:tcPr>
            <w:tcW w:w="16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tcPr>
          <w:p>
            <w:pPr>
              <w:jc w:val="right"/>
              <w:ind w:right="112"/>
              <w:spacing w:after="0"/>
              <w:rPr>
                <w:sz w:val="20"/>
                <w:szCs w:val="20"/>
                <w:color w:val="auto"/>
              </w:rPr>
            </w:pPr>
            <w:r>
              <w:rPr>
                <w:rFonts w:ascii="Times New Roman" w:cs="Times New Roman" w:eastAsia="Times New Roman" w:hAnsi="Times New Roman"/>
                <w:sz w:val="10"/>
                <w:szCs w:val="10"/>
                <w:color w:val="auto"/>
              </w:rPr>
              <w:t>61.6 %</w:t>
            </w:r>
          </w:p>
        </w:tc>
      </w:tr>
      <w:tr>
        <w:trPr>
          <w:trHeight w:val="120"/>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Phoenix</w:t>
            </w: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796</w:t>
            </w: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76.7 %</w:t>
            </w:r>
          </w:p>
        </w:tc>
      </w:tr>
      <w:tr>
        <w:trPr>
          <w:trHeight w:val="120"/>
        </w:trPr>
        <w:tc>
          <w:tcPr>
            <w:tcW w:w="2320" w:type="dxa"/>
            <w:vAlign w:val="bottom"/>
          </w:tcPr>
          <w:p>
            <w:pPr>
              <w:spacing w:after="0"/>
              <w:rPr>
                <w:sz w:val="20"/>
                <w:szCs w:val="20"/>
                <w:color w:val="auto"/>
              </w:rPr>
            </w:pPr>
            <w:r>
              <w:rPr>
                <w:rFonts w:ascii="Times New Roman" w:cs="Times New Roman" w:eastAsia="Times New Roman" w:hAnsi="Times New Roman"/>
                <w:sz w:val="10"/>
                <w:szCs w:val="10"/>
                <w:color w:val="auto"/>
              </w:rPr>
              <w:t>Los Angeles</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611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11</w:t>
            </w:r>
          </w:p>
        </w:tc>
        <w:tc>
          <w:tcPr>
            <w:tcW w:w="16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tcPr>
          <w:p>
            <w:pPr>
              <w:jc w:val="right"/>
              <w:ind w:right="112"/>
              <w:spacing w:after="0"/>
              <w:rPr>
                <w:sz w:val="20"/>
                <w:szCs w:val="20"/>
                <w:color w:val="auto"/>
              </w:rPr>
            </w:pPr>
            <w:r>
              <w:rPr>
                <w:rFonts w:ascii="Times New Roman" w:cs="Times New Roman" w:eastAsia="Times New Roman" w:hAnsi="Times New Roman"/>
                <w:sz w:val="10"/>
                <w:szCs w:val="10"/>
                <w:color w:val="auto"/>
              </w:rPr>
              <w:t>79.4 %</w:t>
            </w:r>
          </w:p>
        </w:tc>
      </w:tr>
      <w:tr>
        <w:trPr>
          <w:trHeight w:val="120"/>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Toronto</w:t>
            </w: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593</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130</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135</w:t>
            </w:r>
          </w:p>
        </w:tc>
        <w:tc>
          <w:tcPr>
            <w:tcW w:w="96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96.1 %</w:t>
            </w:r>
          </w:p>
        </w:tc>
      </w:tr>
      <w:tr>
        <w:trPr>
          <w:trHeight w:val="120"/>
        </w:trPr>
        <w:tc>
          <w:tcPr>
            <w:tcW w:w="2320" w:type="dxa"/>
            <w:vAlign w:val="bottom"/>
          </w:tcPr>
          <w:p>
            <w:pPr>
              <w:spacing w:after="0"/>
              <w:rPr>
                <w:sz w:val="20"/>
                <w:szCs w:val="20"/>
                <w:color w:val="auto"/>
              </w:rPr>
            </w:pPr>
            <w:r>
              <w:rPr>
                <w:rFonts w:ascii="Times New Roman" w:cs="Times New Roman" w:eastAsia="Times New Roman" w:hAnsi="Times New Roman"/>
                <w:sz w:val="10"/>
                <w:szCs w:val="10"/>
                <w:color w:val="auto"/>
              </w:rPr>
              <w:t>Atlanta</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542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314</w:t>
            </w:r>
          </w:p>
        </w:tc>
        <w:tc>
          <w:tcPr>
            <w:tcW w:w="960" w:type="dxa"/>
            <w:vAlign w:val="bottom"/>
            <w:gridSpan w:val="2"/>
          </w:tcPr>
          <w:p>
            <w:pPr>
              <w:jc w:val="right"/>
              <w:ind w:right="112"/>
              <w:spacing w:after="0"/>
              <w:rPr>
                <w:sz w:val="20"/>
                <w:szCs w:val="20"/>
                <w:color w:val="auto"/>
              </w:rPr>
            </w:pPr>
            <w:r>
              <w:rPr>
                <w:rFonts w:ascii="Times New Roman" w:cs="Times New Roman" w:eastAsia="Times New Roman" w:hAnsi="Times New Roman"/>
                <w:sz w:val="10"/>
                <w:szCs w:val="10"/>
                <w:color w:val="auto"/>
              </w:rPr>
              <w:t>96.7 %</w:t>
            </w:r>
          </w:p>
        </w:tc>
      </w:tr>
      <w:tr>
        <w:trPr>
          <w:trHeight w:val="120"/>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Boston</w:t>
            </w: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437</w:t>
            </w: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w:t>
            </w:r>
          </w:p>
        </w:tc>
        <w:tc>
          <w:tcPr>
            <w:tcW w:w="96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38.1 %</w:t>
            </w:r>
          </w:p>
        </w:tc>
      </w:tr>
      <w:tr>
        <w:trPr>
          <w:trHeight w:val="120"/>
        </w:trPr>
        <w:tc>
          <w:tcPr>
            <w:tcW w:w="2320" w:type="dxa"/>
            <w:vAlign w:val="bottom"/>
          </w:tcPr>
          <w:p>
            <w:pPr>
              <w:spacing w:after="0"/>
              <w:rPr>
                <w:sz w:val="20"/>
                <w:szCs w:val="20"/>
                <w:color w:val="auto"/>
              </w:rPr>
            </w:pPr>
            <w:r>
              <w:rPr>
                <w:rFonts w:ascii="Times New Roman" w:cs="Times New Roman" w:eastAsia="Times New Roman" w:hAnsi="Times New Roman"/>
                <w:sz w:val="10"/>
                <w:szCs w:val="10"/>
                <w:color w:val="auto"/>
              </w:rPr>
              <w:t>Seattle</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397</w:t>
            </w:r>
          </w:p>
        </w:tc>
        <w:tc>
          <w:tcPr>
            <w:tcW w:w="16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tcPr>
          <w:p>
            <w:pPr>
              <w:jc w:val="right"/>
              <w:ind w:right="112"/>
              <w:spacing w:after="0"/>
              <w:rPr>
                <w:sz w:val="20"/>
                <w:szCs w:val="20"/>
                <w:color w:val="auto"/>
              </w:rPr>
            </w:pPr>
            <w:r>
              <w:rPr>
                <w:rFonts w:ascii="Times New Roman" w:cs="Times New Roman" w:eastAsia="Times New Roman" w:hAnsi="Times New Roman"/>
                <w:sz w:val="10"/>
                <w:szCs w:val="10"/>
                <w:color w:val="auto"/>
              </w:rPr>
              <w:t>73.8 %</w:t>
            </w:r>
          </w:p>
        </w:tc>
      </w:tr>
      <w:tr>
        <w:trPr>
          <w:trHeight w:val="120"/>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Houston</w:t>
            </w: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393</w:t>
            </w: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w:t>
            </w:r>
          </w:p>
        </w:tc>
        <w:tc>
          <w:tcPr>
            <w:tcW w:w="96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69.7 %</w:t>
            </w:r>
          </w:p>
        </w:tc>
      </w:tr>
      <w:tr>
        <w:trPr>
          <w:trHeight w:val="120"/>
        </w:trPr>
        <w:tc>
          <w:tcPr>
            <w:tcW w:w="2320" w:type="dxa"/>
            <w:vAlign w:val="bottom"/>
          </w:tcPr>
          <w:p>
            <w:pPr>
              <w:spacing w:after="0"/>
              <w:rPr>
                <w:sz w:val="20"/>
                <w:szCs w:val="20"/>
                <w:color w:val="auto"/>
              </w:rPr>
            </w:pPr>
            <w:r>
              <w:rPr>
                <w:rFonts w:ascii="Times New Roman" w:cs="Times New Roman" w:eastAsia="Times New Roman" w:hAnsi="Times New Roman"/>
                <w:sz w:val="10"/>
                <w:szCs w:val="10"/>
                <w:color w:val="auto"/>
              </w:rPr>
              <w:t>Miami</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226</w:t>
            </w:r>
          </w:p>
        </w:tc>
        <w:tc>
          <w:tcPr>
            <w:tcW w:w="16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tcPr>
          <w:p>
            <w:pPr>
              <w:jc w:val="right"/>
              <w:ind w:right="112"/>
              <w:spacing w:after="0"/>
              <w:rPr>
                <w:sz w:val="20"/>
                <w:szCs w:val="20"/>
                <w:color w:val="auto"/>
              </w:rPr>
            </w:pPr>
            <w:r>
              <w:rPr>
                <w:rFonts w:ascii="Times New Roman" w:cs="Times New Roman" w:eastAsia="Times New Roman" w:hAnsi="Times New Roman"/>
                <w:sz w:val="10"/>
                <w:szCs w:val="10"/>
                <w:color w:val="auto"/>
              </w:rPr>
              <w:t>86.0 %</w:t>
            </w:r>
          </w:p>
        </w:tc>
      </w:tr>
      <w:tr>
        <w:trPr>
          <w:trHeight w:val="120"/>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Charlotte</w:t>
            </w: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95</w:t>
            </w: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92.4 %</w:t>
            </w:r>
          </w:p>
        </w:tc>
      </w:tr>
      <w:tr>
        <w:trPr>
          <w:trHeight w:val="120"/>
        </w:trPr>
        <w:tc>
          <w:tcPr>
            <w:tcW w:w="2320" w:type="dxa"/>
            <w:vAlign w:val="bottom"/>
          </w:tcPr>
          <w:p>
            <w:pPr>
              <w:spacing w:after="0"/>
              <w:rPr>
                <w:sz w:val="20"/>
                <w:szCs w:val="20"/>
                <w:color w:val="auto"/>
              </w:rPr>
            </w:pPr>
            <w:r>
              <w:rPr>
                <w:rFonts w:ascii="Times New Roman" w:cs="Times New Roman" w:eastAsia="Times New Roman" w:hAnsi="Times New Roman"/>
                <w:sz w:val="10"/>
                <w:szCs w:val="10"/>
                <w:color w:val="auto"/>
              </w:rPr>
              <w:t>Austin</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86</w:t>
            </w:r>
          </w:p>
        </w:tc>
        <w:tc>
          <w:tcPr>
            <w:tcW w:w="16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tcPr>
          <w:p>
            <w:pPr>
              <w:jc w:val="right"/>
              <w:ind w:right="112"/>
              <w:spacing w:after="0"/>
              <w:rPr>
                <w:sz w:val="20"/>
                <w:szCs w:val="20"/>
                <w:color w:val="auto"/>
              </w:rPr>
            </w:pPr>
            <w:r>
              <w:rPr>
                <w:rFonts w:ascii="Times New Roman" w:cs="Times New Roman" w:eastAsia="Times New Roman" w:hAnsi="Times New Roman"/>
                <w:sz w:val="10"/>
                <w:szCs w:val="10"/>
                <w:color w:val="auto"/>
              </w:rPr>
              <w:t>59.7 %</w:t>
            </w:r>
          </w:p>
        </w:tc>
      </w:tr>
      <w:tr>
        <w:trPr>
          <w:trHeight w:val="112"/>
        </w:trPr>
        <w:tc>
          <w:tcPr>
            <w:tcW w:w="2320" w:type="dxa"/>
            <w:vAlign w:val="bottom"/>
            <w:tcBorders>
              <w:top w:val="single" w:sz="8" w:color="CCEEFF"/>
            </w:tcBorders>
            <w:shd w:val="clear" w:color="auto" w:fill="CCEEFF"/>
          </w:tcPr>
          <w:p>
            <w:pPr>
              <w:ind w:left="100"/>
              <w:spacing w:after="0" w:line="106" w:lineRule="exact"/>
              <w:rPr>
                <w:sz w:val="20"/>
                <w:szCs w:val="20"/>
                <w:color w:val="auto"/>
              </w:rPr>
            </w:pPr>
            <w:r>
              <w:rPr>
                <w:rFonts w:ascii="Times New Roman" w:cs="Times New Roman" w:eastAsia="Times New Roman" w:hAnsi="Times New Roman"/>
                <w:sz w:val="10"/>
                <w:szCs w:val="10"/>
                <w:b w:val="1"/>
                <w:bCs w:val="1"/>
                <w:color w:val="auto"/>
              </w:rPr>
              <w:t>North America Total</w:t>
            </w:r>
          </w:p>
        </w:tc>
        <w:tc>
          <w:tcPr>
            <w:tcW w:w="16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b w:val="1"/>
                <w:bCs w:val="1"/>
                <w:color w:val="auto"/>
                <w:w w:val="93"/>
              </w:rPr>
              <w:t>101</w:t>
            </w:r>
          </w:p>
        </w:tc>
        <w:tc>
          <w:tcPr>
            <w:tcW w:w="160" w:type="dxa"/>
            <w:vAlign w:val="bottom"/>
            <w:tcBorders>
              <w:top w:val="single" w:sz="8" w:color="CCEEFF"/>
            </w:tcBorders>
            <w:shd w:val="clear" w:color="auto" w:fill="CCEEFF"/>
          </w:tcPr>
          <w:p>
            <w:pPr>
              <w:spacing w:after="0"/>
              <w:rPr>
                <w:sz w:val="9"/>
                <w:szCs w:val="9"/>
                <w:color w:val="auto"/>
              </w:rPr>
            </w:pPr>
          </w:p>
        </w:tc>
        <w:tc>
          <w:tcPr>
            <w:tcW w:w="1180" w:type="dxa"/>
            <w:vAlign w:val="bottom"/>
            <w:tcBorders>
              <w:top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b w:val="1"/>
                <w:bCs w:val="1"/>
                <w:color w:val="auto"/>
              </w:rPr>
              <w:t>20,004</w:t>
            </w:r>
          </w:p>
        </w:tc>
        <w:tc>
          <w:tcPr>
            <w:tcW w:w="160" w:type="dxa"/>
            <w:vAlign w:val="bottom"/>
            <w:tcBorders>
              <w:top w:val="single" w:sz="8" w:color="CCEEFF"/>
            </w:tcBorders>
            <w:shd w:val="clear" w:color="auto" w:fill="CCEEFF"/>
          </w:tcPr>
          <w:p>
            <w:pPr>
              <w:spacing w:after="0"/>
              <w:rPr>
                <w:sz w:val="9"/>
                <w:szCs w:val="9"/>
                <w:color w:val="auto"/>
              </w:rPr>
            </w:pPr>
          </w:p>
        </w:tc>
        <w:tc>
          <w:tcPr>
            <w:tcW w:w="1180" w:type="dxa"/>
            <w:vAlign w:val="bottom"/>
            <w:tcBorders>
              <w:top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b w:val="1"/>
                <w:bCs w:val="1"/>
                <w:color w:val="auto"/>
              </w:rPr>
              <w:t>2,775</w:t>
            </w:r>
          </w:p>
        </w:tc>
        <w:tc>
          <w:tcPr>
            <w:tcW w:w="160" w:type="dxa"/>
            <w:vAlign w:val="bottom"/>
            <w:tcBorders>
              <w:top w:val="single" w:sz="8" w:color="CCEEFF"/>
            </w:tcBorders>
            <w:shd w:val="clear" w:color="auto" w:fill="CCEEFF"/>
          </w:tcPr>
          <w:p>
            <w:pPr>
              <w:spacing w:after="0"/>
              <w:rPr>
                <w:sz w:val="9"/>
                <w:szCs w:val="9"/>
                <w:color w:val="auto"/>
              </w:rPr>
            </w:pPr>
          </w:p>
        </w:tc>
        <w:tc>
          <w:tcPr>
            <w:tcW w:w="1180" w:type="dxa"/>
            <w:vAlign w:val="bottom"/>
            <w:tcBorders>
              <w:top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b w:val="1"/>
                <w:bCs w:val="1"/>
                <w:color w:val="auto"/>
              </w:rPr>
              <w:t>1,025</w:t>
            </w:r>
          </w:p>
        </w:tc>
        <w:tc>
          <w:tcPr>
            <w:tcW w:w="16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jc w:val="right"/>
              <w:ind w:right="92"/>
              <w:spacing w:after="0" w:line="112" w:lineRule="exact"/>
              <w:rPr>
                <w:sz w:val="20"/>
                <w:szCs w:val="20"/>
                <w:color w:val="auto"/>
              </w:rPr>
            </w:pPr>
            <w:r>
              <w:rPr>
                <w:rFonts w:ascii="Times New Roman" w:cs="Times New Roman" w:eastAsia="Times New Roman" w:hAnsi="Times New Roman"/>
                <w:sz w:val="10"/>
                <w:szCs w:val="10"/>
                <w:b w:val="1"/>
                <w:bCs w:val="1"/>
                <w:color w:val="auto"/>
              </w:rPr>
              <w:t>85.5 %</w:t>
            </w:r>
          </w:p>
        </w:tc>
      </w:tr>
      <w:tr>
        <w:trPr>
          <w:trHeight w:val="120"/>
        </w:trPr>
        <w:tc>
          <w:tcPr>
            <w:tcW w:w="2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20"/>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EMEA</w:t>
            </w: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r>
      <w:tr>
        <w:trPr>
          <w:trHeight w:val="120"/>
        </w:trPr>
        <w:tc>
          <w:tcPr>
            <w:tcW w:w="2320" w:type="dxa"/>
            <w:vAlign w:val="bottom"/>
          </w:tcPr>
          <w:p>
            <w:pPr>
              <w:spacing w:after="0"/>
              <w:rPr>
                <w:sz w:val="20"/>
                <w:szCs w:val="20"/>
                <w:color w:val="auto"/>
              </w:rPr>
            </w:pPr>
            <w:r>
              <w:rPr>
                <w:rFonts w:ascii="Times New Roman" w:cs="Times New Roman" w:eastAsia="Times New Roman" w:hAnsi="Times New Roman"/>
                <w:sz w:val="10"/>
                <w:szCs w:val="10"/>
                <w:color w:val="auto"/>
              </w:rPr>
              <w:t>Frankfurt</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1,722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1,488</w:t>
            </w:r>
          </w:p>
        </w:tc>
        <w:tc>
          <w:tcPr>
            <w:tcW w:w="16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tcPr>
          <w:p>
            <w:pPr>
              <w:jc w:val="right"/>
              <w:ind w:right="112"/>
              <w:spacing w:after="0"/>
              <w:rPr>
                <w:sz w:val="20"/>
                <w:szCs w:val="20"/>
                <w:color w:val="auto"/>
              </w:rPr>
            </w:pPr>
            <w:r>
              <w:rPr>
                <w:rFonts w:ascii="Times New Roman" w:cs="Times New Roman" w:eastAsia="Times New Roman" w:hAnsi="Times New Roman"/>
                <w:sz w:val="10"/>
                <w:szCs w:val="10"/>
                <w:color w:val="auto"/>
              </w:rPr>
              <w:t>87.2 %</w:t>
            </w:r>
          </w:p>
        </w:tc>
      </w:tr>
      <w:tr>
        <w:trPr>
          <w:trHeight w:val="120"/>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London</w:t>
            </w: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1,412</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76</w:t>
            </w:r>
          </w:p>
        </w:tc>
        <w:tc>
          <w:tcPr>
            <w:tcW w:w="96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61.0 %</w:t>
            </w:r>
          </w:p>
        </w:tc>
      </w:tr>
      <w:tr>
        <w:trPr>
          <w:trHeight w:val="120"/>
        </w:trPr>
        <w:tc>
          <w:tcPr>
            <w:tcW w:w="2320" w:type="dxa"/>
            <w:vAlign w:val="bottom"/>
          </w:tcPr>
          <w:p>
            <w:pPr>
              <w:spacing w:after="0"/>
              <w:rPr>
                <w:sz w:val="20"/>
                <w:szCs w:val="20"/>
                <w:color w:val="auto"/>
              </w:rPr>
            </w:pPr>
            <w:r>
              <w:rPr>
                <w:rFonts w:ascii="Times New Roman" w:cs="Times New Roman" w:eastAsia="Times New Roman" w:hAnsi="Times New Roman"/>
                <w:sz w:val="10"/>
                <w:szCs w:val="10"/>
                <w:color w:val="auto"/>
              </w:rPr>
              <w:t>Amsterdam</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1,332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222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92</w:t>
            </w:r>
          </w:p>
        </w:tc>
        <w:tc>
          <w:tcPr>
            <w:tcW w:w="960" w:type="dxa"/>
            <w:vAlign w:val="bottom"/>
            <w:gridSpan w:val="2"/>
          </w:tcPr>
          <w:p>
            <w:pPr>
              <w:jc w:val="right"/>
              <w:ind w:right="112"/>
              <w:spacing w:after="0"/>
              <w:rPr>
                <w:sz w:val="20"/>
                <w:szCs w:val="20"/>
                <w:color w:val="auto"/>
              </w:rPr>
            </w:pPr>
            <w:r>
              <w:rPr>
                <w:rFonts w:ascii="Times New Roman" w:cs="Times New Roman" w:eastAsia="Times New Roman" w:hAnsi="Times New Roman"/>
                <w:sz w:val="10"/>
                <w:szCs w:val="10"/>
                <w:color w:val="auto"/>
              </w:rPr>
              <w:t>86.2 %</w:t>
            </w:r>
          </w:p>
        </w:tc>
      </w:tr>
      <w:tr>
        <w:trPr>
          <w:trHeight w:val="120"/>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Johannesburg</w:t>
            </w: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1,263</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945</w:t>
            </w: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81.7 %</w:t>
            </w:r>
          </w:p>
        </w:tc>
      </w:tr>
      <w:tr>
        <w:trPr>
          <w:trHeight w:val="120"/>
        </w:trPr>
        <w:tc>
          <w:tcPr>
            <w:tcW w:w="2320" w:type="dxa"/>
            <w:vAlign w:val="bottom"/>
          </w:tcPr>
          <w:p>
            <w:pPr>
              <w:spacing w:after="0"/>
              <w:rPr>
                <w:sz w:val="20"/>
                <w:szCs w:val="20"/>
                <w:color w:val="auto"/>
              </w:rPr>
            </w:pPr>
            <w:r>
              <w:rPr>
                <w:rFonts w:ascii="Times New Roman" w:cs="Times New Roman" w:eastAsia="Times New Roman" w:hAnsi="Times New Roman"/>
                <w:sz w:val="10"/>
                <w:szCs w:val="10"/>
                <w:color w:val="auto"/>
              </w:rPr>
              <w:t>Paris</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977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285</w:t>
            </w:r>
          </w:p>
        </w:tc>
        <w:tc>
          <w:tcPr>
            <w:tcW w:w="16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tcPr>
          <w:p>
            <w:pPr>
              <w:jc w:val="right"/>
              <w:ind w:right="112"/>
              <w:spacing w:after="0"/>
              <w:rPr>
                <w:sz w:val="20"/>
                <w:szCs w:val="20"/>
                <w:color w:val="auto"/>
              </w:rPr>
            </w:pPr>
            <w:r>
              <w:rPr>
                <w:rFonts w:ascii="Times New Roman" w:cs="Times New Roman" w:eastAsia="Times New Roman" w:hAnsi="Times New Roman"/>
                <w:sz w:val="10"/>
                <w:szCs w:val="10"/>
                <w:color w:val="auto"/>
              </w:rPr>
              <w:t>82.8 %</w:t>
            </w:r>
          </w:p>
        </w:tc>
      </w:tr>
      <w:tr>
        <w:trPr>
          <w:trHeight w:val="120"/>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Marseille</w:t>
            </w: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558</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237</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378</w:t>
            </w:r>
          </w:p>
        </w:tc>
        <w:tc>
          <w:tcPr>
            <w:tcW w:w="96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75.4 %</w:t>
            </w:r>
          </w:p>
        </w:tc>
      </w:tr>
      <w:tr>
        <w:trPr>
          <w:trHeight w:val="120"/>
        </w:trPr>
        <w:tc>
          <w:tcPr>
            <w:tcW w:w="2320" w:type="dxa"/>
            <w:vAlign w:val="bottom"/>
          </w:tcPr>
          <w:p>
            <w:pPr>
              <w:spacing w:after="0"/>
              <w:rPr>
                <w:sz w:val="20"/>
                <w:szCs w:val="20"/>
                <w:color w:val="auto"/>
              </w:rPr>
            </w:pPr>
            <w:r>
              <w:rPr>
                <w:rFonts w:ascii="Times New Roman" w:cs="Times New Roman" w:eastAsia="Times New Roman" w:hAnsi="Times New Roman"/>
                <w:sz w:val="10"/>
                <w:szCs w:val="10"/>
                <w:color w:val="auto"/>
              </w:rPr>
              <w:t>Dublin</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553</w:t>
            </w:r>
          </w:p>
        </w:tc>
        <w:tc>
          <w:tcPr>
            <w:tcW w:w="16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tcPr>
          <w:p>
            <w:pPr>
              <w:jc w:val="right"/>
              <w:ind w:right="112"/>
              <w:spacing w:after="0"/>
              <w:rPr>
                <w:sz w:val="20"/>
                <w:szCs w:val="20"/>
                <w:color w:val="auto"/>
              </w:rPr>
            </w:pPr>
            <w:r>
              <w:rPr>
                <w:rFonts w:ascii="Times New Roman" w:cs="Times New Roman" w:eastAsia="Times New Roman" w:hAnsi="Times New Roman"/>
                <w:sz w:val="10"/>
                <w:szCs w:val="10"/>
                <w:color w:val="auto"/>
              </w:rPr>
              <w:t>71.3 %</w:t>
            </w:r>
          </w:p>
        </w:tc>
      </w:tr>
      <w:tr>
        <w:trPr>
          <w:trHeight w:val="120"/>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Zurich</w:t>
            </w: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496</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92</w:t>
            </w: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shd w:val="clear" w:color="auto" w:fill="CCEEFF"/>
          </w:tcPr>
          <w:p>
            <w:pPr>
              <w:jc w:val="right"/>
              <w:ind w:right="212"/>
              <w:spacing w:after="0"/>
              <w:rPr>
                <w:sz w:val="20"/>
                <w:szCs w:val="20"/>
                <w:color w:val="auto"/>
              </w:rPr>
            </w:pPr>
            <w:r>
              <w:rPr>
                <w:rFonts w:ascii="Times New Roman" w:cs="Times New Roman" w:eastAsia="Times New Roman" w:hAnsi="Times New Roman"/>
                <w:sz w:val="10"/>
                <w:szCs w:val="10"/>
                <w:color w:val="auto"/>
              </w:rPr>
              <w:t>85.2</w:t>
            </w:r>
          </w:p>
        </w:tc>
      </w:tr>
      <w:tr>
        <w:trPr>
          <w:trHeight w:val="120"/>
        </w:trPr>
        <w:tc>
          <w:tcPr>
            <w:tcW w:w="2320" w:type="dxa"/>
            <w:vAlign w:val="bottom"/>
          </w:tcPr>
          <w:p>
            <w:pPr>
              <w:spacing w:after="0"/>
              <w:rPr>
                <w:sz w:val="20"/>
                <w:szCs w:val="20"/>
                <w:color w:val="auto"/>
              </w:rPr>
            </w:pPr>
            <w:r>
              <w:rPr>
                <w:rFonts w:ascii="Times New Roman" w:cs="Times New Roman" w:eastAsia="Times New Roman" w:hAnsi="Times New Roman"/>
                <w:sz w:val="10"/>
                <w:szCs w:val="10"/>
                <w:color w:val="auto"/>
              </w:rPr>
              <w:t>Vienna</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356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133</w:t>
            </w:r>
          </w:p>
        </w:tc>
        <w:tc>
          <w:tcPr>
            <w:tcW w:w="16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tcPr>
          <w:p>
            <w:pPr>
              <w:jc w:val="right"/>
              <w:ind w:right="212"/>
              <w:spacing w:after="0"/>
              <w:rPr>
                <w:sz w:val="20"/>
                <w:szCs w:val="20"/>
                <w:color w:val="auto"/>
              </w:rPr>
            </w:pPr>
            <w:r>
              <w:rPr>
                <w:rFonts w:ascii="Times New Roman" w:cs="Times New Roman" w:eastAsia="Times New Roman" w:hAnsi="Times New Roman"/>
                <w:sz w:val="10"/>
                <w:szCs w:val="10"/>
                <w:color w:val="auto"/>
              </w:rPr>
              <w:t>82.6</w:t>
            </w:r>
          </w:p>
        </w:tc>
      </w:tr>
      <w:tr>
        <w:trPr>
          <w:trHeight w:val="120"/>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Brussels</w:t>
            </w: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338</w:t>
            </w: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shd w:val="clear" w:color="auto" w:fill="CCEEFF"/>
          </w:tcPr>
          <w:p>
            <w:pPr>
              <w:jc w:val="right"/>
              <w:ind w:right="212"/>
              <w:spacing w:after="0"/>
              <w:rPr>
                <w:sz w:val="20"/>
                <w:szCs w:val="20"/>
                <w:color w:val="auto"/>
              </w:rPr>
            </w:pPr>
            <w:r>
              <w:rPr>
                <w:rFonts w:ascii="Times New Roman" w:cs="Times New Roman" w:eastAsia="Times New Roman" w:hAnsi="Times New Roman"/>
                <w:sz w:val="10"/>
                <w:szCs w:val="10"/>
                <w:color w:val="auto"/>
              </w:rPr>
              <w:t>69.7</w:t>
            </w:r>
          </w:p>
        </w:tc>
      </w:tr>
      <w:tr>
        <w:trPr>
          <w:trHeight w:val="120"/>
        </w:trPr>
        <w:tc>
          <w:tcPr>
            <w:tcW w:w="2320" w:type="dxa"/>
            <w:vAlign w:val="bottom"/>
          </w:tcPr>
          <w:p>
            <w:pPr>
              <w:spacing w:after="0"/>
              <w:rPr>
                <w:sz w:val="20"/>
                <w:szCs w:val="20"/>
                <w:color w:val="auto"/>
              </w:rPr>
            </w:pPr>
            <w:r>
              <w:rPr>
                <w:rFonts w:ascii="Times New Roman" w:cs="Times New Roman" w:eastAsia="Times New Roman" w:hAnsi="Times New Roman"/>
                <w:sz w:val="10"/>
                <w:szCs w:val="10"/>
                <w:color w:val="auto"/>
              </w:rPr>
              <w:t>Cape Town</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326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402</w:t>
            </w:r>
          </w:p>
        </w:tc>
        <w:tc>
          <w:tcPr>
            <w:tcW w:w="16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tcPr>
          <w:p>
            <w:pPr>
              <w:jc w:val="right"/>
              <w:ind w:right="212"/>
              <w:spacing w:after="0"/>
              <w:rPr>
                <w:sz w:val="20"/>
                <w:szCs w:val="20"/>
                <w:color w:val="auto"/>
              </w:rPr>
            </w:pPr>
            <w:r>
              <w:rPr>
                <w:rFonts w:ascii="Times New Roman" w:cs="Times New Roman" w:eastAsia="Times New Roman" w:hAnsi="Times New Roman"/>
                <w:sz w:val="10"/>
                <w:szCs w:val="10"/>
                <w:color w:val="auto"/>
              </w:rPr>
              <w:t>87.3</w:t>
            </w:r>
          </w:p>
        </w:tc>
      </w:tr>
      <w:tr>
        <w:trPr>
          <w:trHeight w:val="120"/>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Madrid</w:t>
            </w: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308</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100</w:t>
            </w: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76.4 %</w:t>
            </w:r>
          </w:p>
        </w:tc>
      </w:tr>
      <w:tr>
        <w:trPr>
          <w:trHeight w:val="120"/>
        </w:trPr>
        <w:tc>
          <w:tcPr>
            <w:tcW w:w="2320" w:type="dxa"/>
            <w:vAlign w:val="bottom"/>
          </w:tcPr>
          <w:p>
            <w:pPr>
              <w:spacing w:after="0"/>
              <w:rPr>
                <w:sz w:val="20"/>
                <w:szCs w:val="20"/>
                <w:color w:val="auto"/>
              </w:rPr>
            </w:pPr>
            <w:r>
              <w:rPr>
                <w:rFonts w:ascii="Times New Roman" w:cs="Times New Roman" w:eastAsia="Times New Roman" w:hAnsi="Times New Roman"/>
                <w:sz w:val="10"/>
                <w:szCs w:val="10"/>
                <w:color w:val="auto"/>
              </w:rPr>
              <w:t>Stockholm</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245</w:t>
            </w:r>
          </w:p>
        </w:tc>
        <w:tc>
          <w:tcPr>
            <w:tcW w:w="16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tcPr>
          <w:p>
            <w:pPr>
              <w:jc w:val="right"/>
              <w:ind w:right="112"/>
              <w:spacing w:after="0"/>
              <w:rPr>
                <w:sz w:val="20"/>
                <w:szCs w:val="20"/>
                <w:color w:val="auto"/>
              </w:rPr>
            </w:pPr>
            <w:r>
              <w:rPr>
                <w:rFonts w:ascii="Times New Roman" w:cs="Times New Roman" w:eastAsia="Times New Roman" w:hAnsi="Times New Roman"/>
                <w:sz w:val="10"/>
                <w:szCs w:val="10"/>
                <w:color w:val="auto"/>
              </w:rPr>
              <w:t>57.7 %</w:t>
            </w:r>
          </w:p>
        </w:tc>
      </w:tr>
      <w:tr>
        <w:trPr>
          <w:trHeight w:val="120"/>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Copenhagen</w:t>
            </w: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226</w:t>
            </w: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99</w:t>
            </w:r>
          </w:p>
        </w:tc>
        <w:tc>
          <w:tcPr>
            <w:tcW w:w="96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69.2 %</w:t>
            </w:r>
          </w:p>
        </w:tc>
      </w:tr>
      <w:tr>
        <w:trPr>
          <w:trHeight w:val="120"/>
        </w:trPr>
        <w:tc>
          <w:tcPr>
            <w:tcW w:w="2320" w:type="dxa"/>
            <w:vAlign w:val="bottom"/>
          </w:tcPr>
          <w:p>
            <w:pPr>
              <w:spacing w:after="0"/>
              <w:rPr>
                <w:sz w:val="20"/>
                <w:szCs w:val="20"/>
                <w:color w:val="auto"/>
              </w:rPr>
            </w:pPr>
            <w:r>
              <w:rPr>
                <w:rFonts w:ascii="Times New Roman" w:cs="Times New Roman" w:eastAsia="Times New Roman" w:hAnsi="Times New Roman"/>
                <w:sz w:val="10"/>
                <w:szCs w:val="10"/>
                <w:color w:val="auto"/>
              </w:rPr>
              <w:t>Athens</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148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61</w:t>
            </w:r>
          </w:p>
        </w:tc>
        <w:tc>
          <w:tcPr>
            <w:tcW w:w="16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tcPr>
          <w:p>
            <w:pPr>
              <w:jc w:val="right"/>
              <w:ind w:right="112"/>
              <w:spacing w:after="0"/>
              <w:rPr>
                <w:sz w:val="20"/>
                <w:szCs w:val="20"/>
                <w:color w:val="auto"/>
              </w:rPr>
            </w:pPr>
            <w:r>
              <w:rPr>
                <w:rFonts w:ascii="Times New Roman" w:cs="Times New Roman" w:eastAsia="Times New Roman" w:hAnsi="Times New Roman"/>
                <w:sz w:val="10"/>
                <w:szCs w:val="10"/>
                <w:color w:val="auto"/>
              </w:rPr>
              <w:t>81.9 %</w:t>
            </w:r>
          </w:p>
        </w:tc>
      </w:tr>
      <w:tr>
        <w:trPr>
          <w:trHeight w:val="120"/>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Dusseldorf</w:t>
            </w: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142</w:t>
            </w: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71</w:t>
            </w:r>
          </w:p>
        </w:tc>
        <w:tc>
          <w:tcPr>
            <w:tcW w:w="96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59.8 %</w:t>
            </w:r>
          </w:p>
        </w:tc>
      </w:tr>
      <w:tr>
        <w:trPr>
          <w:trHeight w:val="120"/>
        </w:trPr>
        <w:tc>
          <w:tcPr>
            <w:tcW w:w="2320" w:type="dxa"/>
            <w:vAlign w:val="bottom"/>
          </w:tcPr>
          <w:p>
            <w:pPr>
              <w:spacing w:after="0"/>
              <w:rPr>
                <w:sz w:val="20"/>
                <w:szCs w:val="20"/>
                <w:color w:val="auto"/>
              </w:rPr>
            </w:pPr>
            <w:r>
              <w:rPr>
                <w:rFonts w:ascii="Times New Roman" w:cs="Times New Roman" w:eastAsia="Times New Roman" w:hAnsi="Times New Roman"/>
                <w:sz w:val="10"/>
                <w:szCs w:val="10"/>
                <w:color w:val="auto"/>
              </w:rPr>
              <w:t>Durban</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59</w:t>
            </w:r>
          </w:p>
        </w:tc>
        <w:tc>
          <w:tcPr>
            <w:tcW w:w="16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tcPr>
          <w:p>
            <w:pPr>
              <w:jc w:val="right"/>
              <w:ind w:right="112"/>
              <w:spacing w:after="0"/>
              <w:rPr>
                <w:sz w:val="20"/>
                <w:szCs w:val="20"/>
                <w:color w:val="auto"/>
              </w:rPr>
            </w:pPr>
            <w:r>
              <w:rPr>
                <w:rFonts w:ascii="Times New Roman" w:cs="Times New Roman" w:eastAsia="Times New Roman" w:hAnsi="Times New Roman"/>
                <w:sz w:val="10"/>
                <w:szCs w:val="10"/>
                <w:color w:val="auto"/>
              </w:rPr>
              <w:t>69.7 %</w:t>
            </w:r>
          </w:p>
        </w:tc>
      </w:tr>
      <w:tr>
        <w:trPr>
          <w:trHeight w:val="120"/>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Mombasa</w:t>
            </w: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37</w:t>
            </w: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w:t>
            </w:r>
          </w:p>
        </w:tc>
        <w:tc>
          <w:tcPr>
            <w:tcW w:w="96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39.6 %</w:t>
            </w:r>
          </w:p>
        </w:tc>
      </w:tr>
      <w:tr>
        <w:trPr>
          <w:trHeight w:val="120"/>
        </w:trPr>
        <w:tc>
          <w:tcPr>
            <w:tcW w:w="2320" w:type="dxa"/>
            <w:vAlign w:val="bottom"/>
          </w:tcPr>
          <w:p>
            <w:pPr>
              <w:spacing w:after="0"/>
              <w:rPr>
                <w:sz w:val="20"/>
                <w:szCs w:val="20"/>
                <w:color w:val="auto"/>
              </w:rPr>
            </w:pPr>
            <w:r>
              <w:rPr>
                <w:rFonts w:ascii="Times New Roman" w:cs="Times New Roman" w:eastAsia="Times New Roman" w:hAnsi="Times New Roman"/>
                <w:sz w:val="10"/>
                <w:szCs w:val="10"/>
                <w:color w:val="auto"/>
              </w:rPr>
              <w:t>Zagreb</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10</w:t>
            </w:r>
          </w:p>
        </w:tc>
        <w:tc>
          <w:tcPr>
            <w:tcW w:w="16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tcPr>
          <w:p>
            <w:pPr>
              <w:jc w:val="right"/>
              <w:ind w:right="112"/>
              <w:spacing w:after="0"/>
              <w:rPr>
                <w:sz w:val="20"/>
                <w:szCs w:val="20"/>
                <w:color w:val="auto"/>
              </w:rPr>
            </w:pPr>
            <w:r>
              <w:rPr>
                <w:rFonts w:ascii="Times New Roman" w:cs="Times New Roman" w:eastAsia="Times New Roman" w:hAnsi="Times New Roman"/>
                <w:sz w:val="10"/>
                <w:szCs w:val="10"/>
                <w:color w:val="auto"/>
              </w:rPr>
              <w:t>94.6 %</w:t>
            </w:r>
          </w:p>
        </w:tc>
      </w:tr>
      <w:tr>
        <w:trPr>
          <w:trHeight w:val="120"/>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Nairobi</w:t>
            </w: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75</w:t>
            </w: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64.6 %</w:t>
            </w:r>
          </w:p>
        </w:tc>
      </w:tr>
      <w:tr>
        <w:trPr>
          <w:trHeight w:val="120"/>
        </w:trPr>
        <w:tc>
          <w:tcPr>
            <w:tcW w:w="2320" w:type="dxa"/>
            <w:vAlign w:val="bottom"/>
          </w:tcPr>
          <w:p>
            <w:pPr>
              <w:spacing w:after="0"/>
              <w:rPr>
                <w:sz w:val="20"/>
                <w:szCs w:val="20"/>
                <w:color w:val="auto"/>
              </w:rPr>
            </w:pPr>
            <w:r>
              <w:rPr>
                <w:rFonts w:ascii="Times New Roman" w:cs="Times New Roman" w:eastAsia="Times New Roman" w:hAnsi="Times New Roman"/>
                <w:sz w:val="10"/>
                <w:szCs w:val="10"/>
                <w:color w:val="auto"/>
              </w:rPr>
              <w:t>Maputo</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16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tcPr>
          <w:p>
            <w:pPr>
              <w:jc w:val="right"/>
              <w:ind w:right="112"/>
              <w:spacing w:after="0"/>
              <w:rPr>
                <w:sz w:val="20"/>
                <w:szCs w:val="20"/>
                <w:color w:val="auto"/>
              </w:rPr>
            </w:pPr>
            <w:r>
              <w:rPr>
                <w:rFonts w:ascii="Times New Roman" w:cs="Times New Roman" w:eastAsia="Times New Roman" w:hAnsi="Times New Roman"/>
                <w:sz w:val="10"/>
                <w:szCs w:val="10"/>
                <w:color w:val="auto"/>
              </w:rPr>
              <w:t>41.6 %</w:t>
            </w:r>
          </w:p>
        </w:tc>
      </w:tr>
      <w:tr>
        <w:trPr>
          <w:trHeight w:val="120"/>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Rome</w:t>
            </w: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37</w:t>
            </w: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100.0 %</w:t>
            </w:r>
          </w:p>
        </w:tc>
      </w:tr>
      <w:tr>
        <w:trPr>
          <w:trHeight w:val="120"/>
        </w:trPr>
        <w:tc>
          <w:tcPr>
            <w:tcW w:w="2320" w:type="dxa"/>
            <w:vAlign w:val="bottom"/>
          </w:tcPr>
          <w:p>
            <w:pPr>
              <w:spacing w:after="0"/>
              <w:rPr>
                <w:sz w:val="20"/>
                <w:szCs w:val="20"/>
                <w:color w:val="auto"/>
              </w:rPr>
            </w:pPr>
            <w:r>
              <w:rPr>
                <w:rFonts w:ascii="Times New Roman" w:cs="Times New Roman" w:eastAsia="Times New Roman" w:hAnsi="Times New Roman"/>
                <w:sz w:val="10"/>
                <w:szCs w:val="10"/>
                <w:color w:val="auto"/>
              </w:rPr>
              <w:t>Barcelona</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144</w:t>
            </w:r>
          </w:p>
        </w:tc>
        <w:tc>
          <w:tcPr>
            <w:tcW w:w="16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800" w:type="dxa"/>
            <w:vAlign w:val="bottom"/>
          </w:tcPr>
          <w:p>
            <w:pPr>
              <w:ind w:left="440"/>
              <w:spacing w:after="0"/>
              <w:rPr>
                <w:sz w:val="20"/>
                <w:szCs w:val="20"/>
                <w:color w:val="auto"/>
              </w:rPr>
            </w:pPr>
            <w:r>
              <w:rPr>
                <w:rFonts w:ascii="Times New Roman" w:cs="Times New Roman" w:eastAsia="Times New Roman" w:hAnsi="Times New Roman"/>
                <w:sz w:val="10"/>
                <w:szCs w:val="10"/>
                <w:color w:val="auto"/>
              </w:rPr>
              <w:t>— %</w:t>
            </w:r>
          </w:p>
        </w:tc>
      </w:tr>
      <w:tr>
        <w:trPr>
          <w:trHeight w:val="120"/>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Crete</w:t>
            </w: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w:t>
            </w: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0"/>
                <w:szCs w:val="10"/>
                <w:color w:val="auto"/>
              </w:rPr>
              <w:t>— %</w:t>
            </w:r>
          </w:p>
        </w:tc>
      </w:tr>
      <w:tr>
        <w:trPr>
          <w:trHeight w:val="112"/>
        </w:trPr>
        <w:tc>
          <w:tcPr>
            <w:tcW w:w="2320" w:type="dxa"/>
            <w:vAlign w:val="bottom"/>
          </w:tcPr>
          <w:p>
            <w:pPr>
              <w:ind w:left="100"/>
              <w:spacing w:after="0" w:line="106" w:lineRule="exact"/>
              <w:rPr>
                <w:sz w:val="20"/>
                <w:szCs w:val="20"/>
                <w:color w:val="auto"/>
              </w:rPr>
            </w:pPr>
            <w:r>
              <w:rPr>
                <w:rFonts w:ascii="Times New Roman" w:cs="Times New Roman" w:eastAsia="Times New Roman" w:hAnsi="Times New Roman"/>
                <w:sz w:val="10"/>
                <w:szCs w:val="10"/>
                <w:b w:val="1"/>
                <w:bCs w:val="1"/>
                <w:color w:val="auto"/>
              </w:rPr>
              <w:t>EMEA Total</w:t>
            </w:r>
          </w:p>
        </w:tc>
        <w:tc>
          <w:tcPr>
            <w:tcW w:w="160" w:type="dxa"/>
            <w:vAlign w:val="bottom"/>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jc w:val="right"/>
              <w:spacing w:after="0" w:line="112" w:lineRule="exact"/>
              <w:rPr>
                <w:sz w:val="20"/>
                <w:szCs w:val="20"/>
                <w:color w:val="auto"/>
              </w:rPr>
            </w:pPr>
            <w:r>
              <w:rPr>
                <w:rFonts w:ascii="Times New Roman" w:cs="Times New Roman" w:eastAsia="Times New Roman" w:hAnsi="Times New Roman"/>
                <w:sz w:val="10"/>
                <w:szCs w:val="10"/>
                <w:b w:val="1"/>
                <w:bCs w:val="1"/>
                <w:color w:val="auto"/>
                <w:w w:val="93"/>
              </w:rPr>
              <w:t>118</w:t>
            </w:r>
          </w:p>
        </w:tc>
        <w:tc>
          <w:tcPr>
            <w:tcW w:w="160" w:type="dxa"/>
            <w:vAlign w:val="bottom"/>
          </w:tcPr>
          <w:p>
            <w:pPr>
              <w:spacing w:after="0"/>
              <w:rPr>
                <w:sz w:val="9"/>
                <w:szCs w:val="9"/>
                <w:color w:val="auto"/>
              </w:rPr>
            </w:pPr>
          </w:p>
        </w:tc>
        <w:tc>
          <w:tcPr>
            <w:tcW w:w="1180" w:type="dxa"/>
            <w:vAlign w:val="bottom"/>
            <w:tcBorders>
              <w:top w:val="single" w:sz="8" w:color="auto"/>
            </w:tcBorders>
          </w:tcPr>
          <w:p>
            <w:pPr>
              <w:jc w:val="right"/>
              <w:spacing w:after="0" w:line="112" w:lineRule="exact"/>
              <w:rPr>
                <w:sz w:val="20"/>
                <w:szCs w:val="20"/>
                <w:color w:val="auto"/>
              </w:rPr>
            </w:pPr>
            <w:r>
              <w:rPr>
                <w:rFonts w:ascii="Times New Roman" w:cs="Times New Roman" w:eastAsia="Times New Roman" w:hAnsi="Times New Roman"/>
                <w:sz w:val="10"/>
                <w:szCs w:val="10"/>
                <w:b w:val="1"/>
                <w:bCs w:val="1"/>
                <w:color w:val="auto"/>
              </w:rPr>
              <w:t>10,540</w:t>
            </w:r>
          </w:p>
        </w:tc>
        <w:tc>
          <w:tcPr>
            <w:tcW w:w="160" w:type="dxa"/>
            <w:vAlign w:val="bottom"/>
          </w:tcPr>
          <w:p>
            <w:pPr>
              <w:spacing w:after="0"/>
              <w:rPr>
                <w:sz w:val="9"/>
                <w:szCs w:val="9"/>
                <w:color w:val="auto"/>
              </w:rPr>
            </w:pPr>
          </w:p>
        </w:tc>
        <w:tc>
          <w:tcPr>
            <w:tcW w:w="1180" w:type="dxa"/>
            <w:vAlign w:val="bottom"/>
            <w:tcBorders>
              <w:top w:val="single" w:sz="8" w:color="auto"/>
            </w:tcBorders>
          </w:tcPr>
          <w:p>
            <w:pPr>
              <w:jc w:val="right"/>
              <w:spacing w:after="0" w:line="112" w:lineRule="exact"/>
              <w:rPr>
                <w:sz w:val="20"/>
                <w:szCs w:val="20"/>
                <w:color w:val="auto"/>
              </w:rPr>
            </w:pPr>
            <w:r>
              <w:rPr>
                <w:rFonts w:ascii="Times New Roman" w:cs="Times New Roman" w:eastAsia="Times New Roman" w:hAnsi="Times New Roman"/>
                <w:sz w:val="10"/>
                <w:szCs w:val="10"/>
                <w:b w:val="1"/>
                <w:bCs w:val="1"/>
                <w:color w:val="auto"/>
              </w:rPr>
              <w:t>4,254</w:t>
            </w:r>
          </w:p>
        </w:tc>
        <w:tc>
          <w:tcPr>
            <w:tcW w:w="160" w:type="dxa"/>
            <w:vAlign w:val="bottom"/>
          </w:tcPr>
          <w:p>
            <w:pPr>
              <w:spacing w:after="0"/>
              <w:rPr>
                <w:sz w:val="9"/>
                <w:szCs w:val="9"/>
                <w:color w:val="auto"/>
              </w:rPr>
            </w:pPr>
          </w:p>
        </w:tc>
        <w:tc>
          <w:tcPr>
            <w:tcW w:w="1180" w:type="dxa"/>
            <w:vAlign w:val="bottom"/>
            <w:tcBorders>
              <w:top w:val="single" w:sz="8" w:color="auto"/>
            </w:tcBorders>
          </w:tcPr>
          <w:p>
            <w:pPr>
              <w:jc w:val="right"/>
              <w:spacing w:after="0" w:line="112" w:lineRule="exact"/>
              <w:rPr>
                <w:sz w:val="20"/>
                <w:szCs w:val="20"/>
                <w:color w:val="auto"/>
              </w:rPr>
            </w:pPr>
            <w:r>
              <w:rPr>
                <w:rFonts w:ascii="Times New Roman" w:cs="Times New Roman" w:eastAsia="Times New Roman" w:hAnsi="Times New Roman"/>
                <w:sz w:val="10"/>
                <w:szCs w:val="10"/>
                <w:b w:val="1"/>
                <w:bCs w:val="1"/>
                <w:color w:val="auto"/>
              </w:rPr>
              <w:t>738</w:t>
            </w:r>
          </w:p>
        </w:tc>
        <w:tc>
          <w:tcPr>
            <w:tcW w:w="160" w:type="dxa"/>
            <w:vAlign w:val="bottom"/>
          </w:tcPr>
          <w:p>
            <w:pPr>
              <w:spacing w:after="0"/>
              <w:rPr>
                <w:sz w:val="9"/>
                <w:szCs w:val="9"/>
                <w:color w:val="auto"/>
              </w:rPr>
            </w:pPr>
          </w:p>
        </w:tc>
        <w:tc>
          <w:tcPr>
            <w:tcW w:w="800" w:type="dxa"/>
            <w:vAlign w:val="bottom"/>
            <w:tcBorders>
              <w:top w:val="single" w:sz="8" w:color="auto"/>
            </w:tcBorders>
          </w:tcPr>
          <w:p>
            <w:pPr>
              <w:jc w:val="right"/>
              <w:ind w:right="92"/>
              <w:spacing w:after="0" w:line="112" w:lineRule="exact"/>
              <w:rPr>
                <w:sz w:val="20"/>
                <w:szCs w:val="20"/>
                <w:color w:val="auto"/>
              </w:rPr>
            </w:pPr>
            <w:r>
              <w:rPr>
                <w:rFonts w:ascii="Times New Roman" w:cs="Times New Roman" w:eastAsia="Times New Roman" w:hAnsi="Times New Roman"/>
                <w:sz w:val="10"/>
                <w:szCs w:val="10"/>
                <w:b w:val="1"/>
                <w:bCs w:val="1"/>
                <w:color w:val="auto"/>
              </w:rPr>
              <w:t>78.1 %</w:t>
            </w:r>
          </w:p>
        </w:tc>
      </w:tr>
      <w:tr>
        <w:trPr>
          <w:trHeight w:val="120"/>
        </w:trPr>
        <w:tc>
          <w:tcPr>
            <w:tcW w:w="2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r>
      <w:tr>
        <w:trPr>
          <w:trHeight w:val="120"/>
        </w:trPr>
        <w:tc>
          <w:tcPr>
            <w:tcW w:w="23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Asia Pacific</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20"/>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Singapore</w:t>
            </w: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793</w:t>
            </w: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97</w:t>
            </w:r>
          </w:p>
        </w:tc>
        <w:tc>
          <w:tcPr>
            <w:tcW w:w="96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91.1 %</w:t>
            </w:r>
          </w:p>
        </w:tc>
      </w:tr>
      <w:tr>
        <w:trPr>
          <w:trHeight w:val="120"/>
        </w:trPr>
        <w:tc>
          <w:tcPr>
            <w:tcW w:w="2320" w:type="dxa"/>
            <w:vAlign w:val="bottom"/>
          </w:tcPr>
          <w:p>
            <w:pPr>
              <w:spacing w:after="0"/>
              <w:rPr>
                <w:sz w:val="20"/>
                <w:szCs w:val="20"/>
                <w:color w:val="auto"/>
              </w:rPr>
            </w:pPr>
            <w:r>
              <w:rPr>
                <w:rFonts w:ascii="Times New Roman" w:cs="Times New Roman" w:eastAsia="Times New Roman" w:hAnsi="Times New Roman"/>
                <w:sz w:val="10"/>
                <w:szCs w:val="10"/>
                <w:color w:val="auto"/>
              </w:rPr>
              <w:t>Sydney</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361</w:t>
            </w:r>
          </w:p>
        </w:tc>
        <w:tc>
          <w:tcPr>
            <w:tcW w:w="16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88</w:t>
            </w:r>
          </w:p>
        </w:tc>
        <w:tc>
          <w:tcPr>
            <w:tcW w:w="960" w:type="dxa"/>
            <w:vAlign w:val="bottom"/>
            <w:gridSpan w:val="2"/>
          </w:tcPr>
          <w:p>
            <w:pPr>
              <w:jc w:val="right"/>
              <w:ind w:right="112"/>
              <w:spacing w:after="0"/>
              <w:rPr>
                <w:sz w:val="20"/>
                <w:szCs w:val="20"/>
                <w:color w:val="auto"/>
              </w:rPr>
            </w:pPr>
            <w:r>
              <w:rPr>
                <w:rFonts w:ascii="Times New Roman" w:cs="Times New Roman" w:eastAsia="Times New Roman" w:hAnsi="Times New Roman"/>
                <w:sz w:val="10"/>
                <w:szCs w:val="10"/>
                <w:color w:val="auto"/>
              </w:rPr>
              <w:t>83.3 %</w:t>
            </w:r>
          </w:p>
        </w:tc>
      </w:tr>
      <w:tr>
        <w:trPr>
          <w:trHeight w:val="120"/>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Melbourne</w:t>
            </w: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147</w:t>
            </w: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90.6 %</w:t>
            </w:r>
          </w:p>
        </w:tc>
      </w:tr>
      <w:tr>
        <w:trPr>
          <w:trHeight w:val="120"/>
        </w:trPr>
        <w:tc>
          <w:tcPr>
            <w:tcW w:w="2320" w:type="dxa"/>
            <w:vAlign w:val="bottom"/>
          </w:tcPr>
          <w:p>
            <w:pPr>
              <w:spacing w:after="0"/>
              <w:rPr>
                <w:sz w:val="20"/>
                <w:szCs w:val="20"/>
                <w:color w:val="auto"/>
              </w:rPr>
            </w:pPr>
            <w:r>
              <w:rPr>
                <w:rFonts w:ascii="Times New Roman" w:cs="Times New Roman" w:eastAsia="Times New Roman" w:hAnsi="Times New Roman"/>
                <w:sz w:val="10"/>
                <w:szCs w:val="10"/>
                <w:color w:val="auto"/>
              </w:rPr>
              <w:t>Seoul</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162</w:t>
            </w:r>
          </w:p>
        </w:tc>
        <w:tc>
          <w:tcPr>
            <w:tcW w:w="16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tcPr>
          <w:p>
            <w:pPr>
              <w:jc w:val="right"/>
              <w:ind w:right="112"/>
              <w:spacing w:after="0"/>
              <w:rPr>
                <w:sz w:val="20"/>
                <w:szCs w:val="20"/>
                <w:color w:val="auto"/>
              </w:rPr>
            </w:pPr>
            <w:r>
              <w:rPr>
                <w:rFonts w:ascii="Times New Roman" w:cs="Times New Roman" w:eastAsia="Times New Roman" w:hAnsi="Times New Roman"/>
                <w:sz w:val="10"/>
                <w:szCs w:val="10"/>
                <w:color w:val="auto"/>
              </w:rPr>
              <w:t>25.2 %</w:t>
            </w:r>
          </w:p>
        </w:tc>
      </w:tr>
      <w:tr>
        <w:trPr>
          <w:trHeight w:val="120"/>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Hong Kong</w:t>
            </w: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114</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66</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104</w:t>
            </w:r>
          </w:p>
        </w:tc>
        <w:tc>
          <w:tcPr>
            <w:tcW w:w="96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73.3 %</w:t>
            </w:r>
          </w:p>
        </w:tc>
      </w:tr>
      <w:tr>
        <w:trPr>
          <w:trHeight w:val="112"/>
        </w:trPr>
        <w:tc>
          <w:tcPr>
            <w:tcW w:w="2320" w:type="dxa"/>
            <w:vAlign w:val="bottom"/>
          </w:tcPr>
          <w:p>
            <w:pPr>
              <w:ind w:left="100"/>
              <w:spacing w:after="0" w:line="106" w:lineRule="exact"/>
              <w:rPr>
                <w:sz w:val="20"/>
                <w:szCs w:val="20"/>
                <w:color w:val="auto"/>
              </w:rPr>
            </w:pPr>
            <w:r>
              <w:rPr>
                <w:rFonts w:ascii="Times New Roman" w:cs="Times New Roman" w:eastAsia="Times New Roman" w:hAnsi="Times New Roman"/>
                <w:sz w:val="10"/>
                <w:szCs w:val="10"/>
                <w:b w:val="1"/>
                <w:bCs w:val="1"/>
                <w:color w:val="auto"/>
              </w:rPr>
              <w:t>Asia Pacific Total</w:t>
            </w:r>
          </w:p>
        </w:tc>
        <w:tc>
          <w:tcPr>
            <w:tcW w:w="160" w:type="dxa"/>
            <w:vAlign w:val="bottom"/>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jc w:val="right"/>
              <w:spacing w:after="0" w:line="112" w:lineRule="exact"/>
              <w:rPr>
                <w:sz w:val="20"/>
                <w:szCs w:val="20"/>
                <w:color w:val="auto"/>
              </w:rPr>
            </w:pPr>
            <w:r>
              <w:rPr>
                <w:rFonts w:ascii="Times New Roman" w:cs="Times New Roman" w:eastAsia="Times New Roman" w:hAnsi="Times New Roman"/>
                <w:sz w:val="10"/>
                <w:szCs w:val="10"/>
                <w:b w:val="1"/>
                <w:bCs w:val="1"/>
                <w:color w:val="auto"/>
              </w:rPr>
              <w:t>11</w:t>
            </w:r>
          </w:p>
        </w:tc>
        <w:tc>
          <w:tcPr>
            <w:tcW w:w="160" w:type="dxa"/>
            <w:vAlign w:val="bottom"/>
          </w:tcPr>
          <w:p>
            <w:pPr>
              <w:spacing w:after="0"/>
              <w:rPr>
                <w:sz w:val="9"/>
                <w:szCs w:val="9"/>
                <w:color w:val="auto"/>
              </w:rPr>
            </w:pPr>
          </w:p>
        </w:tc>
        <w:tc>
          <w:tcPr>
            <w:tcW w:w="1180" w:type="dxa"/>
            <w:vAlign w:val="bottom"/>
            <w:tcBorders>
              <w:top w:val="single" w:sz="8" w:color="auto"/>
            </w:tcBorders>
          </w:tcPr>
          <w:p>
            <w:pPr>
              <w:jc w:val="right"/>
              <w:spacing w:after="0" w:line="112" w:lineRule="exact"/>
              <w:rPr>
                <w:sz w:val="20"/>
                <w:szCs w:val="20"/>
                <w:color w:val="auto"/>
              </w:rPr>
            </w:pPr>
            <w:r>
              <w:rPr>
                <w:rFonts w:ascii="Times New Roman" w:cs="Times New Roman" w:eastAsia="Times New Roman" w:hAnsi="Times New Roman"/>
                <w:sz w:val="10"/>
                <w:szCs w:val="10"/>
                <w:b w:val="1"/>
                <w:bCs w:val="1"/>
                <w:color w:val="auto"/>
              </w:rPr>
              <w:t>1,577</w:t>
            </w:r>
          </w:p>
        </w:tc>
        <w:tc>
          <w:tcPr>
            <w:tcW w:w="160" w:type="dxa"/>
            <w:vAlign w:val="bottom"/>
          </w:tcPr>
          <w:p>
            <w:pPr>
              <w:spacing w:after="0"/>
              <w:rPr>
                <w:sz w:val="9"/>
                <w:szCs w:val="9"/>
                <w:color w:val="auto"/>
              </w:rPr>
            </w:pPr>
          </w:p>
        </w:tc>
        <w:tc>
          <w:tcPr>
            <w:tcW w:w="1180" w:type="dxa"/>
            <w:vAlign w:val="bottom"/>
            <w:tcBorders>
              <w:top w:val="single" w:sz="8" w:color="auto"/>
            </w:tcBorders>
          </w:tcPr>
          <w:p>
            <w:pPr>
              <w:jc w:val="right"/>
              <w:spacing w:after="0" w:line="112" w:lineRule="exact"/>
              <w:rPr>
                <w:sz w:val="20"/>
                <w:szCs w:val="20"/>
                <w:color w:val="auto"/>
              </w:rPr>
            </w:pPr>
            <w:r>
              <w:rPr>
                <w:rFonts w:ascii="Times New Roman" w:cs="Times New Roman" w:eastAsia="Times New Roman" w:hAnsi="Times New Roman"/>
                <w:sz w:val="10"/>
                <w:szCs w:val="10"/>
                <w:b w:val="1"/>
                <w:bCs w:val="1"/>
                <w:color w:val="auto"/>
              </w:rPr>
              <w:t>66</w:t>
            </w:r>
          </w:p>
        </w:tc>
        <w:tc>
          <w:tcPr>
            <w:tcW w:w="160" w:type="dxa"/>
            <w:vAlign w:val="bottom"/>
          </w:tcPr>
          <w:p>
            <w:pPr>
              <w:spacing w:after="0"/>
              <w:rPr>
                <w:sz w:val="9"/>
                <w:szCs w:val="9"/>
                <w:color w:val="auto"/>
              </w:rPr>
            </w:pPr>
          </w:p>
        </w:tc>
        <w:tc>
          <w:tcPr>
            <w:tcW w:w="1180" w:type="dxa"/>
            <w:vAlign w:val="bottom"/>
            <w:tcBorders>
              <w:top w:val="single" w:sz="8" w:color="auto"/>
            </w:tcBorders>
          </w:tcPr>
          <w:p>
            <w:pPr>
              <w:jc w:val="right"/>
              <w:spacing w:after="0" w:line="112" w:lineRule="exact"/>
              <w:rPr>
                <w:sz w:val="20"/>
                <w:szCs w:val="20"/>
                <w:color w:val="auto"/>
              </w:rPr>
            </w:pPr>
            <w:r>
              <w:rPr>
                <w:rFonts w:ascii="Times New Roman" w:cs="Times New Roman" w:eastAsia="Times New Roman" w:hAnsi="Times New Roman"/>
                <w:sz w:val="10"/>
                <w:szCs w:val="10"/>
                <w:b w:val="1"/>
                <w:bCs w:val="1"/>
                <w:color w:val="auto"/>
              </w:rPr>
              <w:t>289</w:t>
            </w:r>
          </w:p>
        </w:tc>
        <w:tc>
          <w:tcPr>
            <w:tcW w:w="160" w:type="dxa"/>
            <w:vAlign w:val="bottom"/>
          </w:tcPr>
          <w:p>
            <w:pPr>
              <w:spacing w:after="0"/>
              <w:rPr>
                <w:sz w:val="9"/>
                <w:szCs w:val="9"/>
                <w:color w:val="auto"/>
              </w:rPr>
            </w:pPr>
          </w:p>
        </w:tc>
        <w:tc>
          <w:tcPr>
            <w:tcW w:w="800" w:type="dxa"/>
            <w:vAlign w:val="bottom"/>
            <w:tcBorders>
              <w:top w:val="single" w:sz="8" w:color="auto"/>
            </w:tcBorders>
          </w:tcPr>
          <w:p>
            <w:pPr>
              <w:jc w:val="right"/>
              <w:ind w:right="92"/>
              <w:spacing w:after="0" w:line="112" w:lineRule="exact"/>
              <w:rPr>
                <w:sz w:val="20"/>
                <w:szCs w:val="20"/>
                <w:color w:val="auto"/>
              </w:rPr>
            </w:pPr>
            <w:r>
              <w:rPr>
                <w:rFonts w:ascii="Times New Roman" w:cs="Times New Roman" w:eastAsia="Times New Roman" w:hAnsi="Times New Roman"/>
                <w:sz w:val="10"/>
                <w:szCs w:val="10"/>
                <w:b w:val="1"/>
                <w:bCs w:val="1"/>
                <w:color w:val="auto"/>
              </w:rPr>
              <w:t>81.2 %</w:t>
            </w:r>
          </w:p>
        </w:tc>
      </w:tr>
      <w:tr>
        <w:trPr>
          <w:trHeight w:val="120"/>
        </w:trPr>
        <w:tc>
          <w:tcPr>
            <w:tcW w:w="2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r>
      <w:tr>
        <w:trPr>
          <w:trHeight w:val="120"/>
        </w:trPr>
        <w:tc>
          <w:tcPr>
            <w:tcW w:w="2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20"/>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Non-Data Center Properties</w:t>
            </w: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0"/>
                <w:szCs w:val="10"/>
                <w:b w:val="1"/>
                <w:bCs w:val="1"/>
                <w:color w:val="auto"/>
              </w:rPr>
              <w:t>— %</w:t>
            </w:r>
          </w:p>
        </w:tc>
      </w:tr>
      <w:tr>
        <w:trPr>
          <w:trHeight w:val="120"/>
        </w:trPr>
        <w:tc>
          <w:tcPr>
            <w:tcW w:w="2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20"/>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Managed Unconsolidated Entities</w:t>
            </w: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r>
    </w:tbl>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54" w:name="page55"/>
    <w:bookmarkEnd w:id="54"/>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90" w:lineRule="exact"/>
        <w:rPr>
          <w:sz w:val="20"/>
          <w:szCs w:val="20"/>
          <w:color w:val="auto"/>
        </w:rPr>
      </w:pPr>
    </w:p>
    <w:tbl>
      <w:tblPr>
        <w:tblLayout w:type="fixed"/>
        <w:tblInd w:w="320" w:type="dxa"/>
        <w:tblCellMar>
          <w:top w:w="0" w:type="dxa"/>
          <w:left w:w="0" w:type="dxa"/>
          <w:bottom w:w="0" w:type="dxa"/>
          <w:right w:w="0" w:type="dxa"/>
        </w:tblCellMar>
      </w:tblPr>
      <w:tr>
        <w:trPr>
          <w:trHeight w:val="120"/>
        </w:trPr>
        <w:tc>
          <w:tcPr>
            <w:tcW w:w="24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Northern Virginia</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2,793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792</w:t>
            </w:r>
          </w:p>
        </w:tc>
        <w:tc>
          <w:tcPr>
            <w:tcW w:w="16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tcPr>
          <w:p>
            <w:pPr>
              <w:jc w:val="right"/>
              <w:ind w:right="112"/>
              <w:spacing w:after="0"/>
              <w:rPr>
                <w:sz w:val="20"/>
                <w:szCs w:val="20"/>
                <w:color w:val="auto"/>
              </w:rPr>
            </w:pPr>
            <w:r>
              <w:rPr>
                <w:rFonts w:ascii="Times New Roman" w:cs="Times New Roman" w:eastAsia="Times New Roman" w:hAnsi="Times New Roman"/>
                <w:sz w:val="10"/>
                <w:szCs w:val="10"/>
                <w:color w:val="auto"/>
              </w:rPr>
              <w:t>97.0 %</w:t>
            </w:r>
          </w:p>
        </w:tc>
      </w:tr>
      <w:tr>
        <w:trPr>
          <w:trHeight w:val="120"/>
        </w:trPr>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Chicago</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1,118</w:t>
            </w: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96.3 %</w:t>
            </w:r>
          </w:p>
        </w:tc>
      </w:tr>
      <w:tr>
        <w:trPr>
          <w:trHeight w:val="120"/>
        </w:trPr>
        <w:tc>
          <w:tcPr>
            <w:tcW w:w="24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Frankfurt</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551</w:t>
            </w:r>
          </w:p>
        </w:tc>
        <w:tc>
          <w:tcPr>
            <w:tcW w:w="16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tcPr>
          <w:p>
            <w:pPr>
              <w:jc w:val="right"/>
              <w:ind w:right="112"/>
              <w:spacing w:after="0"/>
              <w:rPr>
                <w:sz w:val="20"/>
                <w:szCs w:val="20"/>
                <w:color w:val="auto"/>
              </w:rPr>
            </w:pPr>
            <w:r>
              <w:rPr>
                <w:rFonts w:ascii="Times New Roman" w:cs="Times New Roman" w:eastAsia="Times New Roman" w:hAnsi="Times New Roman"/>
                <w:sz w:val="10"/>
                <w:szCs w:val="10"/>
                <w:color w:val="auto"/>
              </w:rPr>
              <w:t>81.0 %</w:t>
            </w:r>
          </w:p>
        </w:tc>
      </w:tr>
      <w:tr>
        <w:trPr>
          <w:trHeight w:val="120"/>
        </w:trPr>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Dallas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364</w:t>
            </w: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100.0 %</w:t>
            </w:r>
          </w:p>
        </w:tc>
      </w:tr>
      <w:tr>
        <w:trPr>
          <w:trHeight w:val="120"/>
        </w:trPr>
        <w:tc>
          <w:tcPr>
            <w:tcW w:w="24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Los Angeles</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197</w:t>
            </w:r>
          </w:p>
        </w:tc>
        <w:tc>
          <w:tcPr>
            <w:tcW w:w="16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tcPr>
          <w:p>
            <w:pPr>
              <w:jc w:val="right"/>
              <w:ind w:right="112"/>
              <w:spacing w:after="0"/>
              <w:rPr>
                <w:sz w:val="20"/>
                <w:szCs w:val="20"/>
                <w:color w:val="auto"/>
              </w:rPr>
            </w:pPr>
            <w:r>
              <w:rPr>
                <w:rFonts w:ascii="Times New Roman" w:cs="Times New Roman" w:eastAsia="Times New Roman" w:hAnsi="Times New Roman"/>
                <w:sz w:val="10"/>
                <w:szCs w:val="10"/>
                <w:color w:val="auto"/>
              </w:rPr>
              <w:t>80.0 %</w:t>
            </w:r>
          </w:p>
        </w:tc>
      </w:tr>
      <w:tr>
        <w:trPr>
          <w:trHeight w:val="120"/>
        </w:trPr>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Hong Kong</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186</w:t>
            </w: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44.3 %</w:t>
            </w:r>
          </w:p>
        </w:tc>
      </w:tr>
      <w:tr>
        <w:trPr>
          <w:trHeight w:val="120"/>
        </w:trPr>
        <w:tc>
          <w:tcPr>
            <w:tcW w:w="24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Silicon Valley</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142</w:t>
            </w:r>
          </w:p>
        </w:tc>
        <w:tc>
          <w:tcPr>
            <w:tcW w:w="16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400</w:t>
            </w:r>
          </w:p>
        </w:tc>
        <w:tc>
          <w:tcPr>
            <w:tcW w:w="960" w:type="dxa"/>
            <w:vAlign w:val="bottom"/>
            <w:gridSpan w:val="2"/>
          </w:tcPr>
          <w:p>
            <w:pPr>
              <w:jc w:val="right"/>
              <w:ind w:right="112"/>
              <w:spacing w:after="0"/>
              <w:rPr>
                <w:sz w:val="20"/>
                <w:szCs w:val="20"/>
                <w:color w:val="auto"/>
              </w:rPr>
            </w:pPr>
            <w:r>
              <w:rPr>
                <w:rFonts w:ascii="Times New Roman" w:cs="Times New Roman" w:eastAsia="Times New Roman" w:hAnsi="Times New Roman"/>
                <w:sz w:val="10"/>
                <w:szCs w:val="10"/>
                <w:color w:val="auto"/>
              </w:rPr>
              <w:t>100.0 %</w:t>
            </w:r>
          </w:p>
        </w:tc>
      </w:tr>
      <w:tr>
        <w:trPr>
          <w:trHeight w:val="120"/>
        </w:trPr>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Toronto</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104</w:t>
            </w: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54.5 %</w:t>
            </w:r>
          </w:p>
        </w:tc>
      </w:tr>
      <w:tr>
        <w:trPr>
          <w:trHeight w:val="120"/>
        </w:trPr>
        <w:tc>
          <w:tcPr>
            <w:tcW w:w="24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Paris</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91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179</w:t>
            </w:r>
          </w:p>
        </w:tc>
        <w:tc>
          <w:tcPr>
            <w:tcW w:w="16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tcPr>
          <w:p>
            <w:pPr>
              <w:jc w:val="right"/>
              <w:ind w:right="112"/>
              <w:spacing w:after="0"/>
              <w:rPr>
                <w:sz w:val="20"/>
                <w:szCs w:val="20"/>
                <w:color w:val="auto"/>
              </w:rPr>
            </w:pPr>
            <w:r>
              <w:rPr>
                <w:rFonts w:ascii="Times New Roman" w:cs="Times New Roman" w:eastAsia="Times New Roman" w:hAnsi="Times New Roman"/>
                <w:sz w:val="10"/>
                <w:szCs w:val="10"/>
                <w:color w:val="auto"/>
              </w:rPr>
              <w:t>60.1 %</w:t>
            </w:r>
          </w:p>
        </w:tc>
      </w:tr>
      <w:tr>
        <w:trPr>
          <w:trHeight w:val="120"/>
        </w:trPr>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Lagos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w:t>
            </w: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93.3 %</w:t>
            </w:r>
          </w:p>
        </w:tc>
      </w:tr>
      <w:tr>
        <w:trPr>
          <w:trHeight w:val="120"/>
        </w:trPr>
        <w:tc>
          <w:tcPr>
            <w:tcW w:w="24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Accra</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24</w:t>
            </w:r>
          </w:p>
        </w:tc>
        <w:tc>
          <w:tcPr>
            <w:tcW w:w="16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8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 %</w:t>
            </w:r>
          </w:p>
        </w:tc>
      </w:tr>
      <w:tr>
        <w:trPr>
          <w:trHeight w:val="120"/>
        </w:trPr>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Abuja</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0"/>
                <w:szCs w:val="1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0"/>
                <w:szCs w:val="1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0"/>
                <w:szCs w:val="1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 %</w:t>
            </w:r>
          </w:p>
        </w:tc>
      </w:tr>
      <w:tr>
        <w:trPr>
          <w:trHeight w:val="112"/>
        </w:trPr>
        <w:tc>
          <w:tcPr>
            <w:tcW w:w="2080" w:type="dxa"/>
            <w:vAlign w:val="bottom"/>
          </w:tcPr>
          <w:p>
            <w:pPr>
              <w:spacing w:after="0"/>
              <w:rPr>
                <w:sz w:val="9"/>
                <w:szCs w:val="9"/>
                <w:color w:val="auto"/>
              </w:rPr>
            </w:pPr>
          </w:p>
        </w:tc>
        <w:tc>
          <w:tcPr>
            <w:tcW w:w="400" w:type="dxa"/>
            <w:vAlign w:val="bottom"/>
          </w:tcPr>
          <w:p>
            <w:pPr>
              <w:spacing w:after="0"/>
              <w:rPr>
                <w:sz w:val="9"/>
                <w:szCs w:val="9"/>
                <w:color w:val="auto"/>
              </w:rPr>
            </w:pPr>
          </w:p>
        </w:tc>
        <w:tc>
          <w:tcPr>
            <w:tcW w:w="9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b w:val="1"/>
                <w:bCs w:val="1"/>
                <w:color w:val="auto"/>
              </w:rPr>
              <w:t>31</w:t>
            </w:r>
          </w:p>
        </w:tc>
        <w:tc>
          <w:tcPr>
            <w:tcW w:w="160" w:type="dxa"/>
            <w:vAlign w:val="bottom"/>
          </w:tcPr>
          <w:p>
            <w:pPr>
              <w:spacing w:after="0"/>
              <w:rPr>
                <w:sz w:val="9"/>
                <w:szCs w:val="9"/>
                <w:color w:val="auto"/>
              </w:rPr>
            </w:pPr>
          </w:p>
        </w:tc>
        <w:tc>
          <w:tcPr>
            <w:tcW w:w="118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b w:val="1"/>
                <w:bCs w:val="1"/>
                <w:color w:val="auto"/>
              </w:rPr>
              <w:t>5,552</w:t>
            </w:r>
          </w:p>
        </w:tc>
        <w:tc>
          <w:tcPr>
            <w:tcW w:w="160" w:type="dxa"/>
            <w:vAlign w:val="bottom"/>
          </w:tcPr>
          <w:p>
            <w:pPr>
              <w:spacing w:after="0"/>
              <w:rPr>
                <w:sz w:val="9"/>
                <w:szCs w:val="9"/>
                <w:color w:val="auto"/>
              </w:rPr>
            </w:pPr>
          </w:p>
        </w:tc>
        <w:tc>
          <w:tcPr>
            <w:tcW w:w="118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b w:val="1"/>
                <w:bCs w:val="1"/>
                <w:color w:val="auto"/>
              </w:rPr>
              <w:t>1,022</w:t>
            </w:r>
          </w:p>
        </w:tc>
        <w:tc>
          <w:tcPr>
            <w:tcW w:w="160" w:type="dxa"/>
            <w:vAlign w:val="bottom"/>
          </w:tcPr>
          <w:p>
            <w:pPr>
              <w:spacing w:after="0"/>
              <w:rPr>
                <w:sz w:val="9"/>
                <w:szCs w:val="9"/>
                <w:color w:val="auto"/>
              </w:rPr>
            </w:pPr>
          </w:p>
        </w:tc>
        <w:tc>
          <w:tcPr>
            <w:tcW w:w="118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b w:val="1"/>
                <w:bCs w:val="1"/>
                <w:color w:val="auto"/>
              </w:rPr>
              <w:t>400</w:t>
            </w:r>
          </w:p>
        </w:tc>
        <w:tc>
          <w:tcPr>
            <w:tcW w:w="160" w:type="dxa"/>
            <w:vAlign w:val="bottom"/>
          </w:tcPr>
          <w:p>
            <w:pPr>
              <w:spacing w:after="0"/>
              <w:rPr>
                <w:sz w:val="9"/>
                <w:szCs w:val="9"/>
                <w:color w:val="auto"/>
              </w:rPr>
            </w:pPr>
          </w:p>
        </w:tc>
        <w:tc>
          <w:tcPr>
            <w:tcW w:w="800" w:type="dxa"/>
            <w:vAlign w:val="bottom"/>
          </w:tcPr>
          <w:p>
            <w:pPr>
              <w:jc w:val="right"/>
              <w:ind w:right="92"/>
              <w:spacing w:after="0" w:line="112" w:lineRule="exact"/>
              <w:rPr>
                <w:sz w:val="20"/>
                <w:szCs w:val="20"/>
                <w:color w:val="auto"/>
              </w:rPr>
            </w:pPr>
            <w:r>
              <w:rPr>
                <w:rFonts w:ascii="Times New Roman" w:cs="Times New Roman" w:eastAsia="Times New Roman" w:hAnsi="Times New Roman"/>
                <w:sz w:val="10"/>
                <w:szCs w:val="10"/>
                <w:b w:val="1"/>
                <w:bCs w:val="1"/>
                <w:color w:val="auto"/>
              </w:rPr>
              <w:t>91.8 %</w:t>
            </w:r>
          </w:p>
        </w:tc>
      </w:tr>
      <w:tr>
        <w:trPr>
          <w:trHeight w:val="120"/>
        </w:trPr>
        <w:tc>
          <w:tcPr>
            <w:tcW w:w="20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r>
      <w:tr>
        <w:trPr>
          <w:trHeight w:val="120"/>
        </w:trPr>
        <w:tc>
          <w:tcPr>
            <w:tcW w:w="24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Non-Managed Unconsolidated Entities</w:t>
            </w: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20"/>
        </w:trPr>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Sao Paulo</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1,416</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75</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1,198</w:t>
            </w:r>
          </w:p>
        </w:tc>
        <w:tc>
          <w:tcPr>
            <w:tcW w:w="96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92.0 %</w:t>
            </w:r>
          </w:p>
        </w:tc>
      </w:tr>
      <w:tr>
        <w:trPr>
          <w:trHeight w:val="120"/>
        </w:trPr>
        <w:tc>
          <w:tcPr>
            <w:tcW w:w="24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Tokyo</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1,118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479</w:t>
            </w:r>
          </w:p>
        </w:tc>
        <w:tc>
          <w:tcPr>
            <w:tcW w:w="16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tcPr>
          <w:p>
            <w:pPr>
              <w:jc w:val="right"/>
              <w:ind w:right="112"/>
              <w:spacing w:after="0"/>
              <w:rPr>
                <w:sz w:val="20"/>
                <w:szCs w:val="20"/>
                <w:color w:val="auto"/>
              </w:rPr>
            </w:pPr>
            <w:r>
              <w:rPr>
                <w:rFonts w:ascii="Times New Roman" w:cs="Times New Roman" w:eastAsia="Times New Roman" w:hAnsi="Times New Roman"/>
                <w:sz w:val="10"/>
                <w:szCs w:val="10"/>
                <w:color w:val="auto"/>
              </w:rPr>
              <w:t>76.2 %</w:t>
            </w:r>
          </w:p>
        </w:tc>
      </w:tr>
      <w:tr>
        <w:trPr>
          <w:trHeight w:val="120"/>
        </w:trPr>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Osaka</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583</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116</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80</w:t>
            </w:r>
          </w:p>
        </w:tc>
        <w:tc>
          <w:tcPr>
            <w:tcW w:w="96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82.0 %</w:t>
            </w:r>
          </w:p>
        </w:tc>
      </w:tr>
      <w:tr>
        <w:trPr>
          <w:trHeight w:val="120"/>
        </w:trPr>
        <w:tc>
          <w:tcPr>
            <w:tcW w:w="24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Santiago</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119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118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71</w:t>
            </w:r>
          </w:p>
        </w:tc>
        <w:tc>
          <w:tcPr>
            <w:tcW w:w="960" w:type="dxa"/>
            <w:vAlign w:val="bottom"/>
            <w:gridSpan w:val="2"/>
          </w:tcPr>
          <w:p>
            <w:pPr>
              <w:jc w:val="right"/>
              <w:ind w:right="112"/>
              <w:spacing w:after="0"/>
              <w:rPr>
                <w:sz w:val="20"/>
                <w:szCs w:val="20"/>
                <w:color w:val="auto"/>
              </w:rPr>
            </w:pPr>
            <w:r>
              <w:rPr>
                <w:rFonts w:ascii="Times New Roman" w:cs="Times New Roman" w:eastAsia="Times New Roman" w:hAnsi="Times New Roman"/>
                <w:sz w:val="10"/>
                <w:szCs w:val="10"/>
                <w:color w:val="auto"/>
              </w:rPr>
              <w:t>90.1 %</w:t>
            </w:r>
          </w:p>
        </w:tc>
      </w:tr>
      <w:tr>
        <w:trPr>
          <w:trHeight w:val="120"/>
        </w:trPr>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Rio De Janeiro</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112</w:t>
            </w: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100.0 %</w:t>
            </w:r>
          </w:p>
        </w:tc>
      </w:tr>
      <w:tr>
        <w:trPr>
          <w:trHeight w:val="120"/>
        </w:trPr>
        <w:tc>
          <w:tcPr>
            <w:tcW w:w="24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Queretaro</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105</w:t>
            </w:r>
          </w:p>
        </w:tc>
        <w:tc>
          <w:tcPr>
            <w:tcW w:w="16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583</w:t>
            </w:r>
          </w:p>
        </w:tc>
        <w:tc>
          <w:tcPr>
            <w:tcW w:w="960" w:type="dxa"/>
            <w:vAlign w:val="bottom"/>
            <w:gridSpan w:val="2"/>
          </w:tcPr>
          <w:p>
            <w:pPr>
              <w:jc w:val="right"/>
              <w:ind w:right="112"/>
              <w:spacing w:after="0"/>
              <w:rPr>
                <w:sz w:val="20"/>
                <w:szCs w:val="20"/>
                <w:color w:val="auto"/>
              </w:rPr>
            </w:pPr>
            <w:r>
              <w:rPr>
                <w:rFonts w:ascii="Times New Roman" w:cs="Times New Roman" w:eastAsia="Times New Roman" w:hAnsi="Times New Roman"/>
                <w:sz w:val="10"/>
                <w:szCs w:val="10"/>
                <w:color w:val="auto"/>
              </w:rPr>
              <w:t>100.0 %</w:t>
            </w:r>
          </w:p>
        </w:tc>
      </w:tr>
      <w:tr>
        <w:trPr>
          <w:trHeight w:val="120"/>
        </w:trPr>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Fortaleza</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94</w:t>
            </w: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22.0 %</w:t>
            </w:r>
          </w:p>
        </w:tc>
      </w:tr>
      <w:tr>
        <w:trPr>
          <w:trHeight w:val="120"/>
        </w:trPr>
        <w:tc>
          <w:tcPr>
            <w:tcW w:w="24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Chennai</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55</w:t>
            </w:r>
          </w:p>
        </w:tc>
        <w:tc>
          <w:tcPr>
            <w:tcW w:w="16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104</w:t>
            </w:r>
          </w:p>
        </w:tc>
        <w:tc>
          <w:tcPr>
            <w:tcW w:w="960" w:type="dxa"/>
            <w:vAlign w:val="bottom"/>
            <w:gridSpan w:val="2"/>
          </w:tcPr>
          <w:p>
            <w:pPr>
              <w:jc w:val="right"/>
              <w:ind w:right="112"/>
              <w:spacing w:after="0"/>
              <w:rPr>
                <w:sz w:val="20"/>
                <w:szCs w:val="20"/>
                <w:color w:val="auto"/>
              </w:rPr>
            </w:pPr>
            <w:r>
              <w:rPr>
                <w:rFonts w:ascii="Times New Roman" w:cs="Times New Roman" w:eastAsia="Times New Roman" w:hAnsi="Times New Roman"/>
                <w:sz w:val="10"/>
                <w:szCs w:val="10"/>
                <w:color w:val="auto"/>
              </w:rPr>
              <w:t>2.5 %</w:t>
            </w:r>
          </w:p>
        </w:tc>
      </w:tr>
      <w:tr>
        <w:trPr>
          <w:trHeight w:val="120"/>
        </w:trPr>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Seattle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w:t>
            </w: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100.0 %</w:t>
            </w:r>
          </w:p>
        </w:tc>
      </w:tr>
      <w:tr>
        <w:trPr>
          <w:trHeight w:val="120"/>
        </w:trPr>
        <w:tc>
          <w:tcPr>
            <w:tcW w:w="24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Bogota</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16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197</w:t>
            </w:r>
          </w:p>
        </w:tc>
        <w:tc>
          <w:tcPr>
            <w:tcW w:w="160" w:type="dxa"/>
            <w:vAlign w:val="bottom"/>
          </w:tcPr>
          <w:p>
            <w:pPr>
              <w:spacing w:after="0"/>
              <w:rPr>
                <w:sz w:val="10"/>
                <w:szCs w:val="10"/>
                <w:color w:val="auto"/>
              </w:rPr>
            </w:pPr>
          </w:p>
        </w:tc>
        <w:tc>
          <w:tcPr>
            <w:tcW w:w="8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 %</w:t>
            </w:r>
          </w:p>
        </w:tc>
      </w:tr>
      <w:tr>
        <w:trPr>
          <w:trHeight w:val="112"/>
        </w:trPr>
        <w:tc>
          <w:tcPr>
            <w:tcW w:w="208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CCEEFF"/>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b w:val="1"/>
                <w:bCs w:val="1"/>
                <w:color w:val="auto"/>
              </w:rPr>
              <w:t>47</w:t>
            </w:r>
          </w:p>
        </w:tc>
        <w:tc>
          <w:tcPr>
            <w:tcW w:w="160" w:type="dxa"/>
            <w:vAlign w:val="bottom"/>
            <w:tcBorders>
              <w:top w:val="single" w:sz="8" w:color="CCEEFF"/>
            </w:tcBorders>
            <w:shd w:val="clear" w:color="auto" w:fill="CCEEFF"/>
          </w:tcPr>
          <w:p>
            <w:pPr>
              <w:spacing w:after="0"/>
              <w:rPr>
                <w:sz w:val="9"/>
                <w:szCs w:val="9"/>
                <w:color w:val="auto"/>
              </w:rPr>
            </w:pPr>
          </w:p>
        </w:tc>
        <w:tc>
          <w:tcPr>
            <w:tcW w:w="1180" w:type="dxa"/>
            <w:vAlign w:val="bottom"/>
            <w:tcBorders>
              <w:top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b w:val="1"/>
                <w:bCs w:val="1"/>
                <w:color w:val="auto"/>
              </w:rPr>
              <w:t>3,654</w:t>
            </w:r>
          </w:p>
        </w:tc>
        <w:tc>
          <w:tcPr>
            <w:tcW w:w="160" w:type="dxa"/>
            <w:vAlign w:val="bottom"/>
            <w:tcBorders>
              <w:top w:val="single" w:sz="8" w:color="CCEEFF"/>
            </w:tcBorders>
            <w:shd w:val="clear" w:color="auto" w:fill="CCEEFF"/>
          </w:tcPr>
          <w:p>
            <w:pPr>
              <w:spacing w:after="0"/>
              <w:rPr>
                <w:sz w:val="9"/>
                <w:szCs w:val="9"/>
                <w:color w:val="auto"/>
              </w:rPr>
            </w:pPr>
          </w:p>
        </w:tc>
        <w:tc>
          <w:tcPr>
            <w:tcW w:w="1180" w:type="dxa"/>
            <w:vAlign w:val="bottom"/>
            <w:tcBorders>
              <w:top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b w:val="1"/>
                <w:bCs w:val="1"/>
                <w:color w:val="auto"/>
              </w:rPr>
              <w:t>787</w:t>
            </w:r>
          </w:p>
        </w:tc>
        <w:tc>
          <w:tcPr>
            <w:tcW w:w="160" w:type="dxa"/>
            <w:vAlign w:val="bottom"/>
            <w:tcBorders>
              <w:top w:val="single" w:sz="8" w:color="CCEEFF"/>
            </w:tcBorders>
            <w:shd w:val="clear" w:color="auto" w:fill="CCEEFF"/>
          </w:tcPr>
          <w:p>
            <w:pPr>
              <w:spacing w:after="0"/>
              <w:rPr>
                <w:sz w:val="9"/>
                <w:szCs w:val="9"/>
                <w:color w:val="auto"/>
              </w:rPr>
            </w:pPr>
          </w:p>
        </w:tc>
        <w:tc>
          <w:tcPr>
            <w:tcW w:w="1180" w:type="dxa"/>
            <w:vAlign w:val="bottom"/>
            <w:tcBorders>
              <w:top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b w:val="1"/>
                <w:bCs w:val="1"/>
                <w:color w:val="auto"/>
              </w:rPr>
              <w:t>2,234</w:t>
            </w:r>
          </w:p>
        </w:tc>
        <w:tc>
          <w:tcPr>
            <w:tcW w:w="16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jc w:val="right"/>
              <w:ind w:right="92"/>
              <w:spacing w:after="0" w:line="112" w:lineRule="exact"/>
              <w:rPr>
                <w:sz w:val="20"/>
                <w:szCs w:val="20"/>
                <w:color w:val="auto"/>
              </w:rPr>
            </w:pPr>
            <w:r>
              <w:rPr>
                <w:rFonts w:ascii="Times New Roman" w:cs="Times New Roman" w:eastAsia="Times New Roman" w:hAnsi="Times New Roman"/>
                <w:sz w:val="10"/>
                <w:szCs w:val="10"/>
                <w:b w:val="1"/>
                <w:bCs w:val="1"/>
                <w:color w:val="auto"/>
              </w:rPr>
              <w:t>83.0 %</w:t>
            </w:r>
          </w:p>
        </w:tc>
      </w:tr>
      <w:tr>
        <w:trPr>
          <w:trHeight w:val="120"/>
        </w:trPr>
        <w:tc>
          <w:tcPr>
            <w:tcW w:w="20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20"/>
        </w:trPr>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Total</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308</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41,326</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8,904</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4,686</w:t>
            </w:r>
          </w:p>
        </w:tc>
        <w:tc>
          <w:tcPr>
            <w:tcW w:w="96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rPr>
              <w:t>84.1 %</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72"/>
        </w:trPr>
        <w:tc>
          <w:tcPr>
            <w:tcW w:w="2080" w:type="dxa"/>
            <w:vAlign w:val="bottom"/>
            <w:tcBorders>
              <w:bottom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r>
    </w:tbl>
    <w:p>
      <w:pPr>
        <w:spacing w:after="0" w:line="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Note: Table excludes data centers held for sale. Individual items may not add up to total due to rounding.</w:t>
      </w:r>
    </w:p>
    <w:p>
      <w:pPr>
        <w:spacing w:after="0" w:line="14" w:lineRule="exact"/>
        <w:rPr>
          <w:sz w:val="20"/>
          <w:szCs w:val="20"/>
          <w:color w:val="auto"/>
        </w:rPr>
      </w:pPr>
    </w:p>
    <w:p>
      <w:pPr>
        <w:ind w:left="600" w:right="460" w:hanging="282"/>
        <w:spacing w:after="0" w:line="234" w:lineRule="auto"/>
        <w:tabs>
          <w:tab w:leader="none" w:pos="6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rentable square feet at a building represents the current square feet at that building under lease as specified in the lease agreements plus management’s estimate of space available for lease. We estimate the total net rentable square feet available for lease based on a number of factors in addition to contractually leased square feet, including available power, required support space and common area. Net rentable square feet includes tenants’ proportional share of common areas but excludes space held for development.</w:t>
      </w:r>
    </w:p>
    <w:p>
      <w:pPr>
        <w:spacing w:after="0" w:line="3" w:lineRule="exact"/>
        <w:rPr>
          <w:rFonts w:ascii="Times New Roman" w:cs="Times New Roman" w:eastAsia="Times New Roman" w:hAnsi="Times New Roman"/>
          <w:sz w:val="16"/>
          <w:szCs w:val="16"/>
          <w:color w:val="auto"/>
        </w:rPr>
      </w:pPr>
    </w:p>
    <w:p>
      <w:pPr>
        <w:ind w:left="600" w:hanging="282"/>
        <w:spacing w:after="0" w:line="234" w:lineRule="auto"/>
        <w:tabs>
          <w:tab w:leader="none" w:pos="6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Space under active development includes current base building and data center projects in progress.</w:t>
      </w:r>
    </w:p>
    <w:p>
      <w:pPr>
        <w:ind w:left="600" w:right="1140" w:hanging="282"/>
        <w:spacing w:after="0" w:line="234" w:lineRule="auto"/>
        <w:tabs>
          <w:tab w:leader="none" w:pos="6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Space held for development includes space held for future data center development, and excludes space under active development and land held for development.</w:t>
      </w:r>
    </w:p>
    <w:p>
      <w:pPr>
        <w:spacing w:after="0" w:line="1" w:lineRule="exact"/>
        <w:rPr>
          <w:rFonts w:ascii="Times New Roman" w:cs="Times New Roman" w:eastAsia="Times New Roman" w:hAnsi="Times New Roman"/>
          <w:sz w:val="16"/>
          <w:szCs w:val="16"/>
          <w:color w:val="auto"/>
        </w:rPr>
      </w:pPr>
    </w:p>
    <w:p>
      <w:pPr>
        <w:ind w:left="600" w:right="500" w:hanging="282"/>
        <w:spacing w:after="0" w:line="237" w:lineRule="auto"/>
        <w:tabs>
          <w:tab w:leader="none" w:pos="6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space held for development and space under active development. We estimate the total square feet available for lease based on a number of factors in addition to contractually leased square feet, including available power, required support space and common area.</w:t>
      </w:r>
    </w:p>
    <w:p>
      <w:pPr>
        <w:spacing w:after="0" w:line="157" w:lineRule="exact"/>
        <w:rPr>
          <w:sz w:val="20"/>
          <w:szCs w:val="20"/>
          <w:color w:val="auto"/>
        </w:rPr>
      </w:pPr>
    </w:p>
    <w:p>
      <w:pPr>
        <w:ind w:left="320" w:right="320"/>
        <w:spacing w:after="0" w:line="247" w:lineRule="auto"/>
        <w:rPr>
          <w:sz w:val="20"/>
          <w:szCs w:val="20"/>
          <w:color w:val="auto"/>
        </w:rPr>
      </w:pPr>
      <w:r>
        <w:rPr>
          <w:rFonts w:ascii="Times New Roman" w:cs="Times New Roman" w:eastAsia="Times New Roman" w:hAnsi="Times New Roman"/>
          <w:sz w:val="16"/>
          <w:szCs w:val="16"/>
          <w:color w:val="auto"/>
        </w:rPr>
        <w:t>We lease space from third parties under noncancellable leases for: our corporate headquarters, several regional office locations, certain data centers, and certain equipment. In addition, we are subject to ground leases at certain data centers primarily in Europe and Singapore.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55" w:name="page56"/>
    <w:bookmarkEnd w:id="55"/>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Customer Diversification</w:t>
      </w:r>
    </w:p>
    <w:p>
      <w:pPr>
        <w:spacing w:after="0" w:line="190" w:lineRule="exact"/>
        <w:rPr>
          <w:sz w:val="20"/>
          <w:szCs w:val="20"/>
          <w:color w:val="auto"/>
        </w:rPr>
      </w:pPr>
    </w:p>
    <w:p>
      <w:pPr>
        <w:ind w:left="320" w:right="460"/>
        <w:spacing w:after="0" w:line="259" w:lineRule="auto"/>
        <w:rPr>
          <w:sz w:val="20"/>
          <w:szCs w:val="20"/>
          <w:color w:val="auto"/>
        </w:rPr>
      </w:pPr>
      <w:r>
        <w:rPr>
          <w:rFonts w:ascii="Times New Roman" w:cs="Times New Roman" w:eastAsia="Times New Roman" w:hAnsi="Times New Roman"/>
          <w:sz w:val="16"/>
          <w:szCs w:val="16"/>
          <w:color w:val="auto"/>
        </w:rPr>
        <w:t>The following table sets forth information regarding the 20 largest customers in our portfolio based on annualized recurring revenue as of December 31, 2024 (dollar amounts in thousands).</w:t>
      </w:r>
    </w:p>
    <w:p>
      <w:pPr>
        <w:spacing w:after="0" w:line="166" w:lineRule="exact"/>
        <w:rPr>
          <w:sz w:val="20"/>
          <w:szCs w:val="20"/>
          <w:color w:val="auto"/>
        </w:rPr>
      </w:pPr>
    </w:p>
    <w:tbl>
      <w:tblPr>
        <w:tblLayout w:type="fixed"/>
        <w:tblInd w:w="320" w:type="dxa"/>
        <w:tblCellMar>
          <w:top w:w="0" w:type="dxa"/>
          <w:left w:w="0" w:type="dxa"/>
          <w:bottom w:w="0" w:type="dxa"/>
          <w:right w:w="0" w:type="dxa"/>
        </w:tblCellMar>
      </w:tblPr>
      <w:tr>
        <w:trPr>
          <w:trHeight w:val="156"/>
        </w:trPr>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Annualized</w:t>
            </w: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 of Annualized</w:t>
            </w:r>
          </w:p>
        </w:tc>
        <w:tc>
          <w:tcPr>
            <w:tcW w:w="240" w:type="dxa"/>
            <w:vAlign w:val="bottom"/>
          </w:tcPr>
          <w:p>
            <w:pPr>
              <w:spacing w:after="0"/>
              <w:rPr>
                <w:sz w:val="13"/>
                <w:szCs w:val="13"/>
                <w:color w:val="auto"/>
              </w:rPr>
            </w:pPr>
          </w:p>
        </w:tc>
        <w:tc>
          <w:tcPr>
            <w:tcW w:w="126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Weighted Average</w:t>
            </w:r>
          </w:p>
        </w:tc>
      </w:tr>
      <w:tr>
        <w:trPr>
          <w:trHeight w:val="156"/>
        </w:trPr>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of</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Recurring</w:t>
            </w: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Recurring</w:t>
            </w:r>
          </w:p>
        </w:tc>
        <w:tc>
          <w:tcPr>
            <w:tcW w:w="240" w:type="dxa"/>
            <w:vAlign w:val="bottom"/>
          </w:tcPr>
          <w:p>
            <w:pPr>
              <w:spacing w:after="0"/>
              <w:rPr>
                <w:sz w:val="13"/>
                <w:szCs w:val="13"/>
                <w:color w:val="auto"/>
              </w:rPr>
            </w:pPr>
          </w:p>
        </w:tc>
        <w:tc>
          <w:tcPr>
            <w:tcW w:w="1260" w:type="dxa"/>
            <w:vAlign w:val="bottom"/>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Remaining Lease</w:t>
            </w:r>
          </w:p>
        </w:tc>
      </w:tr>
      <w:tr>
        <w:trPr>
          <w:trHeight w:val="174"/>
        </w:trPr>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80" w:type="dxa"/>
            <w:vAlign w:val="bottom"/>
            <w:gridSpan w:val="2"/>
          </w:tcPr>
          <w:p>
            <w:pPr>
              <w:ind w:left="1140"/>
              <w:spacing w:after="0"/>
              <w:rPr>
                <w:sz w:val="20"/>
                <w:szCs w:val="20"/>
                <w:color w:val="auto"/>
              </w:rPr>
            </w:pPr>
            <w:r>
              <w:rPr>
                <w:rFonts w:ascii="Times New Roman" w:cs="Times New Roman" w:eastAsia="Times New Roman" w:hAnsi="Times New Roman"/>
                <w:sz w:val="13"/>
                <w:szCs w:val="13"/>
                <w:b w:val="1"/>
                <w:bCs w:val="1"/>
                <w:color w:val="auto"/>
              </w:rPr>
              <w:t>Tenant</w:t>
            </w:r>
          </w:p>
        </w:tc>
        <w:tc>
          <w:tcPr>
            <w:tcW w:w="220" w:type="dxa"/>
            <w:vAlign w:val="bottom"/>
          </w:tcPr>
          <w:p>
            <w:pPr>
              <w:spacing w:after="0"/>
              <w:rPr>
                <w:sz w:val="15"/>
                <w:szCs w:val="15"/>
                <w:color w:val="auto"/>
              </w:rPr>
            </w:pPr>
          </w:p>
        </w:tc>
        <w:tc>
          <w:tcPr>
            <w:tcW w:w="80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Locations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320"/>
              <w:spacing w:after="0" w:line="170" w:lineRule="exact"/>
              <w:rPr>
                <w:sz w:val="20"/>
                <w:szCs w:val="20"/>
                <w:color w:val="auto"/>
              </w:rPr>
            </w:pPr>
            <w:r>
              <w:rPr>
                <w:rFonts w:ascii="Times New Roman" w:cs="Times New Roman" w:eastAsia="Times New Roman" w:hAnsi="Times New Roman"/>
                <w:sz w:val="13"/>
                <w:szCs w:val="13"/>
                <w:b w:val="1"/>
                <w:bCs w:val="1"/>
                <w:color w:val="auto"/>
                <w:w w:val="94"/>
              </w:rPr>
              <w:t xml:space="preserve">Revenue </w:t>
            </w:r>
            <w:r>
              <w:rPr>
                <w:rFonts w:ascii="Times New Roman" w:cs="Times New Roman" w:eastAsia="Times New Roman" w:hAnsi="Times New Roman"/>
                <w:sz w:val="19"/>
                <w:szCs w:val="19"/>
                <w:b w:val="1"/>
                <w:bCs w:val="1"/>
                <w:color w:val="auto"/>
                <w:w w:val="94"/>
                <w:vertAlign w:val="superscript"/>
              </w:rPr>
              <w:t>(1)</w:t>
            </w: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Revenue</w:t>
            </w:r>
          </w:p>
        </w:tc>
        <w:tc>
          <w:tcPr>
            <w:tcW w:w="240" w:type="dxa"/>
            <w:vAlign w:val="bottom"/>
          </w:tcPr>
          <w:p>
            <w:pPr>
              <w:spacing w:after="0"/>
              <w:rPr>
                <w:sz w:val="15"/>
                <w:szCs w:val="15"/>
                <w:color w:val="auto"/>
              </w:rPr>
            </w:pPr>
          </w:p>
        </w:tc>
        <w:tc>
          <w:tcPr>
            <w:tcW w:w="126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Term in Years</w:t>
            </w:r>
          </w:p>
        </w:tc>
      </w:tr>
      <w:tr>
        <w:trPr>
          <w:trHeight w:val="156"/>
        </w:trPr>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tcBorders>
              <w:top w:val="single" w:sz="8" w:color="CCEEFF"/>
            </w:tcBorders>
            <w:shd w:val="clear" w:color="auto" w:fill="CCEEFF"/>
          </w:tcPr>
          <w:p>
            <w:pPr>
              <w:spacing w:after="0"/>
              <w:rPr>
                <w:sz w:val="13"/>
                <w:szCs w:val="13"/>
                <w:color w:val="auto"/>
              </w:rPr>
            </w:pPr>
          </w:p>
        </w:tc>
        <w:tc>
          <w:tcPr>
            <w:tcW w:w="26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Fortune 50 Software Company</w:t>
            </w:r>
          </w:p>
        </w:tc>
        <w:tc>
          <w:tcPr>
            <w:tcW w:w="22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2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828282"/>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828282"/>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475,081</w:t>
            </w:r>
          </w:p>
        </w:tc>
        <w:tc>
          <w:tcPr>
            <w:tcW w:w="22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3"/>
                <w:szCs w:val="13"/>
                <w:color w:val="auto"/>
              </w:rPr>
              <w:t>11.5 %</w:t>
            </w:r>
          </w:p>
        </w:tc>
        <w:tc>
          <w:tcPr>
            <w:tcW w:w="24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w:t>
            </w:r>
          </w:p>
        </w:tc>
      </w:tr>
      <w:tr>
        <w:trPr>
          <w:trHeight w:val="156"/>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2</w:t>
            </w:r>
          </w:p>
        </w:tc>
        <w:tc>
          <w:tcPr>
            <w:tcW w:w="2880" w:type="dxa"/>
            <w:vAlign w:val="bottom"/>
            <w:gridSpan w:val="3"/>
          </w:tcPr>
          <w:p>
            <w:pPr>
              <w:ind w:left="200"/>
              <w:spacing w:after="0"/>
              <w:rPr>
                <w:sz w:val="20"/>
                <w:szCs w:val="20"/>
                <w:color w:val="auto"/>
              </w:rPr>
            </w:pPr>
            <w:r>
              <w:rPr>
                <w:rFonts w:ascii="Times New Roman" w:cs="Times New Roman" w:eastAsia="Times New Roman" w:hAnsi="Times New Roman"/>
                <w:sz w:val="13"/>
                <w:szCs w:val="13"/>
                <w:color w:val="auto"/>
              </w:rPr>
              <w:t>Oracle Corporation</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266,603</w:t>
            </w:r>
          </w:p>
        </w:tc>
        <w:tc>
          <w:tcPr>
            <w:tcW w:w="220" w:type="dxa"/>
            <w:vAlign w:val="bottom"/>
          </w:tcPr>
          <w:p>
            <w:pPr>
              <w:spacing w:after="0"/>
              <w:rPr>
                <w:sz w:val="13"/>
                <w:szCs w:val="13"/>
                <w:color w:val="auto"/>
              </w:rPr>
            </w:pPr>
          </w:p>
        </w:tc>
        <w:tc>
          <w:tcPr>
            <w:tcW w:w="126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6.4 %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9.7</w:t>
            </w:r>
          </w:p>
        </w:tc>
      </w:tr>
      <w:tr>
        <w:trPr>
          <w:trHeight w:val="156"/>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3</w:t>
            </w:r>
          </w:p>
        </w:tc>
        <w:tc>
          <w:tcPr>
            <w:tcW w:w="28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Social Content Platform</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229,771</w:t>
            </w:r>
          </w:p>
        </w:tc>
        <w:tc>
          <w:tcPr>
            <w:tcW w:w="22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3"/>
                <w:szCs w:val="13"/>
                <w:color w:val="auto"/>
              </w:rPr>
              <w:t>5.5 %</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r>
      <w:tr>
        <w:trPr>
          <w:trHeight w:val="156"/>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4</w:t>
            </w:r>
          </w:p>
        </w:tc>
        <w:tc>
          <w:tcPr>
            <w:tcW w:w="2880" w:type="dxa"/>
            <w:vAlign w:val="bottom"/>
            <w:gridSpan w:val="3"/>
          </w:tcPr>
          <w:p>
            <w:pPr>
              <w:ind w:left="200"/>
              <w:spacing w:after="0"/>
              <w:rPr>
                <w:sz w:val="20"/>
                <w:szCs w:val="20"/>
                <w:color w:val="auto"/>
              </w:rPr>
            </w:pPr>
            <w:r>
              <w:rPr>
                <w:rFonts w:ascii="Times New Roman" w:cs="Times New Roman" w:eastAsia="Times New Roman" w:hAnsi="Times New Roman"/>
                <w:sz w:val="13"/>
                <w:szCs w:val="13"/>
                <w:color w:val="auto"/>
              </w:rPr>
              <w:t>Global Cloud Provider</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189,147</w:t>
            </w:r>
          </w:p>
        </w:tc>
        <w:tc>
          <w:tcPr>
            <w:tcW w:w="220" w:type="dxa"/>
            <w:vAlign w:val="bottom"/>
          </w:tcPr>
          <w:p>
            <w:pPr>
              <w:spacing w:after="0"/>
              <w:rPr>
                <w:sz w:val="13"/>
                <w:szCs w:val="13"/>
                <w:color w:val="auto"/>
              </w:rPr>
            </w:pPr>
          </w:p>
        </w:tc>
        <w:tc>
          <w:tcPr>
            <w:tcW w:w="126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4.6 %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4.8</w:t>
            </w:r>
          </w:p>
        </w:tc>
      </w:tr>
      <w:tr>
        <w:trPr>
          <w:trHeight w:val="156"/>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5</w:t>
            </w:r>
          </w:p>
        </w:tc>
        <w:tc>
          <w:tcPr>
            <w:tcW w:w="28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IBM</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119,145</w:t>
            </w:r>
          </w:p>
        </w:tc>
        <w:tc>
          <w:tcPr>
            <w:tcW w:w="22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3"/>
                <w:szCs w:val="13"/>
                <w:color w:val="auto"/>
              </w:rPr>
              <w:t>2.9 %</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156"/>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6</w:t>
            </w:r>
          </w:p>
        </w:tc>
        <w:tc>
          <w:tcPr>
            <w:tcW w:w="2880" w:type="dxa"/>
            <w:vAlign w:val="bottom"/>
            <w:gridSpan w:val="3"/>
          </w:tcPr>
          <w:p>
            <w:pPr>
              <w:ind w:left="200"/>
              <w:spacing w:after="0"/>
              <w:rPr>
                <w:sz w:val="20"/>
                <w:szCs w:val="20"/>
                <w:color w:val="auto"/>
              </w:rPr>
            </w:pPr>
            <w:r>
              <w:rPr>
                <w:rFonts w:ascii="Times New Roman" w:cs="Times New Roman" w:eastAsia="Times New Roman" w:hAnsi="Times New Roman"/>
                <w:sz w:val="13"/>
                <w:szCs w:val="13"/>
                <w:color w:val="auto"/>
              </w:rPr>
              <w:t>Equinix</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98,128</w:t>
            </w:r>
          </w:p>
        </w:tc>
        <w:tc>
          <w:tcPr>
            <w:tcW w:w="220" w:type="dxa"/>
            <w:vAlign w:val="bottom"/>
          </w:tcPr>
          <w:p>
            <w:pPr>
              <w:spacing w:after="0"/>
              <w:rPr>
                <w:sz w:val="13"/>
                <w:szCs w:val="13"/>
                <w:color w:val="auto"/>
              </w:rPr>
            </w:pPr>
          </w:p>
        </w:tc>
        <w:tc>
          <w:tcPr>
            <w:tcW w:w="126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2.4 %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w:t>
            </w:r>
          </w:p>
        </w:tc>
      </w:tr>
      <w:tr>
        <w:trPr>
          <w:trHeight w:val="156"/>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7</w:t>
            </w:r>
          </w:p>
        </w:tc>
        <w:tc>
          <w:tcPr>
            <w:tcW w:w="28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LinkedIn Corporation</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84,509</w:t>
            </w:r>
          </w:p>
        </w:tc>
        <w:tc>
          <w:tcPr>
            <w:tcW w:w="22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3"/>
                <w:szCs w:val="13"/>
                <w:color w:val="auto"/>
              </w:rPr>
              <w:t>2.0 %</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r>
      <w:tr>
        <w:trPr>
          <w:trHeight w:val="156"/>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8</w:t>
            </w:r>
          </w:p>
        </w:tc>
        <w:tc>
          <w:tcPr>
            <w:tcW w:w="2880" w:type="dxa"/>
            <w:vAlign w:val="bottom"/>
            <w:gridSpan w:val="3"/>
          </w:tcPr>
          <w:p>
            <w:pPr>
              <w:ind w:left="200"/>
              <w:spacing w:after="0"/>
              <w:rPr>
                <w:sz w:val="20"/>
                <w:szCs w:val="20"/>
                <w:color w:val="auto"/>
              </w:rPr>
            </w:pPr>
            <w:r>
              <w:rPr>
                <w:rFonts w:ascii="Times New Roman" w:cs="Times New Roman" w:eastAsia="Times New Roman" w:hAnsi="Times New Roman"/>
                <w:sz w:val="13"/>
                <w:szCs w:val="13"/>
                <w:color w:val="auto"/>
              </w:rPr>
              <w:t>Fortune 25 Investment Grade-Rated Company</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64,371</w:t>
            </w:r>
          </w:p>
        </w:tc>
        <w:tc>
          <w:tcPr>
            <w:tcW w:w="220" w:type="dxa"/>
            <w:vAlign w:val="bottom"/>
          </w:tcPr>
          <w:p>
            <w:pPr>
              <w:spacing w:after="0"/>
              <w:rPr>
                <w:sz w:val="13"/>
                <w:szCs w:val="13"/>
                <w:color w:val="auto"/>
              </w:rPr>
            </w:pPr>
          </w:p>
        </w:tc>
        <w:tc>
          <w:tcPr>
            <w:tcW w:w="126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1.6 %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56"/>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9</w:t>
            </w:r>
          </w:p>
        </w:tc>
        <w:tc>
          <w:tcPr>
            <w:tcW w:w="28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Meta Platforms, Inc.</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64,157</w:t>
            </w:r>
          </w:p>
        </w:tc>
        <w:tc>
          <w:tcPr>
            <w:tcW w:w="22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3"/>
                <w:szCs w:val="13"/>
                <w:color w:val="auto"/>
              </w:rPr>
              <w:t>1.5 %</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r>
      <w:tr>
        <w:trPr>
          <w:trHeight w:val="156"/>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10</w:t>
            </w:r>
          </w:p>
        </w:tc>
        <w:tc>
          <w:tcPr>
            <w:tcW w:w="2880" w:type="dxa"/>
            <w:vAlign w:val="bottom"/>
            <w:gridSpan w:val="3"/>
          </w:tcPr>
          <w:p>
            <w:pPr>
              <w:ind w:left="200"/>
              <w:spacing w:after="0"/>
              <w:rPr>
                <w:sz w:val="20"/>
                <w:szCs w:val="20"/>
                <w:color w:val="auto"/>
              </w:rPr>
            </w:pPr>
            <w:r>
              <w:rPr>
                <w:rFonts w:ascii="Times New Roman" w:cs="Times New Roman" w:eastAsia="Times New Roman" w:hAnsi="Times New Roman"/>
                <w:sz w:val="13"/>
                <w:szCs w:val="13"/>
                <w:color w:val="auto"/>
              </w:rPr>
              <w:t>Social Media Platform</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63,168</w:t>
            </w:r>
          </w:p>
        </w:tc>
        <w:tc>
          <w:tcPr>
            <w:tcW w:w="220" w:type="dxa"/>
            <w:vAlign w:val="bottom"/>
          </w:tcPr>
          <w:p>
            <w:pPr>
              <w:spacing w:after="0"/>
              <w:rPr>
                <w:sz w:val="13"/>
                <w:szCs w:val="13"/>
                <w:color w:val="auto"/>
              </w:rPr>
            </w:pPr>
          </w:p>
        </w:tc>
        <w:tc>
          <w:tcPr>
            <w:tcW w:w="126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1.5 %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6.4</w:t>
            </w:r>
          </w:p>
        </w:tc>
      </w:tr>
      <w:tr>
        <w:trPr>
          <w:trHeight w:val="156"/>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11</w:t>
            </w:r>
          </w:p>
        </w:tc>
        <w:tc>
          <w:tcPr>
            <w:tcW w:w="28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Specialized Cloud Provider</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58,322</w:t>
            </w:r>
          </w:p>
        </w:tc>
        <w:tc>
          <w:tcPr>
            <w:tcW w:w="22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3"/>
                <w:szCs w:val="13"/>
                <w:color w:val="auto"/>
              </w:rPr>
              <w:t>1.4 %</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r>
      <w:tr>
        <w:trPr>
          <w:trHeight w:val="156"/>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12</w:t>
            </w:r>
          </w:p>
        </w:tc>
        <w:tc>
          <w:tcPr>
            <w:tcW w:w="2880" w:type="dxa"/>
            <w:vAlign w:val="bottom"/>
            <w:gridSpan w:val="3"/>
          </w:tcPr>
          <w:p>
            <w:pPr>
              <w:ind w:left="200"/>
              <w:spacing w:after="0"/>
              <w:rPr>
                <w:sz w:val="20"/>
                <w:szCs w:val="20"/>
                <w:color w:val="auto"/>
              </w:rPr>
            </w:pPr>
            <w:r>
              <w:rPr>
                <w:rFonts w:ascii="Times New Roman" w:cs="Times New Roman" w:eastAsia="Times New Roman" w:hAnsi="Times New Roman"/>
                <w:sz w:val="13"/>
                <w:szCs w:val="13"/>
                <w:color w:val="auto"/>
              </w:rPr>
              <w:t>Lumen Technologies, Inc.</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55,529</w:t>
            </w:r>
          </w:p>
        </w:tc>
        <w:tc>
          <w:tcPr>
            <w:tcW w:w="220" w:type="dxa"/>
            <w:vAlign w:val="bottom"/>
          </w:tcPr>
          <w:p>
            <w:pPr>
              <w:spacing w:after="0"/>
              <w:rPr>
                <w:sz w:val="13"/>
                <w:szCs w:val="13"/>
                <w:color w:val="auto"/>
              </w:rPr>
            </w:pPr>
          </w:p>
        </w:tc>
        <w:tc>
          <w:tcPr>
            <w:tcW w:w="126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1.3 %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8.2</w:t>
            </w:r>
          </w:p>
        </w:tc>
      </w:tr>
      <w:tr>
        <w:trPr>
          <w:trHeight w:val="156"/>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13</w:t>
            </w:r>
          </w:p>
        </w:tc>
        <w:tc>
          <w:tcPr>
            <w:tcW w:w="28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Fortune 25 Tech Company</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54,008</w:t>
            </w:r>
          </w:p>
        </w:tc>
        <w:tc>
          <w:tcPr>
            <w:tcW w:w="22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3"/>
                <w:szCs w:val="13"/>
                <w:color w:val="auto"/>
              </w:rPr>
              <w:t>1.3 %</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56"/>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14</w:t>
            </w:r>
          </w:p>
        </w:tc>
        <w:tc>
          <w:tcPr>
            <w:tcW w:w="2880" w:type="dxa"/>
            <w:vAlign w:val="bottom"/>
            <w:gridSpan w:val="3"/>
          </w:tcPr>
          <w:p>
            <w:pPr>
              <w:ind w:left="200"/>
              <w:spacing w:after="0"/>
              <w:rPr>
                <w:sz w:val="20"/>
                <w:szCs w:val="20"/>
                <w:color w:val="auto"/>
              </w:rPr>
            </w:pPr>
            <w:r>
              <w:rPr>
                <w:rFonts w:ascii="Times New Roman" w:cs="Times New Roman" w:eastAsia="Times New Roman" w:hAnsi="Times New Roman"/>
                <w:sz w:val="13"/>
                <w:szCs w:val="13"/>
                <w:color w:val="auto"/>
              </w:rPr>
              <w:t>Cyxtera</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49,890</w:t>
            </w:r>
          </w:p>
        </w:tc>
        <w:tc>
          <w:tcPr>
            <w:tcW w:w="220" w:type="dxa"/>
            <w:vAlign w:val="bottom"/>
          </w:tcPr>
          <w:p>
            <w:pPr>
              <w:spacing w:after="0"/>
              <w:rPr>
                <w:sz w:val="13"/>
                <w:szCs w:val="13"/>
                <w:color w:val="auto"/>
              </w:rPr>
            </w:pPr>
          </w:p>
        </w:tc>
        <w:tc>
          <w:tcPr>
            <w:tcW w:w="126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1.2 %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56"/>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15</w:t>
            </w:r>
          </w:p>
        </w:tc>
        <w:tc>
          <w:tcPr>
            <w:tcW w:w="28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Comcast Corporation</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43,900</w:t>
            </w:r>
          </w:p>
        </w:tc>
        <w:tc>
          <w:tcPr>
            <w:tcW w:w="22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3"/>
                <w:szCs w:val="13"/>
                <w:color w:val="auto"/>
              </w:rPr>
              <w:t>1.1 %</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56"/>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16</w:t>
            </w:r>
          </w:p>
        </w:tc>
        <w:tc>
          <w:tcPr>
            <w:tcW w:w="2880" w:type="dxa"/>
            <w:vAlign w:val="bottom"/>
            <w:gridSpan w:val="3"/>
          </w:tcPr>
          <w:p>
            <w:pPr>
              <w:ind w:left="200"/>
              <w:spacing w:after="0"/>
              <w:rPr>
                <w:sz w:val="20"/>
                <w:szCs w:val="20"/>
                <w:color w:val="auto"/>
              </w:rPr>
            </w:pPr>
            <w:r>
              <w:rPr>
                <w:rFonts w:ascii="Times New Roman" w:cs="Times New Roman" w:eastAsia="Times New Roman" w:hAnsi="Times New Roman"/>
                <w:sz w:val="13"/>
                <w:szCs w:val="13"/>
                <w:color w:val="auto"/>
              </w:rPr>
              <w:t>Fortune 500 SaaS Provider</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42,462</w:t>
            </w:r>
          </w:p>
        </w:tc>
        <w:tc>
          <w:tcPr>
            <w:tcW w:w="220" w:type="dxa"/>
            <w:vAlign w:val="bottom"/>
          </w:tcPr>
          <w:p>
            <w:pPr>
              <w:spacing w:after="0"/>
              <w:rPr>
                <w:sz w:val="13"/>
                <w:szCs w:val="13"/>
                <w:color w:val="auto"/>
              </w:rPr>
            </w:pPr>
          </w:p>
        </w:tc>
        <w:tc>
          <w:tcPr>
            <w:tcW w:w="126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1.0 %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156"/>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17</w:t>
            </w:r>
          </w:p>
        </w:tc>
        <w:tc>
          <w:tcPr>
            <w:tcW w:w="28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JPMorgan Chase &amp; Co.</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40,101</w:t>
            </w:r>
          </w:p>
        </w:tc>
        <w:tc>
          <w:tcPr>
            <w:tcW w:w="22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3"/>
                <w:szCs w:val="13"/>
                <w:color w:val="auto"/>
              </w:rPr>
              <w:t>1.0 %</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56"/>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18</w:t>
            </w:r>
          </w:p>
        </w:tc>
        <w:tc>
          <w:tcPr>
            <w:tcW w:w="2880" w:type="dxa"/>
            <w:vAlign w:val="bottom"/>
            <w:gridSpan w:val="3"/>
          </w:tcPr>
          <w:p>
            <w:pPr>
              <w:ind w:left="200"/>
              <w:spacing w:after="0"/>
              <w:rPr>
                <w:sz w:val="20"/>
                <w:szCs w:val="20"/>
                <w:color w:val="auto"/>
              </w:rPr>
            </w:pPr>
            <w:r>
              <w:rPr>
                <w:rFonts w:ascii="Times New Roman" w:cs="Times New Roman" w:eastAsia="Times New Roman" w:hAnsi="Times New Roman"/>
                <w:sz w:val="13"/>
                <w:szCs w:val="13"/>
                <w:color w:val="auto"/>
              </w:rPr>
              <w:t>Rackspace</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37,599</w:t>
            </w:r>
          </w:p>
        </w:tc>
        <w:tc>
          <w:tcPr>
            <w:tcW w:w="220" w:type="dxa"/>
            <w:vAlign w:val="bottom"/>
          </w:tcPr>
          <w:p>
            <w:pPr>
              <w:spacing w:after="0"/>
              <w:rPr>
                <w:sz w:val="13"/>
                <w:szCs w:val="13"/>
                <w:color w:val="auto"/>
              </w:rPr>
            </w:pPr>
          </w:p>
        </w:tc>
        <w:tc>
          <w:tcPr>
            <w:tcW w:w="126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0.9 %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8.9</w:t>
            </w:r>
          </w:p>
        </w:tc>
      </w:tr>
      <w:tr>
        <w:trPr>
          <w:trHeight w:val="156"/>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19</w:t>
            </w:r>
          </w:p>
        </w:tc>
        <w:tc>
          <w:tcPr>
            <w:tcW w:w="28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Morgan Stanley</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37,276</w:t>
            </w:r>
          </w:p>
        </w:tc>
        <w:tc>
          <w:tcPr>
            <w:tcW w:w="22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3"/>
                <w:szCs w:val="13"/>
                <w:color w:val="auto"/>
              </w:rPr>
              <w:t>0.9 %</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r>
      <w:tr>
        <w:trPr>
          <w:trHeight w:val="156"/>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20</w:t>
            </w:r>
          </w:p>
        </w:tc>
        <w:tc>
          <w:tcPr>
            <w:tcW w:w="2880" w:type="dxa"/>
            <w:vAlign w:val="bottom"/>
            <w:gridSpan w:val="3"/>
          </w:tcPr>
          <w:p>
            <w:pPr>
              <w:ind w:left="200"/>
              <w:spacing w:after="0"/>
              <w:rPr>
                <w:sz w:val="20"/>
                <w:szCs w:val="20"/>
                <w:color w:val="auto"/>
              </w:rPr>
            </w:pPr>
            <w:r>
              <w:rPr>
                <w:rFonts w:ascii="Times New Roman" w:cs="Times New Roman" w:eastAsia="Times New Roman" w:hAnsi="Times New Roman"/>
                <w:sz w:val="13"/>
                <w:szCs w:val="13"/>
                <w:color w:val="auto"/>
              </w:rPr>
              <w:t>Verizon</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33,554</w:t>
            </w:r>
          </w:p>
        </w:tc>
        <w:tc>
          <w:tcPr>
            <w:tcW w:w="220" w:type="dxa"/>
            <w:vAlign w:val="bottom"/>
          </w:tcPr>
          <w:p>
            <w:pPr>
              <w:spacing w:after="0"/>
              <w:rPr>
                <w:sz w:val="13"/>
                <w:szCs w:val="13"/>
                <w:color w:val="auto"/>
              </w:rPr>
            </w:pPr>
          </w:p>
        </w:tc>
        <w:tc>
          <w:tcPr>
            <w:tcW w:w="126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0.8 %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12.1</w:t>
            </w:r>
          </w:p>
        </w:tc>
      </w:tr>
      <w:tr>
        <w:trPr>
          <w:trHeight w:val="148"/>
        </w:trPr>
        <w:tc>
          <w:tcPr>
            <w:tcW w:w="32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2680" w:type="dxa"/>
            <w:vAlign w:val="bottom"/>
            <w:tcBorders>
              <w:top w:val="single" w:sz="8" w:color="CCEEFF"/>
              <w:bottom w:val="single" w:sz="8" w:color="CCEEFF"/>
            </w:tcBorders>
            <w:gridSpan w:val="2"/>
            <w:shd w:val="clear" w:color="auto" w:fill="CCEEFF"/>
          </w:tcPr>
          <w:p>
            <w:pPr>
              <w:ind w:left="100"/>
              <w:spacing w:after="0" w:line="148" w:lineRule="exact"/>
              <w:rPr>
                <w:sz w:val="20"/>
                <w:szCs w:val="20"/>
                <w:color w:val="auto"/>
              </w:rPr>
            </w:pPr>
            <w:r>
              <w:rPr>
                <w:rFonts w:ascii="Times New Roman" w:cs="Times New Roman" w:eastAsia="Times New Roman" w:hAnsi="Times New Roman"/>
                <w:sz w:val="13"/>
                <w:szCs w:val="13"/>
                <w:b w:val="1"/>
                <w:bCs w:val="1"/>
                <w:color w:val="auto"/>
              </w:rPr>
              <w:t>Total / Weighted Average</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2,106,721</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260" w:type="dxa"/>
            <w:vAlign w:val="bottom"/>
            <w:tcBorders>
              <w:top w:val="single" w:sz="8" w:color="auto"/>
              <w:bottom w:val="single" w:sz="8" w:color="auto"/>
            </w:tcBorders>
            <w:shd w:val="clear" w:color="auto" w:fill="CCEEFF"/>
          </w:tcPr>
          <w:p>
            <w:pPr>
              <w:jc w:val="right"/>
              <w:ind w:right="194"/>
              <w:spacing w:after="0" w:line="148" w:lineRule="exact"/>
              <w:rPr>
                <w:sz w:val="20"/>
                <w:szCs w:val="20"/>
                <w:color w:val="auto"/>
              </w:rPr>
            </w:pPr>
            <w:r>
              <w:rPr>
                <w:rFonts w:ascii="Times New Roman" w:cs="Times New Roman" w:eastAsia="Times New Roman" w:hAnsi="Times New Roman"/>
                <w:sz w:val="13"/>
                <w:szCs w:val="13"/>
                <w:b w:val="1"/>
                <w:bCs w:val="1"/>
                <w:color w:val="auto"/>
              </w:rPr>
              <w:t>50.8 %</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126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6.1</w:t>
            </w:r>
          </w:p>
        </w:tc>
      </w:tr>
      <w:tr>
        <w:trPr>
          <w:trHeight w:val="20"/>
        </w:trPr>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72"/>
        </w:trPr>
        <w:tc>
          <w:tcPr>
            <w:tcW w:w="3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1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tcPr>
          <w:p>
            <w:pPr>
              <w:spacing w:after="0"/>
              <w:rPr>
                <w:sz w:val="6"/>
                <w:szCs w:val="6"/>
                <w:color w:val="auto"/>
              </w:rPr>
            </w:pPr>
          </w:p>
        </w:tc>
      </w:tr>
    </w:tbl>
    <w:p>
      <w:pPr>
        <w:spacing w:after="0" w:line="57" w:lineRule="exact"/>
        <w:rPr>
          <w:sz w:val="20"/>
          <w:szCs w:val="20"/>
          <w:color w:val="auto"/>
        </w:rPr>
      </w:pPr>
    </w:p>
    <w:p>
      <w:pPr>
        <w:jc w:val="center"/>
        <w:ind w:left="318" w:right="578"/>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Note:   </w:t>
      </w:r>
      <w:r>
        <w:rPr>
          <w:rFonts w:ascii="Times New Roman" w:cs="Times New Roman" w:eastAsia="Times New Roman" w:hAnsi="Times New Roman"/>
          <w:sz w:val="16"/>
          <w:szCs w:val="16"/>
          <w:color w:val="auto"/>
        </w:rPr>
        <w:t>Represents consolidated portfolio in addition to our managed portfolio of unconsolidated entities based on our ownership</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percentage. Our direct customers may be the entities named in the table above or their subsidiaries or affiliates.</w:t>
      </w:r>
    </w:p>
    <w:p>
      <w:pPr>
        <w:spacing w:after="0" w:line="152" w:lineRule="exact"/>
        <w:rPr>
          <w:sz w:val="20"/>
          <w:szCs w:val="20"/>
          <w:color w:val="auto"/>
        </w:rPr>
      </w:pPr>
    </w:p>
    <w:p>
      <w:pPr>
        <w:ind w:left="600" w:right="580" w:hanging="282"/>
        <w:spacing w:after="0" w:line="259" w:lineRule="auto"/>
        <w:tabs>
          <w:tab w:leader="none" w:pos="60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Annualized recurring revenue represents the monthly contractual base rent (defined as cash base rent before abatements), and interconnection revenue under existing leases as of December 31, 2024 multiplied by 12.</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56" w:name="page57"/>
    <w:bookmarkEnd w:id="56"/>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Lease Distribution</w:t>
      </w:r>
    </w:p>
    <w:p>
      <w:pPr>
        <w:spacing w:after="0" w:line="190" w:lineRule="exact"/>
        <w:rPr>
          <w:sz w:val="20"/>
          <w:szCs w:val="20"/>
          <w:color w:val="auto"/>
        </w:rPr>
      </w:pPr>
    </w:p>
    <w:p>
      <w:pPr>
        <w:ind w:left="320" w:right="320"/>
        <w:spacing w:after="0" w:line="243" w:lineRule="auto"/>
        <w:rPr>
          <w:sz w:val="20"/>
          <w:szCs w:val="20"/>
          <w:color w:val="auto"/>
        </w:rPr>
      </w:pPr>
      <w:r>
        <w:rPr>
          <w:rFonts w:ascii="Times New Roman" w:cs="Times New Roman" w:eastAsia="Times New Roman" w:hAnsi="Times New Roman"/>
          <w:sz w:val="16"/>
          <w:szCs w:val="16"/>
          <w:color w:val="auto"/>
        </w:rPr>
        <w:t>The following table sets forth information relating to the distribution of leases in the properties in our portfolio, based on size (in megawatts), excluding approximately 8.9 million square feet of space under active development and approximately 4.7 million square feet of space held for development at December 31, 2024, under lease as of December 31, 2024 (dollar and square feet amounts in thousands).</w:t>
      </w:r>
    </w:p>
    <w:p>
      <w:pPr>
        <w:spacing w:after="0" w:line="161"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243"/>
              <w:spacing w:after="0"/>
              <w:rPr>
                <w:sz w:val="20"/>
                <w:szCs w:val="20"/>
                <w:color w:val="auto"/>
              </w:rPr>
            </w:pPr>
            <w:r>
              <w:rPr>
                <w:rFonts w:ascii="Times New Roman" w:cs="Times New Roman" w:eastAsia="Times New Roman" w:hAnsi="Times New Roman"/>
                <w:sz w:val="16"/>
                <w:szCs w:val="16"/>
                <w:b w:val="1"/>
                <w:bCs w:val="1"/>
                <w:color w:val="auto"/>
              </w:rPr>
              <w:t>Total Net</w:t>
            </w:r>
          </w:p>
        </w:tc>
        <w:tc>
          <w:tcPr>
            <w:tcW w:w="2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Percentage of Net</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68"/>
        </w:trPr>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23"/>
              <w:spacing w:after="0" w:line="168" w:lineRule="exact"/>
              <w:rPr>
                <w:sz w:val="20"/>
                <w:szCs w:val="20"/>
                <w:color w:val="auto"/>
              </w:rPr>
            </w:pPr>
            <w:r>
              <w:rPr>
                <w:rFonts w:ascii="Times New Roman" w:cs="Times New Roman" w:eastAsia="Times New Roman" w:hAnsi="Times New Roman"/>
                <w:sz w:val="16"/>
                <w:szCs w:val="16"/>
                <w:b w:val="1"/>
                <w:bCs w:val="1"/>
                <w:color w:val="auto"/>
                <w:w w:val="99"/>
              </w:rPr>
              <w:t>Rentable Square</w:t>
            </w:r>
          </w:p>
        </w:tc>
        <w:tc>
          <w:tcPr>
            <w:tcW w:w="200" w:type="dxa"/>
            <w:vAlign w:val="bottom"/>
          </w:tcPr>
          <w:p>
            <w:pPr>
              <w:spacing w:after="0"/>
              <w:rPr>
                <w:sz w:val="14"/>
                <w:szCs w:val="14"/>
                <w:color w:val="auto"/>
              </w:rPr>
            </w:pPr>
          </w:p>
        </w:tc>
        <w:tc>
          <w:tcPr>
            <w:tcW w:w="144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w w:val="96"/>
              </w:rPr>
              <w:t>Rentable Square</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ind w:right="162"/>
              <w:spacing w:after="0" w:line="168" w:lineRule="exact"/>
              <w:rPr>
                <w:sz w:val="20"/>
                <w:szCs w:val="20"/>
                <w:color w:val="auto"/>
              </w:rPr>
            </w:pPr>
            <w:r>
              <w:rPr>
                <w:rFonts w:ascii="Times New Roman" w:cs="Times New Roman" w:eastAsia="Times New Roman" w:hAnsi="Times New Roman"/>
                <w:sz w:val="16"/>
                <w:szCs w:val="16"/>
                <w:b w:val="1"/>
                <w:bCs w:val="1"/>
                <w:color w:val="auto"/>
              </w:rPr>
              <w:t>Annualized</w:t>
            </w:r>
          </w:p>
        </w:tc>
        <w:tc>
          <w:tcPr>
            <w:tcW w:w="220" w:type="dxa"/>
            <w:vAlign w:val="bottom"/>
          </w:tcPr>
          <w:p>
            <w:pPr>
              <w:spacing w:after="0"/>
              <w:rPr>
                <w:sz w:val="14"/>
                <w:szCs w:val="14"/>
                <w:color w:val="auto"/>
              </w:rPr>
            </w:pPr>
          </w:p>
        </w:tc>
        <w:tc>
          <w:tcPr>
            <w:tcW w:w="1400" w:type="dxa"/>
            <w:vAlign w:val="bottom"/>
          </w:tcPr>
          <w:p>
            <w:pPr>
              <w:jc w:val="right"/>
              <w:ind w:right="182"/>
              <w:spacing w:after="0" w:line="168" w:lineRule="exact"/>
              <w:rPr>
                <w:sz w:val="20"/>
                <w:szCs w:val="20"/>
                <w:color w:val="auto"/>
              </w:rPr>
            </w:pPr>
            <w:r>
              <w:rPr>
                <w:rFonts w:ascii="Times New Roman" w:cs="Times New Roman" w:eastAsia="Times New Roman" w:hAnsi="Times New Roman"/>
                <w:sz w:val="16"/>
                <w:szCs w:val="16"/>
                <w:b w:val="1"/>
                <w:bCs w:val="1"/>
                <w:color w:val="auto"/>
              </w:rPr>
              <w:t>Percentage of</w:t>
            </w:r>
          </w:p>
        </w:tc>
      </w:tr>
      <w:tr>
        <w:trPr>
          <w:trHeight w:val="207"/>
        </w:trPr>
        <w:tc>
          <w:tcPr>
            <w:tcW w:w="2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Size</w:t>
            </w:r>
          </w:p>
        </w:tc>
        <w:tc>
          <w:tcPr>
            <w:tcW w:w="22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343"/>
              <w:spacing w:after="0" w:line="207" w:lineRule="exact"/>
              <w:rPr>
                <w:sz w:val="20"/>
                <w:szCs w:val="20"/>
                <w:color w:val="auto"/>
              </w:rPr>
            </w:pPr>
            <w:r>
              <w:rPr>
                <w:rFonts w:ascii="Times New Roman" w:cs="Times New Roman" w:eastAsia="Times New Roman" w:hAnsi="Times New Roman"/>
                <w:sz w:val="15"/>
                <w:szCs w:val="15"/>
                <w:b w:val="1"/>
                <w:bCs w:val="1"/>
                <w:color w:val="auto"/>
              </w:rPr>
              <w:t>Feet</w:t>
            </w:r>
            <w:r>
              <w:rPr>
                <w:rFonts w:ascii="Times New Roman" w:cs="Times New Roman" w:eastAsia="Times New Roman" w:hAnsi="Times New Roman"/>
                <w:sz w:val="23"/>
                <w:szCs w:val="23"/>
                <w:b w:val="1"/>
                <w:bCs w:val="1"/>
                <w:color w:val="auto"/>
                <w:vertAlign w:val="superscript"/>
              </w:rPr>
              <w:t>(1)</w:t>
            </w:r>
          </w:p>
        </w:tc>
        <w:tc>
          <w:tcPr>
            <w:tcW w:w="2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center"/>
              <w:spacing w:after="0" w:line="207" w:lineRule="exact"/>
              <w:rPr>
                <w:sz w:val="20"/>
                <w:szCs w:val="20"/>
                <w:color w:val="auto"/>
              </w:rPr>
            </w:pPr>
            <w:r>
              <w:rPr>
                <w:rFonts w:ascii="Times New Roman" w:cs="Times New Roman" w:eastAsia="Times New Roman" w:hAnsi="Times New Roman"/>
                <w:sz w:val="15"/>
                <w:szCs w:val="15"/>
                <w:b w:val="1"/>
                <w:bCs w:val="1"/>
                <w:color w:val="auto"/>
                <w:w w:val="92"/>
              </w:rPr>
              <w:t>Feet</w:t>
            </w:r>
            <w:r>
              <w:rPr>
                <w:rFonts w:ascii="Times New Roman" w:cs="Times New Roman" w:eastAsia="Times New Roman" w:hAnsi="Times New Roman"/>
                <w:sz w:val="23"/>
                <w:szCs w:val="23"/>
                <w:b w:val="1"/>
                <w:bCs w:val="1"/>
                <w:color w:val="auto"/>
                <w:w w:val="92"/>
                <w:vertAlign w:val="superscript"/>
              </w:rPr>
              <w:t>(1)</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02"/>
              <w:spacing w:after="0" w:line="207" w:lineRule="exact"/>
              <w:rPr>
                <w:sz w:val="20"/>
                <w:szCs w:val="20"/>
                <w:color w:val="auto"/>
              </w:rPr>
            </w:pPr>
            <w:r>
              <w:rPr>
                <w:rFonts w:ascii="Times New Roman" w:cs="Times New Roman" w:eastAsia="Times New Roman" w:hAnsi="Times New Roman"/>
                <w:sz w:val="15"/>
                <w:szCs w:val="15"/>
                <w:b w:val="1"/>
                <w:bCs w:val="1"/>
                <w:color w:val="auto"/>
              </w:rPr>
              <w:t>Rent</w:t>
            </w:r>
            <w:r>
              <w:rPr>
                <w:rFonts w:ascii="Times New Roman" w:cs="Times New Roman" w:eastAsia="Times New Roman" w:hAnsi="Times New Roman"/>
                <w:sz w:val="23"/>
                <w:szCs w:val="23"/>
                <w:b w:val="1"/>
                <w:bCs w:val="1"/>
                <w:color w:val="auto"/>
                <w:vertAlign w:val="superscript"/>
              </w:rPr>
              <w:t>(2)</w:t>
            </w:r>
          </w:p>
        </w:tc>
        <w:tc>
          <w:tcPr>
            <w:tcW w:w="22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Annualized Rent</w:t>
            </w:r>
          </w:p>
        </w:tc>
      </w:tr>
      <w:tr>
        <w:trPr>
          <w:trHeight w:val="172"/>
        </w:trPr>
        <w:tc>
          <w:tcPr>
            <w:tcW w:w="2200" w:type="dxa"/>
            <w:vAlign w:val="bottom"/>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Available</w:t>
            </w: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5,680</w:t>
            </w:r>
          </w:p>
        </w:tc>
        <w:tc>
          <w:tcPr>
            <w:tcW w:w="200" w:type="dxa"/>
            <w:vAlign w:val="bottom"/>
            <w:shd w:val="clear" w:color="auto" w:fill="CCEEFF"/>
          </w:tcPr>
          <w:p>
            <w:pPr>
              <w:spacing w:after="0"/>
              <w:rPr>
                <w:sz w:val="14"/>
                <w:szCs w:val="14"/>
                <w:color w:val="auto"/>
              </w:rPr>
            </w:pPr>
          </w:p>
        </w:tc>
        <w:tc>
          <w:tcPr>
            <w:tcW w:w="1440" w:type="dxa"/>
            <w:vAlign w:val="bottom"/>
            <w:shd w:val="clear" w:color="auto" w:fill="CCEEFF"/>
          </w:tcPr>
          <w:p>
            <w:pPr>
              <w:jc w:val="right"/>
              <w:ind w:right="83"/>
              <w:spacing w:after="0" w:line="172" w:lineRule="exact"/>
              <w:rPr>
                <w:sz w:val="20"/>
                <w:szCs w:val="20"/>
                <w:color w:val="auto"/>
              </w:rPr>
            </w:pPr>
            <w:r>
              <w:rPr>
                <w:rFonts w:ascii="Times New Roman" w:cs="Times New Roman" w:eastAsia="Times New Roman" w:hAnsi="Times New Roman"/>
                <w:sz w:val="16"/>
                <w:szCs w:val="16"/>
                <w:color w:val="auto"/>
              </w:rPr>
              <w:t>17.2 %</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242"/>
              <w:spacing w:after="0" w:line="172"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22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0 - 1 MW</w:t>
            </w:r>
          </w:p>
        </w:tc>
        <w:tc>
          <w:tcPr>
            <w:tcW w:w="14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5,029</w:t>
            </w:r>
          </w:p>
        </w:tc>
        <w:tc>
          <w:tcPr>
            <w:tcW w:w="1640" w:type="dxa"/>
            <w:vAlign w:val="bottom"/>
            <w:gridSpan w:val="2"/>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15.2 %</w:t>
            </w:r>
          </w:p>
        </w:tc>
        <w:tc>
          <w:tcPr>
            <w:tcW w:w="360" w:type="dxa"/>
            <w:vAlign w:val="bottom"/>
            <w:gridSpan w:val="2"/>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1,316,096</w:t>
            </w:r>
          </w:p>
        </w:tc>
        <w:tc>
          <w:tcPr>
            <w:tcW w:w="1620" w:type="dxa"/>
            <w:vAlign w:val="bottom"/>
            <w:gridSpan w:val="2"/>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35.5 %</w:t>
            </w:r>
          </w:p>
        </w:tc>
      </w:tr>
      <w:tr>
        <w:trPr>
          <w:trHeight w:val="180"/>
        </w:trPr>
        <w:tc>
          <w:tcPr>
            <w:tcW w:w="220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&gt; 1 MW</w:t>
            </w:r>
          </w:p>
        </w:tc>
        <w:tc>
          <w:tcPr>
            <w:tcW w:w="148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14,819</w:t>
            </w:r>
          </w:p>
        </w:tc>
        <w:tc>
          <w:tcPr>
            <w:tcW w:w="1640" w:type="dxa"/>
            <w:vAlign w:val="bottom"/>
            <w:gridSpan w:val="2"/>
            <w:shd w:val="clear" w:color="auto" w:fill="CCEEFF"/>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44.9 %</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2,149,122</w:t>
            </w:r>
          </w:p>
        </w:tc>
        <w:tc>
          <w:tcPr>
            <w:tcW w:w="1620" w:type="dxa"/>
            <w:vAlign w:val="bottom"/>
            <w:gridSpan w:val="2"/>
            <w:shd w:val="clear" w:color="auto" w:fill="CCEEFF"/>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57.9 %</w:t>
            </w:r>
          </w:p>
        </w:tc>
      </w:tr>
      <w:tr>
        <w:trPr>
          <w:trHeight w:val="180"/>
        </w:trPr>
        <w:tc>
          <w:tcPr>
            <w:tcW w:w="2200" w:type="dxa"/>
            <w:vAlign w:val="bottom"/>
            <w:gridSpan w:val="2"/>
          </w:tcPr>
          <w:p>
            <w:pPr>
              <w:spacing w:after="0" w:line="180" w:lineRule="exact"/>
              <w:rPr>
                <w:sz w:val="20"/>
                <w:szCs w:val="20"/>
                <w:color w:val="auto"/>
              </w:rPr>
            </w:pPr>
            <w:r>
              <w:rPr>
                <w:rFonts w:ascii="Times New Roman" w:cs="Times New Roman" w:eastAsia="Times New Roman" w:hAnsi="Times New Roman"/>
                <w:sz w:val="13"/>
                <w:szCs w:val="13"/>
                <w:color w:val="auto"/>
              </w:rPr>
              <w:t xml:space="preserve">Other </w:t>
            </w:r>
            <w:r>
              <w:rPr>
                <w:rFonts w:ascii="Times New Roman" w:cs="Times New Roman" w:eastAsia="Times New Roman" w:hAnsi="Times New Roman"/>
                <w:sz w:val="20"/>
                <w:szCs w:val="20"/>
                <w:color w:val="auto"/>
                <w:vertAlign w:val="superscript"/>
              </w:rPr>
              <w:t>(3)</w:t>
            </w:r>
          </w:p>
        </w:tc>
        <w:tc>
          <w:tcPr>
            <w:tcW w:w="14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7,471</w:t>
            </w:r>
          </w:p>
        </w:tc>
        <w:tc>
          <w:tcPr>
            <w:tcW w:w="1640" w:type="dxa"/>
            <w:vAlign w:val="bottom"/>
            <w:gridSpan w:val="2"/>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22.7 %</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243,541</w:t>
            </w:r>
          </w:p>
        </w:tc>
        <w:tc>
          <w:tcPr>
            <w:tcW w:w="1620" w:type="dxa"/>
            <w:vAlign w:val="bottom"/>
            <w:gridSpan w:val="2"/>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6.6 %</w:t>
            </w:r>
          </w:p>
        </w:tc>
      </w:tr>
      <w:tr>
        <w:trPr>
          <w:trHeight w:val="172"/>
        </w:trPr>
        <w:tc>
          <w:tcPr>
            <w:tcW w:w="2200" w:type="dxa"/>
            <w:vAlign w:val="bottom"/>
            <w:tcBorders>
              <w:top w:val="single" w:sz="8" w:color="CCEEFF"/>
              <w:bottom w:val="single" w:sz="8" w:color="CCEEFF"/>
            </w:tcBorders>
            <w:gridSpan w:val="2"/>
            <w:shd w:val="clear" w:color="auto" w:fill="CCEEFF"/>
          </w:tcPr>
          <w:p>
            <w:pPr>
              <w:ind w:left="100"/>
              <w:spacing w:after="0" w:line="172" w:lineRule="exact"/>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26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32,999</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440" w:type="dxa"/>
            <w:vAlign w:val="bottom"/>
            <w:tcBorders>
              <w:top w:val="single" w:sz="8" w:color="auto"/>
              <w:bottom w:val="single" w:sz="8" w:color="auto"/>
            </w:tcBorders>
            <w:shd w:val="clear" w:color="auto" w:fill="CCEEFF"/>
          </w:tcPr>
          <w:p>
            <w:pPr>
              <w:jc w:val="right"/>
              <w:ind w:right="83"/>
              <w:spacing w:after="0" w:line="172" w:lineRule="exact"/>
              <w:rPr>
                <w:sz w:val="20"/>
                <w:szCs w:val="20"/>
                <w:color w:val="auto"/>
              </w:rPr>
            </w:pPr>
            <w:r>
              <w:rPr>
                <w:rFonts w:ascii="Times New Roman" w:cs="Times New Roman" w:eastAsia="Times New Roman" w:hAnsi="Times New Roman"/>
                <w:sz w:val="16"/>
                <w:szCs w:val="16"/>
                <w:color w:val="auto"/>
              </w:rPr>
              <w:t>100.0 %</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3,708,758</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400" w:type="dxa"/>
            <w:vAlign w:val="bottom"/>
            <w:tcBorders>
              <w:top w:val="single" w:sz="8" w:color="auto"/>
              <w:bottom w:val="single" w:sz="8" w:color="auto"/>
            </w:tcBorders>
            <w:shd w:val="clear" w:color="auto" w:fill="CCEEFF"/>
          </w:tcPr>
          <w:p>
            <w:pPr>
              <w:jc w:val="right"/>
              <w:ind w:right="62"/>
              <w:spacing w:after="0" w:line="172" w:lineRule="exact"/>
              <w:rPr>
                <w:sz w:val="20"/>
                <w:szCs w:val="20"/>
                <w:color w:val="auto"/>
              </w:rPr>
            </w:pPr>
            <w:r>
              <w:rPr>
                <w:rFonts w:ascii="Times New Roman" w:cs="Times New Roman" w:eastAsia="Times New Roman" w:hAnsi="Times New Roman"/>
                <w:sz w:val="16"/>
                <w:szCs w:val="16"/>
                <w:color w:val="auto"/>
              </w:rPr>
              <w:t>100.0 %</w:t>
            </w:r>
          </w:p>
        </w:tc>
      </w:tr>
      <w:tr>
        <w:trPr>
          <w:trHeight w:val="20"/>
        </w:trPr>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72"/>
        </w:trPr>
        <w:tc>
          <w:tcPr>
            <w:tcW w:w="20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tcPr>
          <w:p>
            <w:pPr>
              <w:spacing w:after="0"/>
              <w:rPr>
                <w:sz w:val="6"/>
                <w:szCs w:val="6"/>
                <w:color w:val="auto"/>
              </w:rPr>
            </w:pPr>
          </w:p>
        </w:tc>
      </w:tr>
    </w:tbl>
    <w:p>
      <w:pPr>
        <w:spacing w:after="0" w:line="57" w:lineRule="exact"/>
        <w:rPr>
          <w:sz w:val="20"/>
          <w:szCs w:val="20"/>
          <w:color w:val="auto"/>
        </w:rPr>
      </w:pPr>
    </w:p>
    <w:p>
      <w:pPr>
        <w:ind w:left="880" w:right="580" w:hanging="575"/>
        <w:spacing w:after="0" w:line="259" w:lineRule="auto"/>
        <w:tabs>
          <w:tab w:leader="none" w:pos="860" w:val="left"/>
        </w:tabs>
        <w:rPr>
          <w:sz w:val="20"/>
          <w:szCs w:val="20"/>
          <w:color w:val="auto"/>
        </w:rPr>
      </w:pPr>
      <w:r>
        <w:rPr>
          <w:rFonts w:ascii="Times New Roman" w:cs="Times New Roman" w:eastAsia="Times New Roman" w:hAnsi="Times New Roman"/>
          <w:sz w:val="16"/>
          <w:szCs w:val="16"/>
          <w:b w:val="1"/>
          <w:bCs w:val="1"/>
          <w:color w:val="auto"/>
        </w:rPr>
        <w:t>Note:</w:t>
      </w:r>
      <w:r>
        <w:rPr>
          <w:sz w:val="20"/>
          <w:szCs w:val="20"/>
          <w:color w:val="auto"/>
        </w:rPr>
        <w:tab/>
      </w:r>
      <w:r>
        <w:rPr>
          <w:rFonts w:ascii="Times New Roman" w:cs="Times New Roman" w:eastAsia="Times New Roman" w:hAnsi="Times New Roman"/>
          <w:sz w:val="16"/>
          <w:szCs w:val="16"/>
          <w:color w:val="auto"/>
        </w:rPr>
        <w:t>Represents consolidated portfolio in addition to our managed portfolio of unconsolidated entities based on our ownership percentage.</w:t>
      </w:r>
    </w:p>
    <w:p>
      <w:pPr>
        <w:spacing w:after="0" w:line="145" w:lineRule="exact"/>
        <w:rPr>
          <w:sz w:val="20"/>
          <w:szCs w:val="20"/>
          <w:color w:val="auto"/>
        </w:rPr>
      </w:pPr>
    </w:p>
    <w:p>
      <w:pPr>
        <w:ind w:left="600" w:right="440" w:hanging="282"/>
        <w:spacing w:after="0" w:line="246" w:lineRule="auto"/>
        <w:tabs>
          <w:tab w:leader="none" w:pos="6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estimate the total net rentable square feet available for lease based on a number of factors in addition to contractually leased square feet, including available power, required support space and common area.</w:t>
      </w:r>
    </w:p>
    <w:p>
      <w:pPr>
        <w:ind w:left="600" w:right="420" w:hanging="282"/>
        <w:spacing w:after="0" w:line="234" w:lineRule="auto"/>
        <w:tabs>
          <w:tab w:leader="none" w:pos="6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Annualized rent represents the monthly contractual base rent (defined as cash base rent before abatements) under existing leases as of December 31, 2024 multiplied by 12.</w:t>
      </w:r>
    </w:p>
    <w:p>
      <w:pPr>
        <w:spacing w:after="0" w:line="1" w:lineRule="exact"/>
        <w:rPr>
          <w:rFonts w:ascii="Times New Roman" w:cs="Times New Roman" w:eastAsia="Times New Roman" w:hAnsi="Times New Roman"/>
          <w:sz w:val="16"/>
          <w:szCs w:val="16"/>
          <w:color w:val="auto"/>
        </w:rPr>
      </w:pPr>
    </w:p>
    <w:p>
      <w:pPr>
        <w:ind w:left="600" w:right="940" w:hanging="282"/>
        <w:spacing w:after="0" w:line="238" w:lineRule="auto"/>
        <w:tabs>
          <w:tab w:leader="none" w:pos="6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includes unimproved building shell capacity as well as storage and office space within fully improved data center facilities.</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Lease Expirations</w:t>
      </w:r>
    </w:p>
    <w:p>
      <w:pPr>
        <w:spacing w:after="0" w:line="190" w:lineRule="exact"/>
        <w:rPr>
          <w:sz w:val="20"/>
          <w:szCs w:val="20"/>
          <w:color w:val="auto"/>
        </w:rPr>
      </w:pPr>
    </w:p>
    <w:p>
      <w:pPr>
        <w:ind w:left="320" w:right="400"/>
        <w:spacing w:after="0"/>
        <w:rPr>
          <w:sz w:val="20"/>
          <w:szCs w:val="20"/>
          <w:color w:val="auto"/>
        </w:rPr>
      </w:pPr>
      <w:r>
        <w:rPr>
          <w:rFonts w:ascii="Times New Roman" w:cs="Times New Roman" w:eastAsia="Times New Roman" w:hAnsi="Times New Roman"/>
          <w:sz w:val="16"/>
          <w:szCs w:val="16"/>
          <w:color w:val="auto"/>
        </w:rPr>
        <w:t>The following table sets forth a summary schedule of the lease expirations for leases in place as of December 31, 2024 plus available space for ten calendar years and thereafter at the properties in our portfolio. The table excludes space that is currently under active development or held for development. Unless otherwise stated in the footnotes to the table below, the information set forth in the table assumes that tenants exercise no renewal options and early termination rights (amounts in thousands, except per square foot amounts).</w:t>
      </w:r>
    </w:p>
    <w:tbl>
      <w:tblPr>
        <w:tblLayout w:type="fixed"/>
        <w:tblInd w:w="320" w:type="dxa"/>
        <w:tblCellMar>
          <w:top w:w="0" w:type="dxa"/>
          <w:left w:w="0" w:type="dxa"/>
          <w:bottom w:w="0" w:type="dxa"/>
          <w:right w:w="0" w:type="dxa"/>
        </w:tblCellMar>
      </w:tblPr>
      <w:tr>
        <w:trPr>
          <w:trHeight w:val="148"/>
        </w:trPr>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rPr>
              <w:t>Annualized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Annualized</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Rent Per</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Percentage of</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Rent Per</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Occupied</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Square Footage of</w:t>
            </w:r>
          </w:p>
        </w:tc>
        <w:tc>
          <w:tcPr>
            <w:tcW w:w="12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of Net Rentable</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w w:val="97"/>
              </w:rPr>
              <w:t>Annualized</w:t>
            </w:r>
          </w:p>
        </w:tc>
        <w:tc>
          <w:tcPr>
            <w:tcW w:w="12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Annualized</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Occupied</w:t>
            </w:r>
          </w:p>
        </w:tc>
        <w:tc>
          <w:tcPr>
            <w:tcW w:w="140" w:type="dxa"/>
            <w:vAlign w:val="bottom"/>
          </w:tcPr>
          <w:p>
            <w:pPr>
              <w:spacing w:after="0"/>
              <w:rPr>
                <w:sz w:val="13"/>
                <w:szCs w:val="13"/>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Square Foot</w:t>
            </w:r>
          </w:p>
        </w:tc>
        <w:tc>
          <w:tcPr>
            <w:tcW w:w="14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Annualized Rent</w:t>
            </w:r>
          </w:p>
        </w:tc>
        <w:tc>
          <w:tcPr>
            <w:tcW w:w="0" w:type="dxa"/>
            <w:vAlign w:val="bottom"/>
          </w:tcPr>
          <w:p>
            <w:pPr>
              <w:spacing w:after="0"/>
              <w:rPr>
                <w:sz w:val="1"/>
                <w:szCs w:val="1"/>
                <w:color w:val="auto"/>
              </w:rPr>
            </w:pPr>
          </w:p>
        </w:tc>
      </w:tr>
      <w:tr>
        <w:trPr>
          <w:trHeight w:val="170"/>
        </w:trPr>
        <w:tc>
          <w:tcPr>
            <w:tcW w:w="1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Year</w:t>
            </w:r>
          </w:p>
        </w:tc>
        <w:tc>
          <w:tcPr>
            <w:tcW w:w="14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gridSpan w:val="2"/>
          </w:tcPr>
          <w:p>
            <w:pPr>
              <w:jc w:val="right"/>
              <w:ind w:right="40"/>
              <w:spacing w:after="0" w:line="170" w:lineRule="exact"/>
              <w:rPr>
                <w:sz w:val="20"/>
                <w:szCs w:val="20"/>
                <w:color w:val="auto"/>
              </w:rPr>
            </w:pPr>
            <w:r>
              <w:rPr>
                <w:rFonts w:ascii="Times New Roman" w:cs="Times New Roman" w:eastAsia="Times New Roman" w:hAnsi="Times New Roman"/>
                <w:sz w:val="13"/>
                <w:szCs w:val="13"/>
                <w:b w:val="1"/>
                <w:bCs w:val="1"/>
                <w:color w:val="auto"/>
                <w:w w:val="96"/>
              </w:rPr>
              <w:t xml:space="preserve">Expiring Leases </w:t>
            </w:r>
            <w:r>
              <w:rPr>
                <w:rFonts w:ascii="Times New Roman" w:cs="Times New Roman" w:eastAsia="Times New Roman" w:hAnsi="Times New Roman"/>
                <w:sz w:val="19"/>
                <w:szCs w:val="19"/>
                <w:b w:val="1"/>
                <w:bCs w:val="1"/>
                <w:color w:val="auto"/>
                <w:w w:val="96"/>
                <w:vertAlign w:val="superscript"/>
              </w:rPr>
              <w:t>(1)</w:t>
            </w:r>
          </w:p>
        </w:tc>
        <w:tc>
          <w:tcPr>
            <w:tcW w:w="12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center"/>
              <w:spacing w:after="0" w:line="170" w:lineRule="exact"/>
              <w:rPr>
                <w:sz w:val="20"/>
                <w:szCs w:val="20"/>
                <w:color w:val="auto"/>
              </w:rPr>
            </w:pPr>
            <w:r>
              <w:rPr>
                <w:rFonts w:ascii="Times New Roman" w:cs="Times New Roman" w:eastAsia="Times New Roman" w:hAnsi="Times New Roman"/>
                <w:sz w:val="13"/>
                <w:szCs w:val="13"/>
                <w:b w:val="1"/>
                <w:bCs w:val="1"/>
                <w:color w:val="auto"/>
                <w:w w:val="98"/>
              </w:rPr>
              <w:t xml:space="preserve">Square Feet </w:t>
            </w:r>
            <w:r>
              <w:rPr>
                <w:rFonts w:ascii="Times New Roman" w:cs="Times New Roman" w:eastAsia="Times New Roman" w:hAnsi="Times New Roman"/>
                <w:sz w:val="19"/>
                <w:szCs w:val="19"/>
                <w:b w:val="1"/>
                <w:bCs w:val="1"/>
                <w:color w:val="auto"/>
                <w:w w:val="98"/>
                <w:vertAlign w:val="superscript"/>
              </w:rPr>
              <w:t>(1)</w:t>
            </w:r>
          </w:p>
        </w:tc>
        <w:tc>
          <w:tcPr>
            <w:tcW w:w="1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14"/>
              <w:spacing w:after="0" w:line="170" w:lineRule="exact"/>
              <w:rPr>
                <w:sz w:val="20"/>
                <w:szCs w:val="20"/>
                <w:color w:val="auto"/>
              </w:rPr>
            </w:pPr>
            <w:r>
              <w:rPr>
                <w:rFonts w:ascii="Times New Roman" w:cs="Times New Roman" w:eastAsia="Times New Roman" w:hAnsi="Times New Roman"/>
                <w:sz w:val="13"/>
                <w:szCs w:val="13"/>
                <w:b w:val="1"/>
                <w:bCs w:val="1"/>
                <w:color w:val="auto"/>
              </w:rPr>
              <w:t xml:space="preserve">Rent </w:t>
            </w:r>
            <w:r>
              <w:rPr>
                <w:rFonts w:ascii="Times New Roman" w:cs="Times New Roman" w:eastAsia="Times New Roman" w:hAnsi="Times New Roman"/>
                <w:sz w:val="19"/>
                <w:szCs w:val="19"/>
                <w:b w:val="1"/>
                <w:bCs w:val="1"/>
                <w:color w:val="auto"/>
                <w:vertAlign w:val="superscript"/>
              </w:rPr>
              <w:t>(2)</w:t>
            </w: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line="170" w:lineRule="exact"/>
              <w:rPr>
                <w:sz w:val="20"/>
                <w:szCs w:val="20"/>
                <w:color w:val="auto"/>
              </w:rPr>
            </w:pPr>
            <w:r>
              <w:rPr>
                <w:rFonts w:ascii="Times New Roman" w:cs="Times New Roman" w:eastAsia="Times New Roman" w:hAnsi="Times New Roman"/>
                <w:sz w:val="13"/>
                <w:szCs w:val="13"/>
                <w:b w:val="1"/>
                <w:bCs w:val="1"/>
                <w:color w:val="auto"/>
                <w:w w:val="98"/>
              </w:rPr>
              <w:t xml:space="preserve">Rent </w:t>
            </w:r>
            <w:r>
              <w:rPr>
                <w:rFonts w:ascii="Times New Roman" w:cs="Times New Roman" w:eastAsia="Times New Roman" w:hAnsi="Times New Roman"/>
                <w:sz w:val="19"/>
                <w:szCs w:val="19"/>
                <w:b w:val="1"/>
                <w:bCs w:val="1"/>
                <w:color w:val="auto"/>
                <w:w w:val="98"/>
                <w:vertAlign w:val="superscript"/>
              </w:rPr>
              <w:t>(2)</w:t>
            </w: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Square Foot</w:t>
            </w:r>
          </w:p>
        </w:tc>
        <w:tc>
          <w:tcPr>
            <w:tcW w:w="1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at Expiration</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at Expiration</w:t>
            </w:r>
          </w:p>
        </w:tc>
        <w:tc>
          <w:tcPr>
            <w:tcW w:w="0" w:type="dxa"/>
            <w:vAlign w:val="bottom"/>
          </w:tcPr>
          <w:p>
            <w:pPr>
              <w:spacing w:after="0"/>
              <w:rPr>
                <w:sz w:val="1"/>
                <w:szCs w:val="1"/>
                <w:color w:val="auto"/>
              </w:rPr>
            </w:pPr>
          </w:p>
        </w:tc>
      </w:tr>
      <w:tr>
        <w:trPr>
          <w:trHeight w:val="148"/>
        </w:trPr>
        <w:tc>
          <w:tcPr>
            <w:tcW w:w="108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Available</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
              <w:spacing w:after="0" w:line="148" w:lineRule="exact"/>
              <w:rPr>
                <w:sz w:val="20"/>
                <w:szCs w:val="20"/>
                <w:color w:val="auto"/>
              </w:rPr>
            </w:pPr>
            <w:r>
              <w:rPr>
                <w:rFonts w:ascii="Times New Roman" w:cs="Times New Roman" w:eastAsia="Times New Roman" w:hAnsi="Times New Roman"/>
                <w:sz w:val="13"/>
                <w:szCs w:val="13"/>
                <w:color w:val="auto"/>
              </w:rPr>
              <w:t>5,680</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154"/>
              <w:spacing w:after="0" w:line="148" w:lineRule="exact"/>
              <w:rPr>
                <w:sz w:val="20"/>
                <w:szCs w:val="20"/>
                <w:color w:val="auto"/>
              </w:rPr>
            </w:pPr>
            <w:r>
              <w:rPr>
                <w:rFonts w:ascii="Times New Roman" w:cs="Times New Roman" w:eastAsia="Times New Roman" w:hAnsi="Times New Roman"/>
                <w:sz w:val="13"/>
                <w:szCs w:val="13"/>
                <w:color w:val="auto"/>
              </w:rPr>
              <w:t>17.2 %</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line="156" w:lineRule="exact"/>
              <w:rPr>
                <w:sz w:val="20"/>
                <w:szCs w:val="20"/>
                <w:color w:val="auto"/>
              </w:rPr>
            </w:pPr>
            <w:r>
              <w:rPr>
                <w:rFonts w:ascii="Times New Roman" w:cs="Times New Roman" w:eastAsia="Times New Roman" w:hAnsi="Times New Roman"/>
                <w:sz w:val="13"/>
                <w:szCs w:val="13"/>
                <w:color w:val="auto"/>
              </w:rPr>
              <w:t xml:space="preserve">Month to Month </w:t>
            </w:r>
            <w:r>
              <w:rPr>
                <w:rFonts w:ascii="Times New Roman" w:cs="Times New Roman" w:eastAsia="Times New Roman" w:hAnsi="Times New Roman"/>
                <w:sz w:val="18"/>
                <w:szCs w:val="18"/>
                <w:color w:val="auto"/>
                <w:vertAlign w:val="superscript"/>
              </w:rPr>
              <w:t>(3)</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380</w:t>
            </w:r>
          </w:p>
        </w:tc>
        <w:tc>
          <w:tcPr>
            <w:tcW w:w="1160" w:type="dxa"/>
            <w:vAlign w:val="bottom"/>
            <w:gridSpan w:val="2"/>
          </w:tcPr>
          <w:p>
            <w:pPr>
              <w:jc w:val="right"/>
              <w:ind w:right="154"/>
              <w:spacing w:after="0"/>
              <w:rPr>
                <w:sz w:val="20"/>
                <w:szCs w:val="20"/>
                <w:color w:val="auto"/>
              </w:rPr>
            </w:pPr>
            <w:r>
              <w:rPr>
                <w:rFonts w:ascii="Times New Roman" w:cs="Times New Roman" w:eastAsia="Times New Roman" w:hAnsi="Times New Roman"/>
                <w:sz w:val="13"/>
                <w:szCs w:val="13"/>
                <w:color w:val="auto"/>
              </w:rPr>
              <w:t>1.2 %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70,085</w:t>
            </w:r>
          </w:p>
        </w:tc>
        <w:tc>
          <w:tcPr>
            <w:tcW w:w="1040" w:type="dxa"/>
            <w:vAlign w:val="bottom"/>
            <w:gridSpan w:val="2"/>
          </w:tcPr>
          <w:p>
            <w:pPr>
              <w:jc w:val="right"/>
              <w:ind w:right="114"/>
              <w:spacing w:after="0"/>
              <w:rPr>
                <w:sz w:val="20"/>
                <w:szCs w:val="20"/>
                <w:color w:val="auto"/>
              </w:rPr>
            </w:pPr>
            <w:r>
              <w:rPr>
                <w:rFonts w:ascii="Times New Roman" w:cs="Times New Roman" w:eastAsia="Times New Roman" w:hAnsi="Times New Roman"/>
                <w:sz w:val="13"/>
                <w:szCs w:val="13"/>
                <w:color w:val="auto"/>
              </w:rPr>
              <w:t>1.9 %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69,917</w:t>
            </w:r>
          </w:p>
        </w:tc>
        <w:tc>
          <w:tcPr>
            <w:tcW w:w="0" w:type="dxa"/>
            <w:vAlign w:val="bottom"/>
          </w:tcPr>
          <w:p>
            <w:pPr>
              <w:spacing w:after="0"/>
              <w:rPr>
                <w:sz w:val="1"/>
                <w:szCs w:val="1"/>
                <w:color w:val="auto"/>
              </w:rPr>
            </w:pPr>
          </w:p>
        </w:tc>
      </w:tr>
      <w:tr>
        <w:trPr>
          <w:trHeight w:val="156"/>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2025</w:t>
            </w: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4,330</w:t>
            </w:r>
          </w:p>
        </w:tc>
        <w:tc>
          <w:tcPr>
            <w:tcW w:w="116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rPr>
              <w:t>13.1 %</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947,948</w:t>
            </w:r>
          </w:p>
        </w:tc>
        <w:tc>
          <w:tcPr>
            <w:tcW w:w="104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25.6 %</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950,561</w:t>
            </w:r>
          </w:p>
        </w:tc>
        <w:tc>
          <w:tcPr>
            <w:tcW w:w="0" w:type="dxa"/>
            <w:vAlign w:val="bottom"/>
          </w:tcPr>
          <w:p>
            <w:pPr>
              <w:spacing w:after="0"/>
              <w:rPr>
                <w:sz w:val="1"/>
                <w:szCs w:val="1"/>
                <w:color w:val="auto"/>
              </w:rPr>
            </w:pPr>
          </w:p>
        </w:tc>
      </w:tr>
      <w:tr>
        <w:trPr>
          <w:trHeight w:val="156"/>
        </w:trPr>
        <w:tc>
          <w:tcPr>
            <w:tcW w:w="1080" w:type="dxa"/>
            <w:vAlign w:val="bottom"/>
          </w:tcPr>
          <w:p>
            <w:pPr>
              <w:spacing w:after="0"/>
              <w:rPr>
                <w:sz w:val="20"/>
                <w:szCs w:val="20"/>
                <w:color w:val="auto"/>
              </w:rPr>
            </w:pPr>
            <w:r>
              <w:rPr>
                <w:rFonts w:ascii="Times New Roman" w:cs="Times New Roman" w:eastAsia="Times New Roman" w:hAnsi="Times New Roman"/>
                <w:sz w:val="13"/>
                <w:szCs w:val="13"/>
                <w:color w:val="auto"/>
              </w:rPr>
              <w:t>2026</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3,359</w:t>
            </w:r>
          </w:p>
        </w:tc>
        <w:tc>
          <w:tcPr>
            <w:tcW w:w="1160" w:type="dxa"/>
            <w:vAlign w:val="bottom"/>
            <w:gridSpan w:val="2"/>
          </w:tcPr>
          <w:p>
            <w:pPr>
              <w:jc w:val="right"/>
              <w:ind w:right="154"/>
              <w:spacing w:after="0"/>
              <w:rPr>
                <w:sz w:val="20"/>
                <w:szCs w:val="20"/>
                <w:color w:val="auto"/>
              </w:rPr>
            </w:pPr>
            <w:r>
              <w:rPr>
                <w:rFonts w:ascii="Times New Roman" w:cs="Times New Roman" w:eastAsia="Times New Roman" w:hAnsi="Times New Roman"/>
                <w:sz w:val="13"/>
                <w:szCs w:val="13"/>
                <w:color w:val="auto"/>
              </w:rPr>
              <w:t>10.2 %</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469,943</w:t>
            </w:r>
          </w:p>
        </w:tc>
        <w:tc>
          <w:tcPr>
            <w:tcW w:w="1040" w:type="dxa"/>
            <w:vAlign w:val="bottom"/>
            <w:gridSpan w:val="2"/>
          </w:tcPr>
          <w:p>
            <w:pPr>
              <w:jc w:val="right"/>
              <w:ind w:right="114"/>
              <w:spacing w:after="0"/>
              <w:rPr>
                <w:sz w:val="20"/>
                <w:szCs w:val="20"/>
                <w:color w:val="auto"/>
              </w:rPr>
            </w:pPr>
            <w:r>
              <w:rPr>
                <w:rFonts w:ascii="Times New Roman" w:cs="Times New Roman" w:eastAsia="Times New Roman" w:hAnsi="Times New Roman"/>
                <w:sz w:val="13"/>
                <w:szCs w:val="13"/>
                <w:color w:val="auto"/>
              </w:rPr>
              <w:t>12.7 %</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483,057</w:t>
            </w:r>
          </w:p>
        </w:tc>
        <w:tc>
          <w:tcPr>
            <w:tcW w:w="0" w:type="dxa"/>
            <w:vAlign w:val="bottom"/>
          </w:tcPr>
          <w:p>
            <w:pPr>
              <w:spacing w:after="0"/>
              <w:rPr>
                <w:sz w:val="1"/>
                <w:szCs w:val="1"/>
                <w:color w:val="auto"/>
              </w:rPr>
            </w:pPr>
          </w:p>
        </w:tc>
      </w:tr>
      <w:tr>
        <w:trPr>
          <w:trHeight w:val="156"/>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2027</w:t>
            </w: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2,600</w:t>
            </w:r>
          </w:p>
        </w:tc>
        <w:tc>
          <w:tcPr>
            <w:tcW w:w="116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rPr>
              <w:t>7.9 %</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401,463</w:t>
            </w:r>
          </w:p>
        </w:tc>
        <w:tc>
          <w:tcPr>
            <w:tcW w:w="104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10.8 %</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423,610</w:t>
            </w:r>
          </w:p>
        </w:tc>
        <w:tc>
          <w:tcPr>
            <w:tcW w:w="0" w:type="dxa"/>
            <w:vAlign w:val="bottom"/>
          </w:tcPr>
          <w:p>
            <w:pPr>
              <w:spacing w:after="0"/>
              <w:rPr>
                <w:sz w:val="1"/>
                <w:szCs w:val="1"/>
                <w:color w:val="auto"/>
              </w:rPr>
            </w:pPr>
          </w:p>
        </w:tc>
      </w:tr>
      <w:tr>
        <w:trPr>
          <w:trHeight w:val="156"/>
        </w:trPr>
        <w:tc>
          <w:tcPr>
            <w:tcW w:w="1080" w:type="dxa"/>
            <w:vAlign w:val="bottom"/>
          </w:tcPr>
          <w:p>
            <w:pPr>
              <w:spacing w:after="0"/>
              <w:rPr>
                <w:sz w:val="20"/>
                <w:szCs w:val="20"/>
                <w:color w:val="auto"/>
              </w:rPr>
            </w:pPr>
            <w:r>
              <w:rPr>
                <w:rFonts w:ascii="Times New Roman" w:cs="Times New Roman" w:eastAsia="Times New Roman" w:hAnsi="Times New Roman"/>
                <w:sz w:val="13"/>
                <w:szCs w:val="13"/>
                <w:color w:val="auto"/>
              </w:rPr>
              <w:t>2028</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2,318</w:t>
            </w:r>
          </w:p>
        </w:tc>
        <w:tc>
          <w:tcPr>
            <w:tcW w:w="1160" w:type="dxa"/>
            <w:vAlign w:val="bottom"/>
            <w:gridSpan w:val="2"/>
          </w:tcPr>
          <w:p>
            <w:pPr>
              <w:jc w:val="right"/>
              <w:ind w:right="154"/>
              <w:spacing w:after="0"/>
              <w:rPr>
                <w:sz w:val="20"/>
                <w:szCs w:val="20"/>
                <w:color w:val="auto"/>
              </w:rPr>
            </w:pPr>
            <w:r>
              <w:rPr>
                <w:rFonts w:ascii="Times New Roman" w:cs="Times New Roman" w:eastAsia="Times New Roman" w:hAnsi="Times New Roman"/>
                <w:sz w:val="13"/>
                <w:szCs w:val="13"/>
                <w:color w:val="auto"/>
              </w:rPr>
              <w:t>7.0 %</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265,374</w:t>
            </w:r>
          </w:p>
        </w:tc>
        <w:tc>
          <w:tcPr>
            <w:tcW w:w="1040" w:type="dxa"/>
            <w:vAlign w:val="bottom"/>
            <w:gridSpan w:val="2"/>
          </w:tcPr>
          <w:p>
            <w:pPr>
              <w:jc w:val="right"/>
              <w:ind w:right="114"/>
              <w:spacing w:after="0"/>
              <w:rPr>
                <w:sz w:val="20"/>
                <w:szCs w:val="20"/>
                <w:color w:val="auto"/>
              </w:rPr>
            </w:pPr>
            <w:r>
              <w:rPr>
                <w:rFonts w:ascii="Times New Roman" w:cs="Times New Roman" w:eastAsia="Times New Roman" w:hAnsi="Times New Roman"/>
                <w:sz w:val="13"/>
                <w:szCs w:val="13"/>
                <w:color w:val="auto"/>
              </w:rPr>
              <w:t>7.2 %</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285,176</w:t>
            </w:r>
          </w:p>
        </w:tc>
        <w:tc>
          <w:tcPr>
            <w:tcW w:w="0" w:type="dxa"/>
            <w:vAlign w:val="bottom"/>
          </w:tcPr>
          <w:p>
            <w:pPr>
              <w:spacing w:after="0"/>
              <w:rPr>
                <w:sz w:val="1"/>
                <w:szCs w:val="1"/>
                <w:color w:val="auto"/>
              </w:rPr>
            </w:pPr>
          </w:p>
        </w:tc>
      </w:tr>
      <w:tr>
        <w:trPr>
          <w:trHeight w:val="156"/>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2029</w:t>
            </w: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2,950</w:t>
            </w:r>
          </w:p>
        </w:tc>
        <w:tc>
          <w:tcPr>
            <w:tcW w:w="116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rPr>
              <w:t>8.9 %</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371,322</w:t>
            </w:r>
          </w:p>
        </w:tc>
        <w:tc>
          <w:tcPr>
            <w:tcW w:w="104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10.0 %</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409,651</w:t>
            </w:r>
          </w:p>
        </w:tc>
        <w:tc>
          <w:tcPr>
            <w:tcW w:w="0" w:type="dxa"/>
            <w:vAlign w:val="bottom"/>
          </w:tcPr>
          <w:p>
            <w:pPr>
              <w:spacing w:after="0"/>
              <w:rPr>
                <w:sz w:val="1"/>
                <w:szCs w:val="1"/>
                <w:color w:val="auto"/>
              </w:rPr>
            </w:pPr>
          </w:p>
        </w:tc>
      </w:tr>
      <w:tr>
        <w:trPr>
          <w:trHeight w:val="156"/>
        </w:trPr>
        <w:tc>
          <w:tcPr>
            <w:tcW w:w="1080" w:type="dxa"/>
            <w:vAlign w:val="bottom"/>
          </w:tcPr>
          <w:p>
            <w:pPr>
              <w:spacing w:after="0"/>
              <w:rPr>
                <w:sz w:val="20"/>
                <w:szCs w:val="20"/>
                <w:color w:val="auto"/>
              </w:rPr>
            </w:pPr>
            <w:r>
              <w:rPr>
                <w:rFonts w:ascii="Times New Roman" w:cs="Times New Roman" w:eastAsia="Times New Roman" w:hAnsi="Times New Roman"/>
                <w:sz w:val="13"/>
                <w:szCs w:val="13"/>
                <w:color w:val="auto"/>
              </w:rPr>
              <w:t>2030</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2,240</w:t>
            </w:r>
          </w:p>
        </w:tc>
        <w:tc>
          <w:tcPr>
            <w:tcW w:w="1160" w:type="dxa"/>
            <w:vAlign w:val="bottom"/>
            <w:gridSpan w:val="2"/>
          </w:tcPr>
          <w:p>
            <w:pPr>
              <w:jc w:val="right"/>
              <w:ind w:right="154"/>
              <w:spacing w:after="0"/>
              <w:rPr>
                <w:sz w:val="20"/>
                <w:szCs w:val="20"/>
                <w:color w:val="auto"/>
              </w:rPr>
            </w:pPr>
            <w:r>
              <w:rPr>
                <w:rFonts w:ascii="Times New Roman" w:cs="Times New Roman" w:eastAsia="Times New Roman" w:hAnsi="Times New Roman"/>
                <w:sz w:val="13"/>
                <w:szCs w:val="13"/>
                <w:color w:val="auto"/>
              </w:rPr>
              <w:t>6.8 %</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257,889</w:t>
            </w:r>
          </w:p>
        </w:tc>
        <w:tc>
          <w:tcPr>
            <w:tcW w:w="1040" w:type="dxa"/>
            <w:vAlign w:val="bottom"/>
            <w:gridSpan w:val="2"/>
          </w:tcPr>
          <w:p>
            <w:pPr>
              <w:jc w:val="right"/>
              <w:ind w:right="114"/>
              <w:spacing w:after="0"/>
              <w:rPr>
                <w:sz w:val="20"/>
                <w:szCs w:val="20"/>
                <w:color w:val="auto"/>
              </w:rPr>
            </w:pPr>
            <w:r>
              <w:rPr>
                <w:rFonts w:ascii="Times New Roman" w:cs="Times New Roman" w:eastAsia="Times New Roman" w:hAnsi="Times New Roman"/>
                <w:sz w:val="13"/>
                <w:szCs w:val="13"/>
                <w:color w:val="auto"/>
              </w:rPr>
              <w:t>7.0 %</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291,802</w:t>
            </w:r>
          </w:p>
        </w:tc>
        <w:tc>
          <w:tcPr>
            <w:tcW w:w="0" w:type="dxa"/>
            <w:vAlign w:val="bottom"/>
          </w:tcPr>
          <w:p>
            <w:pPr>
              <w:spacing w:after="0"/>
              <w:rPr>
                <w:sz w:val="1"/>
                <w:szCs w:val="1"/>
                <w:color w:val="auto"/>
              </w:rPr>
            </w:pPr>
          </w:p>
        </w:tc>
      </w:tr>
      <w:tr>
        <w:trPr>
          <w:trHeight w:val="156"/>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2031</w:t>
            </w: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1,169</w:t>
            </w:r>
          </w:p>
        </w:tc>
        <w:tc>
          <w:tcPr>
            <w:tcW w:w="116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rPr>
              <w:t>3.5 %</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171,662</w:t>
            </w:r>
          </w:p>
        </w:tc>
        <w:tc>
          <w:tcPr>
            <w:tcW w:w="104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4.6 %</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200,498</w:t>
            </w:r>
          </w:p>
        </w:tc>
        <w:tc>
          <w:tcPr>
            <w:tcW w:w="0" w:type="dxa"/>
            <w:vAlign w:val="bottom"/>
          </w:tcPr>
          <w:p>
            <w:pPr>
              <w:spacing w:after="0"/>
              <w:rPr>
                <w:sz w:val="1"/>
                <w:szCs w:val="1"/>
                <w:color w:val="auto"/>
              </w:rPr>
            </w:pPr>
          </w:p>
        </w:tc>
      </w:tr>
      <w:tr>
        <w:trPr>
          <w:trHeight w:val="156"/>
        </w:trPr>
        <w:tc>
          <w:tcPr>
            <w:tcW w:w="1080" w:type="dxa"/>
            <w:vAlign w:val="bottom"/>
          </w:tcPr>
          <w:p>
            <w:pPr>
              <w:spacing w:after="0"/>
              <w:rPr>
                <w:sz w:val="20"/>
                <w:szCs w:val="20"/>
                <w:color w:val="auto"/>
              </w:rPr>
            </w:pPr>
            <w:r>
              <w:rPr>
                <w:rFonts w:ascii="Times New Roman" w:cs="Times New Roman" w:eastAsia="Times New Roman" w:hAnsi="Times New Roman"/>
                <w:sz w:val="13"/>
                <w:szCs w:val="13"/>
                <w:color w:val="auto"/>
              </w:rPr>
              <w:t>2032</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1,013</w:t>
            </w:r>
          </w:p>
        </w:tc>
        <w:tc>
          <w:tcPr>
            <w:tcW w:w="1160" w:type="dxa"/>
            <w:vAlign w:val="bottom"/>
            <w:gridSpan w:val="2"/>
          </w:tcPr>
          <w:p>
            <w:pPr>
              <w:jc w:val="right"/>
              <w:ind w:right="154"/>
              <w:spacing w:after="0"/>
              <w:rPr>
                <w:sz w:val="20"/>
                <w:szCs w:val="20"/>
                <w:color w:val="auto"/>
              </w:rPr>
            </w:pPr>
            <w:r>
              <w:rPr>
                <w:rFonts w:ascii="Times New Roman" w:cs="Times New Roman" w:eastAsia="Times New Roman" w:hAnsi="Times New Roman"/>
                <w:sz w:val="13"/>
                <w:szCs w:val="13"/>
                <w:color w:val="auto"/>
              </w:rPr>
              <w:t>3.1 %</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132,461</w:t>
            </w:r>
          </w:p>
        </w:tc>
        <w:tc>
          <w:tcPr>
            <w:tcW w:w="1040" w:type="dxa"/>
            <w:vAlign w:val="bottom"/>
            <w:gridSpan w:val="2"/>
          </w:tcPr>
          <w:p>
            <w:pPr>
              <w:jc w:val="right"/>
              <w:ind w:right="114"/>
              <w:spacing w:after="0"/>
              <w:rPr>
                <w:sz w:val="20"/>
                <w:szCs w:val="20"/>
                <w:color w:val="auto"/>
              </w:rPr>
            </w:pPr>
            <w:r>
              <w:rPr>
                <w:rFonts w:ascii="Times New Roman" w:cs="Times New Roman" w:eastAsia="Times New Roman" w:hAnsi="Times New Roman"/>
                <w:sz w:val="13"/>
                <w:szCs w:val="13"/>
                <w:color w:val="auto"/>
              </w:rPr>
              <w:t>3.6 %</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150,482</w:t>
            </w:r>
          </w:p>
        </w:tc>
        <w:tc>
          <w:tcPr>
            <w:tcW w:w="0" w:type="dxa"/>
            <w:vAlign w:val="bottom"/>
          </w:tcPr>
          <w:p>
            <w:pPr>
              <w:spacing w:after="0"/>
              <w:rPr>
                <w:sz w:val="1"/>
                <w:szCs w:val="1"/>
                <w:color w:val="auto"/>
              </w:rPr>
            </w:pPr>
          </w:p>
        </w:tc>
      </w:tr>
      <w:tr>
        <w:trPr>
          <w:trHeight w:val="156"/>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2033</w:t>
            </w: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710</w:t>
            </w:r>
          </w:p>
        </w:tc>
        <w:tc>
          <w:tcPr>
            <w:tcW w:w="116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rPr>
              <w:t>2.2 %</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103,000</w:t>
            </w:r>
          </w:p>
        </w:tc>
        <w:tc>
          <w:tcPr>
            <w:tcW w:w="104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2.8 %</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121,367</w:t>
            </w:r>
          </w:p>
        </w:tc>
        <w:tc>
          <w:tcPr>
            <w:tcW w:w="0" w:type="dxa"/>
            <w:vAlign w:val="bottom"/>
          </w:tcPr>
          <w:p>
            <w:pPr>
              <w:spacing w:after="0"/>
              <w:rPr>
                <w:sz w:val="1"/>
                <w:szCs w:val="1"/>
                <w:color w:val="auto"/>
              </w:rPr>
            </w:pPr>
          </w:p>
        </w:tc>
      </w:tr>
      <w:tr>
        <w:trPr>
          <w:trHeight w:val="156"/>
        </w:trPr>
        <w:tc>
          <w:tcPr>
            <w:tcW w:w="1080" w:type="dxa"/>
            <w:vAlign w:val="bottom"/>
          </w:tcPr>
          <w:p>
            <w:pPr>
              <w:spacing w:after="0"/>
              <w:rPr>
                <w:sz w:val="20"/>
                <w:szCs w:val="20"/>
                <w:color w:val="auto"/>
              </w:rPr>
            </w:pPr>
            <w:r>
              <w:rPr>
                <w:rFonts w:ascii="Times New Roman" w:cs="Times New Roman" w:eastAsia="Times New Roman" w:hAnsi="Times New Roman"/>
                <w:sz w:val="13"/>
                <w:szCs w:val="13"/>
                <w:color w:val="auto"/>
              </w:rPr>
              <w:t>2034</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1,902</w:t>
            </w:r>
          </w:p>
        </w:tc>
        <w:tc>
          <w:tcPr>
            <w:tcW w:w="1160" w:type="dxa"/>
            <w:vAlign w:val="bottom"/>
            <w:gridSpan w:val="2"/>
          </w:tcPr>
          <w:p>
            <w:pPr>
              <w:jc w:val="right"/>
              <w:ind w:right="154"/>
              <w:spacing w:after="0"/>
              <w:rPr>
                <w:sz w:val="20"/>
                <w:szCs w:val="20"/>
                <w:color w:val="auto"/>
              </w:rPr>
            </w:pPr>
            <w:r>
              <w:rPr>
                <w:rFonts w:ascii="Times New Roman" w:cs="Times New Roman" w:eastAsia="Times New Roman" w:hAnsi="Times New Roman"/>
                <w:sz w:val="13"/>
                <w:szCs w:val="13"/>
                <w:color w:val="auto"/>
              </w:rPr>
              <w:t>5.8 %</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176,901</w:t>
            </w:r>
          </w:p>
        </w:tc>
        <w:tc>
          <w:tcPr>
            <w:tcW w:w="1040" w:type="dxa"/>
            <w:vAlign w:val="bottom"/>
            <w:gridSpan w:val="2"/>
          </w:tcPr>
          <w:p>
            <w:pPr>
              <w:jc w:val="right"/>
              <w:ind w:right="114"/>
              <w:spacing w:after="0"/>
              <w:rPr>
                <w:sz w:val="20"/>
                <w:szCs w:val="20"/>
                <w:color w:val="auto"/>
              </w:rPr>
            </w:pPr>
            <w:r>
              <w:rPr>
                <w:rFonts w:ascii="Times New Roman" w:cs="Times New Roman" w:eastAsia="Times New Roman" w:hAnsi="Times New Roman"/>
                <w:sz w:val="13"/>
                <w:szCs w:val="13"/>
                <w:color w:val="auto"/>
              </w:rPr>
              <w:t>4.8 %</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208,656</w:t>
            </w:r>
          </w:p>
        </w:tc>
        <w:tc>
          <w:tcPr>
            <w:tcW w:w="0" w:type="dxa"/>
            <w:vAlign w:val="bottom"/>
          </w:tcPr>
          <w:p>
            <w:pPr>
              <w:spacing w:after="0"/>
              <w:rPr>
                <w:sz w:val="1"/>
                <w:szCs w:val="1"/>
                <w:color w:val="auto"/>
              </w:rPr>
            </w:pPr>
          </w:p>
        </w:tc>
      </w:tr>
      <w:tr>
        <w:trPr>
          <w:trHeight w:val="156"/>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Thereafter</w:t>
            </w:r>
          </w:p>
        </w:tc>
        <w:tc>
          <w:tcPr>
            <w:tcW w:w="140" w:type="dxa"/>
            <w:vAlign w:val="bottom"/>
            <w:shd w:val="clear" w:color="auto" w:fill="CCEEFF"/>
          </w:tcPr>
          <w:p>
            <w:pPr>
              <w:spacing w:after="0"/>
              <w:rPr>
                <w:sz w:val="13"/>
                <w:szCs w:val="13"/>
                <w:color w:val="auto"/>
              </w:rPr>
            </w:pPr>
          </w:p>
        </w:tc>
        <w:tc>
          <w:tcPr>
            <w:tcW w:w="11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4,347</w:t>
            </w:r>
          </w:p>
        </w:tc>
        <w:tc>
          <w:tcPr>
            <w:tcW w:w="120" w:type="dxa"/>
            <w:vAlign w:val="bottom"/>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rPr>
              <w:t>13.1 %</w:t>
            </w:r>
          </w:p>
        </w:tc>
        <w:tc>
          <w:tcPr>
            <w:tcW w:w="14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340,711</w:t>
            </w:r>
          </w:p>
        </w:tc>
        <w:tc>
          <w:tcPr>
            <w:tcW w:w="120" w:type="dxa"/>
            <w:vAlign w:val="bottom"/>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9.2 %</w:t>
            </w: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4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436,675</w:t>
            </w:r>
          </w:p>
        </w:tc>
        <w:tc>
          <w:tcPr>
            <w:tcW w:w="0" w:type="dxa"/>
            <w:vAlign w:val="bottom"/>
          </w:tcPr>
          <w:p>
            <w:pPr>
              <w:spacing w:after="0"/>
              <w:rPr>
                <w:sz w:val="1"/>
                <w:szCs w:val="1"/>
                <w:color w:val="auto"/>
              </w:rPr>
            </w:pPr>
          </w:p>
        </w:tc>
      </w:tr>
      <w:tr>
        <w:trPr>
          <w:trHeight w:val="122"/>
        </w:trPr>
        <w:tc>
          <w:tcPr>
            <w:tcW w:w="1080" w:type="dxa"/>
            <w:vAlign w:val="bottom"/>
          </w:tcPr>
          <w:p>
            <w:pPr>
              <w:spacing w:after="0" w:line="123" w:lineRule="exact"/>
              <w:rPr>
                <w:sz w:val="20"/>
                <w:szCs w:val="20"/>
                <w:color w:val="auto"/>
              </w:rPr>
            </w:pPr>
            <w:r>
              <w:rPr>
                <w:rFonts w:ascii="Times New Roman" w:cs="Times New Roman" w:eastAsia="Times New Roman" w:hAnsi="Times New Roman"/>
                <w:sz w:val="13"/>
                <w:szCs w:val="13"/>
                <w:b w:val="1"/>
                <w:bCs w:val="1"/>
                <w:color w:val="auto"/>
              </w:rPr>
              <w:t>Portfolio Total /</w:t>
            </w:r>
          </w:p>
        </w:tc>
        <w:tc>
          <w:tcPr>
            <w:tcW w:w="12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32,999</w:t>
            </w:r>
          </w:p>
        </w:tc>
        <w:tc>
          <w:tcPr>
            <w:tcW w:w="1160" w:type="dxa"/>
            <w:vAlign w:val="bottom"/>
            <w:gridSpan w:val="2"/>
            <w:vMerge w:val="restart"/>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100.0 %</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3,708,758</w:t>
            </w:r>
          </w:p>
        </w:tc>
        <w:tc>
          <w:tcPr>
            <w:tcW w:w="1040" w:type="dxa"/>
            <w:vAlign w:val="bottom"/>
            <w:gridSpan w:val="2"/>
            <w:vMerge w:val="restart"/>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100.0 %</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136</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148</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4,031,452</w:t>
            </w:r>
          </w:p>
        </w:tc>
        <w:tc>
          <w:tcPr>
            <w:tcW w:w="0" w:type="dxa"/>
            <w:vAlign w:val="bottom"/>
          </w:tcPr>
          <w:p>
            <w:pPr>
              <w:spacing w:after="0"/>
              <w:rPr>
                <w:sz w:val="1"/>
                <w:szCs w:val="1"/>
                <w:color w:val="auto"/>
              </w:rPr>
            </w:pPr>
          </w:p>
        </w:tc>
      </w:tr>
      <w:tr>
        <w:trPr>
          <w:trHeight w:val="158"/>
        </w:trPr>
        <w:tc>
          <w:tcPr>
            <w:tcW w:w="10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Weighted Average</w:t>
            </w:r>
          </w:p>
        </w:tc>
        <w:tc>
          <w:tcPr>
            <w:tcW w:w="1240" w:type="dxa"/>
            <w:vAlign w:val="bottom"/>
            <w:gridSpan w:val="3"/>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10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880" w:right="580" w:hanging="575"/>
        <w:spacing w:after="0" w:line="259" w:lineRule="auto"/>
        <w:tabs>
          <w:tab w:leader="none" w:pos="860" w:val="left"/>
        </w:tabs>
        <w:rPr>
          <w:sz w:val="20"/>
          <w:szCs w:val="20"/>
          <w:color w:val="auto"/>
        </w:rPr>
      </w:pPr>
      <w:r>
        <w:rPr>
          <w:rFonts w:ascii="Times New Roman" w:cs="Times New Roman" w:eastAsia="Times New Roman" w:hAnsi="Times New Roman"/>
          <w:sz w:val="16"/>
          <w:szCs w:val="16"/>
          <w:b w:val="1"/>
          <w:bCs w:val="1"/>
          <w:color w:val="auto"/>
        </w:rPr>
        <w:t>Note:</w:t>
      </w:r>
      <w:r>
        <w:rPr>
          <w:sz w:val="20"/>
          <w:szCs w:val="20"/>
          <w:color w:val="auto"/>
        </w:rPr>
        <w:tab/>
      </w:r>
      <w:r>
        <w:rPr>
          <w:rFonts w:ascii="Times New Roman" w:cs="Times New Roman" w:eastAsia="Times New Roman" w:hAnsi="Times New Roman"/>
          <w:sz w:val="16"/>
          <w:szCs w:val="16"/>
          <w:color w:val="auto"/>
        </w:rPr>
        <w:t>Represents consolidated portfolio in addition to our managed portfolio of unconsolidated entities based on our ownership percentage. Individual items may not add up to total due to rounding.</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57" w:name="page58"/>
    <w:bookmarkEnd w:id="57"/>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6" w:lineRule="exact"/>
        <w:rPr>
          <w:sz w:val="20"/>
          <w:szCs w:val="20"/>
          <w:color w:val="auto"/>
        </w:rPr>
      </w:pPr>
    </w:p>
    <w:p>
      <w:pPr>
        <w:ind w:left="600" w:right="320" w:hanging="282"/>
        <w:spacing w:after="0"/>
        <w:tabs>
          <w:tab w:leader="none" w:pos="6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some of our properties, we calculate square footage based on factors in addition to contractually leased square feet, including available power, required support space and common area. We estimate the total net rentable square feet available for lease based on a number of factors in addition to contractually leased square feet, including available power, required support space and common area.</w:t>
      </w:r>
    </w:p>
    <w:p>
      <w:pPr>
        <w:spacing w:after="0" w:line="2" w:lineRule="exact"/>
        <w:rPr>
          <w:rFonts w:ascii="Times New Roman" w:cs="Times New Roman" w:eastAsia="Times New Roman" w:hAnsi="Times New Roman"/>
          <w:sz w:val="16"/>
          <w:szCs w:val="16"/>
          <w:color w:val="auto"/>
        </w:rPr>
      </w:pPr>
    </w:p>
    <w:p>
      <w:pPr>
        <w:ind w:left="600" w:right="420" w:hanging="282"/>
        <w:spacing w:after="0" w:line="234" w:lineRule="auto"/>
        <w:tabs>
          <w:tab w:leader="none" w:pos="6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Annualized rent represents the monthly contractual base rent (defined as cash base rent before abatements) under existing leases as of December 31, 2024 multiplied by 12.</w:t>
      </w:r>
    </w:p>
    <w:p>
      <w:pPr>
        <w:spacing w:after="0" w:line="1" w:lineRule="exact"/>
        <w:rPr>
          <w:rFonts w:ascii="Times New Roman" w:cs="Times New Roman" w:eastAsia="Times New Roman" w:hAnsi="Times New Roman"/>
          <w:sz w:val="16"/>
          <w:szCs w:val="16"/>
          <w:color w:val="auto"/>
        </w:rPr>
      </w:pPr>
    </w:p>
    <w:p>
      <w:pPr>
        <w:ind w:left="600" w:right="600" w:hanging="282"/>
        <w:spacing w:after="0" w:line="238" w:lineRule="auto"/>
        <w:tabs>
          <w:tab w:leader="none" w:pos="6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leases, licenses, and similar agreements that upon expiration have been automatically renewed on a month-to-month basis.</w:t>
      </w:r>
    </w:p>
    <w:p>
      <w:pPr>
        <w:spacing w:after="0" w:line="155" w:lineRule="exact"/>
        <w:rPr>
          <w:sz w:val="20"/>
          <w:szCs w:val="20"/>
          <w:color w:val="auto"/>
        </w:rPr>
      </w:pPr>
    </w:p>
    <w:p>
      <w:pPr>
        <w:ind w:left="320"/>
        <w:spacing w:after="0"/>
        <w:tabs>
          <w:tab w:leader="none" w:pos="1220" w:val="left"/>
        </w:tabs>
        <w:rPr>
          <w:sz w:val="20"/>
          <w:szCs w:val="20"/>
          <w:color w:val="auto"/>
        </w:rPr>
      </w:pPr>
      <w:r>
        <w:rPr>
          <w:rFonts w:ascii="Times New Roman" w:cs="Times New Roman" w:eastAsia="Times New Roman" w:hAnsi="Times New Roman"/>
          <w:sz w:val="16"/>
          <w:szCs w:val="16"/>
          <w:b w:val="1"/>
          <w:bCs w:val="1"/>
          <w:color w:val="auto"/>
        </w:rPr>
        <w:t>ITEM 3.</w:t>
      </w:r>
      <w:r>
        <w:rPr>
          <w:sz w:val="20"/>
          <w:szCs w:val="20"/>
          <w:color w:val="auto"/>
        </w:rPr>
        <w:tab/>
      </w:r>
      <w:r>
        <w:rPr>
          <w:rFonts w:ascii="Times New Roman" w:cs="Times New Roman" w:eastAsia="Times New Roman" w:hAnsi="Times New Roman"/>
          <w:sz w:val="14"/>
          <w:szCs w:val="14"/>
          <w:b w:val="1"/>
          <w:bCs w:val="1"/>
          <w:color w:val="auto"/>
        </w:rPr>
        <w:t>LEGAL PROCEEDINGS</w:t>
      </w:r>
    </w:p>
    <w:p>
      <w:pPr>
        <w:spacing w:after="0" w:line="190" w:lineRule="exact"/>
        <w:rPr>
          <w:sz w:val="20"/>
          <w:szCs w:val="20"/>
          <w:color w:val="auto"/>
        </w:rPr>
      </w:pPr>
    </w:p>
    <w:p>
      <w:pPr>
        <w:ind w:left="320" w:right="400" w:firstLine="288"/>
        <w:spacing w:after="0" w:line="331" w:lineRule="auto"/>
        <w:rPr>
          <w:sz w:val="20"/>
          <w:szCs w:val="20"/>
          <w:color w:val="auto"/>
        </w:rPr>
      </w:pPr>
      <w:r>
        <w:rPr>
          <w:rFonts w:ascii="Times New Roman" w:cs="Times New Roman" w:eastAsia="Times New Roman" w:hAnsi="Times New Roman"/>
          <w:sz w:val="14"/>
          <w:szCs w:val="14"/>
          <w:color w:val="auto"/>
        </w:rPr>
        <w:t>In the ordinary course of our business, we may become subject to various legal proceedings. As of December 31, 2024, we were not a party to any legal proceedings which we believe would have a material adverse effect on our operations or financial position.</w:t>
      </w:r>
    </w:p>
    <w:p>
      <w:pPr>
        <w:spacing w:after="0" w:line="94" w:lineRule="exact"/>
        <w:rPr>
          <w:sz w:val="20"/>
          <w:szCs w:val="20"/>
          <w:color w:val="auto"/>
        </w:rPr>
      </w:pPr>
    </w:p>
    <w:p>
      <w:pPr>
        <w:ind w:left="320"/>
        <w:spacing w:after="0"/>
        <w:tabs>
          <w:tab w:leader="none" w:pos="1180" w:val="left"/>
        </w:tabs>
        <w:rPr>
          <w:sz w:val="20"/>
          <w:szCs w:val="20"/>
          <w:color w:val="auto"/>
        </w:rPr>
      </w:pPr>
      <w:r>
        <w:rPr>
          <w:rFonts w:ascii="Times New Roman" w:cs="Times New Roman" w:eastAsia="Times New Roman" w:hAnsi="Times New Roman"/>
          <w:sz w:val="16"/>
          <w:szCs w:val="16"/>
          <w:b w:val="1"/>
          <w:bCs w:val="1"/>
          <w:color w:val="auto"/>
        </w:rPr>
        <w:t>ITEM 4.</w:t>
      </w:r>
      <w:r>
        <w:rPr>
          <w:sz w:val="20"/>
          <w:szCs w:val="20"/>
          <w:color w:val="auto"/>
        </w:rPr>
        <w:tab/>
      </w:r>
      <w:r>
        <w:rPr>
          <w:rFonts w:ascii="Times New Roman" w:cs="Times New Roman" w:eastAsia="Times New Roman" w:hAnsi="Times New Roman"/>
          <w:sz w:val="14"/>
          <w:szCs w:val="14"/>
          <w:b w:val="1"/>
          <w:bCs w:val="1"/>
          <w:color w:val="auto"/>
        </w:rPr>
        <w:t>MINE SAFETY DISCLOSURES</w:t>
      </w:r>
    </w:p>
    <w:p>
      <w:pPr>
        <w:spacing w:after="0" w:line="19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Not applicable.</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168" w:lineRule="exact"/>
        <w:rPr>
          <w:sz w:val="20"/>
          <w:szCs w:val="20"/>
          <w:color w:val="auto"/>
        </w:rPr>
      </w:pPr>
    </w:p>
    <w:p>
      <w:pPr>
        <w:ind w:left="320" w:right="880"/>
        <w:spacing w:after="0" w:line="262" w:lineRule="auto"/>
        <w:rPr>
          <w:sz w:val="20"/>
          <w:szCs w:val="20"/>
          <w:color w:val="auto"/>
        </w:rPr>
      </w:pPr>
      <w:r>
        <w:rPr>
          <w:rFonts w:ascii="Times New Roman" w:cs="Times New Roman" w:eastAsia="Times New Roman" w:hAnsi="Times New Roman"/>
          <w:sz w:val="16"/>
          <w:szCs w:val="16"/>
          <w:b w:val="1"/>
          <w:bCs w:val="1"/>
          <w:color w:val="auto"/>
        </w:rPr>
        <w:t>ITEM 5. MARKET FOR REGISTRANT’S COMMON EQUITY, RELATED STOCKHOLDER MATTERS AND ISSUER PURCHASES OF EQUITY SECURITIES</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Digital Realty Trust, Inc.</w:t>
      </w:r>
    </w:p>
    <w:p>
      <w:pPr>
        <w:spacing w:after="0" w:line="190" w:lineRule="exact"/>
        <w:rPr>
          <w:sz w:val="20"/>
          <w:szCs w:val="20"/>
          <w:color w:val="auto"/>
        </w:rPr>
      </w:pPr>
    </w:p>
    <w:p>
      <w:pPr>
        <w:ind w:left="320" w:right="480"/>
        <w:spacing w:after="0" w:line="259" w:lineRule="auto"/>
        <w:rPr>
          <w:sz w:val="20"/>
          <w:szCs w:val="20"/>
          <w:color w:val="auto"/>
        </w:rPr>
      </w:pPr>
      <w:r>
        <w:rPr>
          <w:rFonts w:ascii="Times New Roman" w:cs="Times New Roman" w:eastAsia="Times New Roman" w:hAnsi="Times New Roman"/>
          <w:sz w:val="16"/>
          <w:szCs w:val="16"/>
          <w:color w:val="auto"/>
        </w:rPr>
        <w:t>Digital Realty Trust, Inc.’s common stock has been listed, and is traded, on the New York Stock Exchange, or the NYSE, under the symbol “DLR” since October 29, 2004.</w:t>
      </w:r>
    </w:p>
    <w:p>
      <w:pPr>
        <w:spacing w:after="0" w:line="155" w:lineRule="exact"/>
        <w:rPr>
          <w:sz w:val="20"/>
          <w:szCs w:val="20"/>
          <w:color w:val="auto"/>
        </w:rPr>
      </w:pPr>
    </w:p>
    <w:p>
      <w:pPr>
        <w:ind w:left="320" w:right="400"/>
        <w:spacing w:after="0" w:line="243" w:lineRule="auto"/>
        <w:rPr>
          <w:sz w:val="20"/>
          <w:szCs w:val="20"/>
          <w:color w:val="auto"/>
        </w:rPr>
      </w:pPr>
      <w:r>
        <w:rPr>
          <w:rFonts w:ascii="Times New Roman" w:cs="Times New Roman" w:eastAsia="Times New Roman" w:hAnsi="Times New Roman"/>
          <w:sz w:val="16"/>
          <w:szCs w:val="16"/>
          <w:color w:val="auto"/>
        </w:rPr>
        <w:t>Subject to the distribution requirements applicable to REITs under the Code, Digital Realty Trust, Inc. intends, to the extent practicable, to invest substantially all of the proceeds from sales and refinancings of its assets in real estate -related assets and other assets. Digital Realty Trust, Inc. may, however, under certain circumstances, make a dividend of capital or of assets. Such dividends, if any, will be made at the discretion of Digital Realty Trust, Inc.’s Board of Directors.</w:t>
      </w:r>
    </w:p>
    <w:p>
      <w:pPr>
        <w:spacing w:after="0" w:line="167" w:lineRule="exact"/>
        <w:rPr>
          <w:sz w:val="20"/>
          <w:szCs w:val="20"/>
          <w:color w:val="auto"/>
        </w:rPr>
      </w:pPr>
    </w:p>
    <w:p>
      <w:pPr>
        <w:ind w:left="320" w:right="600"/>
        <w:spacing w:after="0" w:line="259" w:lineRule="auto"/>
        <w:rPr>
          <w:sz w:val="20"/>
          <w:szCs w:val="20"/>
          <w:color w:val="auto"/>
        </w:rPr>
      </w:pPr>
      <w:r>
        <w:rPr>
          <w:rFonts w:ascii="Times New Roman" w:cs="Times New Roman" w:eastAsia="Times New Roman" w:hAnsi="Times New Roman"/>
          <w:sz w:val="16"/>
          <w:szCs w:val="16"/>
          <w:color w:val="auto"/>
        </w:rPr>
        <w:t>As of February 18, 2025, there were approximately 66 holders of record of Digital Realty Trust, Inc.’s common stock. This figure does not reflect the beneficial ownership of shares held in nominee name.</w:t>
      </w:r>
    </w:p>
    <w:p>
      <w:pPr>
        <w:spacing w:after="0" w:line="1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Digital Realty Trust, L.P.</w:t>
      </w:r>
    </w:p>
    <w:p>
      <w:pPr>
        <w:spacing w:after="0" w:line="190" w:lineRule="exact"/>
        <w:rPr>
          <w:sz w:val="20"/>
          <w:szCs w:val="20"/>
          <w:color w:val="auto"/>
        </w:rPr>
      </w:pPr>
    </w:p>
    <w:p>
      <w:pPr>
        <w:ind w:left="320" w:right="400"/>
        <w:spacing w:after="0" w:line="331" w:lineRule="auto"/>
        <w:rPr>
          <w:sz w:val="20"/>
          <w:szCs w:val="20"/>
          <w:color w:val="auto"/>
        </w:rPr>
      </w:pPr>
      <w:r>
        <w:rPr>
          <w:rFonts w:ascii="Times New Roman" w:cs="Times New Roman" w:eastAsia="Times New Roman" w:hAnsi="Times New Roman"/>
          <w:sz w:val="14"/>
          <w:szCs w:val="14"/>
          <w:color w:val="auto"/>
        </w:rPr>
        <w:t>There is no established trading market for Digital Realty Trust, L.P.’s common units of limited partnership. As of February 18, 2025, there were 65 holders of record of common units, including Digital Realty Trust, L.P.’s general partner, Digital Realty Trust, Inc.</w:t>
      </w:r>
    </w:p>
    <w:p>
      <w:pPr>
        <w:spacing w:after="0" w:line="108" w:lineRule="exact"/>
        <w:rPr>
          <w:sz w:val="20"/>
          <w:szCs w:val="20"/>
          <w:color w:val="auto"/>
        </w:rPr>
      </w:pPr>
    </w:p>
    <w:p>
      <w:pPr>
        <w:ind w:left="320" w:right="440"/>
        <w:spacing w:after="0" w:line="289" w:lineRule="auto"/>
        <w:rPr>
          <w:sz w:val="20"/>
          <w:szCs w:val="20"/>
          <w:color w:val="auto"/>
        </w:rPr>
      </w:pPr>
      <w:r>
        <w:rPr>
          <w:rFonts w:ascii="Times New Roman" w:cs="Times New Roman" w:eastAsia="Times New Roman" w:hAnsi="Times New Roman"/>
          <w:sz w:val="14"/>
          <w:szCs w:val="14"/>
          <w:color w:val="auto"/>
        </w:rPr>
        <w:t>Digital Realty Trust, L.P. currently intends to continue to make regular quarterly distributions to holders of its common units. Any future distributions will be declared at the discretion of the Board of Directors of Digital Realty Trust, L.P.’s general partner, Digital Realty Trust, Inc., and will depend on our actual cash flow, financial condition, capital requirements, the annual distribution requirements under the REIT provisions of the Code, and such other factors as the Board of Directors may deem relevant.</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58" w:name="page59"/>
    <w:bookmarkEnd w:id="58"/>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STOCK PERFORMANCE GRAPH</w:t>
      </w:r>
    </w:p>
    <w:p>
      <w:pPr>
        <w:spacing w:after="0" w:line="190" w:lineRule="exact"/>
        <w:rPr>
          <w:sz w:val="20"/>
          <w:szCs w:val="20"/>
          <w:color w:val="auto"/>
        </w:rPr>
      </w:pPr>
    </w:p>
    <w:p>
      <w:pPr>
        <w:ind w:left="320" w:right="540"/>
        <w:spacing w:after="0" w:line="289" w:lineRule="auto"/>
        <w:rPr>
          <w:sz w:val="20"/>
          <w:szCs w:val="20"/>
          <w:color w:val="auto"/>
        </w:rPr>
      </w:pPr>
      <w:r>
        <w:rPr>
          <w:rFonts w:ascii="Times New Roman" w:cs="Times New Roman" w:eastAsia="Times New Roman" w:hAnsi="Times New Roman"/>
          <w:sz w:val="14"/>
          <w:szCs w:val="14"/>
          <w:color w:val="auto"/>
        </w:rPr>
        <w:t>The following graph compares the yearly change in the cumulative total stockholder return on Digital Realty Trust, Inc.’s common stock during the period from December 31, 2019 through December 31, 2024, with the cumulative total returns on the MSCI US REIT Index (RMS) and the S&amp;P 500 Market Index. The comparison assumes that $ 100 was invested on December 31, 2019 in Digital Realty Trust, Inc.’s common stock and in each of these indices and assumes reinvestment of dividends, if any.</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COMPARISON OF CUMULATIVE TOTAL RETURNS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AMONG DIGITAL REALTY TRUST, INC., S&amp;P 500 INDEX AND RMS INDEX</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Assumes $100 invested on December 31, 2019 and</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dividends reinvested</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To fiscal year ending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1254125</wp:posOffset>
            </wp:positionH>
            <wp:positionV relativeFrom="paragraph">
              <wp:posOffset>121285</wp:posOffset>
            </wp:positionV>
            <wp:extent cx="3223895" cy="22637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223895" cy="2263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320" w:type="dxa"/>
        <w:tblCellMar>
          <w:top w:w="0" w:type="dxa"/>
          <w:left w:w="0" w:type="dxa"/>
          <w:bottom w:w="0" w:type="dxa"/>
          <w:right w:w="0" w:type="dxa"/>
        </w:tblCellMar>
      </w:tblPr>
      <w:tr>
        <w:trPr>
          <w:trHeight w:val="170"/>
        </w:trPr>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Pricing Date</w:t>
            </w:r>
          </w:p>
        </w:tc>
        <w:tc>
          <w:tcPr>
            <w:tcW w:w="26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3"/>
                <w:szCs w:val="13"/>
                <w:b w:val="1"/>
                <w:bCs w:val="1"/>
                <w:color w:val="auto"/>
              </w:rPr>
              <w:t>DLR($)</w:t>
            </w:r>
          </w:p>
        </w:tc>
        <w:tc>
          <w:tcPr>
            <w:tcW w:w="24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S&amp;P 500($)</w:t>
            </w:r>
          </w:p>
        </w:tc>
        <w:tc>
          <w:tcPr>
            <w:tcW w:w="26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3"/>
                <w:szCs w:val="13"/>
                <w:b w:val="1"/>
                <w:bCs w:val="1"/>
                <w:color w:val="auto"/>
              </w:rPr>
              <w:t>RMS($)</w:t>
            </w:r>
          </w:p>
        </w:tc>
      </w:tr>
      <w:tr>
        <w:trPr>
          <w:trHeight w:val="172"/>
        </w:trPr>
        <w:tc>
          <w:tcPr>
            <w:tcW w:w="45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December 31, 2019</w:t>
            </w: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6"/>
                <w:szCs w:val="16"/>
                <w:color w:val="auto"/>
                <w:w w:val="99"/>
              </w:rPr>
              <w:t>100.0</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6"/>
                <w:szCs w:val="16"/>
                <w:color w:val="auto"/>
                <w:w w:val="94"/>
              </w:rPr>
              <w:t>100.0</w:t>
            </w: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6"/>
                <w:szCs w:val="16"/>
                <w:color w:val="auto"/>
                <w:w w:val="99"/>
              </w:rPr>
              <w:t>100.0</w:t>
            </w:r>
          </w:p>
        </w:tc>
      </w:tr>
      <w:tr>
        <w:trPr>
          <w:trHeight w:val="180"/>
        </w:trPr>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December 31, 2020</w:t>
            </w:r>
          </w:p>
        </w:tc>
        <w:tc>
          <w:tcPr>
            <w:tcW w:w="1280" w:type="dxa"/>
            <w:vAlign w:val="bottom"/>
            <w:gridSpan w:val="2"/>
          </w:tcPr>
          <w:p>
            <w:pPr>
              <w:jc w:val="center"/>
              <w:ind w:left="202"/>
              <w:spacing w:after="0" w:line="180" w:lineRule="exact"/>
              <w:rPr>
                <w:sz w:val="20"/>
                <w:szCs w:val="20"/>
                <w:color w:val="auto"/>
              </w:rPr>
            </w:pPr>
            <w:r>
              <w:rPr>
                <w:rFonts w:ascii="Times New Roman" w:cs="Times New Roman" w:eastAsia="Times New Roman" w:hAnsi="Times New Roman"/>
                <w:sz w:val="16"/>
                <w:szCs w:val="16"/>
                <w:color w:val="auto"/>
                <w:w w:val="99"/>
              </w:rPr>
              <w:t>120.5</w:t>
            </w:r>
          </w:p>
        </w:tc>
        <w:tc>
          <w:tcPr>
            <w:tcW w:w="1260" w:type="dxa"/>
            <w:vAlign w:val="bottom"/>
            <w:gridSpan w:val="2"/>
          </w:tcPr>
          <w:p>
            <w:pPr>
              <w:jc w:val="center"/>
              <w:ind w:left="202"/>
              <w:spacing w:after="0" w:line="180" w:lineRule="exact"/>
              <w:rPr>
                <w:sz w:val="20"/>
                <w:szCs w:val="20"/>
                <w:color w:val="auto"/>
              </w:rPr>
            </w:pPr>
            <w:r>
              <w:rPr>
                <w:rFonts w:ascii="Times New Roman" w:cs="Times New Roman" w:eastAsia="Times New Roman" w:hAnsi="Times New Roman"/>
                <w:sz w:val="16"/>
                <w:szCs w:val="16"/>
                <w:color w:val="auto"/>
                <w:w w:val="94"/>
              </w:rPr>
              <w:t>118.4</w:t>
            </w:r>
          </w:p>
        </w:tc>
        <w:tc>
          <w:tcPr>
            <w:tcW w:w="1280" w:type="dxa"/>
            <w:vAlign w:val="bottom"/>
            <w:gridSpan w:val="2"/>
          </w:tcPr>
          <w:p>
            <w:pPr>
              <w:jc w:val="center"/>
              <w:ind w:left="202"/>
              <w:spacing w:after="0" w:line="180" w:lineRule="exact"/>
              <w:rPr>
                <w:sz w:val="20"/>
                <w:szCs w:val="20"/>
                <w:color w:val="auto"/>
              </w:rPr>
            </w:pPr>
            <w:r>
              <w:rPr>
                <w:rFonts w:ascii="Times New Roman" w:cs="Times New Roman" w:eastAsia="Times New Roman" w:hAnsi="Times New Roman"/>
                <w:sz w:val="16"/>
                <w:szCs w:val="16"/>
                <w:color w:val="auto"/>
                <w:w w:val="99"/>
              </w:rPr>
              <w:t>92.4</w:t>
            </w:r>
          </w:p>
        </w:tc>
      </w:tr>
      <w:tr>
        <w:trPr>
          <w:trHeight w:val="180"/>
        </w:trPr>
        <w:tc>
          <w:tcPr>
            <w:tcW w:w="45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December 31, 2021</w:t>
            </w:r>
          </w:p>
        </w:tc>
        <w:tc>
          <w:tcPr>
            <w:tcW w:w="1280" w:type="dxa"/>
            <w:vAlign w:val="bottom"/>
            <w:gridSpan w:val="2"/>
            <w:shd w:val="clear" w:color="auto" w:fill="CCEEFF"/>
          </w:tcPr>
          <w:p>
            <w:pPr>
              <w:jc w:val="center"/>
              <w:ind w:left="202"/>
              <w:spacing w:after="0" w:line="180" w:lineRule="exact"/>
              <w:rPr>
                <w:sz w:val="20"/>
                <w:szCs w:val="20"/>
                <w:color w:val="auto"/>
              </w:rPr>
            </w:pPr>
            <w:r>
              <w:rPr>
                <w:rFonts w:ascii="Times New Roman" w:cs="Times New Roman" w:eastAsia="Times New Roman" w:hAnsi="Times New Roman"/>
                <w:sz w:val="16"/>
                <w:szCs w:val="16"/>
                <w:color w:val="auto"/>
                <w:w w:val="99"/>
              </w:rPr>
              <w:t>157.4</w:t>
            </w:r>
          </w:p>
        </w:tc>
        <w:tc>
          <w:tcPr>
            <w:tcW w:w="1260" w:type="dxa"/>
            <w:vAlign w:val="bottom"/>
            <w:gridSpan w:val="2"/>
            <w:shd w:val="clear" w:color="auto" w:fill="CCEEFF"/>
          </w:tcPr>
          <w:p>
            <w:pPr>
              <w:jc w:val="center"/>
              <w:ind w:left="202"/>
              <w:spacing w:after="0" w:line="180" w:lineRule="exact"/>
              <w:rPr>
                <w:sz w:val="20"/>
                <w:szCs w:val="20"/>
                <w:color w:val="auto"/>
              </w:rPr>
            </w:pPr>
            <w:r>
              <w:rPr>
                <w:rFonts w:ascii="Times New Roman" w:cs="Times New Roman" w:eastAsia="Times New Roman" w:hAnsi="Times New Roman"/>
                <w:sz w:val="16"/>
                <w:szCs w:val="16"/>
                <w:color w:val="auto"/>
                <w:w w:val="94"/>
              </w:rPr>
              <w:t>152.4</w:t>
            </w:r>
          </w:p>
        </w:tc>
        <w:tc>
          <w:tcPr>
            <w:tcW w:w="1280" w:type="dxa"/>
            <w:vAlign w:val="bottom"/>
            <w:gridSpan w:val="2"/>
            <w:shd w:val="clear" w:color="auto" w:fill="CCEEFF"/>
          </w:tcPr>
          <w:p>
            <w:pPr>
              <w:jc w:val="center"/>
              <w:ind w:left="202"/>
              <w:spacing w:after="0" w:line="180" w:lineRule="exact"/>
              <w:rPr>
                <w:sz w:val="20"/>
                <w:szCs w:val="20"/>
                <w:color w:val="auto"/>
              </w:rPr>
            </w:pPr>
            <w:r>
              <w:rPr>
                <w:rFonts w:ascii="Times New Roman" w:cs="Times New Roman" w:eastAsia="Times New Roman" w:hAnsi="Times New Roman"/>
                <w:sz w:val="16"/>
                <w:szCs w:val="16"/>
                <w:color w:val="auto"/>
                <w:w w:val="99"/>
              </w:rPr>
              <w:t>132.2</w:t>
            </w:r>
          </w:p>
        </w:tc>
      </w:tr>
      <w:tr>
        <w:trPr>
          <w:trHeight w:val="180"/>
        </w:trPr>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December 31, 2022</w:t>
            </w:r>
          </w:p>
        </w:tc>
        <w:tc>
          <w:tcPr>
            <w:tcW w:w="1280" w:type="dxa"/>
            <w:vAlign w:val="bottom"/>
            <w:gridSpan w:val="2"/>
          </w:tcPr>
          <w:p>
            <w:pPr>
              <w:jc w:val="center"/>
              <w:ind w:left="202"/>
              <w:spacing w:after="0" w:line="180" w:lineRule="exact"/>
              <w:rPr>
                <w:sz w:val="20"/>
                <w:szCs w:val="20"/>
                <w:color w:val="auto"/>
              </w:rPr>
            </w:pPr>
            <w:r>
              <w:rPr>
                <w:rFonts w:ascii="Times New Roman" w:cs="Times New Roman" w:eastAsia="Times New Roman" w:hAnsi="Times New Roman"/>
                <w:sz w:val="16"/>
                <w:szCs w:val="16"/>
                <w:color w:val="auto"/>
                <w:w w:val="99"/>
              </w:rPr>
              <w:t>93.0</w:t>
            </w:r>
          </w:p>
        </w:tc>
        <w:tc>
          <w:tcPr>
            <w:tcW w:w="1260" w:type="dxa"/>
            <w:vAlign w:val="bottom"/>
            <w:gridSpan w:val="2"/>
          </w:tcPr>
          <w:p>
            <w:pPr>
              <w:jc w:val="center"/>
              <w:ind w:left="202"/>
              <w:spacing w:after="0" w:line="180" w:lineRule="exact"/>
              <w:rPr>
                <w:sz w:val="20"/>
                <w:szCs w:val="20"/>
                <w:color w:val="auto"/>
              </w:rPr>
            </w:pPr>
            <w:r>
              <w:rPr>
                <w:rFonts w:ascii="Times New Roman" w:cs="Times New Roman" w:eastAsia="Times New Roman" w:hAnsi="Times New Roman"/>
                <w:sz w:val="16"/>
                <w:szCs w:val="16"/>
                <w:color w:val="auto"/>
                <w:w w:val="94"/>
              </w:rPr>
              <w:t>124.8</w:t>
            </w:r>
          </w:p>
        </w:tc>
        <w:tc>
          <w:tcPr>
            <w:tcW w:w="1280" w:type="dxa"/>
            <w:vAlign w:val="bottom"/>
            <w:gridSpan w:val="2"/>
          </w:tcPr>
          <w:p>
            <w:pPr>
              <w:jc w:val="center"/>
              <w:ind w:left="202"/>
              <w:spacing w:after="0" w:line="180" w:lineRule="exact"/>
              <w:rPr>
                <w:sz w:val="20"/>
                <w:szCs w:val="20"/>
                <w:color w:val="auto"/>
              </w:rPr>
            </w:pPr>
            <w:r>
              <w:rPr>
                <w:rFonts w:ascii="Times New Roman" w:cs="Times New Roman" w:eastAsia="Times New Roman" w:hAnsi="Times New Roman"/>
                <w:sz w:val="16"/>
                <w:szCs w:val="16"/>
                <w:color w:val="auto"/>
                <w:w w:val="99"/>
              </w:rPr>
              <w:t>99.8</w:t>
            </w:r>
          </w:p>
        </w:tc>
      </w:tr>
      <w:tr>
        <w:trPr>
          <w:trHeight w:val="180"/>
        </w:trPr>
        <w:tc>
          <w:tcPr>
            <w:tcW w:w="45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December 31, 2023</w:t>
            </w:r>
          </w:p>
        </w:tc>
        <w:tc>
          <w:tcPr>
            <w:tcW w:w="1280" w:type="dxa"/>
            <w:vAlign w:val="bottom"/>
            <w:gridSpan w:val="2"/>
            <w:shd w:val="clear" w:color="auto" w:fill="CCEEFF"/>
          </w:tcPr>
          <w:p>
            <w:pPr>
              <w:jc w:val="center"/>
              <w:ind w:left="202"/>
              <w:spacing w:after="0" w:line="180" w:lineRule="exact"/>
              <w:rPr>
                <w:sz w:val="20"/>
                <w:szCs w:val="20"/>
                <w:color w:val="auto"/>
              </w:rPr>
            </w:pPr>
            <w:r>
              <w:rPr>
                <w:rFonts w:ascii="Times New Roman" w:cs="Times New Roman" w:eastAsia="Times New Roman" w:hAnsi="Times New Roman"/>
                <w:sz w:val="16"/>
                <w:szCs w:val="16"/>
                <w:color w:val="auto"/>
                <w:w w:val="99"/>
              </w:rPr>
              <w:t>130.1</w:t>
            </w:r>
          </w:p>
        </w:tc>
        <w:tc>
          <w:tcPr>
            <w:tcW w:w="1260" w:type="dxa"/>
            <w:vAlign w:val="bottom"/>
            <w:gridSpan w:val="2"/>
            <w:shd w:val="clear" w:color="auto" w:fill="CCEEFF"/>
          </w:tcPr>
          <w:p>
            <w:pPr>
              <w:jc w:val="center"/>
              <w:ind w:left="202"/>
              <w:spacing w:after="0" w:line="180" w:lineRule="exact"/>
              <w:rPr>
                <w:sz w:val="20"/>
                <w:szCs w:val="20"/>
                <w:color w:val="auto"/>
              </w:rPr>
            </w:pPr>
            <w:r>
              <w:rPr>
                <w:rFonts w:ascii="Times New Roman" w:cs="Times New Roman" w:eastAsia="Times New Roman" w:hAnsi="Times New Roman"/>
                <w:sz w:val="16"/>
                <w:szCs w:val="16"/>
                <w:color w:val="auto"/>
                <w:w w:val="94"/>
              </w:rPr>
              <w:t>157.6</w:t>
            </w:r>
          </w:p>
        </w:tc>
        <w:tc>
          <w:tcPr>
            <w:tcW w:w="1280" w:type="dxa"/>
            <w:vAlign w:val="bottom"/>
            <w:gridSpan w:val="2"/>
            <w:shd w:val="clear" w:color="auto" w:fill="CCEEFF"/>
          </w:tcPr>
          <w:p>
            <w:pPr>
              <w:jc w:val="center"/>
              <w:ind w:left="202"/>
              <w:spacing w:after="0" w:line="180" w:lineRule="exact"/>
              <w:rPr>
                <w:sz w:val="20"/>
                <w:szCs w:val="20"/>
                <w:color w:val="auto"/>
              </w:rPr>
            </w:pPr>
            <w:r>
              <w:rPr>
                <w:rFonts w:ascii="Times New Roman" w:cs="Times New Roman" w:eastAsia="Times New Roman" w:hAnsi="Times New Roman"/>
                <w:sz w:val="16"/>
                <w:szCs w:val="16"/>
                <w:color w:val="auto"/>
                <w:w w:val="99"/>
              </w:rPr>
              <w:t>113.5</w:t>
            </w:r>
          </w:p>
        </w:tc>
      </w:tr>
      <w:tr>
        <w:trPr>
          <w:trHeight w:val="203"/>
        </w:trPr>
        <w:tc>
          <w:tcPr>
            <w:tcW w:w="4560" w:type="dxa"/>
            <w:vAlign w:val="bottom"/>
          </w:tcPr>
          <w:p>
            <w:pPr>
              <w:spacing w:after="0"/>
              <w:rPr>
                <w:sz w:val="20"/>
                <w:szCs w:val="20"/>
                <w:color w:val="auto"/>
              </w:rPr>
            </w:pPr>
            <w:r>
              <w:rPr>
                <w:rFonts w:ascii="Times New Roman" w:cs="Times New Roman" w:eastAsia="Times New Roman" w:hAnsi="Times New Roman"/>
                <w:sz w:val="16"/>
                <w:szCs w:val="16"/>
                <w:color w:val="auto"/>
              </w:rPr>
              <w:t>December 31, 2024</w:t>
            </w:r>
          </w:p>
        </w:tc>
        <w:tc>
          <w:tcPr>
            <w:tcW w:w="1280" w:type="dxa"/>
            <w:vAlign w:val="bottom"/>
            <w:gridSpan w:val="2"/>
          </w:tcPr>
          <w:p>
            <w:pPr>
              <w:jc w:val="center"/>
              <w:ind w:left="202"/>
              <w:spacing w:after="0"/>
              <w:rPr>
                <w:sz w:val="20"/>
                <w:szCs w:val="20"/>
                <w:color w:val="auto"/>
              </w:rPr>
            </w:pPr>
            <w:r>
              <w:rPr>
                <w:rFonts w:ascii="Times New Roman" w:cs="Times New Roman" w:eastAsia="Times New Roman" w:hAnsi="Times New Roman"/>
                <w:sz w:val="16"/>
                <w:szCs w:val="16"/>
                <w:color w:val="auto"/>
                <w:w w:val="99"/>
              </w:rPr>
              <w:t>176.7</w:t>
            </w:r>
          </w:p>
        </w:tc>
        <w:tc>
          <w:tcPr>
            <w:tcW w:w="1260" w:type="dxa"/>
            <w:vAlign w:val="bottom"/>
            <w:gridSpan w:val="2"/>
          </w:tcPr>
          <w:p>
            <w:pPr>
              <w:jc w:val="center"/>
              <w:ind w:left="202"/>
              <w:spacing w:after="0"/>
              <w:rPr>
                <w:sz w:val="20"/>
                <w:szCs w:val="20"/>
                <w:color w:val="auto"/>
              </w:rPr>
            </w:pPr>
            <w:r>
              <w:rPr>
                <w:rFonts w:ascii="Times New Roman" w:cs="Times New Roman" w:eastAsia="Times New Roman" w:hAnsi="Times New Roman"/>
                <w:sz w:val="16"/>
                <w:szCs w:val="16"/>
                <w:color w:val="auto"/>
                <w:w w:val="94"/>
              </w:rPr>
              <w:t>197.0</w:t>
            </w:r>
          </w:p>
        </w:tc>
        <w:tc>
          <w:tcPr>
            <w:tcW w:w="1280" w:type="dxa"/>
            <w:vAlign w:val="bottom"/>
            <w:gridSpan w:val="2"/>
          </w:tcPr>
          <w:p>
            <w:pPr>
              <w:jc w:val="center"/>
              <w:ind w:left="202"/>
              <w:spacing w:after="0"/>
              <w:rPr>
                <w:sz w:val="20"/>
                <w:szCs w:val="20"/>
                <w:color w:val="auto"/>
              </w:rPr>
            </w:pPr>
            <w:r>
              <w:rPr>
                <w:rFonts w:ascii="Times New Roman" w:cs="Times New Roman" w:eastAsia="Times New Roman" w:hAnsi="Times New Roman"/>
                <w:sz w:val="16"/>
                <w:szCs w:val="16"/>
                <w:color w:val="auto"/>
                <w:w w:val="99"/>
              </w:rPr>
              <w:t>123.5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46355</wp:posOffset>
            </wp:positionV>
            <wp:extent cx="1326515"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26515" cy="7620"/>
                    </a:xfrm>
                    <a:prstGeom prst="rect">
                      <a:avLst/>
                    </a:prstGeom>
                    <a:noFill/>
                  </pic:spPr>
                </pic:pic>
              </a:graphicData>
            </a:graphic>
          </wp:anchor>
        </w:drawing>
      </w:r>
    </w:p>
    <w:p>
      <w:pPr>
        <w:spacing w:after="0" w:line="124" w:lineRule="exact"/>
        <w:rPr>
          <w:sz w:val="20"/>
          <w:szCs w:val="20"/>
          <w:color w:val="auto"/>
        </w:rPr>
      </w:pPr>
    </w:p>
    <w:p>
      <w:pPr>
        <w:ind w:left="600" w:right="580" w:hanging="282"/>
        <w:spacing w:after="0" w:line="243" w:lineRule="auto"/>
        <w:tabs>
          <w:tab w:leader="none" w:pos="6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graph and the accompanying text are not “soliciting material,” are not deemed filed with the SEC and are not to be incorporated by reference in any filing by us under the Securities Act of 1933, as amended, or the Securities Exchange Act of 1934, as amended, whether made before or after the date hereof and irrespective of any general incorporation language in any such filing.</w:t>
      </w:r>
    </w:p>
    <w:p>
      <w:pPr>
        <w:spacing w:after="0" w:line="167" w:lineRule="exact"/>
        <w:rPr>
          <w:rFonts w:ascii="Times New Roman" w:cs="Times New Roman" w:eastAsia="Times New Roman" w:hAnsi="Times New Roman"/>
          <w:sz w:val="16"/>
          <w:szCs w:val="16"/>
          <w:color w:val="auto"/>
        </w:rPr>
      </w:pPr>
    </w:p>
    <w:p>
      <w:pPr>
        <w:ind w:left="600" w:hanging="282"/>
        <w:spacing w:after="0"/>
        <w:tabs>
          <w:tab w:leader="none" w:pos="6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stock price performance shown on the graph is not necessarily indicative of future price performance.</w:t>
      </w:r>
    </w:p>
    <w:p>
      <w:pPr>
        <w:spacing w:after="0" w:line="188" w:lineRule="exact"/>
        <w:rPr>
          <w:rFonts w:ascii="Times New Roman" w:cs="Times New Roman" w:eastAsia="Times New Roman" w:hAnsi="Times New Roman"/>
          <w:sz w:val="16"/>
          <w:szCs w:val="16"/>
          <w:color w:val="auto"/>
        </w:rPr>
      </w:pPr>
    </w:p>
    <w:p>
      <w:pPr>
        <w:ind w:left="600" w:right="640" w:hanging="282"/>
        <w:spacing w:after="0" w:line="259" w:lineRule="auto"/>
        <w:tabs>
          <w:tab w:leader="none" w:pos="6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hypothetical investment in Digital Realty Trust, Inc.’s common stock presented in the stock performance graph above is based on the closing price of the common stock on December 31, 2019.</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59" w:name="page60"/>
    <w:bookmarkEnd w:id="59"/>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SALES OF UNREGISTERED EQUITY SECURITIES</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Digital Realty Trust, Inc.</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None.</w:t>
      </w:r>
    </w:p>
    <w:p>
      <w:pPr>
        <w:spacing w:after="0" w:line="1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Digital Realty Trust, L.P.</w:t>
      </w:r>
    </w:p>
    <w:p>
      <w:pPr>
        <w:spacing w:after="0" w:line="192" w:lineRule="exact"/>
        <w:rPr>
          <w:sz w:val="20"/>
          <w:szCs w:val="20"/>
          <w:color w:val="auto"/>
        </w:rPr>
      </w:pPr>
    </w:p>
    <w:p>
      <w:pPr>
        <w:ind w:left="320" w:right="340"/>
        <w:spacing w:after="0" w:line="247" w:lineRule="auto"/>
        <w:rPr>
          <w:sz w:val="20"/>
          <w:szCs w:val="20"/>
          <w:color w:val="auto"/>
        </w:rPr>
      </w:pPr>
      <w:r>
        <w:rPr>
          <w:rFonts w:ascii="Times New Roman" w:cs="Times New Roman" w:eastAsia="Times New Roman" w:hAnsi="Times New Roman"/>
          <w:sz w:val="16"/>
          <w:szCs w:val="16"/>
          <w:color w:val="auto"/>
        </w:rPr>
        <w:t>During the year ended December 31, 2024, our Operating Partnership issued partnership units in private placements in reliance on the exemption from registration provided by Section 4(a)(2) of the Securities Act, in the amounts and for the consideration set forth below:</w:t>
      </w:r>
    </w:p>
    <w:p>
      <w:pPr>
        <w:spacing w:after="0" w:line="164" w:lineRule="exact"/>
        <w:rPr>
          <w:sz w:val="20"/>
          <w:szCs w:val="20"/>
          <w:color w:val="auto"/>
        </w:rPr>
      </w:pPr>
    </w:p>
    <w:p>
      <w:pPr>
        <w:ind w:left="320" w:right="360"/>
        <w:spacing w:after="0" w:line="239" w:lineRule="auto"/>
        <w:rPr>
          <w:sz w:val="20"/>
          <w:szCs w:val="20"/>
          <w:color w:val="auto"/>
        </w:rPr>
      </w:pPr>
      <w:r>
        <w:rPr>
          <w:rFonts w:ascii="Times New Roman" w:cs="Times New Roman" w:eastAsia="Times New Roman" w:hAnsi="Times New Roman"/>
          <w:sz w:val="16"/>
          <w:szCs w:val="16"/>
          <w:color w:val="auto"/>
        </w:rPr>
        <w:t>During the year ended December 31, 2024, Digital Realty Trust, Inc. issued an aggregate of 392,050 shares of its common stock in connection with restricted stock awards for no cash consideration. For each share of common stock issued by Digital Realty Trust, Inc. in connection with such awards, our Operating Partnership issued a restricted common unit to Digital Realty Trust, Inc. During the year ended December 31, 2024, our Operating Partnership issued an aggregate of 392,050 common units to Digital Realty Trust, Inc., as required by our Operating Partnership’s partnership agreement. During the year ended December 31, 2024, an aggregate of 117,271 shares of its common stock were forfeited to Digital Realty Trust, Inc. in connection with restricted stock awards for a net issuance of 274,779 shares of common stock.</w:t>
      </w:r>
    </w:p>
    <w:p>
      <w:pPr>
        <w:spacing w:after="0" w:line="170" w:lineRule="exact"/>
        <w:rPr>
          <w:sz w:val="20"/>
          <w:szCs w:val="20"/>
          <w:color w:val="auto"/>
        </w:rPr>
      </w:pPr>
    </w:p>
    <w:p>
      <w:pPr>
        <w:ind w:left="320" w:right="280"/>
        <w:spacing w:after="0" w:line="241" w:lineRule="auto"/>
        <w:rPr>
          <w:sz w:val="20"/>
          <w:szCs w:val="20"/>
          <w:color w:val="auto"/>
        </w:rPr>
      </w:pPr>
      <w:r>
        <w:rPr>
          <w:rFonts w:ascii="Times New Roman" w:cs="Times New Roman" w:eastAsia="Times New Roman" w:hAnsi="Times New Roman"/>
          <w:sz w:val="16"/>
          <w:szCs w:val="16"/>
          <w:color w:val="auto"/>
        </w:rPr>
        <w:t>All other issuances of unregistered equity securities of our Operating Partnership during the year ended December 31, 2024 have been disclosed previously in filings with the SEC. For all issuances of units to Digital Realty Trust, Inc., our Operating Partnership relied on Digital Realty Trust, Inc.’s status as a publicly traded NYSE-listed company with over $45 billion in total consolidated assets and as our Operating Partnership’s majority owner and general partner as the basis for the exemption under Section 4(a)(2) of the Securities Act.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REPURCHASES OF EQUITY SECURITIES</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Digital Realty Trust, Inc.</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None.</w:t>
      </w:r>
    </w:p>
    <w:p>
      <w:pPr>
        <w:spacing w:after="0" w:line="2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Digital Realty Trust, L.P.</w:t>
      </w:r>
    </w:p>
    <w:p>
      <w:pPr>
        <w:spacing w:after="0" w:line="19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None.</w:t>
      </w:r>
    </w:p>
    <w:p>
      <w:pPr>
        <w:spacing w:after="0" w:line="174" w:lineRule="exact"/>
        <w:rPr>
          <w:sz w:val="20"/>
          <w:szCs w:val="20"/>
          <w:color w:val="auto"/>
        </w:rPr>
      </w:pPr>
    </w:p>
    <w:p>
      <w:pPr>
        <w:ind w:left="320"/>
        <w:spacing w:after="0"/>
        <w:tabs>
          <w:tab w:leader="none" w:pos="1140" w:val="left"/>
        </w:tabs>
        <w:rPr>
          <w:sz w:val="20"/>
          <w:szCs w:val="20"/>
          <w:color w:val="auto"/>
        </w:rPr>
      </w:pPr>
      <w:r>
        <w:rPr>
          <w:rFonts w:ascii="Times New Roman" w:cs="Times New Roman" w:eastAsia="Times New Roman" w:hAnsi="Times New Roman"/>
          <w:sz w:val="16"/>
          <w:szCs w:val="16"/>
          <w:b w:val="1"/>
          <w:bCs w:val="1"/>
          <w:color w:val="auto"/>
        </w:rPr>
        <w:t>ITEM 6.</w:t>
      </w:r>
      <w:r>
        <w:rPr>
          <w:sz w:val="20"/>
          <w:szCs w:val="20"/>
          <w:color w:val="auto"/>
        </w:rPr>
        <w:tab/>
      </w:r>
      <w:r>
        <w:rPr>
          <w:rFonts w:ascii="Times New Roman" w:cs="Times New Roman" w:eastAsia="Times New Roman" w:hAnsi="Times New Roman"/>
          <w:sz w:val="14"/>
          <w:szCs w:val="14"/>
          <w:b w:val="1"/>
          <w:bCs w:val="1"/>
          <w:color w:val="auto"/>
        </w:rPr>
        <w:t>[Reserved]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60" w:name="page61"/>
    <w:bookmarkEnd w:id="60"/>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ind w:left="320" w:right="860"/>
        <w:spacing w:after="0" w:line="262" w:lineRule="auto"/>
        <w:rPr>
          <w:sz w:val="20"/>
          <w:szCs w:val="20"/>
          <w:color w:val="auto"/>
        </w:rPr>
      </w:pPr>
      <w:r>
        <w:rPr>
          <w:rFonts w:ascii="Times New Roman" w:cs="Times New Roman" w:eastAsia="Times New Roman" w:hAnsi="Times New Roman"/>
          <w:sz w:val="16"/>
          <w:szCs w:val="16"/>
          <w:b w:val="1"/>
          <w:bCs w:val="1"/>
          <w:color w:val="auto"/>
        </w:rPr>
        <w:t>ITEM 7. MANAGEMENT’S DISCUSSION AND ANALYSIS OF FINANCIAL CONDITION AND RESULTS OF OPERATIONS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following discussion should be read in conjunction with the Consolidated Financial Statements and notes thereto included in Item</w:t>
      </w:r>
    </w:p>
    <w:p>
      <w:pPr>
        <w:spacing w:after="0" w:line="37" w:lineRule="exact"/>
        <w:rPr>
          <w:sz w:val="20"/>
          <w:szCs w:val="20"/>
          <w:color w:val="auto"/>
        </w:rPr>
      </w:pPr>
    </w:p>
    <w:p>
      <w:pPr>
        <w:ind w:left="320" w:right="360" w:hanging="2"/>
        <w:spacing w:after="0" w:line="237" w:lineRule="auto"/>
        <w:tabs>
          <w:tab w:leader="none" w:pos="476"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this report and the matters described under Item 1A. Risk Factors. We make statements in this section that are forward-looking statements within the meaning of the federal securities laws. For a complete discussion of forward-looking statements, see the section in this report entitled “Forward-Looking Statements.”</w:t>
      </w:r>
    </w:p>
    <w:p>
      <w:pPr>
        <w:spacing w:after="0" w:line="169" w:lineRule="exact"/>
        <w:rPr>
          <w:sz w:val="20"/>
          <w:szCs w:val="20"/>
          <w:color w:val="auto"/>
        </w:rPr>
      </w:pPr>
    </w:p>
    <w:p>
      <w:pPr>
        <w:ind w:left="320" w:right="300"/>
        <w:spacing w:after="0" w:line="241" w:lineRule="auto"/>
        <w:rPr>
          <w:sz w:val="20"/>
          <w:szCs w:val="20"/>
          <w:color w:val="auto"/>
        </w:rPr>
      </w:pPr>
      <w:r>
        <w:rPr>
          <w:rFonts w:ascii="Times New Roman" w:cs="Times New Roman" w:eastAsia="Times New Roman" w:hAnsi="Times New Roman"/>
          <w:sz w:val="16"/>
          <w:szCs w:val="16"/>
          <w:color w:val="auto"/>
        </w:rPr>
        <w:t>A discussion regarding our financial condition and results of operations for 2024 as compared to 2023 is presented herein. Information on 2022 is presented in graphs and other tables only to show year-over-year trends in our results of operations and operating metrics. Our financial condition for 2022 and results of operations for 2022 – and also 2022 as compared to 2023 – can be found under Item 7. Management’s Discussion and Analysis of Financial Condition and Results of Operations, of our Annual Report on Form 10-K for the fiscal year ended December 31, 2023, filed with the SEC on February 23, 2024.</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Business Overview and Strategy</w:t>
      </w:r>
    </w:p>
    <w:p>
      <w:pPr>
        <w:spacing w:after="0" w:line="192" w:lineRule="exact"/>
        <w:rPr>
          <w:sz w:val="20"/>
          <w:szCs w:val="20"/>
          <w:color w:val="auto"/>
        </w:rPr>
      </w:pPr>
    </w:p>
    <w:p>
      <w:pPr>
        <w:ind w:left="320" w:right="440"/>
        <w:spacing w:after="0" w:line="284" w:lineRule="auto"/>
        <w:rPr>
          <w:sz w:val="20"/>
          <w:szCs w:val="20"/>
          <w:color w:val="auto"/>
        </w:rPr>
      </w:pPr>
      <w:r>
        <w:rPr>
          <w:rFonts w:ascii="Times New Roman" w:cs="Times New Roman" w:eastAsia="Times New Roman" w:hAnsi="Times New Roman"/>
          <w:sz w:val="14"/>
          <w:szCs w:val="14"/>
          <w:color w:val="auto"/>
        </w:rPr>
        <w:t>Digital Realty Trust, Inc., through its controlling interest in Digital Realty Trust, L.P. and its subsidiaries, delivers comprehensive space, power, and interconnection solutions that enable its customers and partners to connect with each other and service their own customers on a global technology and real estate platform. We are a leading global provider of data center, colocation and interconnection solutions for customers across a variety of industry verticals. Digital Realty Trust, Inc. operates as a REIT for U.S. federal income tax purposes, and our Operating Partnership is the entity through which we conduct our business and own our assets.</w:t>
      </w:r>
    </w:p>
    <w:p>
      <w:pPr>
        <w:spacing w:after="0" w:line="1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Our primary business objectives are to maximize:</w:t>
      </w:r>
    </w:p>
    <w:p>
      <w:pPr>
        <w:spacing w:after="0" w:line="188" w:lineRule="exact"/>
        <w:rPr>
          <w:sz w:val="20"/>
          <w:szCs w:val="20"/>
          <w:color w:val="auto"/>
        </w:rPr>
      </w:pPr>
    </w:p>
    <w:p>
      <w:pPr>
        <w:ind w:left="900" w:hanging="294"/>
        <w:spacing w:after="0"/>
        <w:tabs>
          <w:tab w:leader="none" w:pos="9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sustainable long-term growth in earnings and funds from operations per share and unit;</w:t>
      </w:r>
    </w:p>
    <w:p>
      <w:pPr>
        <w:spacing w:after="0" w:line="14" w:lineRule="exact"/>
        <w:rPr>
          <w:rFonts w:ascii="Times New Roman" w:cs="Times New Roman" w:eastAsia="Times New Roman" w:hAnsi="Times New Roman"/>
          <w:sz w:val="16"/>
          <w:szCs w:val="16"/>
          <w:color w:val="auto"/>
        </w:rPr>
      </w:pPr>
    </w:p>
    <w:p>
      <w:pPr>
        <w:ind w:left="900" w:right="440" w:hanging="294"/>
        <w:spacing w:after="0" w:line="234" w:lineRule="auto"/>
        <w:tabs>
          <w:tab w:leader="none" w:pos="9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flow and returns to our stockholders and Digital Realty Trust, L.P.’s unitholders through the payment of distributions; and</w:t>
      </w:r>
    </w:p>
    <w:p>
      <w:pPr>
        <w:spacing w:after="0" w:line="1" w:lineRule="exact"/>
        <w:rPr>
          <w:rFonts w:ascii="Times New Roman" w:cs="Times New Roman" w:eastAsia="Times New Roman" w:hAnsi="Times New Roman"/>
          <w:sz w:val="16"/>
          <w:szCs w:val="16"/>
          <w:color w:val="auto"/>
        </w:rPr>
      </w:pPr>
    </w:p>
    <w:p>
      <w:pPr>
        <w:ind w:left="900" w:hanging="294"/>
        <w:spacing w:after="0"/>
        <w:tabs>
          <w:tab w:leader="none" w:pos="9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return on invested capital.</w:t>
      </w:r>
    </w:p>
    <w:p>
      <w:pPr>
        <w:spacing w:after="0" w:line="194" w:lineRule="exact"/>
        <w:rPr>
          <w:sz w:val="20"/>
          <w:szCs w:val="20"/>
          <w:color w:val="auto"/>
        </w:rPr>
      </w:pPr>
    </w:p>
    <w:p>
      <w:pPr>
        <w:ind w:left="320" w:right="640"/>
        <w:spacing w:after="0" w:line="243" w:lineRule="auto"/>
        <w:rPr>
          <w:sz w:val="20"/>
          <w:szCs w:val="20"/>
          <w:color w:val="auto"/>
        </w:rPr>
      </w:pPr>
      <w:r>
        <w:rPr>
          <w:rFonts w:ascii="Times New Roman" w:cs="Times New Roman" w:eastAsia="Times New Roman" w:hAnsi="Times New Roman"/>
          <w:sz w:val="16"/>
          <w:szCs w:val="16"/>
          <w:color w:val="auto"/>
        </w:rPr>
        <w:t>We expect to accomplish our objectives by achieving superior risk-adjusted returns, prudently allocating capital, diversifying our product offerings, accelerating our global reach and scale, and driving revenue growth and operating efficiencies. A significant component of our current and future internal growth is anticipated through the development of our existing space held for development, acquisition of land for future development, and acquisition of new properties.</w:t>
      </w:r>
    </w:p>
    <w:p>
      <w:pPr>
        <w:spacing w:after="0" w:line="167" w:lineRule="exact"/>
        <w:rPr>
          <w:sz w:val="20"/>
          <w:szCs w:val="20"/>
          <w:color w:val="auto"/>
        </w:rPr>
      </w:pPr>
    </w:p>
    <w:p>
      <w:pPr>
        <w:ind w:left="320" w:right="380"/>
        <w:spacing w:after="0" w:line="239" w:lineRule="auto"/>
        <w:rPr>
          <w:sz w:val="20"/>
          <w:szCs w:val="20"/>
          <w:color w:val="auto"/>
        </w:rPr>
      </w:pPr>
      <w:r>
        <w:rPr>
          <w:rFonts w:ascii="Times New Roman" w:cs="Times New Roman" w:eastAsia="Times New Roman" w:hAnsi="Times New Roman"/>
          <w:sz w:val="16"/>
          <w:szCs w:val="16"/>
          <w:color w:val="auto"/>
        </w:rPr>
        <w:t>We target high-quality, strategically located properties containing the physical and connectivity infrastructure that supports the applications and operations of data center and technology industry customers and properties that may be developed for such use. Most of our data center properties contain fully redundant electrical supply systems, multiple power feeds, above-standard cooling systems, raised floor areas, extensive in-building communications cabling and high-level security systems. Fundamentally, we bring together foundational real estate and innovative technology expertise around the world to deliver a comprehensive, dedicated product suite to meet customers’ data and connectivity needs. We represent an important part of the digital economy that we believe will benefit from powerful, long-term growth drivers.</w:t>
      </w:r>
    </w:p>
    <w:p>
      <w:pPr>
        <w:spacing w:after="0" w:line="170" w:lineRule="exact"/>
        <w:rPr>
          <w:sz w:val="20"/>
          <w:szCs w:val="20"/>
          <w:color w:val="auto"/>
        </w:rPr>
      </w:pPr>
    </w:p>
    <w:p>
      <w:pPr>
        <w:ind w:left="320" w:right="440"/>
        <w:spacing w:after="0" w:line="243" w:lineRule="auto"/>
        <w:rPr>
          <w:sz w:val="20"/>
          <w:szCs w:val="20"/>
          <w:color w:val="auto"/>
        </w:rPr>
      </w:pPr>
      <w:r>
        <w:rPr>
          <w:rFonts w:ascii="Times New Roman" w:cs="Times New Roman" w:eastAsia="Times New Roman" w:hAnsi="Times New Roman"/>
          <w:sz w:val="16"/>
          <w:szCs w:val="16"/>
          <w:color w:val="auto"/>
        </w:rPr>
        <w:t>We have developed detailed, standardized procedures for evaluating new real estate investments to ensure that they meet our financial, technical and other criteria. We expect to continue to acquire additional assets as part of our growth strategy. We intend to aggressively manage and lease our assets to increase their cash flow. We may continue to build out our development portfolio when justified by anticipated demand and returns.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61" w:name="page62"/>
    <w:bookmarkEnd w:id="61"/>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6" w:lineRule="exact"/>
        <w:rPr>
          <w:sz w:val="20"/>
          <w:szCs w:val="20"/>
          <w:color w:val="auto"/>
        </w:rPr>
      </w:pPr>
    </w:p>
    <w:p>
      <w:pPr>
        <w:ind w:left="320" w:right="360"/>
        <w:spacing w:after="0" w:line="239" w:lineRule="auto"/>
        <w:rPr>
          <w:sz w:val="20"/>
          <w:szCs w:val="20"/>
          <w:color w:val="auto"/>
        </w:rPr>
      </w:pPr>
      <w:r>
        <w:rPr>
          <w:rFonts w:ascii="Times New Roman" w:cs="Times New Roman" w:eastAsia="Times New Roman" w:hAnsi="Times New Roman"/>
          <w:sz w:val="16"/>
          <w:szCs w:val="16"/>
          <w:color w:val="auto"/>
        </w:rPr>
        <w:t>We may acquire properties subject to existing mortgage financing and other indebtedness or we may incur new indebtedness in connection with acquiring or refinancing these properties. Debt service on such indebtedness will have a priority over any cash dividends with respect to Digital Realty Trust, Inc.’s common stock and preferred stock. We are committed to maintaining a conservative capital structure. Our goal is to average through business cycles the following financial ratios: 1) a debt-to-Adjusted EBITDA ratio around 5.5x, 2) a fixed charge coverage of greater than three times, and 3) floating rate debt at less than 20% of total outstanding debt. In addition, we strive to maintain a well-laddered debt maturity schedule, and we seek to maximize the menu of our available sources of capital, while minimizing the cost.</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Summary of 2024 Significant Activities</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We completed the following significant activities in 2024 as described in the Notes to the Consolidated Financial Statements:</w:t>
      </w:r>
    </w:p>
    <w:p>
      <w:pPr>
        <w:spacing w:after="0" w:line="190" w:lineRule="exact"/>
        <w:rPr>
          <w:sz w:val="20"/>
          <w:szCs w:val="20"/>
          <w:color w:val="auto"/>
        </w:rPr>
      </w:pPr>
    </w:p>
    <w:p>
      <w:pPr>
        <w:ind w:left="900" w:hanging="294"/>
        <w:spacing w:after="0"/>
        <w:tabs>
          <w:tab w:leader="none" w:pos="9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January 2024, we:</w:t>
      </w:r>
    </w:p>
    <w:p>
      <w:pPr>
        <w:spacing w:after="0" w:line="188" w:lineRule="exact"/>
        <w:rPr>
          <w:sz w:val="20"/>
          <w:szCs w:val="20"/>
          <w:color w:val="auto"/>
        </w:rPr>
      </w:pPr>
    </w:p>
    <w:p>
      <w:pPr>
        <w:ind w:left="1480" w:right="320" w:hanging="297"/>
        <w:spacing w:after="0" w:line="236" w:lineRule="auto"/>
        <w:tabs>
          <w:tab w:leader="none" w:pos="1480" w:val="left"/>
        </w:tabs>
        <w:numPr>
          <w:ilvl w:val="1"/>
          <w:numId w:val="34"/>
        </w:numPr>
        <w:rPr>
          <w:rFonts w:ascii="Courier New" w:cs="Courier New" w:eastAsia="Courier New" w:hAnsi="Courier New"/>
          <w:sz w:val="16"/>
          <w:szCs w:val="16"/>
          <w:color w:val="auto"/>
        </w:rPr>
      </w:pPr>
      <w:r>
        <w:rPr>
          <w:rFonts w:ascii="Times New Roman" w:cs="Times New Roman" w:eastAsia="Times New Roman" w:hAnsi="Times New Roman"/>
          <w:sz w:val="16"/>
          <w:szCs w:val="16"/>
          <w:color w:val="auto"/>
        </w:rPr>
        <w:t>formed a joint venture with Blackstone Inc. to develop four hyperscale data center campuses across Frankfurt, Paris and Northern Virginia. We received approximately $231 million of net proceeds from the contribution of our data centers to the first phase of the joint venture and retained a 20% interest in the joint venture. As a result of transferring control, we derecognized the data centers and recognized a loss on disposition of approximately</w:t>
      </w:r>
    </w:p>
    <w:p>
      <w:pPr>
        <w:spacing w:after="0" w:line="1" w:lineRule="exact"/>
        <w:rPr>
          <w:rFonts w:ascii="Courier New" w:cs="Courier New" w:eastAsia="Courier New" w:hAnsi="Courier New"/>
          <w:sz w:val="16"/>
          <w:szCs w:val="16"/>
          <w:color w:val="auto"/>
        </w:rPr>
      </w:pPr>
    </w:p>
    <w:p>
      <w:pPr>
        <w:ind w:left="1480" w:right="340"/>
        <w:spacing w:after="0" w:line="238" w:lineRule="auto"/>
        <w:rPr>
          <w:rFonts w:ascii="Courier New" w:cs="Courier New" w:eastAsia="Courier New" w:hAnsi="Courier New"/>
          <w:sz w:val="16"/>
          <w:szCs w:val="16"/>
          <w:color w:val="auto"/>
        </w:rPr>
      </w:pPr>
      <w:r>
        <w:rPr>
          <w:rFonts w:ascii="Times New Roman" w:cs="Times New Roman" w:eastAsia="Times New Roman" w:hAnsi="Times New Roman"/>
          <w:sz w:val="16"/>
          <w:szCs w:val="16"/>
          <w:color w:val="auto"/>
        </w:rPr>
        <w:t>$0.3 million. We perform the day-to-day accounting and property management functions for the joint ventures and, as such, will earn management fees; and</w:t>
      </w:r>
    </w:p>
    <w:p>
      <w:pPr>
        <w:spacing w:after="0" w:line="169" w:lineRule="exact"/>
        <w:rPr>
          <w:rFonts w:ascii="Courier New" w:cs="Courier New" w:eastAsia="Courier New" w:hAnsi="Courier New"/>
          <w:sz w:val="16"/>
          <w:szCs w:val="16"/>
          <w:color w:val="auto"/>
        </w:rPr>
      </w:pPr>
    </w:p>
    <w:p>
      <w:pPr>
        <w:ind w:left="1480" w:right="320" w:hanging="297"/>
        <w:spacing w:after="0" w:line="236" w:lineRule="auto"/>
        <w:tabs>
          <w:tab w:leader="none" w:pos="1480" w:val="left"/>
        </w:tabs>
        <w:numPr>
          <w:ilvl w:val="1"/>
          <w:numId w:val="34"/>
        </w:numPr>
        <w:rPr>
          <w:rFonts w:ascii="Courier New" w:cs="Courier New" w:eastAsia="Courier New" w:hAnsi="Courier New"/>
          <w:sz w:val="16"/>
          <w:szCs w:val="16"/>
          <w:color w:val="auto"/>
        </w:rPr>
      </w:pPr>
      <w:r>
        <w:rPr>
          <w:rFonts w:ascii="Times New Roman" w:cs="Times New Roman" w:eastAsia="Times New Roman" w:hAnsi="Times New Roman"/>
          <w:sz w:val="16"/>
          <w:szCs w:val="16"/>
          <w:color w:val="auto"/>
        </w:rPr>
        <w:t>closed on the sale of our interest in four data centers to Brookfield Infrastructure Partners L.P., or Brookfield, for approximately $271 million. The sale was completed subsequent to Brookfield’s November 2023 acquisition of one of our customers, Cyxtera Technologies. As a result of the sale, we recognized a total gain on disposition of approximately $200.5 million, of which $191.6 million is included within Gain on disposition of properties, net and $8.9 million is included within Equity in (loss) earnings of unconsolidated entities on our condensed consolidated income statements.</w:t>
      </w:r>
    </w:p>
    <w:p>
      <w:pPr>
        <w:spacing w:after="0" w:line="173" w:lineRule="exact"/>
        <w:rPr>
          <w:rFonts w:ascii="Courier New" w:cs="Courier New" w:eastAsia="Courier New" w:hAnsi="Courier New"/>
          <w:sz w:val="16"/>
          <w:szCs w:val="16"/>
          <w:color w:val="auto"/>
        </w:rPr>
      </w:pPr>
    </w:p>
    <w:p>
      <w:pPr>
        <w:ind w:left="900" w:right="380" w:hanging="294"/>
        <w:spacing w:after="0" w:line="278" w:lineRule="auto"/>
        <w:tabs>
          <w:tab w:leader="none" w:pos="9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March 2024, we formed a joint venture with Mitsubishi Corporation, or Mitsubishi, to support the development of two data centers in the Dallas metro area. The facilities were 100% pre-leased prior to construction. We contributed the two data center buildings at a contribution value of approximately $261 million. We received approximately $153 million of gross proceeds from the contribution of our data centers to the joint venture and retained a 35% interest in the joint venture. Mitsubishi contributed such cash in exchange for a 65% interest in the joint venture. As a result of transferring control, we derecognized the data centers and recognized a gain on disposition of approximately $7.0 million. We perform the day-to-day accounting and property management functions for the joint venture and, as such, will earn a management fee.</w:t>
      </w:r>
    </w:p>
    <w:p>
      <w:pPr>
        <w:spacing w:after="0" w:line="147" w:lineRule="exact"/>
        <w:rPr>
          <w:rFonts w:ascii="Times New Roman" w:cs="Times New Roman" w:eastAsia="Times New Roman" w:hAnsi="Times New Roman"/>
          <w:sz w:val="14"/>
          <w:szCs w:val="14"/>
          <w:color w:val="auto"/>
        </w:rPr>
      </w:pPr>
    </w:p>
    <w:p>
      <w:pPr>
        <w:ind w:left="900" w:hanging="294"/>
        <w:spacing w:after="0"/>
        <w:tabs>
          <w:tab w:leader="none" w:pos="9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April 2024, we:</w:t>
      </w:r>
    </w:p>
    <w:p>
      <w:pPr>
        <w:spacing w:after="0" w:line="188" w:lineRule="exact"/>
        <w:rPr>
          <w:rFonts w:ascii="Times New Roman" w:cs="Times New Roman" w:eastAsia="Times New Roman" w:hAnsi="Times New Roman"/>
          <w:sz w:val="16"/>
          <w:szCs w:val="16"/>
          <w:color w:val="auto"/>
        </w:rPr>
      </w:pPr>
    </w:p>
    <w:p>
      <w:pPr>
        <w:ind w:left="1480" w:right="340" w:hanging="297"/>
        <w:spacing w:after="0" w:line="236" w:lineRule="auto"/>
        <w:tabs>
          <w:tab w:leader="none" w:pos="1480" w:val="left"/>
        </w:tabs>
        <w:numPr>
          <w:ilvl w:val="1"/>
          <w:numId w:val="34"/>
        </w:numPr>
        <w:rPr>
          <w:rFonts w:ascii="Courier New" w:cs="Courier New" w:eastAsia="Courier New" w:hAnsi="Courier New"/>
          <w:sz w:val="16"/>
          <w:szCs w:val="16"/>
          <w:color w:val="auto"/>
        </w:rPr>
      </w:pPr>
      <w:r>
        <w:rPr>
          <w:rFonts w:ascii="Times New Roman" w:cs="Times New Roman" w:eastAsia="Times New Roman" w:hAnsi="Times New Roman"/>
          <w:sz w:val="16"/>
          <w:szCs w:val="16"/>
          <w:color w:val="auto"/>
        </w:rPr>
        <w:t>expanded our existing joint venture with GI Partners with the sale to GI Partners of a 75% interest in a third facility on the same hyperscale data center campus in Chicago. We contributed the data center at a value of approximately $453 million. We received approximately $386 million of net proceeds from the contribution of our data center to the joint venture and the associated financing and retained a 25% interest in the joint venture. As a result of transferring control, we derecognized the data center and recognized a gain on disposition of approximately $172 million; and</w:t>
      </w:r>
    </w:p>
    <w:p>
      <w:pPr>
        <w:spacing w:after="0" w:line="173" w:lineRule="exact"/>
        <w:rPr>
          <w:rFonts w:ascii="Courier New" w:cs="Courier New" w:eastAsia="Courier New" w:hAnsi="Courier New"/>
          <w:sz w:val="16"/>
          <w:szCs w:val="16"/>
          <w:color w:val="auto"/>
        </w:rPr>
      </w:pPr>
    </w:p>
    <w:p>
      <w:pPr>
        <w:ind w:left="1480" w:right="540" w:hanging="297"/>
        <w:spacing w:after="0" w:line="237" w:lineRule="auto"/>
        <w:tabs>
          <w:tab w:leader="none" w:pos="1480" w:val="left"/>
        </w:tabs>
        <w:numPr>
          <w:ilvl w:val="1"/>
          <w:numId w:val="34"/>
        </w:numPr>
        <w:rPr>
          <w:rFonts w:ascii="Courier New" w:cs="Courier New" w:eastAsia="Courier New" w:hAnsi="Courier New"/>
          <w:sz w:val="16"/>
          <w:szCs w:val="16"/>
          <w:color w:val="auto"/>
        </w:rPr>
      </w:pPr>
      <w:r>
        <w:rPr>
          <w:rFonts w:ascii="Times New Roman" w:cs="Times New Roman" w:eastAsia="Times New Roman" w:hAnsi="Times New Roman"/>
          <w:sz w:val="16"/>
          <w:szCs w:val="16"/>
          <w:color w:val="auto"/>
        </w:rPr>
        <w:t>completed the sale of an additional 24.9% interest in a data center facility in Frankfurt, Germany to DCREIT for total consideration of approximately $126 million, and DCREIT then had a 49.9% interest in the Frankfurt data center. Because the Company still controlled this asset, no gain or loss was recorded on this 49.9% interest. In connection with this transaction, DCREIT loaned the consolidated subsidiary that owns the data center approximately $80 million. In December 2024, we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62" w:name="page63"/>
    <w:bookmarkEnd w:id="62"/>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6" w:lineRule="exact"/>
        <w:rPr>
          <w:sz w:val="20"/>
          <w:szCs w:val="20"/>
          <w:color w:val="auto"/>
        </w:rPr>
      </w:pPr>
    </w:p>
    <w:p>
      <w:pPr>
        <w:ind w:left="1480" w:right="440"/>
        <w:spacing w:after="0" w:line="241" w:lineRule="auto"/>
        <w:rPr>
          <w:sz w:val="20"/>
          <w:szCs w:val="20"/>
          <w:color w:val="auto"/>
        </w:rPr>
      </w:pPr>
      <w:r>
        <w:rPr>
          <w:rFonts w:ascii="Times New Roman" w:cs="Times New Roman" w:eastAsia="Times New Roman" w:hAnsi="Times New Roman"/>
          <w:sz w:val="16"/>
          <w:szCs w:val="16"/>
          <w:color w:val="auto"/>
        </w:rPr>
        <w:t>closed on the sale to DCREIT of an additional 15.1% interest in a data center located in Frankfurt, Germany for approximately $77 million. The transaction valued the Frankfurt facility at €470 million or $ 498 million (at 100% share). Including two prior investments, DCREIT now owns a 65% interest in this Frankfurt data center. We have retained a 35% interest in the Frankfurt facility. As a result of transferring control, we derecognized the Frankfurt facility and recognized a gain on disposition of approximately $101 million; and</w:t>
      </w:r>
    </w:p>
    <w:p>
      <w:pPr>
        <w:spacing w:after="0" w:line="157" w:lineRule="exact"/>
        <w:rPr>
          <w:sz w:val="20"/>
          <w:szCs w:val="20"/>
          <w:color w:val="auto"/>
        </w:rPr>
      </w:pPr>
    </w:p>
    <w:p>
      <w:pPr>
        <w:ind w:left="900" w:right="360" w:hanging="294"/>
        <w:spacing w:after="0" w:line="239" w:lineRule="auto"/>
        <w:tabs>
          <w:tab w:leader="none" w:pos="90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May 2024, Digital Realty Trust, Inc. and Digital Realty Trust, L.P. entered into an underwriting agreement with BofA Securities, Inc., Citigroup Global Markets Inc. and J.P. Morgan Securities LLC, as representatives of the several underwriters relating to the sale of up to approximately 12.1 million shares of common stock (including approximately 1.6 million shares that the underwriters had the option to purchase, and which option was exercised in full on May 8, 2024), at a purchase price to the underwriters of $136.66 per share. The offering closed on May 10, 2024, and we received net proceeds of approximately $1.7 billion.</w:t>
      </w:r>
    </w:p>
    <w:p>
      <w:pPr>
        <w:spacing w:after="0" w:line="173" w:lineRule="exact"/>
        <w:rPr>
          <w:rFonts w:ascii="Times New Roman" w:cs="Times New Roman" w:eastAsia="Times New Roman" w:hAnsi="Times New Roman"/>
          <w:sz w:val="16"/>
          <w:szCs w:val="16"/>
          <w:color w:val="auto"/>
        </w:rPr>
      </w:pPr>
    </w:p>
    <w:p>
      <w:pPr>
        <w:ind w:left="900" w:hanging="294"/>
        <w:spacing w:after="0"/>
        <w:tabs>
          <w:tab w:leader="none" w:pos="90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September 2024:</w:t>
      </w:r>
    </w:p>
    <w:p>
      <w:pPr>
        <w:spacing w:after="0" w:line="188" w:lineRule="exact"/>
        <w:rPr>
          <w:sz w:val="20"/>
          <w:szCs w:val="20"/>
          <w:color w:val="auto"/>
        </w:rPr>
      </w:pPr>
    </w:p>
    <w:p>
      <w:pPr>
        <w:ind w:left="1480" w:right="480" w:hanging="297"/>
        <w:spacing w:after="0" w:line="282" w:lineRule="auto"/>
        <w:tabs>
          <w:tab w:leader="none" w:pos="1480" w:val="left"/>
        </w:tabs>
        <w:numPr>
          <w:ilvl w:val="1"/>
          <w:numId w:val="36"/>
        </w:numPr>
        <w:rPr>
          <w:rFonts w:ascii="Courier New" w:cs="Courier New" w:eastAsia="Courier New" w:hAnsi="Courier New"/>
          <w:sz w:val="14"/>
          <w:szCs w:val="14"/>
          <w:color w:val="auto"/>
        </w:rPr>
      </w:pPr>
      <w:r>
        <w:rPr>
          <w:rFonts w:ascii="Times New Roman" w:cs="Times New Roman" w:eastAsia="Times New Roman" w:hAnsi="Times New Roman"/>
          <w:sz w:val="14"/>
          <w:szCs w:val="14"/>
          <w:color w:val="auto"/>
        </w:rPr>
        <w:t>Digital Dutch Finco B.V., an indirect wholly owned finance subsidiary of the Operating Partnership, issued and sold €850 million aggregate principal amount of 3.875% Guaranteed Notes due 2033 (the “2033 Notes”). Net proceeds from the offering were approximately €843 million (approximately $933 million based on the exchange rate on September 13, 2024) after deducting managers’ discounts and estimated offering expenses; and</w:t>
      </w:r>
    </w:p>
    <w:p>
      <w:pPr>
        <w:spacing w:after="0" w:line="141" w:lineRule="exact"/>
        <w:rPr>
          <w:rFonts w:ascii="Courier New" w:cs="Courier New" w:eastAsia="Courier New" w:hAnsi="Courier New"/>
          <w:sz w:val="14"/>
          <w:szCs w:val="14"/>
          <w:color w:val="auto"/>
        </w:rPr>
      </w:pPr>
    </w:p>
    <w:p>
      <w:pPr>
        <w:ind w:left="1480" w:right="500" w:hanging="297"/>
        <w:spacing w:after="0" w:line="276" w:lineRule="auto"/>
        <w:tabs>
          <w:tab w:leader="none" w:pos="1480" w:val="left"/>
        </w:tabs>
        <w:numPr>
          <w:ilvl w:val="1"/>
          <w:numId w:val="36"/>
        </w:numPr>
        <w:rPr>
          <w:rFonts w:ascii="Courier New" w:cs="Courier New" w:eastAsia="Courier New" w:hAnsi="Courier New"/>
          <w:sz w:val="14"/>
          <w:szCs w:val="14"/>
          <w:color w:val="auto"/>
        </w:rPr>
      </w:pPr>
      <w:r>
        <w:rPr>
          <w:rFonts w:ascii="Times New Roman" w:cs="Times New Roman" w:eastAsia="Times New Roman" w:hAnsi="Times New Roman"/>
          <w:sz w:val="14"/>
          <w:szCs w:val="14"/>
          <w:color w:val="auto"/>
        </w:rPr>
        <w:t>we refinanced our Global Revolving Credit Facility and Yen Revolving Credit Facility. The Global Revolving Credit Facilities provide for borrowings up to $4.4 billion (including approximately $0.3 billion available to be drawn on the Yen Revolving Credit Facility) based on currency commitments and foreign exchange rates as of December 31, 2024. The Global Revolving Credit Facility provides for borrowings in a variety of currencies and can be increased by an additional $1.8 billion, subject to receipt of lender commitments and other conditions precedent. Both facilities mature on January 24, 2029, with two six-month extension options available.</w:t>
      </w:r>
    </w:p>
    <w:p>
      <w:pPr>
        <w:spacing w:after="0" w:line="148" w:lineRule="exact"/>
        <w:rPr>
          <w:rFonts w:ascii="Courier New" w:cs="Courier New" w:eastAsia="Courier New" w:hAnsi="Courier New"/>
          <w:sz w:val="14"/>
          <w:szCs w:val="14"/>
          <w:color w:val="auto"/>
        </w:rPr>
      </w:pPr>
    </w:p>
    <w:p>
      <w:pPr>
        <w:ind w:left="900" w:right="500" w:hanging="294"/>
        <w:spacing w:after="0" w:line="247" w:lineRule="auto"/>
        <w:tabs>
          <w:tab w:leader="none" w:pos="9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November 2024, Digital Realty Trust, L.P. issued $1,150,000,000 principal amount of its 1.875% Exchangeable Senior Notes due 2029 (the “Exchangeable Notes”). Net proceeds from the offering were approximately $1.13 billion after deducting managers’ discounts and offering expenses.</w:t>
      </w:r>
    </w:p>
    <w:p>
      <w:pPr>
        <w:spacing w:after="0" w:line="164" w:lineRule="exact"/>
        <w:rPr>
          <w:rFonts w:ascii="Times New Roman" w:cs="Times New Roman" w:eastAsia="Times New Roman" w:hAnsi="Times New Roman"/>
          <w:sz w:val="16"/>
          <w:szCs w:val="16"/>
          <w:color w:val="auto"/>
        </w:rPr>
      </w:pPr>
    </w:p>
    <w:p>
      <w:pPr>
        <w:ind w:left="900" w:right="380" w:hanging="294"/>
        <w:spacing w:after="0" w:line="289" w:lineRule="auto"/>
        <w:tabs>
          <w:tab w:leader="none" w:pos="9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December 2024, the second phase of the Blackstone Inc. joint venture closed on hyperscale data center campuses in Frankfurt and Northern Virginia. We received approximately $385 million of net proceeds from the contribution of our data centers to the second phase of the joint venture and retained a 20% interest in the joint venture. As a result of transferring control, we derecognized the data centers and recognized a gain on disposition of approximately $44.5 million.</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63" w:name="page64"/>
    <w:bookmarkEnd w:id="63"/>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Revenue Base</w:t>
      </w:r>
    </w:p>
    <w:p>
      <w:pPr>
        <w:spacing w:after="0" w:line="192" w:lineRule="exact"/>
        <w:rPr>
          <w:sz w:val="20"/>
          <w:szCs w:val="20"/>
          <w:color w:val="auto"/>
        </w:rPr>
      </w:pPr>
    </w:p>
    <w:p>
      <w:pPr>
        <w:jc w:val="both"/>
        <w:ind w:left="320" w:right="360"/>
        <w:spacing w:after="0" w:line="277" w:lineRule="auto"/>
        <w:rPr>
          <w:sz w:val="20"/>
          <w:szCs w:val="20"/>
          <w:color w:val="auto"/>
        </w:rPr>
      </w:pPr>
      <w:r>
        <w:rPr>
          <w:rFonts w:ascii="Times New Roman" w:cs="Times New Roman" w:eastAsia="Times New Roman" w:hAnsi="Times New Roman"/>
          <w:sz w:val="14"/>
          <w:szCs w:val="14"/>
          <w:color w:val="auto"/>
        </w:rPr>
        <w:t>Most of our revenue consists of rental income generated by the data centers in our portfolio. Our ability to generate and grow revenue depends on several factors, including our ability to maintain or improve occupancy rates. A summary of our data center portfolio and related square feet (in thousands) occupied (excluding space under development or held for development) is shown below.</w:t>
      </w:r>
    </w:p>
    <w:p>
      <w:pPr>
        <w:spacing w:after="0" w:line="1" w:lineRule="exact"/>
        <w:rPr>
          <w:sz w:val="20"/>
          <w:szCs w:val="20"/>
          <w:color w:val="auto"/>
        </w:rPr>
      </w:pPr>
    </w:p>
    <w:p>
      <w:pPr>
        <w:ind w:left="320" w:right="480"/>
        <w:spacing w:after="0" w:line="236" w:lineRule="auto"/>
        <w:rPr>
          <w:sz w:val="20"/>
          <w:szCs w:val="20"/>
          <w:color w:val="auto"/>
        </w:rPr>
      </w:pPr>
      <w:r>
        <w:rPr>
          <w:rFonts w:ascii="Times New Roman" w:cs="Times New Roman" w:eastAsia="Times New Roman" w:hAnsi="Times New Roman"/>
          <w:sz w:val="16"/>
          <w:szCs w:val="16"/>
          <w:color w:val="auto"/>
        </w:rPr>
        <w:t>Unconsolidated portfolios shown below consist of assets owned by unconsolidated entities in which we have invested. We often provide management services for these entities under management agreements and receive management fees. These are shown as Managed Unconsolidated Portfolio. Entities for which we do not provide such services are shown as Non-Managed Unconsolidated Portfolio.</w:t>
      </w:r>
    </w:p>
    <w:p>
      <w:pPr>
        <w:spacing w:after="0" w:line="176" w:lineRule="exact"/>
        <w:rPr>
          <w:sz w:val="20"/>
          <w:szCs w:val="20"/>
          <w:color w:val="auto"/>
        </w:rPr>
      </w:pPr>
    </w:p>
    <w:tbl>
      <w:tblPr>
        <w:tblLayout w:type="fixed"/>
        <w:tblInd w:w="320" w:type="dxa"/>
        <w:tblCellMar>
          <w:top w:w="0" w:type="dxa"/>
          <w:left w:w="0" w:type="dxa"/>
          <w:bottom w:w="0" w:type="dxa"/>
          <w:right w:w="0" w:type="dxa"/>
        </w:tblCellMar>
      </w:tblPr>
      <w:tr>
        <w:trPr>
          <w:trHeight w:val="164"/>
        </w:trPr>
        <w:tc>
          <w:tcPr>
            <w:tcW w:w="14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2040" w:type="dxa"/>
            <w:vAlign w:val="bottom"/>
            <w:tcBorders>
              <w:top w:val="single" w:sz="8" w:color="auto"/>
              <w:bottom w:val="single" w:sz="8" w:color="auto"/>
            </w:tcBorders>
            <w:gridSpan w:val="3"/>
          </w:tcPr>
          <w:p>
            <w:pPr>
              <w:jc w:val="center"/>
              <w:ind w:right="7"/>
              <w:spacing w:after="0"/>
              <w:rPr>
                <w:sz w:val="20"/>
                <w:szCs w:val="20"/>
                <w:color w:val="auto"/>
              </w:rPr>
            </w:pPr>
            <w:r>
              <w:rPr>
                <w:rFonts w:ascii="Times New Roman" w:cs="Times New Roman" w:eastAsia="Times New Roman" w:hAnsi="Times New Roman"/>
                <w:sz w:val="11"/>
                <w:szCs w:val="11"/>
                <w:b w:val="1"/>
                <w:bCs w:val="1"/>
                <w:color w:val="auto"/>
                <w:w w:val="98"/>
              </w:rPr>
              <w:t>As of December 31, 2024</w:t>
            </w:r>
          </w:p>
        </w:tc>
        <w:tc>
          <w:tcPr>
            <w:tcW w:w="42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top w:val="single" w:sz="8" w:color="auto"/>
              <w:bottom w:val="single" w:sz="8" w:color="auto"/>
            </w:tcBorders>
          </w:tcPr>
          <w:p>
            <w:pPr>
              <w:spacing w:after="0"/>
              <w:rPr>
                <w:sz w:val="14"/>
                <w:szCs w:val="14"/>
                <w:color w:val="auto"/>
              </w:rPr>
            </w:pPr>
          </w:p>
        </w:tc>
        <w:tc>
          <w:tcPr>
            <w:tcW w:w="2100" w:type="dxa"/>
            <w:vAlign w:val="bottom"/>
            <w:tcBorders>
              <w:top w:val="single" w:sz="8" w:color="auto"/>
              <w:bottom w:val="single" w:sz="8" w:color="auto"/>
            </w:tcBorders>
            <w:gridSpan w:val="3"/>
          </w:tcPr>
          <w:p>
            <w:pPr>
              <w:jc w:val="right"/>
              <w:ind w:right="387"/>
              <w:spacing w:after="0"/>
              <w:rPr>
                <w:sz w:val="20"/>
                <w:szCs w:val="20"/>
                <w:color w:val="auto"/>
              </w:rPr>
            </w:pPr>
            <w:r>
              <w:rPr>
                <w:rFonts w:ascii="Times New Roman" w:cs="Times New Roman" w:eastAsia="Times New Roman" w:hAnsi="Times New Roman"/>
                <w:sz w:val="11"/>
                <w:szCs w:val="11"/>
                <w:b w:val="1"/>
                <w:bCs w:val="1"/>
                <w:color w:val="auto"/>
              </w:rPr>
              <w:t>As of December 31, 2023</w:t>
            </w:r>
          </w:p>
        </w:tc>
        <w:tc>
          <w:tcPr>
            <w:tcW w:w="60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shd w:val="clear" w:color="auto" w:fill="000000"/>
          </w:tcPr>
          <w:p>
            <w:pPr>
              <w:spacing w:after="0"/>
              <w:rPr>
                <w:sz w:val="14"/>
                <w:szCs w:val="14"/>
                <w:color w:val="auto"/>
              </w:rPr>
            </w:pPr>
          </w:p>
        </w:tc>
      </w:tr>
      <w:tr>
        <w:trPr>
          <w:trHeight w:val="91"/>
        </w:trPr>
        <w:tc>
          <w:tcPr>
            <w:tcW w:w="1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jc w:val="center"/>
              <w:spacing w:after="0" w:line="91" w:lineRule="exact"/>
              <w:rPr>
                <w:sz w:val="20"/>
                <w:szCs w:val="20"/>
                <w:color w:val="auto"/>
              </w:rPr>
            </w:pPr>
            <w:r>
              <w:rPr>
                <w:rFonts w:ascii="Times New Roman" w:cs="Times New Roman" w:eastAsia="Times New Roman" w:hAnsi="Times New Roman"/>
                <w:sz w:val="10"/>
                <w:szCs w:val="10"/>
                <w:b w:val="1"/>
                <w:bCs w:val="1"/>
                <w:color w:val="auto"/>
                <w:w w:val="94"/>
              </w:rPr>
              <w:t>Space Under</w:t>
            </w: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jc w:val="right"/>
              <w:ind w:right="28"/>
              <w:spacing w:after="0" w:line="91" w:lineRule="exact"/>
              <w:rPr>
                <w:sz w:val="20"/>
                <w:szCs w:val="20"/>
                <w:color w:val="auto"/>
              </w:rPr>
            </w:pPr>
            <w:r>
              <w:rPr>
                <w:rFonts w:ascii="Times New Roman" w:cs="Times New Roman" w:eastAsia="Times New Roman" w:hAnsi="Times New Roman"/>
                <w:sz w:val="10"/>
                <w:szCs w:val="10"/>
                <w:b w:val="1"/>
                <w:bCs w:val="1"/>
                <w:color w:val="auto"/>
              </w:rPr>
              <w:t>Space Under</w:t>
            </w: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09"/>
        </w:trPr>
        <w:tc>
          <w:tcPr>
            <w:tcW w:w="1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gridSpan w:val="2"/>
          </w:tcPr>
          <w:p>
            <w:pPr>
              <w:jc w:val="right"/>
              <w:ind w:right="80"/>
              <w:spacing w:after="0" w:line="110" w:lineRule="exact"/>
              <w:rPr>
                <w:sz w:val="20"/>
                <w:szCs w:val="20"/>
                <w:color w:val="auto"/>
              </w:rPr>
            </w:pPr>
            <w:r>
              <w:rPr>
                <w:rFonts w:ascii="Times New Roman" w:cs="Times New Roman" w:eastAsia="Times New Roman" w:hAnsi="Times New Roman"/>
                <w:sz w:val="10"/>
                <w:szCs w:val="10"/>
                <w:b w:val="1"/>
                <w:bCs w:val="1"/>
                <w:color w:val="auto"/>
              </w:rPr>
              <w:t>Data Center</w:t>
            </w:r>
          </w:p>
        </w:tc>
        <w:tc>
          <w:tcPr>
            <w:tcW w:w="660" w:type="dxa"/>
            <w:vAlign w:val="bottom"/>
          </w:tcPr>
          <w:p>
            <w:pPr>
              <w:jc w:val="right"/>
              <w:ind w:right="7"/>
              <w:spacing w:after="0" w:line="110" w:lineRule="exact"/>
              <w:rPr>
                <w:sz w:val="20"/>
                <w:szCs w:val="20"/>
                <w:color w:val="auto"/>
              </w:rPr>
            </w:pPr>
            <w:r>
              <w:rPr>
                <w:rFonts w:ascii="Times New Roman" w:cs="Times New Roman" w:eastAsia="Times New Roman" w:hAnsi="Times New Roman"/>
                <w:sz w:val="10"/>
                <w:szCs w:val="10"/>
                <w:b w:val="1"/>
                <w:bCs w:val="1"/>
                <w:color w:val="auto"/>
              </w:rPr>
              <w:t>Net Rentable</w:t>
            </w:r>
          </w:p>
        </w:tc>
        <w:tc>
          <w:tcPr>
            <w:tcW w:w="68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5"/>
              </w:rPr>
              <w:t>Active</w:t>
            </w:r>
          </w:p>
        </w:tc>
        <w:tc>
          <w:tcPr>
            <w:tcW w:w="700" w:type="dxa"/>
            <w:vAlign w:val="bottom"/>
          </w:tcPr>
          <w:p>
            <w:pPr>
              <w:jc w:val="right"/>
              <w:ind w:right="7"/>
              <w:spacing w:after="0" w:line="110" w:lineRule="exact"/>
              <w:rPr>
                <w:sz w:val="20"/>
                <w:szCs w:val="20"/>
                <w:color w:val="auto"/>
              </w:rPr>
            </w:pPr>
            <w:r>
              <w:rPr>
                <w:rFonts w:ascii="Times New Roman" w:cs="Times New Roman" w:eastAsia="Times New Roman" w:hAnsi="Times New Roman"/>
                <w:sz w:val="10"/>
                <w:szCs w:val="10"/>
                <w:b w:val="1"/>
                <w:bCs w:val="1"/>
                <w:color w:val="auto"/>
                <w:w w:val="97"/>
              </w:rPr>
              <w:t>Space Held for</w:t>
            </w: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jc w:val="right"/>
              <w:ind w:right="50"/>
              <w:spacing w:after="0" w:line="110" w:lineRule="exact"/>
              <w:rPr>
                <w:sz w:val="20"/>
                <w:szCs w:val="20"/>
                <w:color w:val="auto"/>
              </w:rPr>
            </w:pPr>
            <w:r>
              <w:rPr>
                <w:rFonts w:ascii="Times New Roman" w:cs="Times New Roman" w:eastAsia="Times New Roman" w:hAnsi="Times New Roman"/>
                <w:sz w:val="10"/>
                <w:szCs w:val="10"/>
                <w:b w:val="1"/>
                <w:bCs w:val="1"/>
                <w:color w:val="auto"/>
              </w:rPr>
              <w:t>Data Center</w:t>
            </w:r>
          </w:p>
        </w:tc>
        <w:tc>
          <w:tcPr>
            <w:tcW w:w="660" w:type="dxa"/>
            <w:vAlign w:val="bottom"/>
          </w:tcPr>
          <w:p>
            <w:pPr>
              <w:jc w:val="right"/>
              <w:ind w:right="27"/>
              <w:spacing w:after="0" w:line="110" w:lineRule="exact"/>
              <w:rPr>
                <w:sz w:val="20"/>
                <w:szCs w:val="20"/>
                <w:color w:val="auto"/>
              </w:rPr>
            </w:pPr>
            <w:r>
              <w:rPr>
                <w:rFonts w:ascii="Times New Roman" w:cs="Times New Roman" w:eastAsia="Times New Roman" w:hAnsi="Times New Roman"/>
                <w:sz w:val="10"/>
                <w:szCs w:val="10"/>
                <w:b w:val="1"/>
                <w:bCs w:val="1"/>
                <w:color w:val="auto"/>
              </w:rPr>
              <w:t>Net Rentable</w:t>
            </w:r>
          </w:p>
        </w:tc>
        <w:tc>
          <w:tcPr>
            <w:tcW w:w="680" w:type="dxa"/>
            <w:vAlign w:val="bottom"/>
          </w:tcPr>
          <w:p>
            <w:pPr>
              <w:jc w:val="right"/>
              <w:ind w:right="168"/>
              <w:spacing w:after="0" w:line="110" w:lineRule="exact"/>
              <w:rPr>
                <w:sz w:val="20"/>
                <w:szCs w:val="20"/>
                <w:color w:val="auto"/>
              </w:rPr>
            </w:pPr>
            <w:r>
              <w:rPr>
                <w:rFonts w:ascii="Times New Roman" w:cs="Times New Roman" w:eastAsia="Times New Roman" w:hAnsi="Times New Roman"/>
                <w:sz w:val="10"/>
                <w:szCs w:val="10"/>
                <w:b w:val="1"/>
                <w:bCs w:val="1"/>
                <w:color w:val="auto"/>
              </w:rPr>
              <w:t>Active</w:t>
            </w:r>
          </w:p>
        </w:tc>
        <w:tc>
          <w:tcPr>
            <w:tcW w:w="760" w:type="dxa"/>
            <w:vAlign w:val="bottom"/>
          </w:tcPr>
          <w:p>
            <w:pPr>
              <w:jc w:val="right"/>
              <w:ind w:right="87"/>
              <w:spacing w:after="0" w:line="110" w:lineRule="exact"/>
              <w:rPr>
                <w:sz w:val="20"/>
                <w:szCs w:val="20"/>
                <w:color w:val="auto"/>
              </w:rPr>
            </w:pPr>
            <w:r>
              <w:rPr>
                <w:rFonts w:ascii="Times New Roman" w:cs="Times New Roman" w:eastAsia="Times New Roman" w:hAnsi="Times New Roman"/>
                <w:sz w:val="10"/>
                <w:szCs w:val="10"/>
                <w:b w:val="1"/>
                <w:bCs w:val="1"/>
                <w:color w:val="auto"/>
                <w:w w:val="94"/>
              </w:rPr>
              <w:t>Space Held for</w:t>
            </w: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2"/>
        </w:trPr>
        <w:tc>
          <w:tcPr>
            <w:tcW w:w="1540" w:type="dxa"/>
            <w:vAlign w:val="bottom"/>
            <w:gridSpan w:val="2"/>
          </w:tcPr>
          <w:p>
            <w:pPr>
              <w:ind w:left="560"/>
              <w:spacing w:after="0"/>
              <w:rPr>
                <w:sz w:val="20"/>
                <w:szCs w:val="20"/>
                <w:color w:val="auto"/>
              </w:rPr>
            </w:pPr>
            <w:r>
              <w:rPr>
                <w:rFonts w:ascii="Times New Roman" w:cs="Times New Roman" w:eastAsia="Times New Roman" w:hAnsi="Times New Roman"/>
                <w:sz w:val="10"/>
                <w:szCs w:val="10"/>
                <w:b w:val="1"/>
                <w:bCs w:val="1"/>
                <w:color w:val="auto"/>
              </w:rPr>
              <w:t>Region</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Buildings</w:t>
            </w:r>
          </w:p>
        </w:tc>
        <w:tc>
          <w:tcPr>
            <w:tcW w:w="660" w:type="dxa"/>
            <w:vAlign w:val="bottom"/>
          </w:tcPr>
          <w:p>
            <w:pPr>
              <w:jc w:val="right"/>
              <w:spacing w:after="0" w:line="133" w:lineRule="exact"/>
              <w:rPr>
                <w:sz w:val="20"/>
                <w:szCs w:val="20"/>
                <w:color w:val="auto"/>
              </w:rPr>
            </w:pPr>
            <w:r>
              <w:rPr>
                <w:rFonts w:ascii="Times New Roman" w:cs="Times New Roman" w:eastAsia="Times New Roman" w:hAnsi="Times New Roman"/>
                <w:sz w:val="10"/>
                <w:szCs w:val="10"/>
                <w:b w:val="1"/>
                <w:bCs w:val="1"/>
                <w:color w:val="auto"/>
                <w:w w:val="95"/>
              </w:rPr>
              <w:t xml:space="preserve">Square Feet </w:t>
            </w:r>
            <w:r>
              <w:rPr>
                <w:rFonts w:ascii="Times New Roman" w:cs="Times New Roman" w:eastAsia="Times New Roman" w:hAnsi="Times New Roman"/>
                <w:sz w:val="14"/>
                <w:szCs w:val="14"/>
                <w:b w:val="1"/>
                <w:bCs w:val="1"/>
                <w:color w:val="auto"/>
                <w:w w:val="95"/>
                <w:vertAlign w:val="superscript"/>
              </w:rPr>
              <w:t>(1)</w:t>
            </w:r>
          </w:p>
        </w:tc>
        <w:tc>
          <w:tcPr>
            <w:tcW w:w="13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0"/>
                <w:szCs w:val="10"/>
                <w:b w:val="1"/>
                <w:bCs w:val="1"/>
                <w:color w:val="auto"/>
                <w:w w:val="93"/>
              </w:rPr>
              <w:t xml:space="preserve">Development </w:t>
            </w:r>
            <w:r>
              <w:rPr>
                <w:rFonts w:ascii="Times New Roman" w:cs="Times New Roman" w:eastAsia="Times New Roman" w:hAnsi="Times New Roman"/>
                <w:sz w:val="14"/>
                <w:szCs w:val="14"/>
                <w:b w:val="1"/>
                <w:bCs w:val="1"/>
                <w:color w:val="auto"/>
                <w:w w:val="93"/>
                <w:vertAlign w:val="superscript"/>
              </w:rPr>
              <w:t>(2)</w:t>
            </w:r>
            <w:r>
              <w:rPr>
                <w:rFonts w:ascii="Times New Roman" w:cs="Times New Roman" w:eastAsia="Times New Roman" w:hAnsi="Times New Roman"/>
                <w:sz w:val="10"/>
                <w:szCs w:val="10"/>
                <w:b w:val="1"/>
                <w:bCs w:val="1"/>
                <w:color w:val="auto"/>
                <w:w w:val="93"/>
              </w:rPr>
              <w:t xml:space="preserve"> Development </w:t>
            </w:r>
            <w:r>
              <w:rPr>
                <w:rFonts w:ascii="Times New Roman" w:cs="Times New Roman" w:eastAsia="Times New Roman" w:hAnsi="Times New Roman"/>
                <w:sz w:val="14"/>
                <w:szCs w:val="14"/>
                <w:b w:val="1"/>
                <w:bCs w:val="1"/>
                <w:color w:val="auto"/>
                <w:w w:val="93"/>
                <w:vertAlign w:val="superscript"/>
              </w:rPr>
              <w:t>(3)</w:t>
            </w:r>
          </w:p>
        </w:tc>
        <w:tc>
          <w:tcPr>
            <w:tcW w:w="600" w:type="dxa"/>
            <w:vAlign w:val="bottom"/>
            <w:gridSpan w:val="2"/>
          </w:tcPr>
          <w:p>
            <w:pPr>
              <w:jc w:val="right"/>
              <w:ind w:right="46"/>
              <w:spacing w:after="0"/>
              <w:rPr>
                <w:sz w:val="20"/>
                <w:szCs w:val="20"/>
                <w:color w:val="auto"/>
              </w:rPr>
            </w:pPr>
            <w:r>
              <w:rPr>
                <w:rFonts w:ascii="Times New Roman" w:cs="Times New Roman" w:eastAsia="Times New Roman" w:hAnsi="Times New Roman"/>
                <w:sz w:val="10"/>
                <w:szCs w:val="10"/>
                <w:b w:val="1"/>
                <w:bCs w:val="1"/>
                <w:color w:val="auto"/>
              </w:rPr>
              <w:t>Occupancy</w:t>
            </w:r>
          </w:p>
        </w:tc>
        <w:tc>
          <w:tcPr>
            <w:tcW w:w="20" w:type="dxa"/>
            <w:vAlign w:val="bottom"/>
          </w:tcPr>
          <w:p>
            <w:pPr>
              <w:spacing w:after="0"/>
              <w:rPr>
                <w:sz w:val="11"/>
                <w:szCs w:val="11"/>
                <w:color w:val="auto"/>
              </w:rPr>
            </w:pPr>
          </w:p>
        </w:tc>
        <w:tc>
          <w:tcPr>
            <w:tcW w:w="680" w:type="dxa"/>
            <w:vAlign w:val="bottom"/>
          </w:tcPr>
          <w:p>
            <w:pPr>
              <w:jc w:val="right"/>
              <w:ind w:right="110"/>
              <w:spacing w:after="0"/>
              <w:rPr>
                <w:sz w:val="20"/>
                <w:szCs w:val="20"/>
                <w:color w:val="auto"/>
              </w:rPr>
            </w:pPr>
            <w:r>
              <w:rPr>
                <w:rFonts w:ascii="Times New Roman" w:cs="Times New Roman" w:eastAsia="Times New Roman" w:hAnsi="Times New Roman"/>
                <w:sz w:val="10"/>
                <w:szCs w:val="10"/>
                <w:b w:val="1"/>
                <w:bCs w:val="1"/>
                <w:color w:val="auto"/>
              </w:rPr>
              <w:t>Buildings</w:t>
            </w:r>
          </w:p>
        </w:tc>
        <w:tc>
          <w:tcPr>
            <w:tcW w:w="660" w:type="dxa"/>
            <w:vAlign w:val="bottom"/>
          </w:tcPr>
          <w:p>
            <w:pPr>
              <w:jc w:val="right"/>
              <w:spacing w:after="0" w:line="133" w:lineRule="exact"/>
              <w:rPr>
                <w:sz w:val="20"/>
                <w:szCs w:val="20"/>
                <w:color w:val="auto"/>
              </w:rPr>
            </w:pPr>
            <w:r>
              <w:rPr>
                <w:rFonts w:ascii="Times New Roman" w:cs="Times New Roman" w:eastAsia="Times New Roman" w:hAnsi="Times New Roman"/>
                <w:sz w:val="10"/>
                <w:szCs w:val="10"/>
                <w:b w:val="1"/>
                <w:bCs w:val="1"/>
                <w:color w:val="auto"/>
                <w:w w:val="92"/>
              </w:rPr>
              <w:t xml:space="preserve">Square Feet </w:t>
            </w:r>
            <w:r>
              <w:rPr>
                <w:rFonts w:ascii="Times New Roman" w:cs="Times New Roman" w:eastAsia="Times New Roman" w:hAnsi="Times New Roman"/>
                <w:sz w:val="14"/>
                <w:szCs w:val="14"/>
                <w:b w:val="1"/>
                <w:bCs w:val="1"/>
                <w:color w:val="auto"/>
                <w:w w:val="92"/>
                <w:vertAlign w:val="superscript"/>
              </w:rPr>
              <w:t>(1)</w:t>
            </w:r>
          </w:p>
        </w:tc>
        <w:tc>
          <w:tcPr>
            <w:tcW w:w="1440" w:type="dxa"/>
            <w:vAlign w:val="bottom"/>
            <w:gridSpan w:val="2"/>
          </w:tcPr>
          <w:p>
            <w:pPr>
              <w:jc w:val="right"/>
              <w:ind w:right="47"/>
              <w:spacing w:after="0" w:line="133" w:lineRule="exact"/>
              <w:rPr>
                <w:sz w:val="20"/>
                <w:szCs w:val="20"/>
                <w:color w:val="auto"/>
              </w:rPr>
            </w:pPr>
            <w:r>
              <w:rPr>
                <w:rFonts w:ascii="Times New Roman" w:cs="Times New Roman" w:eastAsia="Times New Roman" w:hAnsi="Times New Roman"/>
                <w:sz w:val="10"/>
                <w:szCs w:val="10"/>
                <w:b w:val="1"/>
                <w:bCs w:val="1"/>
                <w:color w:val="auto"/>
                <w:w w:val="93"/>
              </w:rPr>
              <w:t xml:space="preserve">Development </w:t>
            </w:r>
            <w:r>
              <w:rPr>
                <w:rFonts w:ascii="Times New Roman" w:cs="Times New Roman" w:eastAsia="Times New Roman" w:hAnsi="Times New Roman"/>
                <w:sz w:val="14"/>
                <w:szCs w:val="14"/>
                <w:b w:val="1"/>
                <w:bCs w:val="1"/>
                <w:color w:val="auto"/>
                <w:w w:val="93"/>
                <w:vertAlign w:val="superscript"/>
              </w:rPr>
              <w:t>(2)</w:t>
            </w:r>
            <w:r>
              <w:rPr>
                <w:rFonts w:ascii="Times New Roman" w:cs="Times New Roman" w:eastAsia="Times New Roman" w:hAnsi="Times New Roman"/>
                <w:sz w:val="10"/>
                <w:szCs w:val="10"/>
                <w:b w:val="1"/>
                <w:bCs w:val="1"/>
                <w:color w:val="auto"/>
                <w:w w:val="93"/>
              </w:rPr>
              <w:t xml:space="preserve"> Development </w:t>
            </w:r>
            <w:r>
              <w:rPr>
                <w:rFonts w:ascii="Times New Roman" w:cs="Times New Roman" w:eastAsia="Times New Roman" w:hAnsi="Times New Roman"/>
                <w:sz w:val="14"/>
                <w:szCs w:val="14"/>
                <w:b w:val="1"/>
                <w:bCs w:val="1"/>
                <w:color w:val="auto"/>
                <w:w w:val="93"/>
                <w:vertAlign w:val="superscript"/>
              </w:rPr>
              <w:t>(3)</w:t>
            </w: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Occupancy</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4"/>
        </w:trPr>
        <w:tc>
          <w:tcPr>
            <w:tcW w:w="1420" w:type="dxa"/>
            <w:vAlign w:val="bottom"/>
            <w:tcBorders>
              <w:top w:val="single" w:sz="8" w:color="auto"/>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color w:val="auto"/>
              </w:rPr>
              <w:t>North America</w:t>
            </w:r>
          </w:p>
        </w:tc>
        <w:tc>
          <w:tcPr>
            <w:tcW w:w="120" w:type="dxa"/>
            <w:vAlign w:val="bottom"/>
            <w:tcBorders>
              <w:top w:val="single" w:sz="8" w:color="CCEEFF"/>
              <w:right w:val="single" w:sz="8" w:color="CCEEFF"/>
            </w:tcBorders>
            <w:shd w:val="clear" w:color="auto" w:fill="CCEEFF"/>
          </w:tcPr>
          <w:p>
            <w:pPr>
              <w:spacing w:after="0"/>
              <w:rPr>
                <w:sz w:val="10"/>
                <w:szCs w:val="10"/>
                <w:color w:val="auto"/>
              </w:rPr>
            </w:pPr>
          </w:p>
        </w:tc>
        <w:tc>
          <w:tcPr>
            <w:tcW w:w="640" w:type="dxa"/>
            <w:vAlign w:val="bottom"/>
            <w:tcBorders>
              <w:top w:val="single" w:sz="8" w:color="auto"/>
            </w:tcBorders>
            <w:gridSpan w:val="2"/>
            <w:shd w:val="clear" w:color="auto" w:fill="CCEEFF"/>
          </w:tcPr>
          <w:p>
            <w:pPr>
              <w:jc w:val="right"/>
              <w:ind w:right="20"/>
              <w:spacing w:after="0" w:line="124" w:lineRule="exact"/>
              <w:rPr>
                <w:sz w:val="20"/>
                <w:szCs w:val="20"/>
                <w:color w:val="auto"/>
              </w:rPr>
            </w:pPr>
            <w:r>
              <w:rPr>
                <w:rFonts w:ascii="Times New Roman" w:cs="Times New Roman" w:eastAsia="Times New Roman" w:hAnsi="Times New Roman"/>
                <w:sz w:val="11"/>
                <w:szCs w:val="11"/>
                <w:color w:val="auto"/>
              </w:rPr>
              <w:t>101</w:t>
            </w:r>
          </w:p>
        </w:tc>
        <w:tc>
          <w:tcPr>
            <w:tcW w:w="66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20,004</w:t>
            </w:r>
          </w:p>
        </w:tc>
        <w:tc>
          <w:tcPr>
            <w:tcW w:w="68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2,775</w:t>
            </w:r>
          </w:p>
        </w:tc>
        <w:tc>
          <w:tcPr>
            <w:tcW w:w="700" w:type="dxa"/>
            <w:vAlign w:val="bottom"/>
            <w:tcBorders>
              <w:top w:val="single" w:sz="8" w:color="auto"/>
            </w:tcBorders>
            <w:shd w:val="clear" w:color="auto" w:fill="CCEEFF"/>
          </w:tcPr>
          <w:p>
            <w:pPr>
              <w:jc w:val="right"/>
              <w:ind w:right="7"/>
              <w:spacing w:after="0" w:line="124" w:lineRule="exact"/>
              <w:rPr>
                <w:sz w:val="20"/>
                <w:szCs w:val="20"/>
                <w:color w:val="auto"/>
              </w:rPr>
            </w:pPr>
            <w:r>
              <w:rPr>
                <w:rFonts w:ascii="Times New Roman" w:cs="Times New Roman" w:eastAsia="Times New Roman" w:hAnsi="Times New Roman"/>
                <w:sz w:val="11"/>
                <w:szCs w:val="11"/>
                <w:color w:val="auto"/>
              </w:rPr>
              <w:t>1,025</w:t>
            </w:r>
          </w:p>
        </w:tc>
        <w:tc>
          <w:tcPr>
            <w:tcW w:w="42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85.5</w:t>
            </w:r>
          </w:p>
        </w:tc>
        <w:tc>
          <w:tcPr>
            <w:tcW w:w="18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107</w:t>
            </w:r>
          </w:p>
        </w:tc>
        <w:tc>
          <w:tcPr>
            <w:tcW w:w="66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20,150</w:t>
            </w:r>
          </w:p>
        </w:tc>
        <w:tc>
          <w:tcPr>
            <w:tcW w:w="68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2,590</w:t>
            </w:r>
          </w:p>
        </w:tc>
        <w:tc>
          <w:tcPr>
            <w:tcW w:w="760" w:type="dxa"/>
            <w:vAlign w:val="bottom"/>
            <w:tcBorders>
              <w:top w:val="single" w:sz="8" w:color="auto"/>
            </w:tcBorders>
            <w:shd w:val="clear" w:color="auto" w:fill="CCEEFF"/>
          </w:tcPr>
          <w:p>
            <w:pPr>
              <w:jc w:val="right"/>
              <w:ind w:right="67"/>
              <w:spacing w:after="0" w:line="124" w:lineRule="exact"/>
              <w:rPr>
                <w:sz w:val="20"/>
                <w:szCs w:val="20"/>
                <w:color w:val="auto"/>
              </w:rPr>
            </w:pPr>
            <w:r>
              <w:rPr>
                <w:rFonts w:ascii="Times New Roman" w:cs="Times New Roman" w:eastAsia="Times New Roman" w:hAnsi="Times New Roman"/>
                <w:sz w:val="11"/>
                <w:szCs w:val="11"/>
                <w:color w:val="auto"/>
              </w:rPr>
              <w:t>1,335</w:t>
            </w:r>
          </w:p>
        </w:tc>
        <w:tc>
          <w:tcPr>
            <w:tcW w:w="60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83.8</w:t>
            </w:r>
          </w:p>
        </w:tc>
        <w:tc>
          <w:tcPr>
            <w:tcW w:w="16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r>
      <w:tr>
        <w:trPr>
          <w:trHeight w:val="132"/>
        </w:trPr>
        <w:tc>
          <w:tcPr>
            <w:tcW w:w="15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Europe</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106</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8,836</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2,833</w:t>
            </w:r>
          </w:p>
        </w:tc>
        <w:tc>
          <w:tcPr>
            <w:tcW w:w="7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717</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77.3</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112</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8,873</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3,291</w:t>
            </w:r>
          </w:p>
        </w:tc>
        <w:tc>
          <w:tcPr>
            <w:tcW w:w="76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319</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75.8</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r>
      <w:tr>
        <w:trPr>
          <w:trHeight w:val="132"/>
        </w:trPr>
        <w:tc>
          <w:tcPr>
            <w:tcW w:w="15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Asia Pacific</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11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1,577</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w:t>
            </w:r>
          </w:p>
        </w:tc>
        <w:tc>
          <w:tcPr>
            <w:tcW w:w="7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289</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1,652</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w:t>
            </w:r>
          </w:p>
        </w:tc>
        <w:tc>
          <w:tcPr>
            <w:tcW w:w="76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207</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r>
      <w:tr>
        <w:trPr>
          <w:trHeight w:val="132"/>
        </w:trPr>
        <w:tc>
          <w:tcPr>
            <w:tcW w:w="1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color w:val="auto"/>
              </w:rPr>
              <w:t>Africa</w:t>
            </w:r>
          </w:p>
        </w:tc>
        <w:tc>
          <w:tcPr>
            <w:tcW w:w="6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12</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1,704</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1,422</w:t>
            </w:r>
          </w:p>
        </w:tc>
        <w:tc>
          <w:tcPr>
            <w:tcW w:w="70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21</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82.8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1,528</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1,581</w:t>
            </w:r>
          </w:p>
        </w:tc>
        <w:tc>
          <w:tcPr>
            <w:tcW w:w="76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color w:val="auto"/>
              </w:rPr>
              <w:t>23</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71.0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r>
      <w:tr>
        <w:trPr>
          <w:trHeight w:val="124"/>
        </w:trPr>
        <w:tc>
          <w:tcPr>
            <w:tcW w:w="1540" w:type="dxa"/>
            <w:vAlign w:val="bottom"/>
            <w:tcBorders>
              <w:right w:val="single" w:sz="8" w:color="CCEEFF"/>
            </w:tcBorders>
            <w:gridSpan w:val="2"/>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Consolidated Portfolio</w:t>
            </w:r>
          </w:p>
        </w:tc>
        <w:tc>
          <w:tcPr>
            <w:tcW w:w="640" w:type="dxa"/>
            <w:vAlign w:val="bottom"/>
            <w:gridSpan w:val="2"/>
            <w:shd w:val="clear" w:color="auto" w:fill="CCEEFF"/>
          </w:tcPr>
          <w:p>
            <w:pPr>
              <w:jc w:val="right"/>
              <w:ind w:right="20"/>
              <w:spacing w:after="0" w:line="124" w:lineRule="exact"/>
              <w:rPr>
                <w:sz w:val="20"/>
                <w:szCs w:val="20"/>
                <w:color w:val="auto"/>
              </w:rPr>
            </w:pPr>
            <w:r>
              <w:rPr>
                <w:rFonts w:ascii="Times New Roman" w:cs="Times New Roman" w:eastAsia="Times New Roman" w:hAnsi="Times New Roman"/>
                <w:sz w:val="11"/>
                <w:szCs w:val="11"/>
                <w:color w:val="auto"/>
              </w:rPr>
              <w:t>230</w:t>
            </w:r>
          </w:p>
        </w:tc>
        <w:tc>
          <w:tcPr>
            <w:tcW w:w="6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32,120</w:t>
            </w:r>
          </w:p>
        </w:tc>
        <w:tc>
          <w:tcPr>
            <w:tcW w:w="6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7,096</w:t>
            </w:r>
          </w:p>
        </w:tc>
        <w:tc>
          <w:tcPr>
            <w:tcW w:w="700" w:type="dxa"/>
            <w:vAlign w:val="bottom"/>
            <w:shd w:val="clear" w:color="auto" w:fill="CCEEFF"/>
          </w:tcPr>
          <w:p>
            <w:pPr>
              <w:jc w:val="right"/>
              <w:ind w:right="7"/>
              <w:spacing w:after="0" w:line="124" w:lineRule="exact"/>
              <w:rPr>
                <w:sz w:val="20"/>
                <w:szCs w:val="20"/>
                <w:color w:val="auto"/>
              </w:rPr>
            </w:pPr>
            <w:r>
              <w:rPr>
                <w:rFonts w:ascii="Times New Roman" w:cs="Times New Roman" w:eastAsia="Times New Roman" w:hAnsi="Times New Roman"/>
                <w:sz w:val="11"/>
                <w:szCs w:val="11"/>
                <w:color w:val="auto"/>
              </w:rPr>
              <w:t>2,052</w:t>
            </w:r>
          </w:p>
        </w:tc>
        <w:tc>
          <w:tcPr>
            <w:tcW w:w="42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82.9</w:t>
            </w:r>
          </w:p>
        </w:tc>
        <w:tc>
          <w:tcPr>
            <w:tcW w:w="1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242</w:t>
            </w:r>
          </w:p>
        </w:tc>
        <w:tc>
          <w:tcPr>
            <w:tcW w:w="6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32,203</w:t>
            </w:r>
          </w:p>
        </w:tc>
        <w:tc>
          <w:tcPr>
            <w:tcW w:w="6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7,535</w:t>
            </w:r>
          </w:p>
        </w:tc>
        <w:tc>
          <w:tcPr>
            <w:tcW w:w="760" w:type="dxa"/>
            <w:vAlign w:val="bottom"/>
            <w:shd w:val="clear" w:color="auto" w:fill="CCEEFF"/>
          </w:tcPr>
          <w:p>
            <w:pPr>
              <w:jc w:val="right"/>
              <w:ind w:right="67"/>
              <w:spacing w:after="0" w:line="124" w:lineRule="exact"/>
              <w:rPr>
                <w:sz w:val="20"/>
                <w:szCs w:val="20"/>
                <w:color w:val="auto"/>
              </w:rPr>
            </w:pPr>
            <w:r>
              <w:rPr>
                <w:rFonts w:ascii="Times New Roman" w:cs="Times New Roman" w:eastAsia="Times New Roman" w:hAnsi="Times New Roman"/>
                <w:sz w:val="11"/>
                <w:szCs w:val="11"/>
                <w:color w:val="auto"/>
              </w:rPr>
              <w:t>1,884</w:t>
            </w:r>
          </w:p>
        </w:tc>
        <w:tc>
          <w:tcPr>
            <w:tcW w:w="60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79.8</w:t>
            </w:r>
          </w:p>
        </w:tc>
        <w:tc>
          <w:tcPr>
            <w:tcW w:w="1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r>
      <w:tr>
        <w:trPr>
          <w:trHeight w:val="132"/>
        </w:trPr>
        <w:tc>
          <w:tcPr>
            <w:tcW w:w="15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Managed Unconsolidated</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2"/>
        </w:trPr>
        <w:tc>
          <w:tcPr>
            <w:tcW w:w="15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Portfolio</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31</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5,552</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1,022</w:t>
            </w:r>
          </w:p>
        </w:tc>
        <w:tc>
          <w:tcPr>
            <w:tcW w:w="7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400</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91.8</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3,843</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364</w:t>
            </w:r>
          </w:p>
        </w:tc>
        <w:tc>
          <w:tcPr>
            <w:tcW w:w="76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93.7</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r>
      <w:tr>
        <w:trPr>
          <w:trHeight w:val="132"/>
        </w:trPr>
        <w:tc>
          <w:tcPr>
            <w:tcW w:w="15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Non-Managed Unconsolidated</w:t>
            </w: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32"/>
        </w:trPr>
        <w:tc>
          <w:tcPr>
            <w:tcW w:w="1540" w:type="dxa"/>
            <w:vAlign w:val="bottom"/>
            <w:tcBorders>
              <w:bottom w:val="single" w:sz="8" w:color="auto"/>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Portfolio</w:t>
            </w:r>
          </w:p>
        </w:tc>
        <w:tc>
          <w:tcPr>
            <w:tcW w:w="6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47</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3,654</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787</w:t>
            </w:r>
          </w:p>
        </w:tc>
        <w:tc>
          <w:tcPr>
            <w:tcW w:w="70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2,234</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3,641</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571</w:t>
            </w:r>
          </w:p>
        </w:tc>
        <w:tc>
          <w:tcPr>
            <w:tcW w:w="760" w:type="dxa"/>
            <w:vAlign w:val="bottom"/>
            <w:tcBorders>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2,246</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r>
      <w:tr>
        <w:trPr>
          <w:trHeight w:val="124"/>
        </w:trPr>
        <w:tc>
          <w:tcPr>
            <w:tcW w:w="1540" w:type="dxa"/>
            <w:vAlign w:val="bottom"/>
            <w:tcBorders>
              <w:bottom w:val="single" w:sz="8" w:color="auto"/>
            </w:tcBorders>
            <w:gridSpan w:val="2"/>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Total Portfolio</w:t>
            </w:r>
          </w:p>
        </w:tc>
        <w:tc>
          <w:tcPr>
            <w:tcW w:w="640" w:type="dxa"/>
            <w:vAlign w:val="bottom"/>
            <w:tcBorders>
              <w:bottom w:val="single" w:sz="8" w:color="auto"/>
            </w:tcBorders>
            <w:gridSpan w:val="2"/>
          </w:tcPr>
          <w:p>
            <w:pPr>
              <w:jc w:val="right"/>
              <w:ind w:right="20"/>
              <w:spacing w:after="0" w:line="124" w:lineRule="exact"/>
              <w:rPr>
                <w:sz w:val="20"/>
                <w:szCs w:val="20"/>
                <w:color w:val="auto"/>
              </w:rPr>
            </w:pPr>
            <w:r>
              <w:rPr>
                <w:rFonts w:ascii="Times New Roman" w:cs="Times New Roman" w:eastAsia="Times New Roman" w:hAnsi="Times New Roman"/>
                <w:sz w:val="11"/>
                <w:szCs w:val="11"/>
                <w:b w:val="1"/>
                <w:bCs w:val="1"/>
                <w:color w:val="auto"/>
              </w:rPr>
              <w:t>308</w:t>
            </w:r>
          </w:p>
        </w:tc>
        <w:tc>
          <w:tcPr>
            <w:tcW w:w="66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41,326</w:t>
            </w:r>
          </w:p>
        </w:tc>
        <w:tc>
          <w:tcPr>
            <w:tcW w:w="68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8,904</w:t>
            </w:r>
          </w:p>
        </w:tc>
        <w:tc>
          <w:tcPr>
            <w:tcW w:w="700" w:type="dxa"/>
            <w:vAlign w:val="bottom"/>
            <w:tcBorders>
              <w:bottom w:val="single" w:sz="8" w:color="auto"/>
            </w:tcBorders>
          </w:tcPr>
          <w:p>
            <w:pPr>
              <w:jc w:val="right"/>
              <w:ind w:right="7"/>
              <w:spacing w:after="0" w:line="124" w:lineRule="exact"/>
              <w:rPr>
                <w:sz w:val="20"/>
                <w:szCs w:val="20"/>
                <w:color w:val="auto"/>
              </w:rPr>
            </w:pPr>
            <w:r>
              <w:rPr>
                <w:rFonts w:ascii="Times New Roman" w:cs="Times New Roman" w:eastAsia="Times New Roman" w:hAnsi="Times New Roman"/>
                <w:sz w:val="11"/>
                <w:szCs w:val="11"/>
                <w:b w:val="1"/>
                <w:bCs w:val="1"/>
                <w:color w:val="auto"/>
              </w:rPr>
              <w:t>4,686</w:t>
            </w:r>
          </w:p>
        </w:tc>
        <w:tc>
          <w:tcPr>
            <w:tcW w:w="42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84.1</w:t>
            </w:r>
          </w:p>
        </w:tc>
        <w:tc>
          <w:tcPr>
            <w:tcW w:w="18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tcBorders>
              <w:bottom w:val="single" w:sz="8" w:color="auto"/>
            </w:tcBorders>
            <w:gridSpan w:val="2"/>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309</w:t>
            </w:r>
          </w:p>
        </w:tc>
        <w:tc>
          <w:tcPr>
            <w:tcW w:w="66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39,688</w:t>
            </w:r>
          </w:p>
        </w:tc>
        <w:tc>
          <w:tcPr>
            <w:tcW w:w="68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8,470</w:t>
            </w:r>
          </w:p>
        </w:tc>
        <w:tc>
          <w:tcPr>
            <w:tcW w:w="760" w:type="dxa"/>
            <w:vAlign w:val="bottom"/>
            <w:tcBorders>
              <w:bottom w:val="single" w:sz="8" w:color="auto"/>
            </w:tcBorders>
          </w:tcPr>
          <w:p>
            <w:pPr>
              <w:jc w:val="right"/>
              <w:ind w:right="67"/>
              <w:spacing w:after="0" w:line="124" w:lineRule="exact"/>
              <w:rPr>
                <w:sz w:val="20"/>
                <w:szCs w:val="20"/>
                <w:color w:val="auto"/>
              </w:rPr>
            </w:pPr>
            <w:r>
              <w:rPr>
                <w:rFonts w:ascii="Times New Roman" w:cs="Times New Roman" w:eastAsia="Times New Roman" w:hAnsi="Times New Roman"/>
                <w:sz w:val="11"/>
                <w:szCs w:val="11"/>
                <w:b w:val="1"/>
                <w:bCs w:val="1"/>
                <w:color w:val="auto"/>
              </w:rPr>
              <w:t>4,130</w:t>
            </w:r>
          </w:p>
        </w:tc>
        <w:tc>
          <w:tcPr>
            <w:tcW w:w="60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81.7</w:t>
            </w:r>
          </w:p>
        </w:tc>
        <w:tc>
          <w:tcPr>
            <w:tcW w:w="16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Pr>
          <w:p>
            <w:pPr>
              <w:spacing w:after="0"/>
              <w:rPr>
                <w:sz w:val="10"/>
                <w:szCs w:val="10"/>
                <w:color w:val="auto"/>
              </w:rPr>
            </w:pPr>
          </w:p>
        </w:tc>
      </w:tr>
      <w:tr>
        <w:trPr>
          <w:trHeight w:val="88"/>
        </w:trPr>
        <w:tc>
          <w:tcPr>
            <w:tcW w:w="14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Note: Table excludes data centers held for sale. Individual items may not add up to total due to rounding.</w:t>
      </w:r>
    </w:p>
    <w:p>
      <w:pPr>
        <w:spacing w:after="0" w:line="14" w:lineRule="exact"/>
        <w:rPr>
          <w:sz w:val="20"/>
          <w:szCs w:val="20"/>
          <w:color w:val="auto"/>
        </w:rPr>
      </w:pPr>
    </w:p>
    <w:p>
      <w:pPr>
        <w:ind w:left="600" w:right="320" w:hanging="282"/>
        <w:spacing w:after="0" w:line="234" w:lineRule="auto"/>
        <w:tabs>
          <w:tab w:leader="none" w:pos="6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rentable square feet represent the current square feet under lease as specified in the applicable lease agreement plus management’s estimate of space available for lease based on engineering drawings. The amount includes customers’ proportional share of common areas but excludes space held for the intent of or under active development.</w:t>
      </w:r>
    </w:p>
    <w:p>
      <w:pPr>
        <w:spacing w:after="0" w:line="1" w:lineRule="exact"/>
        <w:rPr>
          <w:rFonts w:ascii="Times New Roman" w:cs="Times New Roman" w:eastAsia="Times New Roman" w:hAnsi="Times New Roman"/>
          <w:sz w:val="16"/>
          <w:szCs w:val="16"/>
          <w:color w:val="auto"/>
        </w:rPr>
      </w:pPr>
    </w:p>
    <w:p>
      <w:pPr>
        <w:ind w:left="600" w:right="340" w:hanging="282"/>
        <w:spacing w:after="0" w:line="234" w:lineRule="auto"/>
        <w:tabs>
          <w:tab w:leader="none" w:pos="6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Space under active development includes current base building and data center projects in progress, and excludes space held for development. For additional information on the current and future investment for space under active development, see “Liquidity and Capital Resources—Development Projects”.</w:t>
      </w:r>
    </w:p>
    <w:p>
      <w:pPr>
        <w:spacing w:after="0" w:line="1" w:lineRule="exact"/>
        <w:rPr>
          <w:rFonts w:ascii="Times New Roman" w:cs="Times New Roman" w:eastAsia="Times New Roman" w:hAnsi="Times New Roman"/>
          <w:sz w:val="16"/>
          <w:szCs w:val="16"/>
          <w:color w:val="auto"/>
        </w:rPr>
      </w:pPr>
    </w:p>
    <w:p>
      <w:pPr>
        <w:ind w:left="600" w:right="540" w:hanging="282"/>
        <w:spacing w:after="0" w:line="237" w:lineRule="auto"/>
        <w:tabs>
          <w:tab w:leader="none" w:pos="6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Space held for development includes space held for future data center development and excludes space under active development. For additional information on the current investment for space held for development, see “Liquidity and Capital Resources—Development Projects”.</w:t>
      </w:r>
    </w:p>
    <w:p>
      <w:pPr>
        <w:spacing w:after="0" w:line="1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Leasing Activities</w:t>
      </w:r>
    </w:p>
    <w:p>
      <w:pPr>
        <w:spacing w:after="0" w:line="192" w:lineRule="exact"/>
        <w:rPr>
          <w:sz w:val="20"/>
          <w:szCs w:val="20"/>
          <w:color w:val="auto"/>
        </w:rPr>
      </w:pPr>
    </w:p>
    <w:p>
      <w:pPr>
        <w:ind w:left="320" w:right="520"/>
        <w:spacing w:after="0" w:line="331" w:lineRule="auto"/>
        <w:rPr>
          <w:sz w:val="20"/>
          <w:szCs w:val="20"/>
          <w:color w:val="auto"/>
        </w:rPr>
      </w:pPr>
      <w:r>
        <w:rPr>
          <w:rFonts w:ascii="Times New Roman" w:cs="Times New Roman" w:eastAsia="Times New Roman" w:hAnsi="Times New Roman"/>
          <w:sz w:val="14"/>
          <w:szCs w:val="14"/>
          <w:color w:val="auto"/>
        </w:rPr>
        <w:t>Due to the capital-intensive and long -term nature of the operations we support, our lease terms with customers are generally longer than standard commercial leases. As of December 31, 2024, our average remaining lease term was approximately five years.</w:t>
      </w: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Our ability to re-lease expiring space at rental rates equal to or in excess of current rental rates will impact our results of operations.</w:t>
      </w:r>
    </w:p>
    <w:p>
      <w:pPr>
        <w:spacing w:after="0" w:line="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subsequent table summarizes our leasing activity in the year ended December 31, 2024 (square feet in thousands):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64" w:name="page65"/>
    <w:bookmarkEnd w:id="64"/>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88" w:lineRule="exact"/>
        <w:rPr>
          <w:sz w:val="20"/>
          <w:szCs w:val="20"/>
          <w:color w:val="auto"/>
        </w:rPr>
      </w:pPr>
    </w:p>
    <w:tbl>
      <w:tblPr>
        <w:tblLayout w:type="fixed"/>
        <w:tblInd w:w="320" w:type="dxa"/>
        <w:tblCellMar>
          <w:top w:w="0" w:type="dxa"/>
          <w:left w:w="0" w:type="dxa"/>
          <w:bottom w:w="0" w:type="dxa"/>
          <w:right w:w="0" w:type="dxa"/>
        </w:tblCellMar>
      </w:tblPr>
      <w:tr>
        <w:trPr>
          <w:trHeight w:val="156"/>
        </w:trPr>
        <w:tc>
          <w:tcPr>
            <w:tcW w:w="2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TI’s/Lease</w:t>
            </w:r>
          </w:p>
        </w:tc>
        <w:tc>
          <w:tcPr>
            <w:tcW w:w="12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Weighted</w:t>
            </w:r>
          </w:p>
        </w:tc>
      </w:tr>
      <w:tr>
        <w:trPr>
          <w:trHeight w:val="156"/>
        </w:trPr>
        <w:tc>
          <w:tcPr>
            <w:tcW w:w="2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Commissions</w:t>
            </w:r>
          </w:p>
        </w:tc>
        <w:tc>
          <w:tcPr>
            <w:tcW w:w="12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Average Lease</w:t>
            </w:r>
          </w:p>
        </w:tc>
      </w:tr>
      <w:tr>
        <w:trPr>
          <w:trHeight w:val="156"/>
        </w:trPr>
        <w:tc>
          <w:tcPr>
            <w:tcW w:w="2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40" w:type="dxa"/>
            <w:vAlign w:val="bottom"/>
          </w:tcPr>
          <w:p>
            <w:pPr>
              <w:jc w:val="right"/>
              <w:ind w:right="244"/>
              <w:spacing w:after="0"/>
              <w:rPr>
                <w:sz w:val="20"/>
                <w:szCs w:val="20"/>
                <w:color w:val="auto"/>
              </w:rPr>
            </w:pPr>
            <w:r>
              <w:rPr>
                <w:rFonts w:ascii="Times New Roman" w:cs="Times New Roman" w:eastAsia="Times New Roman" w:hAnsi="Times New Roman"/>
                <w:sz w:val="13"/>
                <w:szCs w:val="13"/>
                <w:b w:val="1"/>
                <w:bCs w:val="1"/>
                <w:color w:val="auto"/>
              </w:rPr>
              <w:t>Rentable</w:t>
            </w:r>
          </w:p>
        </w:tc>
        <w:tc>
          <w:tcPr>
            <w:tcW w:w="140" w:type="dxa"/>
            <w:vAlign w:val="bottom"/>
          </w:tcPr>
          <w:p>
            <w:pPr>
              <w:spacing w:after="0"/>
              <w:rPr>
                <w:sz w:val="13"/>
                <w:szCs w:val="13"/>
                <w:color w:val="auto"/>
              </w:rPr>
            </w:pPr>
          </w:p>
        </w:tc>
        <w:tc>
          <w:tcPr>
            <w:tcW w:w="660" w:type="dxa"/>
            <w:vAlign w:val="bottom"/>
            <w:gridSpan w:val="2"/>
          </w:tcPr>
          <w:p>
            <w:pPr>
              <w:jc w:val="right"/>
              <w:ind w:right="24"/>
              <w:spacing w:after="0"/>
              <w:rPr>
                <w:sz w:val="20"/>
                <w:szCs w:val="20"/>
                <w:color w:val="auto"/>
              </w:rPr>
            </w:pPr>
            <w:r>
              <w:rPr>
                <w:rFonts w:ascii="Times New Roman" w:cs="Times New Roman" w:eastAsia="Times New Roman" w:hAnsi="Times New Roman"/>
                <w:sz w:val="13"/>
                <w:szCs w:val="13"/>
                <w:b w:val="1"/>
                <w:bCs w:val="1"/>
                <w:color w:val="auto"/>
              </w:rPr>
              <w:t>Expiring</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ind w:right="144"/>
              <w:spacing w:after="0"/>
              <w:rPr>
                <w:sz w:val="20"/>
                <w:szCs w:val="20"/>
                <w:color w:val="auto"/>
              </w:rPr>
            </w:pPr>
            <w:r>
              <w:rPr>
                <w:rFonts w:ascii="Times New Roman" w:cs="Times New Roman" w:eastAsia="Times New Roman" w:hAnsi="Times New Roman"/>
                <w:sz w:val="13"/>
                <w:szCs w:val="13"/>
                <w:b w:val="1"/>
                <w:bCs w:val="1"/>
                <w:color w:val="auto"/>
              </w:rPr>
              <w:t>New</w:t>
            </w: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Rental Rate</w:t>
            </w:r>
          </w:p>
        </w:tc>
        <w:tc>
          <w:tcPr>
            <w:tcW w:w="6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Per Square</w:t>
            </w:r>
          </w:p>
        </w:tc>
        <w:tc>
          <w:tcPr>
            <w:tcW w:w="12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Terms</w:t>
            </w:r>
          </w:p>
        </w:tc>
      </w:tr>
      <w:tr>
        <w:trPr>
          <w:trHeight w:val="170"/>
        </w:trPr>
        <w:tc>
          <w:tcPr>
            <w:tcW w:w="208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84"/>
              <w:spacing w:after="0" w:line="170" w:lineRule="exact"/>
              <w:rPr>
                <w:sz w:val="20"/>
                <w:szCs w:val="20"/>
                <w:color w:val="auto"/>
              </w:rPr>
            </w:pPr>
            <w:r>
              <w:rPr>
                <w:rFonts w:ascii="Times New Roman" w:cs="Times New Roman" w:eastAsia="Times New Roman" w:hAnsi="Times New Roman"/>
                <w:sz w:val="13"/>
                <w:szCs w:val="13"/>
                <w:b w:val="1"/>
                <w:bCs w:val="1"/>
                <w:color w:val="auto"/>
              </w:rPr>
              <w:t xml:space="preserve">Square Feet </w:t>
            </w:r>
            <w:r>
              <w:rPr>
                <w:rFonts w:ascii="Times New Roman" w:cs="Times New Roman" w:eastAsia="Times New Roman" w:hAnsi="Times New Roman"/>
                <w:sz w:val="19"/>
                <w:szCs w:val="19"/>
                <w:b w:val="1"/>
                <w:bCs w:val="1"/>
                <w:color w:val="auto"/>
                <w:vertAlign w:val="superscript"/>
              </w:rPr>
              <w:t>(1)</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24"/>
              <w:spacing w:after="0" w:line="170" w:lineRule="exact"/>
              <w:rPr>
                <w:sz w:val="20"/>
                <w:szCs w:val="20"/>
                <w:color w:val="auto"/>
              </w:rPr>
            </w:pPr>
            <w:r>
              <w:rPr>
                <w:rFonts w:ascii="Times New Roman" w:cs="Times New Roman" w:eastAsia="Times New Roman" w:hAnsi="Times New Roman"/>
                <w:sz w:val="13"/>
                <w:szCs w:val="13"/>
                <w:b w:val="1"/>
                <w:bCs w:val="1"/>
                <w:color w:val="auto"/>
                <w:w w:val="89"/>
              </w:rPr>
              <w:t xml:space="preserve">Rates </w:t>
            </w:r>
            <w:r>
              <w:rPr>
                <w:rFonts w:ascii="Times New Roman" w:cs="Times New Roman" w:eastAsia="Times New Roman" w:hAnsi="Times New Roman"/>
                <w:sz w:val="19"/>
                <w:szCs w:val="19"/>
                <w:b w:val="1"/>
                <w:bCs w:val="1"/>
                <w:color w:val="auto"/>
                <w:w w:val="89"/>
                <w:vertAlign w:val="superscript"/>
              </w:rPr>
              <w:t>(2)</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44"/>
              <w:spacing w:after="0" w:line="170" w:lineRule="exact"/>
              <w:rPr>
                <w:sz w:val="20"/>
                <w:szCs w:val="20"/>
                <w:color w:val="auto"/>
              </w:rPr>
            </w:pPr>
            <w:r>
              <w:rPr>
                <w:rFonts w:ascii="Times New Roman" w:cs="Times New Roman" w:eastAsia="Times New Roman" w:hAnsi="Times New Roman"/>
                <w:sz w:val="13"/>
                <w:szCs w:val="13"/>
                <w:b w:val="1"/>
                <w:bCs w:val="1"/>
                <w:color w:val="auto"/>
                <w:w w:val="93"/>
              </w:rPr>
              <w:t xml:space="preserve">Rates </w:t>
            </w:r>
            <w:r>
              <w:rPr>
                <w:rFonts w:ascii="Times New Roman" w:cs="Times New Roman" w:eastAsia="Times New Roman" w:hAnsi="Times New Roman"/>
                <w:sz w:val="19"/>
                <w:szCs w:val="19"/>
                <w:b w:val="1"/>
                <w:bCs w:val="1"/>
                <w:color w:val="auto"/>
                <w:w w:val="93"/>
                <w:vertAlign w:val="superscript"/>
              </w:rPr>
              <w:t>(2)</w:t>
            </w:r>
          </w:p>
        </w:tc>
        <w:tc>
          <w:tcPr>
            <w:tcW w:w="12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3"/>
                <w:szCs w:val="13"/>
                <w:b w:val="1"/>
                <w:bCs w:val="1"/>
                <w:color w:val="auto"/>
              </w:rPr>
              <w:t>Changes</w:t>
            </w:r>
          </w:p>
        </w:tc>
        <w:tc>
          <w:tcPr>
            <w:tcW w:w="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84"/>
              <w:spacing w:after="0"/>
              <w:rPr>
                <w:sz w:val="20"/>
                <w:szCs w:val="20"/>
                <w:color w:val="auto"/>
              </w:rPr>
            </w:pPr>
            <w:r>
              <w:rPr>
                <w:rFonts w:ascii="Times New Roman" w:cs="Times New Roman" w:eastAsia="Times New Roman" w:hAnsi="Times New Roman"/>
                <w:sz w:val="13"/>
                <w:szCs w:val="13"/>
                <w:b w:val="1"/>
                <w:bCs w:val="1"/>
                <w:color w:val="auto"/>
              </w:rPr>
              <w:t>Foot</w:t>
            </w:r>
          </w:p>
        </w:tc>
        <w:tc>
          <w:tcPr>
            <w:tcW w:w="1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(years)</w:t>
            </w:r>
          </w:p>
        </w:tc>
      </w:tr>
      <w:tr>
        <w:trPr>
          <w:trHeight w:val="172"/>
        </w:trPr>
        <w:tc>
          <w:tcPr>
            <w:tcW w:w="2780" w:type="dxa"/>
            <w:vAlign w:val="bottom"/>
            <w:gridSpan w:val="2"/>
            <w:shd w:val="clear" w:color="auto" w:fill="CCEEFF"/>
          </w:tcPr>
          <w:p>
            <w:pPr>
              <w:spacing w:after="0" w:line="173" w:lineRule="exact"/>
              <w:rPr>
                <w:sz w:val="20"/>
                <w:szCs w:val="20"/>
                <w:color w:val="auto"/>
              </w:rPr>
            </w:pPr>
            <w:r>
              <w:rPr>
                <w:rFonts w:ascii="Times New Roman" w:cs="Times New Roman" w:eastAsia="Times New Roman" w:hAnsi="Times New Roman"/>
                <w:sz w:val="13"/>
                <w:szCs w:val="13"/>
                <w:b w:val="1"/>
                <w:bCs w:val="1"/>
                <w:i w:val="1"/>
                <w:iCs w:val="1"/>
                <w:color w:val="auto"/>
              </w:rPr>
              <w:t xml:space="preserve">Leasing Activity </w:t>
            </w:r>
            <w:r>
              <w:rPr>
                <w:rFonts w:ascii="Times New Roman" w:cs="Times New Roman" w:eastAsia="Times New Roman" w:hAnsi="Times New Roman"/>
                <w:sz w:val="19"/>
                <w:szCs w:val="19"/>
                <w:b w:val="1"/>
                <w:bCs w:val="1"/>
                <w:i w:val="1"/>
                <w:iCs w:val="1"/>
                <w:color w:val="auto"/>
                <w:vertAlign w:val="superscript"/>
              </w:rPr>
              <w:t>(3)(4)</w:t>
            </w:r>
          </w:p>
        </w:tc>
        <w:tc>
          <w:tcPr>
            <w:tcW w:w="1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80"/>
        </w:trPr>
        <w:tc>
          <w:tcPr>
            <w:tcW w:w="278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b w:val="1"/>
                <w:bCs w:val="1"/>
                <w:color w:val="auto"/>
              </w:rPr>
              <w:t>Renewals Signed</w:t>
            </w: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04"/>
        </w:trPr>
        <w:tc>
          <w:tcPr>
            <w:tcW w:w="27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 xml:space="preserve">0 </w:t>
            </w:r>
            <w:r>
              <w:rPr>
                <w:rFonts w:ascii="Calibri" w:cs="Calibri" w:eastAsia="Calibri" w:hAnsi="Calibri"/>
                <w:sz w:val="16"/>
                <w:szCs w:val="16"/>
                <w:color w:val="auto"/>
              </w:rPr>
              <w:t>—</w:t>
            </w:r>
            <w:r>
              <w:rPr>
                <w:rFonts w:ascii="Times New Roman" w:cs="Times New Roman" w:eastAsia="Times New Roman" w:hAnsi="Times New Roman"/>
                <w:sz w:val="16"/>
                <w:szCs w:val="16"/>
                <w:color w:val="auto"/>
              </w:rPr>
              <w:t xml:space="preserve"> 1 MW</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860" w:type="dxa"/>
            <w:vAlign w:val="bottom"/>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6"/>
                <w:szCs w:val="16"/>
                <w:color w:val="auto"/>
              </w:rPr>
              <w:t>5.0 %</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180"/>
        </w:trPr>
        <w:tc>
          <w:tcPr>
            <w:tcW w:w="2780" w:type="dxa"/>
            <w:vAlign w:val="bottom"/>
            <w:gridSpan w:val="2"/>
          </w:tcPr>
          <w:p>
            <w:pPr>
              <w:ind w:left="200"/>
              <w:spacing w:after="0" w:line="180" w:lineRule="exact"/>
              <w:rPr>
                <w:sz w:val="20"/>
                <w:szCs w:val="20"/>
                <w:color w:val="auto"/>
              </w:rPr>
            </w:pPr>
            <w:r>
              <w:rPr>
                <w:rFonts w:ascii="Times New Roman" w:cs="Times New Roman" w:eastAsia="Times New Roman" w:hAnsi="Times New Roman"/>
                <w:sz w:val="16"/>
                <w:szCs w:val="16"/>
                <w:color w:val="auto"/>
              </w:rPr>
              <w:t>&gt; 1 MW</w:t>
            </w:r>
          </w:p>
        </w:tc>
        <w:tc>
          <w:tcPr>
            <w:tcW w:w="1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2,513</w:t>
            </w:r>
          </w:p>
        </w:tc>
        <w:tc>
          <w:tcPr>
            <w:tcW w:w="2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129</w:t>
            </w:r>
          </w:p>
        </w:tc>
        <w:tc>
          <w:tcPr>
            <w:tcW w:w="2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164</w:t>
            </w:r>
          </w:p>
        </w:tc>
        <w:tc>
          <w:tcPr>
            <w:tcW w:w="860" w:type="dxa"/>
            <w:vAlign w:val="bottom"/>
            <w:gridSpan w:val="2"/>
          </w:tcPr>
          <w:p>
            <w:pPr>
              <w:jc w:val="right"/>
              <w:ind w:right="47"/>
              <w:spacing w:after="0" w:line="180" w:lineRule="exact"/>
              <w:rPr>
                <w:sz w:val="20"/>
                <w:szCs w:val="20"/>
                <w:color w:val="auto"/>
              </w:rPr>
            </w:pPr>
            <w:r>
              <w:rPr>
                <w:rFonts w:ascii="Times New Roman" w:cs="Times New Roman" w:eastAsia="Times New Roman" w:hAnsi="Times New Roman"/>
                <w:sz w:val="16"/>
                <w:szCs w:val="16"/>
                <w:color w:val="auto"/>
              </w:rPr>
              <w:t>27.4 %</w:t>
            </w:r>
          </w:p>
        </w:tc>
        <w:tc>
          <w:tcPr>
            <w:tcW w:w="320" w:type="dxa"/>
            <w:vAlign w:val="bottom"/>
            <w:gridSpan w:val="2"/>
          </w:tcPr>
          <w:p>
            <w:pPr>
              <w:ind w:lef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0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5.5</w:t>
            </w:r>
          </w:p>
        </w:tc>
      </w:tr>
      <w:tr>
        <w:trPr>
          <w:trHeight w:val="180"/>
        </w:trPr>
        <w:tc>
          <w:tcPr>
            <w:tcW w:w="2780" w:type="dxa"/>
            <w:vAlign w:val="bottom"/>
            <w:gridSpan w:val="2"/>
            <w:shd w:val="clear" w:color="auto" w:fill="CCEEFF"/>
          </w:tcPr>
          <w:p>
            <w:pPr>
              <w:ind w:left="200"/>
              <w:spacing w:after="0" w:line="180" w:lineRule="exact"/>
              <w:rPr>
                <w:sz w:val="20"/>
                <w:szCs w:val="20"/>
                <w:color w:val="auto"/>
              </w:rPr>
            </w:pPr>
            <w:r>
              <w:rPr>
                <w:rFonts w:ascii="Times New Roman" w:cs="Times New Roman" w:eastAsia="Times New Roman" w:hAnsi="Times New Roman"/>
                <w:sz w:val="13"/>
                <w:szCs w:val="13"/>
                <w:color w:val="auto"/>
              </w:rPr>
              <w:t xml:space="preserve">Other </w:t>
            </w:r>
            <w:r>
              <w:rPr>
                <w:rFonts w:ascii="Times New Roman" w:cs="Times New Roman" w:eastAsia="Times New Roman" w:hAnsi="Times New Roman"/>
                <w:sz w:val="20"/>
                <w:szCs w:val="20"/>
                <w:color w:val="auto"/>
                <w:vertAlign w:val="superscript"/>
              </w:rPr>
              <w:t>(6)</w:t>
            </w:r>
          </w:p>
        </w:tc>
        <w:tc>
          <w:tcPr>
            <w:tcW w:w="11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404</w:t>
            </w:r>
          </w:p>
        </w:tc>
        <w:tc>
          <w:tcPr>
            <w:tcW w:w="2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46</w:t>
            </w:r>
          </w:p>
        </w:tc>
        <w:tc>
          <w:tcPr>
            <w:tcW w:w="220" w:type="dxa"/>
            <w:vAlign w:val="bottom"/>
            <w:gridSpan w:val="2"/>
            <w:shd w:val="clear" w:color="auto" w:fill="CCEEFF"/>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68</w:t>
            </w:r>
          </w:p>
        </w:tc>
        <w:tc>
          <w:tcPr>
            <w:tcW w:w="860" w:type="dxa"/>
            <w:vAlign w:val="bottom"/>
            <w:gridSpan w:val="2"/>
            <w:shd w:val="clear" w:color="auto" w:fill="CCEEFF"/>
          </w:tcPr>
          <w:p>
            <w:pPr>
              <w:jc w:val="right"/>
              <w:ind w:right="47"/>
              <w:spacing w:after="0" w:line="180" w:lineRule="exact"/>
              <w:rPr>
                <w:sz w:val="20"/>
                <w:szCs w:val="20"/>
                <w:color w:val="auto"/>
              </w:rPr>
            </w:pPr>
            <w:r>
              <w:rPr>
                <w:rFonts w:ascii="Times New Roman" w:cs="Times New Roman" w:eastAsia="Times New Roman" w:hAnsi="Times New Roman"/>
                <w:sz w:val="16"/>
                <w:szCs w:val="16"/>
                <w:color w:val="auto"/>
              </w:rPr>
              <w:t>47.1 %</w:t>
            </w:r>
          </w:p>
        </w:tc>
        <w:tc>
          <w:tcPr>
            <w:tcW w:w="320" w:type="dxa"/>
            <w:vAlign w:val="bottom"/>
            <w:gridSpan w:val="2"/>
            <w:shd w:val="clear" w:color="auto" w:fill="CCEEFF"/>
          </w:tcPr>
          <w:p>
            <w:pPr>
              <w:ind w:lef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02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5.4</w:t>
            </w:r>
          </w:p>
        </w:tc>
      </w:tr>
      <w:tr>
        <w:trPr>
          <w:trHeight w:val="180"/>
        </w:trPr>
        <w:tc>
          <w:tcPr>
            <w:tcW w:w="278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3"/>
                <w:szCs w:val="13"/>
                <w:b w:val="1"/>
                <w:bCs w:val="1"/>
                <w:color w:val="auto"/>
              </w:rPr>
              <w:t xml:space="preserve">New Leases Signed </w:t>
            </w:r>
            <w:r>
              <w:rPr>
                <w:rFonts w:ascii="Times New Roman" w:cs="Times New Roman" w:eastAsia="Times New Roman" w:hAnsi="Times New Roman"/>
                <w:sz w:val="20"/>
                <w:szCs w:val="20"/>
                <w:b w:val="1"/>
                <w:bCs w:val="1"/>
                <w:color w:val="auto"/>
                <w:vertAlign w:val="superscript"/>
              </w:rPr>
              <w:t>(5)</w:t>
            </w: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04"/>
        </w:trPr>
        <w:tc>
          <w:tcPr>
            <w:tcW w:w="27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 xml:space="preserve">0 </w:t>
            </w:r>
            <w:r>
              <w:rPr>
                <w:rFonts w:ascii="Calibri" w:cs="Calibri" w:eastAsia="Calibri" w:hAnsi="Calibri"/>
                <w:sz w:val="16"/>
                <w:szCs w:val="16"/>
                <w:color w:val="auto"/>
              </w:rPr>
              <w:t>—</w:t>
            </w:r>
            <w:r>
              <w:rPr>
                <w:rFonts w:ascii="Times New Roman" w:cs="Times New Roman" w:eastAsia="Times New Roman" w:hAnsi="Times New Roman"/>
                <w:sz w:val="16"/>
                <w:szCs w:val="16"/>
                <w:color w:val="auto"/>
              </w:rPr>
              <w:t xml:space="preserve"> 1 MW</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27"/>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180"/>
        </w:trPr>
        <w:tc>
          <w:tcPr>
            <w:tcW w:w="2780" w:type="dxa"/>
            <w:vAlign w:val="bottom"/>
            <w:gridSpan w:val="2"/>
          </w:tcPr>
          <w:p>
            <w:pPr>
              <w:ind w:left="200"/>
              <w:spacing w:after="0" w:line="180" w:lineRule="exact"/>
              <w:rPr>
                <w:sz w:val="20"/>
                <w:szCs w:val="20"/>
                <w:color w:val="auto"/>
              </w:rPr>
            </w:pPr>
            <w:r>
              <w:rPr>
                <w:rFonts w:ascii="Times New Roman" w:cs="Times New Roman" w:eastAsia="Times New Roman" w:hAnsi="Times New Roman"/>
                <w:sz w:val="16"/>
                <w:szCs w:val="16"/>
                <w:color w:val="auto"/>
              </w:rPr>
              <w:t>&gt; 1 MW</w:t>
            </w:r>
          </w:p>
        </w:tc>
        <w:tc>
          <w:tcPr>
            <w:tcW w:w="1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2,581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302</w:t>
            </w:r>
          </w:p>
        </w:tc>
        <w:tc>
          <w:tcPr>
            <w:tcW w:w="120" w:type="dxa"/>
            <w:vAlign w:val="bottom"/>
          </w:tcPr>
          <w:p>
            <w:pPr>
              <w:spacing w:after="0"/>
              <w:rPr>
                <w:sz w:val="15"/>
                <w:szCs w:val="15"/>
                <w:color w:val="auto"/>
              </w:rPr>
            </w:pPr>
          </w:p>
        </w:tc>
        <w:tc>
          <w:tcPr>
            <w:tcW w:w="740" w:type="dxa"/>
            <w:vAlign w:val="bottom"/>
          </w:tcPr>
          <w:p>
            <w:pPr>
              <w:jc w:val="right"/>
              <w:ind w:right="227"/>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tcPr>
          <w:p>
            <w:pPr>
              <w:ind w:lef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11.6</w:t>
            </w:r>
          </w:p>
        </w:tc>
      </w:tr>
      <w:tr>
        <w:trPr>
          <w:trHeight w:val="180"/>
        </w:trPr>
        <w:tc>
          <w:tcPr>
            <w:tcW w:w="2780" w:type="dxa"/>
            <w:vAlign w:val="bottom"/>
            <w:gridSpan w:val="2"/>
            <w:shd w:val="clear" w:color="auto" w:fill="CCEEFF"/>
          </w:tcPr>
          <w:p>
            <w:pPr>
              <w:ind w:left="200"/>
              <w:spacing w:after="0" w:line="180" w:lineRule="exact"/>
              <w:rPr>
                <w:sz w:val="20"/>
                <w:szCs w:val="20"/>
                <w:color w:val="auto"/>
              </w:rPr>
            </w:pPr>
            <w:r>
              <w:rPr>
                <w:rFonts w:ascii="Times New Roman" w:cs="Times New Roman" w:eastAsia="Times New Roman" w:hAnsi="Times New Roman"/>
                <w:sz w:val="13"/>
                <w:szCs w:val="13"/>
                <w:color w:val="auto"/>
              </w:rPr>
              <w:t xml:space="preserve">Other </w:t>
            </w:r>
            <w:r>
              <w:rPr>
                <w:rFonts w:ascii="Times New Roman" w:cs="Times New Roman" w:eastAsia="Times New Roman" w:hAnsi="Times New Roman"/>
                <w:sz w:val="20"/>
                <w:szCs w:val="20"/>
                <w:color w:val="auto"/>
                <w:vertAlign w:val="superscript"/>
              </w:rPr>
              <w:t>(6)</w:t>
            </w:r>
          </w:p>
        </w:tc>
        <w:tc>
          <w:tcPr>
            <w:tcW w:w="11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105</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CEEFF"/>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63</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227"/>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shd w:val="clear" w:color="auto" w:fill="CCEEFF"/>
          </w:tcPr>
          <w:p>
            <w:pPr>
              <w:ind w:lef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102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12.2</w:t>
            </w:r>
          </w:p>
        </w:tc>
      </w:tr>
      <w:tr>
        <w:trPr>
          <w:trHeight w:val="180"/>
        </w:trPr>
        <w:tc>
          <w:tcPr>
            <w:tcW w:w="278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b w:val="1"/>
                <w:bCs w:val="1"/>
                <w:i w:val="1"/>
                <w:iCs w:val="1"/>
                <w:color w:val="auto"/>
              </w:rPr>
              <w:t>Leasing Activity Summary</w:t>
            </w: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04"/>
        </w:trPr>
        <w:tc>
          <w:tcPr>
            <w:tcW w:w="27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 xml:space="preserve">0 </w:t>
            </w:r>
            <w:r>
              <w:rPr>
                <w:rFonts w:ascii="Calibri" w:cs="Calibri" w:eastAsia="Calibri" w:hAnsi="Calibri"/>
                <w:sz w:val="16"/>
                <w:szCs w:val="16"/>
                <w:color w:val="auto"/>
              </w:rPr>
              <w:t>—</w:t>
            </w:r>
            <w:r>
              <w:rPr>
                <w:rFonts w:ascii="Times New Roman" w:cs="Times New Roman" w:eastAsia="Times New Roman" w:hAnsi="Times New Roman"/>
                <w:sz w:val="16"/>
                <w:szCs w:val="16"/>
                <w:color w:val="auto"/>
              </w:rPr>
              <w:t xml:space="preserve"> 1 MW</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80"/>
        </w:trPr>
        <w:tc>
          <w:tcPr>
            <w:tcW w:w="2780" w:type="dxa"/>
            <w:vAlign w:val="bottom"/>
            <w:gridSpan w:val="2"/>
          </w:tcPr>
          <w:p>
            <w:pPr>
              <w:ind w:left="200"/>
              <w:spacing w:after="0" w:line="180" w:lineRule="exact"/>
              <w:rPr>
                <w:sz w:val="20"/>
                <w:szCs w:val="20"/>
                <w:color w:val="auto"/>
              </w:rPr>
            </w:pPr>
            <w:r>
              <w:rPr>
                <w:rFonts w:ascii="Times New Roman" w:cs="Times New Roman" w:eastAsia="Times New Roman" w:hAnsi="Times New Roman"/>
                <w:sz w:val="16"/>
                <w:szCs w:val="16"/>
                <w:color w:val="auto"/>
              </w:rPr>
              <w:t>&gt; 1 MW</w:t>
            </w:r>
          </w:p>
        </w:tc>
        <w:tc>
          <w:tcPr>
            <w:tcW w:w="1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5,094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234</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0"/>
        </w:trPr>
        <w:tc>
          <w:tcPr>
            <w:tcW w:w="2780" w:type="dxa"/>
            <w:vAlign w:val="bottom"/>
            <w:gridSpan w:val="2"/>
            <w:shd w:val="clear" w:color="auto" w:fill="CCEEFF"/>
          </w:tcPr>
          <w:p>
            <w:pPr>
              <w:ind w:left="200"/>
              <w:spacing w:after="0" w:line="180" w:lineRule="exact"/>
              <w:rPr>
                <w:sz w:val="20"/>
                <w:szCs w:val="20"/>
                <w:color w:val="auto"/>
              </w:rPr>
            </w:pPr>
            <w:r>
              <w:rPr>
                <w:rFonts w:ascii="Times New Roman" w:cs="Times New Roman" w:eastAsia="Times New Roman" w:hAnsi="Times New Roman"/>
                <w:sz w:val="13"/>
                <w:szCs w:val="13"/>
                <w:color w:val="auto"/>
              </w:rPr>
              <w:t xml:space="preserve">Other </w:t>
            </w:r>
            <w:r>
              <w:rPr>
                <w:rFonts w:ascii="Times New Roman" w:cs="Times New Roman" w:eastAsia="Times New Roman" w:hAnsi="Times New Roman"/>
                <w:sz w:val="20"/>
                <w:szCs w:val="20"/>
                <w:color w:val="auto"/>
                <w:vertAlign w:val="superscript"/>
              </w:rPr>
              <w:t>(6)</w:t>
            </w:r>
          </w:p>
        </w:tc>
        <w:tc>
          <w:tcPr>
            <w:tcW w:w="11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509</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67</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96"/>
        </w:trPr>
        <w:tc>
          <w:tcPr>
            <w:tcW w:w="208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r>
    </w:tbl>
    <w:p>
      <w:pPr>
        <w:spacing w:after="0" w:line="59" w:lineRule="exact"/>
        <w:rPr>
          <w:sz w:val="20"/>
          <w:szCs w:val="20"/>
          <w:color w:val="auto"/>
        </w:rPr>
      </w:pPr>
    </w:p>
    <w:p>
      <w:pPr>
        <w:ind w:left="600" w:right="360" w:hanging="282"/>
        <w:spacing w:after="0" w:line="246" w:lineRule="auto"/>
        <w:tabs>
          <w:tab w:leader="none" w:pos="60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some of our properties, we calculate square footage based on factors in addition to contractually leased square feet, including power, required support space and common area.</w:t>
      </w:r>
    </w:p>
    <w:p>
      <w:pPr>
        <w:ind w:left="600" w:right="560" w:hanging="282"/>
        <w:spacing w:after="0" w:line="234" w:lineRule="auto"/>
        <w:tabs>
          <w:tab w:leader="none" w:pos="60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Rental rates represent average annual estimated base cash rent per rentable square foot – calculated for each contract based on total cash base rent divided by the total number of years in the contract (including any tenant concessions). All rates were calculated in the local currency of each contract and then converted to USD based on average exchange rates for the period December 31, 2024.</w:t>
      </w:r>
    </w:p>
    <w:p>
      <w:pPr>
        <w:spacing w:after="0" w:line="2" w:lineRule="exact"/>
        <w:rPr>
          <w:rFonts w:ascii="Times New Roman" w:cs="Times New Roman" w:eastAsia="Times New Roman" w:hAnsi="Times New Roman"/>
          <w:sz w:val="16"/>
          <w:szCs w:val="16"/>
          <w:color w:val="auto"/>
        </w:rPr>
      </w:pPr>
    </w:p>
    <w:p>
      <w:pPr>
        <w:ind w:left="600" w:hanging="282"/>
        <w:spacing w:after="0" w:line="234" w:lineRule="auto"/>
        <w:tabs>
          <w:tab w:leader="none" w:pos="60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short-term leases (less than 12 months).</w:t>
      </w:r>
    </w:p>
    <w:p>
      <w:pPr>
        <w:ind w:left="600" w:hanging="282"/>
        <w:spacing w:after="0" w:line="234" w:lineRule="auto"/>
        <w:tabs>
          <w:tab w:leader="none" w:pos="60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Commencement dates for the leases signed range from 2024 to 2025.</w:t>
      </w:r>
    </w:p>
    <w:p>
      <w:pPr>
        <w:ind w:left="600" w:hanging="282"/>
        <w:spacing w:after="0" w:line="234" w:lineRule="auto"/>
        <w:tabs>
          <w:tab w:leader="none" w:pos="60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leases signed for new and re-leased space.</w:t>
      </w:r>
    </w:p>
    <w:p>
      <w:pPr>
        <w:ind w:left="600" w:right="780" w:hanging="282"/>
        <w:spacing w:after="0" w:line="238" w:lineRule="auto"/>
        <w:tabs>
          <w:tab w:leader="none" w:pos="60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includes Powered Base Building shell capacity as well as storage and office space within fully improved data center facilities.</w:t>
      </w:r>
    </w:p>
    <w:p>
      <w:pPr>
        <w:spacing w:after="0" w:line="157" w:lineRule="exact"/>
        <w:rPr>
          <w:sz w:val="20"/>
          <w:szCs w:val="20"/>
          <w:color w:val="auto"/>
        </w:rPr>
      </w:pPr>
    </w:p>
    <w:p>
      <w:pPr>
        <w:ind w:left="320" w:right="360"/>
        <w:spacing w:after="0" w:line="238" w:lineRule="auto"/>
        <w:rPr>
          <w:sz w:val="20"/>
          <w:szCs w:val="20"/>
          <w:color w:val="auto"/>
        </w:rPr>
      </w:pPr>
      <w:r>
        <w:rPr>
          <w:rFonts w:ascii="Times New Roman" w:cs="Times New Roman" w:eastAsia="Times New Roman" w:hAnsi="Times New Roman"/>
          <w:sz w:val="16"/>
          <w:szCs w:val="16"/>
          <w:color w:val="auto"/>
        </w:rPr>
        <w:t>We continue to see strong demand in most of our key metropolitan areas for data center space and, subject to the supply of available data center space in these metropolitan areas, we expect average aggregate rental rates on renewed data center leases for 2025 expirations to be positive as compared with the rates currently being paid for the same space on a GAAP basis and on a cash basis. Our past performance may not be indicative of future results, and we cannot assure you that leases will be renewed or that our data centers will be re-leased at all or at rental rates equal to or above the current average rental rates. Further, re-leased/renewed rental rates in a particular metropolitan area may not be consistent with rental rates across our portfolio as a whole and may fluctuate from one period to another due to a number of factors, including local economic conditions, local supply and demand for data center space, competition from other data center developers or operators, the condition of the property and whether the property, or space within the property, has been developed.</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65" w:name="page66"/>
    <w:bookmarkEnd w:id="65"/>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Geographic concentration</w:t>
      </w:r>
    </w:p>
    <w:p>
      <w:pPr>
        <w:spacing w:after="0" w:line="180" w:lineRule="exact"/>
        <w:rPr>
          <w:sz w:val="20"/>
          <w:szCs w:val="20"/>
          <w:color w:val="auto"/>
        </w:rPr>
      </w:pPr>
    </w:p>
    <w:p>
      <w:pPr>
        <w:ind w:left="320" w:right="600"/>
        <w:spacing w:after="0" w:line="247" w:lineRule="auto"/>
        <w:rPr>
          <w:sz w:val="20"/>
          <w:szCs w:val="20"/>
          <w:color w:val="auto"/>
        </w:rPr>
      </w:pPr>
      <w:r>
        <w:rPr>
          <w:rFonts w:ascii="Times New Roman" w:cs="Times New Roman" w:eastAsia="Times New Roman" w:hAnsi="Times New Roman"/>
          <w:sz w:val="16"/>
          <w:szCs w:val="16"/>
          <w:color w:val="auto"/>
        </w:rPr>
        <w:t>We depend on the market for data centers in specific geographic regions and significant changes in these regional or metropolitan areas can impact our future results. The following table shows the geographic concentration based on annualized rent from our portfolio, including data centers held as investments in unconsolidated entities.</w:t>
      </w:r>
    </w:p>
    <w:p>
      <w:pPr>
        <w:spacing w:after="0" w:line="164" w:lineRule="exact"/>
        <w:rPr>
          <w:sz w:val="20"/>
          <w:szCs w:val="20"/>
          <w:color w:val="auto"/>
        </w:rPr>
      </w:pPr>
    </w:p>
    <w:tbl>
      <w:tblPr>
        <w:tblLayout w:type="fixed"/>
        <w:tblInd w:w="320" w:type="dxa"/>
        <w:tblCellMar>
          <w:top w:w="0" w:type="dxa"/>
          <w:left w:w="0" w:type="dxa"/>
          <w:bottom w:w="0" w:type="dxa"/>
          <w:right w:w="0" w:type="dxa"/>
        </w:tblCellMar>
      </w:tblPr>
      <w:tr>
        <w:trPr>
          <w:trHeight w:val="156"/>
        </w:trPr>
        <w:tc>
          <w:tcPr>
            <w:tcW w:w="208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60" w:type="dxa"/>
            <w:vAlign w:val="bottom"/>
          </w:tcPr>
          <w:p>
            <w:pPr>
              <w:jc w:val="center"/>
              <w:ind w:left="269"/>
              <w:spacing w:after="0"/>
              <w:rPr>
                <w:sz w:val="20"/>
                <w:szCs w:val="20"/>
                <w:color w:val="auto"/>
              </w:rPr>
            </w:pPr>
            <w:r>
              <w:rPr>
                <w:rFonts w:ascii="Times New Roman" w:cs="Times New Roman" w:eastAsia="Times New Roman" w:hAnsi="Times New Roman"/>
                <w:sz w:val="13"/>
                <w:szCs w:val="13"/>
                <w:b w:val="1"/>
                <w:bCs w:val="1"/>
                <w:color w:val="auto"/>
              </w:rPr>
              <w:t>Percentage of</w:t>
            </w:r>
          </w:p>
        </w:tc>
        <w:tc>
          <w:tcPr>
            <w:tcW w:w="360" w:type="dxa"/>
            <w:vAlign w:val="bottom"/>
          </w:tcPr>
          <w:p>
            <w:pPr>
              <w:spacing w:after="0"/>
              <w:rPr>
                <w:sz w:val="13"/>
                <w:szCs w:val="13"/>
                <w:color w:val="auto"/>
              </w:rPr>
            </w:pPr>
          </w:p>
        </w:tc>
      </w:tr>
      <w:tr>
        <w:trPr>
          <w:trHeight w:val="156"/>
        </w:trPr>
        <w:tc>
          <w:tcPr>
            <w:tcW w:w="208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60" w:type="dxa"/>
            <w:vAlign w:val="bottom"/>
          </w:tcPr>
          <w:p>
            <w:pPr>
              <w:jc w:val="center"/>
              <w:ind w:left="289"/>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360" w:type="dxa"/>
            <w:vAlign w:val="bottom"/>
          </w:tcPr>
          <w:p>
            <w:pPr>
              <w:spacing w:after="0"/>
              <w:rPr>
                <w:sz w:val="13"/>
                <w:szCs w:val="13"/>
                <w:color w:val="auto"/>
              </w:rPr>
            </w:pPr>
          </w:p>
        </w:tc>
      </w:tr>
      <w:tr>
        <w:trPr>
          <w:trHeight w:val="170"/>
        </w:trPr>
        <w:tc>
          <w:tcPr>
            <w:tcW w:w="5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Metropolitan Area</w:t>
            </w:r>
          </w:p>
        </w:tc>
        <w:tc>
          <w:tcPr>
            <w:tcW w:w="480" w:type="dxa"/>
            <w:vAlign w:val="bottom"/>
            <w:tcBorders>
              <w:bottom w:val="single" w:sz="8" w:color="CCEEFF"/>
            </w:tcBorders>
          </w:tcPr>
          <w:p>
            <w:pPr>
              <w:spacing w:after="0"/>
              <w:rPr>
                <w:sz w:val="14"/>
                <w:szCs w:val="14"/>
                <w:color w:val="auto"/>
              </w:rPr>
            </w:pPr>
          </w:p>
        </w:tc>
        <w:tc>
          <w:tcPr>
            <w:tcW w:w="2460" w:type="dxa"/>
            <w:vAlign w:val="bottom"/>
            <w:tcBorders>
              <w:bottom w:val="single" w:sz="8" w:color="auto"/>
            </w:tcBorders>
          </w:tcPr>
          <w:p>
            <w:pPr>
              <w:jc w:val="center"/>
              <w:ind w:left="269"/>
              <w:spacing w:after="0" w:line="170" w:lineRule="exact"/>
              <w:rPr>
                <w:sz w:val="20"/>
                <w:szCs w:val="20"/>
                <w:color w:val="auto"/>
              </w:rPr>
            </w:pPr>
            <w:r>
              <w:rPr>
                <w:rFonts w:ascii="Times New Roman" w:cs="Times New Roman" w:eastAsia="Times New Roman" w:hAnsi="Times New Roman"/>
                <w:sz w:val="13"/>
                <w:szCs w:val="13"/>
                <w:b w:val="1"/>
                <w:bCs w:val="1"/>
                <w:color w:val="auto"/>
                <w:w w:val="98"/>
              </w:rPr>
              <w:t xml:space="preserve">Total annualized rent </w:t>
            </w:r>
            <w:r>
              <w:rPr>
                <w:rFonts w:ascii="Times New Roman" w:cs="Times New Roman" w:eastAsia="Times New Roman" w:hAnsi="Times New Roman"/>
                <w:sz w:val="19"/>
                <w:szCs w:val="19"/>
                <w:b w:val="1"/>
                <w:bCs w:val="1"/>
                <w:color w:val="auto"/>
                <w:w w:val="98"/>
                <w:vertAlign w:val="superscript"/>
              </w:rPr>
              <w:t>(1)</w:t>
            </w:r>
          </w:p>
        </w:tc>
        <w:tc>
          <w:tcPr>
            <w:tcW w:w="360" w:type="dxa"/>
            <w:vAlign w:val="bottom"/>
            <w:tcBorders>
              <w:bottom w:val="single" w:sz="8" w:color="auto"/>
            </w:tcBorders>
          </w:tcPr>
          <w:p>
            <w:pPr>
              <w:spacing w:after="0"/>
              <w:rPr>
                <w:sz w:val="14"/>
                <w:szCs w:val="14"/>
                <w:color w:val="auto"/>
              </w:rPr>
            </w:pPr>
          </w:p>
        </w:tc>
      </w:tr>
      <w:tr>
        <w:trPr>
          <w:trHeight w:val="172"/>
        </w:trPr>
        <w:tc>
          <w:tcPr>
            <w:tcW w:w="5080" w:type="dxa"/>
            <w:vAlign w:val="bottom"/>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Northern Virginia</w:t>
            </w:r>
          </w:p>
        </w:tc>
        <w:tc>
          <w:tcPr>
            <w:tcW w:w="480" w:type="dxa"/>
            <w:vAlign w:val="bottom"/>
            <w:shd w:val="clear" w:color="auto" w:fill="CCEEFF"/>
          </w:tcPr>
          <w:p>
            <w:pPr>
              <w:spacing w:after="0"/>
              <w:rPr>
                <w:sz w:val="14"/>
                <w:szCs w:val="14"/>
                <w:color w:val="auto"/>
              </w:rPr>
            </w:pPr>
          </w:p>
        </w:tc>
        <w:tc>
          <w:tcPr>
            <w:tcW w:w="2820" w:type="dxa"/>
            <w:vAlign w:val="bottom"/>
            <w:gridSpan w:val="2"/>
            <w:shd w:val="clear" w:color="auto" w:fill="CCEEFF"/>
          </w:tcPr>
          <w:p>
            <w:pPr>
              <w:jc w:val="right"/>
              <w:ind w:right="122"/>
              <w:spacing w:after="0" w:line="172" w:lineRule="exact"/>
              <w:rPr>
                <w:sz w:val="20"/>
                <w:szCs w:val="20"/>
                <w:color w:val="auto"/>
              </w:rPr>
            </w:pPr>
            <w:r>
              <w:rPr>
                <w:rFonts w:ascii="Times New Roman" w:cs="Times New Roman" w:eastAsia="Times New Roman" w:hAnsi="Times New Roman"/>
                <w:sz w:val="16"/>
                <w:szCs w:val="16"/>
                <w:color w:val="auto"/>
              </w:rPr>
              <w:t>19.6 %</w:t>
            </w:r>
          </w:p>
        </w:tc>
      </w:tr>
      <w:tr>
        <w:trPr>
          <w:trHeight w:val="180"/>
        </w:trPr>
        <w:tc>
          <w:tcPr>
            <w:tcW w:w="50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Chicago</w:t>
            </w:r>
          </w:p>
        </w:tc>
        <w:tc>
          <w:tcPr>
            <w:tcW w:w="3300" w:type="dxa"/>
            <w:vAlign w:val="bottom"/>
            <w:gridSpan w:val="3"/>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7.7 %</w:t>
            </w:r>
          </w:p>
        </w:tc>
      </w:tr>
      <w:tr>
        <w:trPr>
          <w:trHeight w:val="180"/>
        </w:trPr>
        <w:tc>
          <w:tcPr>
            <w:tcW w:w="50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Frankfurt</w:t>
            </w:r>
          </w:p>
        </w:tc>
        <w:tc>
          <w:tcPr>
            <w:tcW w:w="29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5.9</w:t>
            </w:r>
          </w:p>
        </w:tc>
        <w:tc>
          <w:tcPr>
            <w:tcW w:w="360" w:type="dxa"/>
            <w:vAlign w:val="bottom"/>
            <w:shd w:val="clear" w:color="auto" w:fill="CCEEFF"/>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0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Dallas</w:t>
            </w:r>
          </w:p>
        </w:tc>
        <w:tc>
          <w:tcPr>
            <w:tcW w:w="29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5.3</w:t>
            </w:r>
          </w:p>
        </w:tc>
        <w:tc>
          <w:tcPr>
            <w:tcW w:w="36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0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London</w:t>
            </w:r>
          </w:p>
        </w:tc>
        <w:tc>
          <w:tcPr>
            <w:tcW w:w="3300" w:type="dxa"/>
            <w:vAlign w:val="bottom"/>
            <w:gridSpan w:val="3"/>
            <w:shd w:val="clear" w:color="auto" w:fill="CCEEFF"/>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5.0 %</w:t>
            </w:r>
          </w:p>
        </w:tc>
      </w:tr>
      <w:tr>
        <w:trPr>
          <w:trHeight w:val="180"/>
        </w:trPr>
        <w:tc>
          <w:tcPr>
            <w:tcW w:w="50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Singapore</w:t>
            </w:r>
          </w:p>
        </w:tc>
        <w:tc>
          <w:tcPr>
            <w:tcW w:w="3300" w:type="dxa"/>
            <w:vAlign w:val="bottom"/>
            <w:gridSpan w:val="3"/>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4.6 %</w:t>
            </w:r>
          </w:p>
        </w:tc>
      </w:tr>
      <w:tr>
        <w:trPr>
          <w:trHeight w:val="180"/>
        </w:trPr>
        <w:tc>
          <w:tcPr>
            <w:tcW w:w="50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New York</w:t>
            </w:r>
          </w:p>
        </w:tc>
        <w:tc>
          <w:tcPr>
            <w:tcW w:w="3300" w:type="dxa"/>
            <w:vAlign w:val="bottom"/>
            <w:gridSpan w:val="3"/>
            <w:shd w:val="clear" w:color="auto" w:fill="CCEEFF"/>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4.4 %</w:t>
            </w:r>
          </w:p>
        </w:tc>
      </w:tr>
      <w:tr>
        <w:trPr>
          <w:trHeight w:val="180"/>
        </w:trPr>
        <w:tc>
          <w:tcPr>
            <w:tcW w:w="50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Amsterdam</w:t>
            </w:r>
          </w:p>
        </w:tc>
        <w:tc>
          <w:tcPr>
            <w:tcW w:w="3300" w:type="dxa"/>
            <w:vAlign w:val="bottom"/>
            <w:gridSpan w:val="3"/>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4.0 %</w:t>
            </w:r>
          </w:p>
        </w:tc>
      </w:tr>
      <w:tr>
        <w:trPr>
          <w:trHeight w:val="180"/>
        </w:trPr>
        <w:tc>
          <w:tcPr>
            <w:tcW w:w="50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Silicon Valley</w:t>
            </w:r>
          </w:p>
        </w:tc>
        <w:tc>
          <w:tcPr>
            <w:tcW w:w="29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4.0</w:t>
            </w:r>
          </w:p>
        </w:tc>
        <w:tc>
          <w:tcPr>
            <w:tcW w:w="360" w:type="dxa"/>
            <w:vAlign w:val="bottom"/>
            <w:shd w:val="clear" w:color="auto" w:fill="CCEEFF"/>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0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Sao Paulo</w:t>
            </w:r>
          </w:p>
        </w:tc>
        <w:tc>
          <w:tcPr>
            <w:tcW w:w="3300" w:type="dxa"/>
            <w:vAlign w:val="bottom"/>
            <w:gridSpan w:val="3"/>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3.9 %</w:t>
            </w:r>
          </w:p>
        </w:tc>
      </w:tr>
      <w:tr>
        <w:trPr>
          <w:trHeight w:val="180"/>
        </w:trPr>
        <w:tc>
          <w:tcPr>
            <w:tcW w:w="50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Portland</w:t>
            </w:r>
          </w:p>
        </w:tc>
        <w:tc>
          <w:tcPr>
            <w:tcW w:w="29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3.4</w:t>
            </w:r>
          </w:p>
        </w:tc>
        <w:tc>
          <w:tcPr>
            <w:tcW w:w="360" w:type="dxa"/>
            <w:vAlign w:val="bottom"/>
            <w:shd w:val="clear" w:color="auto" w:fill="CCEEFF"/>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0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Johannesburg</w:t>
            </w:r>
          </w:p>
        </w:tc>
        <w:tc>
          <w:tcPr>
            <w:tcW w:w="3300" w:type="dxa"/>
            <w:vAlign w:val="bottom"/>
            <w:gridSpan w:val="3"/>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3.2 %</w:t>
            </w:r>
          </w:p>
        </w:tc>
      </w:tr>
      <w:tr>
        <w:trPr>
          <w:trHeight w:val="180"/>
        </w:trPr>
        <w:tc>
          <w:tcPr>
            <w:tcW w:w="50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Paris</w:t>
            </w:r>
          </w:p>
        </w:tc>
        <w:tc>
          <w:tcPr>
            <w:tcW w:w="29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2.9</w:t>
            </w:r>
          </w:p>
        </w:tc>
        <w:tc>
          <w:tcPr>
            <w:tcW w:w="360" w:type="dxa"/>
            <w:vAlign w:val="bottom"/>
            <w:shd w:val="clear" w:color="auto" w:fill="CCEEFF"/>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0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Tokyo</w:t>
            </w:r>
          </w:p>
        </w:tc>
        <w:tc>
          <w:tcPr>
            <w:tcW w:w="3300" w:type="dxa"/>
            <w:vAlign w:val="bottom"/>
            <w:gridSpan w:val="3"/>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2.0 %</w:t>
            </w:r>
          </w:p>
        </w:tc>
      </w:tr>
      <w:tr>
        <w:trPr>
          <w:trHeight w:val="180"/>
        </w:trPr>
        <w:tc>
          <w:tcPr>
            <w:tcW w:w="50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Phoenix</w:t>
            </w:r>
          </w:p>
        </w:tc>
        <w:tc>
          <w:tcPr>
            <w:tcW w:w="3300" w:type="dxa"/>
            <w:vAlign w:val="bottom"/>
            <w:gridSpan w:val="3"/>
            <w:shd w:val="clear" w:color="auto" w:fill="CCEEFF"/>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1.7 %</w:t>
            </w:r>
          </w:p>
        </w:tc>
      </w:tr>
      <w:tr>
        <w:trPr>
          <w:trHeight w:val="180"/>
        </w:trPr>
        <w:tc>
          <w:tcPr>
            <w:tcW w:w="50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Other</w:t>
            </w:r>
          </w:p>
        </w:tc>
        <w:tc>
          <w:tcPr>
            <w:tcW w:w="3300" w:type="dxa"/>
            <w:vAlign w:val="bottom"/>
            <w:gridSpan w:val="3"/>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22.4 %</w:t>
            </w:r>
          </w:p>
        </w:tc>
      </w:tr>
      <w:tr>
        <w:trPr>
          <w:trHeight w:val="172"/>
        </w:trPr>
        <w:tc>
          <w:tcPr>
            <w:tcW w:w="5080" w:type="dxa"/>
            <w:vAlign w:val="bottom"/>
            <w:tcBorders>
              <w:top w:val="single" w:sz="8" w:color="CCEEFF"/>
              <w:bottom w:val="single" w:sz="8" w:color="CCEEFF"/>
            </w:tcBorders>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Total</w:t>
            </w:r>
          </w:p>
        </w:tc>
        <w:tc>
          <w:tcPr>
            <w:tcW w:w="480" w:type="dxa"/>
            <w:vAlign w:val="bottom"/>
            <w:tcBorders>
              <w:top w:val="single" w:sz="8" w:color="CCEEFF"/>
              <w:bottom w:val="single" w:sz="8" w:color="CCEEFF"/>
            </w:tcBorders>
            <w:shd w:val="clear" w:color="auto" w:fill="CCEEFF"/>
          </w:tcPr>
          <w:p>
            <w:pPr>
              <w:spacing w:after="0"/>
              <w:rPr>
                <w:sz w:val="14"/>
                <w:szCs w:val="14"/>
                <w:color w:val="auto"/>
              </w:rPr>
            </w:pPr>
          </w:p>
        </w:tc>
        <w:tc>
          <w:tcPr>
            <w:tcW w:w="2820" w:type="dxa"/>
            <w:vAlign w:val="bottom"/>
            <w:tcBorders>
              <w:top w:val="single" w:sz="8" w:color="auto"/>
              <w:bottom w:val="single" w:sz="8" w:color="auto"/>
            </w:tcBorders>
            <w:gridSpan w:val="2"/>
            <w:shd w:val="clear" w:color="auto" w:fill="CCEEFF"/>
          </w:tcPr>
          <w:p>
            <w:pPr>
              <w:jc w:val="right"/>
              <w:ind w:right="122"/>
              <w:spacing w:after="0" w:line="172" w:lineRule="exact"/>
              <w:rPr>
                <w:sz w:val="20"/>
                <w:szCs w:val="20"/>
                <w:color w:val="auto"/>
              </w:rPr>
            </w:pPr>
            <w:r>
              <w:rPr>
                <w:rFonts w:ascii="Times New Roman" w:cs="Times New Roman" w:eastAsia="Times New Roman" w:hAnsi="Times New Roman"/>
                <w:sz w:val="16"/>
                <w:szCs w:val="16"/>
                <w:color w:val="auto"/>
              </w:rPr>
              <w:t>100.0 %</w:t>
            </w:r>
          </w:p>
        </w:tc>
      </w:tr>
      <w:tr>
        <w:trPr>
          <w:trHeight w:val="20"/>
        </w:trPr>
        <w:tc>
          <w:tcPr>
            <w:tcW w:w="20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72"/>
        </w:trPr>
        <w:tc>
          <w:tcPr>
            <w:tcW w:w="2080" w:type="dxa"/>
            <w:vAlign w:val="bottom"/>
            <w:tcBorders>
              <w:bottom w:val="single" w:sz="8" w:color="auto"/>
            </w:tcBorders>
          </w:tcPr>
          <w:p>
            <w:pPr>
              <w:spacing w:after="0"/>
              <w:rPr>
                <w:sz w:val="6"/>
                <w:szCs w:val="6"/>
                <w:color w:val="auto"/>
              </w:rPr>
            </w:pPr>
          </w:p>
        </w:tc>
        <w:tc>
          <w:tcPr>
            <w:tcW w:w="30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60" w:type="dxa"/>
            <w:vAlign w:val="bottom"/>
          </w:tcPr>
          <w:p>
            <w:pPr>
              <w:spacing w:after="0"/>
              <w:rPr>
                <w:sz w:val="6"/>
                <w:szCs w:val="6"/>
                <w:color w:val="auto"/>
              </w:rPr>
            </w:pPr>
          </w:p>
        </w:tc>
        <w:tc>
          <w:tcPr>
            <w:tcW w:w="360" w:type="dxa"/>
            <w:vAlign w:val="bottom"/>
          </w:tcPr>
          <w:p>
            <w:pPr>
              <w:spacing w:after="0"/>
              <w:rPr>
                <w:sz w:val="6"/>
                <w:szCs w:val="6"/>
                <w:color w:val="auto"/>
              </w:rPr>
            </w:pPr>
          </w:p>
        </w:tc>
      </w:tr>
    </w:tbl>
    <w:p>
      <w:pPr>
        <w:spacing w:after="0" w:line="59" w:lineRule="exact"/>
        <w:rPr>
          <w:sz w:val="20"/>
          <w:szCs w:val="20"/>
          <w:color w:val="auto"/>
        </w:rPr>
      </w:pPr>
    </w:p>
    <w:p>
      <w:pPr>
        <w:ind w:left="600" w:right="460" w:hanging="282"/>
        <w:spacing w:after="0" w:line="299" w:lineRule="auto"/>
        <w:tabs>
          <w:tab w:leader="none" w:pos="6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Annualized rent is monthly contractual rent (defined as cash base rent before abatements) under existing leases as of the end of the period presented multiplied by 12. Includes consolidated portfolio and unconsolidated entities at the entities’ 100% ownership level. The aggregate amount of abatements for the year ended December 31, 2024 was approximately $44.3 million.</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Operating Expenses</w:t>
      </w:r>
    </w:p>
    <w:p>
      <w:pPr>
        <w:spacing w:after="0" w:line="192" w:lineRule="exact"/>
        <w:rPr>
          <w:sz w:val="20"/>
          <w:szCs w:val="20"/>
          <w:color w:val="auto"/>
        </w:rPr>
      </w:pPr>
    </w:p>
    <w:p>
      <w:pPr>
        <w:ind w:left="320" w:right="600"/>
        <w:spacing w:after="0" w:line="247" w:lineRule="auto"/>
        <w:rPr>
          <w:sz w:val="20"/>
          <w:szCs w:val="20"/>
          <w:color w:val="auto"/>
        </w:rPr>
      </w:pPr>
      <w:r>
        <w:rPr>
          <w:rFonts w:ascii="Times New Roman" w:cs="Times New Roman" w:eastAsia="Times New Roman" w:hAnsi="Times New Roman"/>
          <w:sz w:val="16"/>
          <w:szCs w:val="16"/>
          <w:color w:val="auto"/>
        </w:rPr>
        <w:t>Operating expenses primarily consist of utilities, property and ad valorem taxes, property management fees, insurance and site maintenance costs, and rental expenses on our ground and building leases. Our buildings require significant power to support data center operations and the cost of electric power and other utilities is a significant component of operating expenses.</w:t>
      </w:r>
    </w:p>
    <w:p>
      <w:pPr>
        <w:spacing w:after="0" w:line="128" w:lineRule="exact"/>
        <w:rPr>
          <w:sz w:val="20"/>
          <w:szCs w:val="20"/>
          <w:color w:val="auto"/>
        </w:rPr>
      </w:pPr>
    </w:p>
    <w:p>
      <w:pPr>
        <w:ind w:left="320" w:right="360"/>
        <w:spacing w:after="0" w:line="243" w:lineRule="auto"/>
        <w:rPr>
          <w:sz w:val="20"/>
          <w:szCs w:val="20"/>
          <w:color w:val="auto"/>
        </w:rPr>
      </w:pPr>
      <w:r>
        <w:rPr>
          <w:rFonts w:ascii="Times New Roman" w:cs="Times New Roman" w:eastAsia="Times New Roman" w:hAnsi="Times New Roman"/>
          <w:sz w:val="16"/>
          <w:szCs w:val="16"/>
          <w:color w:val="auto"/>
        </w:rPr>
        <w:t>Many of our leases contain provisions under which tenants reimburse us for all or a portion of property operating expenses and real estate taxes incurred by us. However, in some cases we are not entitled to reimbursement of property operating expenses, other than utility expense, and real estate taxes under our leases for Turn-Key Flex® facilities. We expect to incur additional operating expenses as we continue to expand.</w:t>
      </w:r>
    </w:p>
    <w:p>
      <w:pPr>
        <w:spacing w:after="0" w:line="131" w:lineRule="exact"/>
        <w:rPr>
          <w:sz w:val="20"/>
          <w:szCs w:val="20"/>
          <w:color w:val="auto"/>
        </w:rPr>
      </w:pPr>
    </w:p>
    <w:p>
      <w:pPr>
        <w:ind w:left="320" w:right="1080"/>
        <w:spacing w:after="0" w:line="259" w:lineRule="auto"/>
        <w:rPr>
          <w:sz w:val="20"/>
          <w:szCs w:val="20"/>
          <w:color w:val="auto"/>
        </w:rPr>
      </w:pPr>
      <w:r>
        <w:rPr>
          <w:rFonts w:ascii="Times New Roman" w:cs="Times New Roman" w:eastAsia="Times New Roman" w:hAnsi="Times New Roman"/>
          <w:sz w:val="16"/>
          <w:szCs w:val="16"/>
          <w:color w:val="auto"/>
        </w:rPr>
        <w:t>Costs pertaining to our asset management function, legal, accounting, corporate governance, reporting and compliance are categorized as general and administrative costs within operating expenses.</w:t>
      </w:r>
    </w:p>
    <w:p>
      <w:pPr>
        <w:spacing w:after="0" w:line="119" w:lineRule="exact"/>
        <w:rPr>
          <w:sz w:val="20"/>
          <w:szCs w:val="20"/>
          <w:color w:val="auto"/>
        </w:rPr>
      </w:pPr>
    </w:p>
    <w:p>
      <w:pPr>
        <w:ind w:left="320" w:right="960"/>
        <w:spacing w:after="0" w:line="259" w:lineRule="auto"/>
        <w:rPr>
          <w:sz w:val="20"/>
          <w:szCs w:val="20"/>
          <w:color w:val="auto"/>
        </w:rPr>
      </w:pPr>
      <w:r>
        <w:rPr>
          <w:rFonts w:ascii="Times New Roman" w:cs="Times New Roman" w:eastAsia="Times New Roman" w:hAnsi="Times New Roman"/>
          <w:sz w:val="16"/>
          <w:szCs w:val="16"/>
          <w:color w:val="auto"/>
        </w:rPr>
        <w:t>Other key components of operating expenses include: depreciation of our fixed assets, amortization of intangible assets, and transaction and integration costs.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66" w:name="page67"/>
    <w:bookmarkEnd w:id="66"/>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Other Income / (Expenses)</w:t>
      </w:r>
    </w:p>
    <w:p>
      <w:pPr>
        <w:spacing w:after="0" w:line="156" w:lineRule="exact"/>
        <w:rPr>
          <w:sz w:val="20"/>
          <w:szCs w:val="20"/>
          <w:color w:val="auto"/>
        </w:rPr>
      </w:pPr>
    </w:p>
    <w:p>
      <w:pPr>
        <w:ind w:left="320" w:right="360"/>
        <w:spacing w:after="0" w:line="239" w:lineRule="auto"/>
        <w:rPr>
          <w:sz w:val="20"/>
          <w:szCs w:val="20"/>
          <w:color w:val="auto"/>
        </w:rPr>
      </w:pPr>
      <w:r>
        <w:rPr>
          <w:rFonts w:ascii="Times New Roman" w:cs="Times New Roman" w:eastAsia="Times New Roman" w:hAnsi="Times New Roman"/>
          <w:sz w:val="16"/>
          <w:szCs w:val="16"/>
          <w:color w:val="auto"/>
        </w:rPr>
        <w:t>Equity in earnings of unconsolidated entities, gain on disposition of properties, interest expense, and income tax expense make up the majority of Other income/(expenses). Equity in earnings of unconsolidated entities represents our share of the income/(loss) of entities in which we invest, but do not consolidate under U.S. GAAP. The largest of these investments is currently our investment in Ascenty, which is located primarily in Latin America. Our second-largest equity- method investment is Digital Core REIT, which is publicly traded on the Singapore Exchange (“SGX”) and which owns a portfolio of 10 properties operating in the United States, Canada, Germany and Japan. Refer to additional discussion of Digital Core REIT and Ascenty in the Notes to the Consolidated Financial Statements.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Results of Operations</w:t>
      </w:r>
    </w:p>
    <w:p>
      <w:pPr>
        <w:spacing w:after="0" w:line="192" w:lineRule="exact"/>
        <w:rPr>
          <w:sz w:val="20"/>
          <w:szCs w:val="20"/>
          <w:color w:val="auto"/>
        </w:rPr>
      </w:pPr>
    </w:p>
    <w:p>
      <w:pPr>
        <w:ind w:left="320" w:right="400"/>
        <w:spacing w:after="0" w:line="259" w:lineRule="auto"/>
        <w:rPr>
          <w:sz w:val="20"/>
          <w:szCs w:val="20"/>
          <w:color w:val="auto"/>
        </w:rPr>
      </w:pPr>
      <w:r>
        <w:rPr>
          <w:rFonts w:ascii="Times New Roman" w:cs="Times New Roman" w:eastAsia="Times New Roman" w:hAnsi="Times New Roman"/>
          <w:sz w:val="16"/>
          <w:szCs w:val="16"/>
          <w:color w:val="auto"/>
        </w:rPr>
        <w:t>As a result of the consistent and significant growth in our business since the first property acquisition in 2002, we evaluate period-to-period results for revenue and property level operating expenses on a stabilized versus non-stabilized portfolio basis.</w:t>
      </w:r>
    </w:p>
    <w:p>
      <w:pPr>
        <w:spacing w:after="0" w:line="143" w:lineRule="exact"/>
        <w:rPr>
          <w:sz w:val="20"/>
          <w:szCs w:val="20"/>
          <w:color w:val="auto"/>
        </w:rPr>
      </w:pPr>
    </w:p>
    <w:p>
      <w:pPr>
        <w:ind w:left="320" w:right="500"/>
        <w:spacing w:after="0" w:line="259" w:lineRule="auto"/>
        <w:rPr>
          <w:sz w:val="20"/>
          <w:szCs w:val="20"/>
          <w:color w:val="auto"/>
        </w:rPr>
      </w:pPr>
      <w:r>
        <w:rPr>
          <w:rFonts w:ascii="Times New Roman" w:cs="Times New Roman" w:eastAsia="Times New Roman" w:hAnsi="Times New Roman"/>
          <w:sz w:val="16"/>
          <w:szCs w:val="16"/>
          <w:color w:val="auto"/>
        </w:rPr>
        <w:t>Stabilized: The stabilized portfolio includes properties owned as of the beginning of all periods presented with less than 5% of total rentable square feet under development.</w:t>
      </w:r>
    </w:p>
    <w:p>
      <w:pPr>
        <w:spacing w:after="0" w:line="155" w:lineRule="exact"/>
        <w:rPr>
          <w:sz w:val="20"/>
          <w:szCs w:val="20"/>
          <w:color w:val="auto"/>
        </w:rPr>
      </w:pPr>
    </w:p>
    <w:p>
      <w:pPr>
        <w:jc w:val="both"/>
        <w:ind w:left="320" w:right="360"/>
        <w:spacing w:after="0" w:line="247" w:lineRule="auto"/>
        <w:rPr>
          <w:sz w:val="20"/>
          <w:szCs w:val="20"/>
          <w:color w:val="auto"/>
        </w:rPr>
      </w:pPr>
      <w:r>
        <w:rPr>
          <w:rFonts w:ascii="Times New Roman" w:cs="Times New Roman" w:eastAsia="Times New Roman" w:hAnsi="Times New Roman"/>
          <w:sz w:val="16"/>
          <w:szCs w:val="16"/>
          <w:color w:val="auto"/>
        </w:rPr>
        <w:t>Non-stabilized: The non-stabilized portfolio includes: (1) properties that were undergoing, or were expected to undergo, development activities during any of the periods presented; (2) any properties contributed to joint ventures, sold, or held for sale during the periods presented; and (3) any properties that were acquired or delivered at any point during the periods presented.</w:t>
      </w:r>
    </w:p>
    <w:p>
      <w:pPr>
        <w:spacing w:after="0" w:line="164" w:lineRule="exact"/>
        <w:rPr>
          <w:sz w:val="20"/>
          <w:szCs w:val="20"/>
          <w:color w:val="auto"/>
        </w:rPr>
      </w:pPr>
    </w:p>
    <w:p>
      <w:pPr>
        <w:ind w:left="320" w:right="420"/>
        <w:spacing w:after="0" w:line="259" w:lineRule="auto"/>
        <w:rPr>
          <w:sz w:val="20"/>
          <w:szCs w:val="20"/>
          <w:color w:val="auto"/>
        </w:rPr>
      </w:pPr>
      <w:r>
        <w:rPr>
          <w:rFonts w:ascii="Times New Roman" w:cs="Times New Roman" w:eastAsia="Times New Roman" w:hAnsi="Times New Roman"/>
          <w:sz w:val="16"/>
          <w:szCs w:val="16"/>
          <w:color w:val="auto"/>
        </w:rPr>
        <w:t>A roll forward showing changes in the stabilized and non-stabilized portfolios for the year ended December 31, 2024 as compared to December 31, 2023 is shown below (in thousands).</w:t>
      </w:r>
    </w:p>
    <w:p>
      <w:pPr>
        <w:spacing w:after="0" w:line="165" w:lineRule="exact"/>
        <w:rPr>
          <w:sz w:val="20"/>
          <w:szCs w:val="20"/>
          <w:color w:val="auto"/>
        </w:rPr>
      </w:pPr>
    </w:p>
    <w:tbl>
      <w:tblPr>
        <w:tblLayout w:type="fixed"/>
        <w:tblInd w:w="320" w:type="dxa"/>
        <w:tblCellMar>
          <w:top w:w="0" w:type="dxa"/>
          <w:left w:w="0" w:type="dxa"/>
          <w:bottom w:w="0" w:type="dxa"/>
          <w:right w:w="0" w:type="dxa"/>
        </w:tblCellMar>
      </w:tblPr>
      <w:tr>
        <w:trPr>
          <w:trHeight w:val="199"/>
        </w:trPr>
        <w:tc>
          <w:tcPr>
            <w:tcW w:w="4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Net Rentable Square Feet</w:t>
            </w:r>
          </w:p>
        </w:tc>
        <w:tc>
          <w:tcPr>
            <w:tcW w:w="146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Stabilized</w:t>
            </w:r>
          </w:p>
        </w:tc>
        <w:tc>
          <w:tcPr>
            <w:tcW w:w="15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Non-Stabilized</w:t>
            </w:r>
          </w:p>
        </w:tc>
        <w:tc>
          <w:tcPr>
            <w:tcW w:w="1280" w:type="dxa"/>
            <w:vAlign w:val="bottom"/>
            <w:gridSpan w:val="2"/>
          </w:tcPr>
          <w:p>
            <w:pPr>
              <w:ind w:left="46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80"/>
        </w:trPr>
        <w:tc>
          <w:tcPr>
            <w:tcW w:w="3840" w:type="dxa"/>
            <w:vAlign w:val="bottom"/>
            <w:tcBorders>
              <w:top w:val="single" w:sz="8" w:color="auto"/>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As of December 31, 2023</w:t>
            </w:r>
          </w:p>
        </w:tc>
        <w:tc>
          <w:tcPr>
            <w:tcW w:w="24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22,600</w:t>
            </w:r>
          </w:p>
        </w:tc>
        <w:tc>
          <w:tcPr>
            <w:tcW w:w="24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9,603</w:t>
            </w:r>
          </w:p>
        </w:tc>
        <w:tc>
          <w:tcPr>
            <w:tcW w:w="24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right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32,203</w:t>
            </w:r>
          </w:p>
        </w:tc>
        <w:tc>
          <w:tcPr>
            <w:tcW w:w="20" w:type="dxa"/>
            <w:vAlign w:val="bottom"/>
          </w:tcPr>
          <w:p>
            <w:pPr>
              <w:spacing w:after="0"/>
              <w:rPr>
                <w:sz w:val="15"/>
                <w:szCs w:val="15"/>
                <w:color w:val="auto"/>
              </w:rPr>
            </w:pPr>
          </w:p>
        </w:tc>
      </w:tr>
      <w:tr>
        <w:trPr>
          <w:trHeight w:val="180"/>
        </w:trPr>
        <w:tc>
          <w:tcPr>
            <w:tcW w:w="40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New development and space reconfigurations</w:t>
            </w:r>
          </w:p>
        </w:tc>
        <w:tc>
          <w:tcPr>
            <w:tcW w:w="146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(458)</w:t>
            </w:r>
          </w:p>
        </w:tc>
        <w:tc>
          <w:tcPr>
            <w:tcW w:w="1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1,195</w:t>
            </w:r>
          </w:p>
        </w:tc>
        <w:tc>
          <w:tcPr>
            <w:tcW w:w="240" w:type="dxa"/>
            <w:vAlign w:val="bottom"/>
          </w:tcPr>
          <w:p>
            <w:pPr>
              <w:spacing w:after="0"/>
              <w:rPr>
                <w:sz w:val="15"/>
                <w:szCs w:val="15"/>
                <w:color w:val="auto"/>
              </w:rPr>
            </w:pPr>
          </w:p>
        </w:tc>
        <w:tc>
          <w:tcPr>
            <w:tcW w:w="12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737</w:t>
            </w:r>
          </w:p>
        </w:tc>
        <w:tc>
          <w:tcPr>
            <w:tcW w:w="20" w:type="dxa"/>
            <w:vAlign w:val="bottom"/>
          </w:tcPr>
          <w:p>
            <w:pPr>
              <w:spacing w:after="0"/>
              <w:rPr>
                <w:sz w:val="15"/>
                <w:szCs w:val="15"/>
                <w:color w:val="auto"/>
              </w:rPr>
            </w:pPr>
          </w:p>
        </w:tc>
      </w:tr>
      <w:tr>
        <w:trPr>
          <w:trHeight w:val="180"/>
        </w:trPr>
        <w:tc>
          <w:tcPr>
            <w:tcW w:w="40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Transfers to stabilized from non-stabilized</w:t>
            </w:r>
          </w:p>
        </w:tc>
        <w:tc>
          <w:tcPr>
            <w:tcW w:w="12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2,369</w:t>
            </w:r>
          </w:p>
        </w:tc>
        <w:tc>
          <w:tcPr>
            <w:tcW w:w="24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(2,431)</w:t>
            </w:r>
          </w:p>
        </w:tc>
        <w:tc>
          <w:tcPr>
            <w:tcW w:w="1260" w:type="dxa"/>
            <w:vAlign w:val="bottom"/>
            <w:tcBorders>
              <w:right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(62)</w:t>
            </w:r>
          </w:p>
        </w:tc>
        <w:tc>
          <w:tcPr>
            <w:tcW w:w="20" w:type="dxa"/>
            <w:vAlign w:val="bottom"/>
          </w:tcPr>
          <w:p>
            <w:pPr>
              <w:spacing w:after="0"/>
              <w:rPr>
                <w:sz w:val="15"/>
                <w:szCs w:val="15"/>
                <w:color w:val="auto"/>
              </w:rPr>
            </w:pPr>
          </w:p>
        </w:tc>
      </w:tr>
      <w:tr>
        <w:trPr>
          <w:trHeight w:val="180"/>
        </w:trPr>
        <w:tc>
          <w:tcPr>
            <w:tcW w:w="40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Transfers to non-stabilized from stabilized</w:t>
            </w:r>
          </w:p>
        </w:tc>
        <w:tc>
          <w:tcPr>
            <w:tcW w:w="146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(170)</w:t>
            </w:r>
          </w:p>
        </w:tc>
        <w:tc>
          <w:tcPr>
            <w:tcW w:w="1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73</w:t>
            </w:r>
          </w:p>
        </w:tc>
        <w:tc>
          <w:tcPr>
            <w:tcW w:w="240" w:type="dxa"/>
            <w:vAlign w:val="bottom"/>
          </w:tcPr>
          <w:p>
            <w:pPr>
              <w:spacing w:after="0"/>
              <w:rPr>
                <w:sz w:val="15"/>
                <w:szCs w:val="15"/>
                <w:color w:val="auto"/>
              </w:rPr>
            </w:pPr>
          </w:p>
        </w:tc>
        <w:tc>
          <w:tcPr>
            <w:tcW w:w="12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(97)</w:t>
            </w:r>
          </w:p>
        </w:tc>
        <w:tc>
          <w:tcPr>
            <w:tcW w:w="20" w:type="dxa"/>
            <w:vAlign w:val="bottom"/>
          </w:tcPr>
          <w:p>
            <w:pPr>
              <w:spacing w:after="0"/>
              <w:rPr>
                <w:sz w:val="15"/>
                <w:szCs w:val="15"/>
                <w:color w:val="auto"/>
              </w:rPr>
            </w:pPr>
          </w:p>
        </w:tc>
      </w:tr>
      <w:tr>
        <w:trPr>
          <w:trHeight w:val="180"/>
        </w:trPr>
        <w:tc>
          <w:tcPr>
            <w:tcW w:w="40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Dispositions / Sales</w:t>
            </w:r>
          </w:p>
        </w:tc>
        <w:tc>
          <w:tcPr>
            <w:tcW w:w="1460" w:type="dxa"/>
            <w:vAlign w:val="bottom"/>
            <w:gridSpan w:val="2"/>
            <w:shd w:val="clear" w:color="auto" w:fill="CCEEFF"/>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(475)</w:t>
            </w:r>
          </w:p>
        </w:tc>
        <w:tc>
          <w:tcPr>
            <w:tcW w:w="1580" w:type="dxa"/>
            <w:vAlign w:val="bottom"/>
            <w:gridSpan w:val="2"/>
            <w:shd w:val="clear" w:color="auto" w:fill="CCEEFF"/>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(544)</w:t>
            </w:r>
          </w:p>
        </w:tc>
        <w:tc>
          <w:tcPr>
            <w:tcW w:w="1260" w:type="dxa"/>
            <w:vAlign w:val="bottom"/>
            <w:tcBorders>
              <w:right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(1,019)</w:t>
            </w:r>
          </w:p>
        </w:tc>
        <w:tc>
          <w:tcPr>
            <w:tcW w:w="20" w:type="dxa"/>
            <w:vAlign w:val="bottom"/>
          </w:tcPr>
          <w:p>
            <w:pPr>
              <w:spacing w:after="0"/>
              <w:rPr>
                <w:sz w:val="15"/>
                <w:szCs w:val="15"/>
                <w:color w:val="auto"/>
              </w:rPr>
            </w:pPr>
          </w:p>
        </w:tc>
      </w:tr>
      <w:tr>
        <w:trPr>
          <w:trHeight w:val="180"/>
        </w:trPr>
        <w:tc>
          <w:tcPr>
            <w:tcW w:w="40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Acquisitions</w:t>
            </w:r>
          </w:p>
        </w:tc>
        <w:tc>
          <w:tcPr>
            <w:tcW w:w="1460" w:type="dxa"/>
            <w:vAlign w:val="bottom"/>
            <w:gridSpan w:val="2"/>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360</w:t>
            </w:r>
          </w:p>
        </w:tc>
        <w:tc>
          <w:tcPr>
            <w:tcW w:w="240" w:type="dxa"/>
            <w:vAlign w:val="bottom"/>
          </w:tcPr>
          <w:p>
            <w:pPr>
              <w:spacing w:after="0"/>
              <w:rPr>
                <w:sz w:val="15"/>
                <w:szCs w:val="15"/>
                <w:color w:val="auto"/>
              </w:rPr>
            </w:pPr>
          </w:p>
        </w:tc>
        <w:tc>
          <w:tcPr>
            <w:tcW w:w="12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360</w:t>
            </w:r>
          </w:p>
        </w:tc>
        <w:tc>
          <w:tcPr>
            <w:tcW w:w="20" w:type="dxa"/>
            <w:vAlign w:val="bottom"/>
          </w:tcPr>
          <w:p>
            <w:pPr>
              <w:spacing w:after="0"/>
              <w:rPr>
                <w:sz w:val="15"/>
                <w:szCs w:val="15"/>
                <w:color w:val="auto"/>
              </w:rPr>
            </w:pPr>
          </w:p>
        </w:tc>
      </w:tr>
      <w:tr>
        <w:trPr>
          <w:trHeight w:val="212"/>
        </w:trPr>
        <w:tc>
          <w:tcPr>
            <w:tcW w:w="4080" w:type="dxa"/>
            <w:vAlign w:val="bottom"/>
            <w:tcBorders>
              <w:top w:val="single" w:sz="8" w:color="CCEEFF"/>
              <w:bottom w:val="single" w:sz="8" w:color="CCEEFF"/>
            </w:tcBorders>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As of December 31, 2024</w:t>
            </w:r>
          </w:p>
        </w:tc>
        <w:tc>
          <w:tcPr>
            <w:tcW w:w="122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23,866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8,256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right w:val="single" w:sz="8" w:color="3F3F3F"/>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32,122</w:t>
            </w:r>
          </w:p>
        </w:tc>
        <w:tc>
          <w:tcPr>
            <w:tcW w:w="20" w:type="dxa"/>
            <w:vAlign w:val="bottom"/>
            <w:tcBorders>
              <w:top w:val="single" w:sz="8" w:color="auto"/>
              <w:bottom w:val="single" w:sz="8" w:color="auto"/>
            </w:tcBorders>
            <w:shd w:val="clear" w:color="auto" w:fill="3F3F3F"/>
          </w:tcPr>
          <w:p>
            <w:pPr>
              <w:spacing w:after="0"/>
              <w:rPr>
                <w:sz w:val="18"/>
                <w:szCs w:val="18"/>
                <w:color w:val="auto"/>
              </w:rPr>
            </w:pPr>
          </w:p>
        </w:tc>
      </w:tr>
      <w:tr>
        <w:trPr>
          <w:trHeight w:val="730"/>
        </w:trPr>
        <w:tc>
          <w:tcPr>
            <w:tcW w:w="3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962"/>
              <w:spacing w:after="0"/>
              <w:rPr>
                <w:sz w:val="20"/>
                <w:szCs w:val="20"/>
                <w:color w:val="auto"/>
              </w:rPr>
            </w:pPr>
            <w:r>
              <w:rPr>
                <w:rFonts w:ascii="Times New Roman" w:cs="Times New Roman" w:eastAsia="Times New Roman" w:hAnsi="Times New Roman"/>
                <w:sz w:val="16"/>
                <w:szCs w:val="16"/>
                <w:color w:val="auto"/>
                <w:w w:val="99"/>
              </w:rPr>
              <w:t>62</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4"/>
        </w:trPr>
        <w:tc>
          <w:tcPr>
            <w:tcW w:w="3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40" w:orient="portrait"/>
          <w:cols w:equalWidth="0" w:num="1">
            <w:col w:w="9020"/>
          </w:cols>
          <w:pgMar w:left="1440" w:top="557" w:right="1440" w:bottom="1440" w:gutter="0" w:footer="0" w:header="0"/>
        </w:sectPr>
      </w:pPr>
    </w:p>
    <w:bookmarkStart w:id="67" w:name="page68"/>
    <w:bookmarkEnd w:id="67"/>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ind w:left="320" w:right="3080"/>
        <w:spacing w:after="0" w:line="486" w:lineRule="auto"/>
        <w:rPr>
          <w:sz w:val="20"/>
          <w:szCs w:val="20"/>
          <w:color w:val="auto"/>
        </w:rPr>
      </w:pPr>
      <w:r>
        <w:rPr>
          <w:rFonts w:ascii="Times New Roman" w:cs="Times New Roman" w:eastAsia="Times New Roman" w:hAnsi="Times New Roman"/>
          <w:sz w:val="16"/>
          <w:szCs w:val="16"/>
          <w:i w:val="1"/>
          <w:iCs w:val="1"/>
          <w:color w:val="auto"/>
        </w:rPr>
        <w:t>Comparison of the Year Ended December 31, 2024 to the Year Ended December 31, 2023 Revenues</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Total operating revenues as shown on our consolidated income statements was as follows (in thousands):</w:t>
      </w:r>
    </w:p>
    <w:p>
      <w:pPr>
        <w:spacing w:after="0" w:line="188" w:lineRule="exact"/>
        <w:rPr>
          <w:sz w:val="20"/>
          <w:szCs w:val="20"/>
          <w:color w:val="auto"/>
        </w:rPr>
      </w:pPr>
    </w:p>
    <w:tbl>
      <w:tblPr>
        <w:tblLayout w:type="fixed"/>
        <w:tblInd w:w="320" w:type="dxa"/>
        <w:tblCellMar>
          <w:top w:w="0" w:type="dxa"/>
          <w:left w:w="0" w:type="dxa"/>
          <w:bottom w:w="0" w:type="dxa"/>
          <w:right w:w="0" w:type="dxa"/>
        </w:tblCellMar>
      </w:tblPr>
      <w:tr>
        <w:trPr>
          <w:trHeight w:val="170"/>
        </w:trPr>
        <w:tc>
          <w:tcPr>
            <w:tcW w:w="2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8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r>
      <w:tr>
        <w:trPr>
          <w:trHeight w:val="148"/>
        </w:trPr>
        <w:tc>
          <w:tcPr>
            <w:tcW w:w="2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454"/>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474"/>
              <w:spacing w:after="0" w:line="148" w:lineRule="exact"/>
              <w:rPr>
                <w:sz w:val="20"/>
                <w:szCs w:val="20"/>
                <w:color w:val="auto"/>
              </w:rPr>
            </w:pPr>
            <w:r>
              <w:rPr>
                <w:rFonts w:ascii="Times New Roman" w:cs="Times New Roman" w:eastAsia="Times New Roman" w:hAnsi="Times New Roman"/>
                <w:sz w:val="13"/>
                <w:szCs w:val="13"/>
                <w:b w:val="1"/>
                <w:bCs w:val="1"/>
                <w:color w:val="auto"/>
              </w:rPr>
              <w:t>2023</w:t>
            </w:r>
          </w:p>
        </w:tc>
        <w:tc>
          <w:tcPr>
            <w:tcW w:w="68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gridSpan w:val="2"/>
          </w:tcPr>
          <w:p>
            <w:pPr>
              <w:ind w:left="20"/>
              <w:spacing w:after="0" w:line="148" w:lineRule="exact"/>
              <w:rPr>
                <w:sz w:val="20"/>
                <w:szCs w:val="20"/>
                <w:color w:val="auto"/>
              </w:rPr>
            </w:pPr>
            <w:r>
              <w:rPr>
                <w:rFonts w:ascii="Times New Roman" w:cs="Times New Roman" w:eastAsia="Times New Roman" w:hAnsi="Times New Roman"/>
                <w:sz w:val="13"/>
                <w:szCs w:val="13"/>
                <w:b w:val="1"/>
                <w:bCs w:val="1"/>
                <w:color w:val="auto"/>
              </w:rPr>
              <w:t>Change</w:t>
            </w:r>
          </w:p>
        </w:tc>
        <w:tc>
          <w:tcPr>
            <w:tcW w:w="1080" w:type="dxa"/>
            <w:vAlign w:val="bottom"/>
          </w:tcPr>
          <w:p>
            <w:pPr>
              <w:jc w:val="right"/>
              <w:ind w:right="174"/>
              <w:spacing w:after="0" w:line="148" w:lineRule="exact"/>
              <w:rPr>
                <w:sz w:val="20"/>
                <w:szCs w:val="20"/>
                <w:color w:val="auto"/>
              </w:rPr>
            </w:pPr>
            <w:r>
              <w:rPr>
                <w:rFonts w:ascii="Times New Roman" w:cs="Times New Roman" w:eastAsia="Times New Roman" w:hAnsi="Times New Roman"/>
                <w:sz w:val="13"/>
                <w:szCs w:val="13"/>
                <w:b w:val="1"/>
                <w:bCs w:val="1"/>
                <w:color w:val="auto"/>
              </w:rPr>
              <w:t>% Change</w:t>
            </w:r>
          </w:p>
        </w:tc>
      </w:tr>
      <w:tr>
        <w:trPr>
          <w:trHeight w:val="148"/>
        </w:trPr>
        <w:tc>
          <w:tcPr>
            <w:tcW w:w="212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Stabilized</w:t>
            </w:r>
          </w:p>
        </w:tc>
        <w:tc>
          <w:tcPr>
            <w:tcW w:w="6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4,170,449</w:t>
            </w:r>
          </w:p>
        </w:tc>
        <w:tc>
          <w:tcPr>
            <w:tcW w:w="1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ind w:right="174"/>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4,233,212</w:t>
            </w:r>
          </w:p>
        </w:tc>
        <w:tc>
          <w:tcPr>
            <w:tcW w:w="18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ind w:right="38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(62,763)</w:t>
            </w:r>
          </w:p>
        </w:tc>
        <w:tc>
          <w:tcPr>
            <w:tcW w:w="18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ind w:right="14"/>
              <w:spacing w:after="0" w:line="148" w:lineRule="exact"/>
              <w:rPr>
                <w:sz w:val="20"/>
                <w:szCs w:val="20"/>
                <w:color w:val="auto"/>
              </w:rPr>
            </w:pPr>
            <w:r>
              <w:rPr>
                <w:rFonts w:ascii="Times New Roman" w:cs="Times New Roman" w:eastAsia="Times New Roman" w:hAnsi="Times New Roman"/>
                <w:sz w:val="13"/>
                <w:szCs w:val="13"/>
                <w:color w:val="auto"/>
              </w:rPr>
              <w:t>(1.5)%</w:t>
            </w:r>
          </w:p>
        </w:tc>
      </w:tr>
      <w:tr>
        <w:trPr>
          <w:trHeight w:val="156"/>
        </w:trPr>
        <w:tc>
          <w:tcPr>
            <w:tcW w:w="2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Non-Stabilized</w:t>
            </w:r>
          </w:p>
        </w:tc>
        <w:tc>
          <w:tcPr>
            <w:tcW w:w="6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1,312,023</w:t>
            </w:r>
          </w:p>
        </w:tc>
        <w:tc>
          <w:tcPr>
            <w:tcW w:w="1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1,196,961</w:t>
            </w:r>
          </w:p>
        </w:tc>
        <w:tc>
          <w:tcPr>
            <w:tcW w:w="18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115,062</w:t>
            </w:r>
          </w:p>
        </w:tc>
        <w:tc>
          <w:tcPr>
            <w:tcW w:w="18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9.6 %</w:t>
            </w:r>
          </w:p>
        </w:tc>
      </w:tr>
      <w:tr>
        <w:trPr>
          <w:trHeight w:val="148"/>
        </w:trPr>
        <w:tc>
          <w:tcPr>
            <w:tcW w:w="2120" w:type="dxa"/>
            <w:vAlign w:val="bottom"/>
            <w:shd w:val="clear" w:color="auto" w:fill="CCEEFF"/>
          </w:tcPr>
          <w:p>
            <w:pPr>
              <w:ind w:left="100"/>
              <w:spacing w:after="0" w:line="148" w:lineRule="exact"/>
              <w:rPr>
                <w:sz w:val="20"/>
                <w:szCs w:val="20"/>
                <w:color w:val="auto"/>
              </w:rPr>
            </w:pPr>
            <w:r>
              <w:rPr>
                <w:rFonts w:ascii="Times New Roman" w:cs="Times New Roman" w:eastAsia="Times New Roman" w:hAnsi="Times New Roman"/>
                <w:sz w:val="13"/>
                <w:szCs w:val="13"/>
                <w:color w:val="auto"/>
              </w:rPr>
              <w:t>Rental and other services</w:t>
            </w: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5,482,472</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5,430,173</w:t>
            </w: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52,299</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4"/>
              <w:spacing w:after="0" w:line="148" w:lineRule="exact"/>
              <w:rPr>
                <w:sz w:val="20"/>
                <w:szCs w:val="20"/>
                <w:color w:val="auto"/>
              </w:rPr>
            </w:pPr>
            <w:r>
              <w:rPr>
                <w:rFonts w:ascii="Times New Roman" w:cs="Times New Roman" w:eastAsia="Times New Roman" w:hAnsi="Times New Roman"/>
                <w:sz w:val="13"/>
                <w:szCs w:val="13"/>
                <w:color w:val="auto"/>
              </w:rPr>
              <w:t>1.0 %</w:t>
            </w:r>
          </w:p>
        </w:tc>
      </w:tr>
      <w:tr>
        <w:trPr>
          <w:trHeight w:val="156"/>
        </w:trPr>
        <w:tc>
          <w:tcPr>
            <w:tcW w:w="21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Fee income and other</w:t>
            </w:r>
          </w:p>
        </w:tc>
        <w:tc>
          <w:tcPr>
            <w:tcW w:w="6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72,496</w:t>
            </w:r>
          </w:p>
        </w:tc>
        <w:tc>
          <w:tcPr>
            <w:tcW w:w="1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46,888</w:t>
            </w:r>
          </w:p>
        </w:tc>
        <w:tc>
          <w:tcPr>
            <w:tcW w:w="18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25,608</w:t>
            </w:r>
          </w:p>
        </w:tc>
        <w:tc>
          <w:tcPr>
            <w:tcW w:w="18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54.6 %</w:t>
            </w:r>
          </w:p>
        </w:tc>
      </w:tr>
      <w:tr>
        <w:trPr>
          <w:trHeight w:val="148"/>
        </w:trPr>
        <w:tc>
          <w:tcPr>
            <w:tcW w:w="2120" w:type="dxa"/>
            <w:vAlign w:val="bottom"/>
            <w:tcBorders>
              <w:bottom w:val="single" w:sz="8" w:color="CCEEFF"/>
            </w:tcBorders>
            <w:shd w:val="clear" w:color="auto" w:fill="CCEEFF"/>
          </w:tcPr>
          <w:p>
            <w:pPr>
              <w:ind w:left="200"/>
              <w:spacing w:after="0" w:line="148" w:lineRule="exact"/>
              <w:rPr>
                <w:sz w:val="20"/>
                <w:szCs w:val="20"/>
                <w:color w:val="auto"/>
              </w:rPr>
            </w:pPr>
            <w:r>
              <w:rPr>
                <w:rFonts w:ascii="Times New Roman" w:cs="Times New Roman" w:eastAsia="Times New Roman" w:hAnsi="Times New Roman"/>
                <w:sz w:val="13"/>
                <w:szCs w:val="13"/>
                <w:color w:val="auto"/>
              </w:rPr>
              <w:t>Total operating revenues</w:t>
            </w:r>
          </w:p>
        </w:tc>
        <w:tc>
          <w:tcPr>
            <w:tcW w:w="6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5,554,968</w:t>
            </w:r>
          </w:p>
        </w:tc>
        <w:tc>
          <w:tcPr>
            <w:tcW w:w="1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174"/>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5,477,061</w:t>
            </w:r>
          </w:p>
        </w:tc>
        <w:tc>
          <w:tcPr>
            <w:tcW w:w="1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ind w:right="38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77,907</w:t>
            </w:r>
          </w:p>
        </w:tc>
        <w:tc>
          <w:tcPr>
            <w:tcW w:w="18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14"/>
              <w:spacing w:after="0" w:line="148" w:lineRule="exact"/>
              <w:rPr>
                <w:sz w:val="20"/>
                <w:szCs w:val="20"/>
                <w:color w:val="auto"/>
              </w:rPr>
            </w:pPr>
            <w:r>
              <w:rPr>
                <w:rFonts w:ascii="Times New Roman" w:cs="Times New Roman" w:eastAsia="Times New Roman" w:hAnsi="Times New Roman"/>
                <w:sz w:val="13"/>
                <w:szCs w:val="13"/>
                <w:color w:val="auto"/>
              </w:rPr>
              <w:t>1.4 %</w:t>
            </w:r>
          </w:p>
        </w:tc>
      </w:tr>
      <w:tr>
        <w:trPr>
          <w:trHeight w:val="20"/>
        </w:trPr>
        <w:tc>
          <w:tcPr>
            <w:tcW w:w="2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320" w:right="680"/>
        <w:spacing w:after="0" w:line="259" w:lineRule="auto"/>
        <w:rPr>
          <w:sz w:val="20"/>
          <w:szCs w:val="20"/>
          <w:color w:val="auto"/>
        </w:rPr>
      </w:pPr>
      <w:r>
        <w:rPr>
          <w:rFonts w:ascii="Times New Roman" w:cs="Times New Roman" w:eastAsia="Times New Roman" w:hAnsi="Times New Roman"/>
          <w:sz w:val="16"/>
          <w:szCs w:val="16"/>
          <w:color w:val="auto"/>
        </w:rPr>
        <w:t>Total operating revenues increased by approximately $77.9 million for the year ended December 31, 2024 compared to the same period in 2023.</w:t>
      </w:r>
    </w:p>
    <w:p>
      <w:pPr>
        <w:spacing w:after="0" w:line="143" w:lineRule="exact"/>
        <w:rPr>
          <w:sz w:val="20"/>
          <w:szCs w:val="20"/>
          <w:color w:val="auto"/>
        </w:rPr>
      </w:pPr>
    </w:p>
    <w:p>
      <w:pPr>
        <w:ind w:left="320" w:right="420"/>
        <w:spacing w:after="0" w:line="259" w:lineRule="auto"/>
        <w:rPr>
          <w:sz w:val="20"/>
          <w:szCs w:val="20"/>
          <w:color w:val="auto"/>
        </w:rPr>
      </w:pPr>
      <w:r>
        <w:rPr>
          <w:rFonts w:ascii="Times New Roman" w:cs="Times New Roman" w:eastAsia="Times New Roman" w:hAnsi="Times New Roman"/>
          <w:sz w:val="16"/>
          <w:szCs w:val="16"/>
          <w:color w:val="auto"/>
        </w:rPr>
        <w:t>Stabilized rental and other services revenue decreased by $62.8 million for the year ended December 31, 2024 compared to the same period in 2023 primarily due to:</w:t>
      </w:r>
    </w:p>
    <w:p>
      <w:pPr>
        <w:spacing w:after="0" w:line="59" w:lineRule="exact"/>
        <w:rPr>
          <w:sz w:val="20"/>
          <w:szCs w:val="20"/>
          <w:color w:val="auto"/>
        </w:rPr>
      </w:pPr>
    </w:p>
    <w:p>
      <w:pPr>
        <w:ind w:left="900" w:right="380" w:hanging="294"/>
        <w:spacing w:after="0" w:line="259" w:lineRule="auto"/>
        <w:tabs>
          <w:tab w:leader="none" w:pos="9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decrease of $161.0 million in utility reimbursement largely driven by power price decreases, mainly in EMEA and APAC; and</w:t>
      </w:r>
    </w:p>
    <w:p>
      <w:pPr>
        <w:spacing w:after="0" w:line="59" w:lineRule="exact"/>
        <w:rPr>
          <w:rFonts w:ascii="Times New Roman" w:cs="Times New Roman" w:eastAsia="Times New Roman" w:hAnsi="Times New Roman"/>
          <w:sz w:val="16"/>
          <w:szCs w:val="16"/>
          <w:color w:val="auto"/>
        </w:rPr>
      </w:pPr>
    </w:p>
    <w:p>
      <w:pPr>
        <w:ind w:left="900" w:hanging="294"/>
        <w:spacing w:after="0"/>
        <w:tabs>
          <w:tab w:leader="none" w:pos="9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offset by an increase of $98.2 million in new leasing and renewals across all regions.</w:t>
      </w:r>
    </w:p>
    <w:p>
      <w:pPr>
        <w:spacing w:after="0" w:line="176" w:lineRule="exact"/>
        <w:rPr>
          <w:sz w:val="20"/>
          <w:szCs w:val="20"/>
          <w:color w:val="auto"/>
        </w:rPr>
      </w:pPr>
    </w:p>
    <w:p>
      <w:pPr>
        <w:ind w:left="320" w:right="580"/>
        <w:spacing w:after="0" w:line="259" w:lineRule="auto"/>
        <w:rPr>
          <w:sz w:val="20"/>
          <w:szCs w:val="20"/>
          <w:color w:val="auto"/>
        </w:rPr>
      </w:pPr>
      <w:r>
        <w:rPr>
          <w:rFonts w:ascii="Times New Roman" w:cs="Times New Roman" w:eastAsia="Times New Roman" w:hAnsi="Times New Roman"/>
          <w:sz w:val="16"/>
          <w:szCs w:val="16"/>
          <w:color w:val="auto"/>
        </w:rPr>
        <w:t>Non- stabilized rental and other services revenue increased $115.1 million for the year ended December 31, 2024, compared to the same period in 2023, driven primarily by:</w:t>
      </w:r>
    </w:p>
    <w:p>
      <w:pPr>
        <w:spacing w:after="0" w:line="59" w:lineRule="exact"/>
        <w:rPr>
          <w:sz w:val="20"/>
          <w:szCs w:val="20"/>
          <w:color w:val="auto"/>
        </w:rPr>
      </w:pPr>
    </w:p>
    <w:p>
      <w:pPr>
        <w:ind w:left="900" w:right="420" w:hanging="294"/>
        <w:spacing w:after="0" w:line="331" w:lineRule="auto"/>
        <w:tabs>
          <w:tab w:leader="none" w:pos="9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of $375.9 million due to the completion of our global development pipeline and related lease up operating activities (with the biggest contributions in Northern Virginia, Portland, Johannesburg, Paris, New York, and Toronto); and</w:t>
      </w:r>
    </w:p>
    <w:p>
      <w:pPr>
        <w:spacing w:after="0" w:line="12" w:lineRule="exact"/>
        <w:rPr>
          <w:rFonts w:ascii="Times New Roman" w:cs="Times New Roman" w:eastAsia="Times New Roman" w:hAnsi="Times New Roman"/>
          <w:sz w:val="14"/>
          <w:szCs w:val="14"/>
          <w:color w:val="auto"/>
        </w:rPr>
      </w:pPr>
    </w:p>
    <w:p>
      <w:pPr>
        <w:ind w:left="900" w:hanging="294"/>
        <w:spacing w:after="0"/>
        <w:tabs>
          <w:tab w:leader="none" w:pos="90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offset by a decrease of $260.8 million related to properties sold and contributed in 2023 and 2024.</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68" w:name="page69"/>
    <w:bookmarkEnd w:id="68"/>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Operating Expenses — Property Level</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Property level operating expenses as shown in our consolidated income statements were as follows (in thousands):</w:t>
      </w:r>
    </w:p>
    <w:p>
      <w:pPr>
        <w:spacing w:after="0" w:line="188" w:lineRule="exact"/>
        <w:rPr>
          <w:sz w:val="20"/>
          <w:szCs w:val="20"/>
          <w:color w:val="auto"/>
        </w:rPr>
      </w:pPr>
    </w:p>
    <w:tbl>
      <w:tblPr>
        <w:tblLayout w:type="fixed"/>
        <w:tblInd w:w="320" w:type="dxa"/>
        <w:tblCellMar>
          <w:top w:w="0" w:type="dxa"/>
          <w:left w:w="0" w:type="dxa"/>
          <w:bottom w:w="0" w:type="dxa"/>
          <w:right w:w="0" w:type="dxa"/>
        </w:tblCellMar>
      </w:tblPr>
      <w:tr>
        <w:trPr>
          <w:trHeight w:val="170"/>
        </w:trPr>
        <w:tc>
          <w:tcPr>
            <w:tcW w:w="3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5"/>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220" w:type="dxa"/>
            <w:vAlign w:val="bottom"/>
            <w:tcBorders>
              <w:bottom w:val="single" w:sz="8" w:color="auto"/>
            </w:tcBorders>
          </w:tcPr>
          <w:p>
            <w:pPr>
              <w:spacing w:after="0"/>
              <w:rPr>
                <w:sz w:val="14"/>
                <w:szCs w:val="14"/>
                <w:color w:val="auto"/>
              </w:rPr>
            </w:pPr>
          </w:p>
        </w:tc>
      </w:tr>
      <w:tr>
        <w:trPr>
          <w:trHeight w:val="148"/>
        </w:trPr>
        <w:tc>
          <w:tcPr>
            <w:tcW w:w="3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jc w:val="right"/>
              <w:ind w:right="414"/>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jc w:val="right"/>
              <w:ind w:right="414"/>
              <w:spacing w:after="0" w:line="148" w:lineRule="exact"/>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jc w:val="right"/>
              <w:ind w:right="420"/>
              <w:spacing w:after="0" w:line="148" w:lineRule="exact"/>
              <w:rPr>
                <w:sz w:val="20"/>
                <w:szCs w:val="20"/>
                <w:color w:val="auto"/>
              </w:rPr>
            </w:pPr>
            <w:r>
              <w:rPr>
                <w:rFonts w:ascii="Times New Roman" w:cs="Times New Roman" w:eastAsia="Times New Roman" w:hAnsi="Times New Roman"/>
                <w:sz w:val="13"/>
                <w:szCs w:val="13"/>
                <w:b w:val="1"/>
                <w:bCs w:val="1"/>
                <w:color w:val="auto"/>
              </w:rPr>
              <w:t>$ Change</w:t>
            </w:r>
          </w:p>
        </w:tc>
        <w:tc>
          <w:tcPr>
            <w:tcW w:w="1220" w:type="dxa"/>
            <w:vAlign w:val="bottom"/>
          </w:tcPr>
          <w:p>
            <w:pPr>
              <w:jc w:val="right"/>
              <w:ind w:right="254"/>
              <w:spacing w:after="0" w:line="148" w:lineRule="exact"/>
              <w:rPr>
                <w:sz w:val="20"/>
                <w:szCs w:val="20"/>
                <w:color w:val="auto"/>
              </w:rPr>
            </w:pPr>
            <w:r>
              <w:rPr>
                <w:rFonts w:ascii="Times New Roman" w:cs="Times New Roman" w:eastAsia="Times New Roman" w:hAnsi="Times New Roman"/>
                <w:sz w:val="13"/>
                <w:szCs w:val="13"/>
                <w:b w:val="1"/>
                <w:bCs w:val="1"/>
                <w:color w:val="auto"/>
              </w:rPr>
              <w:t>% Change</w:t>
            </w:r>
          </w:p>
        </w:tc>
      </w:tr>
      <w:tr>
        <w:trPr>
          <w:trHeight w:val="148"/>
        </w:trPr>
        <w:tc>
          <w:tcPr>
            <w:tcW w:w="318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Stabilized</w:t>
            </w:r>
          </w:p>
        </w:tc>
        <w:tc>
          <w:tcPr>
            <w:tcW w:w="320" w:type="dxa"/>
            <w:vAlign w:val="bottom"/>
            <w:tcBorders>
              <w:top w:val="single" w:sz="8" w:color="auto"/>
            </w:tcBorders>
            <w:shd w:val="clear" w:color="auto" w:fill="CCEEFF"/>
          </w:tcPr>
          <w:p>
            <w:pPr>
              <w:jc w:val="right"/>
              <w:ind w:right="114"/>
              <w:spacing w:after="0" w:line="148"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1,020,379</w:t>
            </w:r>
          </w:p>
        </w:tc>
        <w:tc>
          <w:tcPr>
            <w:tcW w:w="1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ind w:right="94"/>
              <w:spacing w:after="0" w:line="148"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1,203,719</w:t>
            </w:r>
          </w:p>
        </w:tc>
        <w:tc>
          <w:tcPr>
            <w:tcW w:w="1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34"/>
              <w:spacing w:after="0" w:line="148"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(183,340)</w:t>
            </w:r>
          </w:p>
        </w:tc>
        <w:tc>
          <w:tcPr>
            <w:tcW w:w="8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(15.2)%</w:t>
            </w:r>
          </w:p>
        </w:tc>
      </w:tr>
      <w:tr>
        <w:trPr>
          <w:trHeight w:val="156"/>
        </w:trPr>
        <w:tc>
          <w:tcPr>
            <w:tcW w:w="3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Non-Stabilized</w:t>
            </w:r>
          </w:p>
        </w:tc>
        <w:tc>
          <w:tcPr>
            <w:tcW w:w="3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313,037</w:t>
            </w:r>
          </w:p>
        </w:tc>
        <w:tc>
          <w:tcPr>
            <w:tcW w:w="1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268,117</w:t>
            </w:r>
          </w:p>
        </w:tc>
        <w:tc>
          <w:tcPr>
            <w:tcW w:w="1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44,920</w:t>
            </w:r>
          </w:p>
        </w:tc>
        <w:tc>
          <w:tcPr>
            <w:tcW w:w="80" w:type="dxa"/>
            <w:vAlign w:val="bottom"/>
            <w:tcBorders>
              <w:bottom w:val="single" w:sz="8" w:color="CCEEFF"/>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16.8 %</w:t>
            </w:r>
          </w:p>
        </w:tc>
      </w:tr>
      <w:tr>
        <w:trPr>
          <w:trHeight w:val="148"/>
        </w:trPr>
        <w:tc>
          <w:tcPr>
            <w:tcW w:w="3180" w:type="dxa"/>
            <w:vAlign w:val="bottom"/>
            <w:shd w:val="clear" w:color="auto" w:fill="CCEEFF"/>
          </w:tcPr>
          <w:p>
            <w:pPr>
              <w:ind w:left="200"/>
              <w:spacing w:after="0" w:line="148" w:lineRule="exact"/>
              <w:rPr>
                <w:sz w:val="20"/>
                <w:szCs w:val="20"/>
                <w:color w:val="auto"/>
              </w:rPr>
            </w:pPr>
            <w:r>
              <w:rPr>
                <w:rFonts w:ascii="Times New Roman" w:cs="Times New Roman" w:eastAsia="Times New Roman" w:hAnsi="Times New Roman"/>
                <w:sz w:val="13"/>
                <w:szCs w:val="13"/>
                <w:color w:val="auto"/>
              </w:rPr>
              <w:t>Total Utilities</w:t>
            </w: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1,333,416</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1,471,836</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(138,420)</w:t>
            </w: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(9.4)%</w:t>
            </w:r>
          </w:p>
        </w:tc>
      </w:tr>
      <w:tr>
        <w:trPr>
          <w:trHeight w:val="156"/>
        </w:trPr>
        <w:tc>
          <w:tcPr>
            <w:tcW w:w="3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5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Stabilized</w:t>
            </w:r>
          </w:p>
        </w:tc>
        <w:tc>
          <w:tcPr>
            <w:tcW w:w="3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712,962</w:t>
            </w: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662,061</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50,901</w:t>
            </w: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7.7 %</w:t>
            </w:r>
          </w:p>
        </w:tc>
      </w:tr>
      <w:tr>
        <w:trPr>
          <w:trHeight w:val="156"/>
        </w:trPr>
        <w:tc>
          <w:tcPr>
            <w:tcW w:w="3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Non-Stabilized</w:t>
            </w:r>
          </w:p>
        </w:tc>
        <w:tc>
          <w:tcPr>
            <w:tcW w:w="3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271,959</w:t>
            </w:r>
          </w:p>
        </w:tc>
        <w:tc>
          <w:tcPr>
            <w:tcW w:w="1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247,769</w:t>
            </w:r>
          </w:p>
        </w:tc>
        <w:tc>
          <w:tcPr>
            <w:tcW w:w="1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24,190</w:t>
            </w:r>
          </w:p>
        </w:tc>
        <w:tc>
          <w:tcPr>
            <w:tcW w:w="80" w:type="dxa"/>
            <w:vAlign w:val="bottom"/>
            <w:tcBorders>
              <w:bottom w:val="single" w:sz="8" w:color="CCEEFF"/>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9.8 %</w:t>
            </w:r>
          </w:p>
        </w:tc>
      </w:tr>
      <w:tr>
        <w:trPr>
          <w:trHeight w:val="124"/>
        </w:trPr>
        <w:tc>
          <w:tcPr>
            <w:tcW w:w="3180" w:type="dxa"/>
            <w:vAlign w:val="bottom"/>
            <w:shd w:val="clear" w:color="auto" w:fill="CCEEFF"/>
          </w:tcPr>
          <w:p>
            <w:pPr>
              <w:ind w:left="200"/>
              <w:spacing w:after="0" w:line="124" w:lineRule="exact"/>
              <w:rPr>
                <w:sz w:val="20"/>
                <w:szCs w:val="20"/>
                <w:color w:val="auto"/>
              </w:rPr>
            </w:pPr>
            <w:r>
              <w:rPr>
                <w:rFonts w:ascii="Times New Roman" w:cs="Times New Roman" w:eastAsia="Times New Roman" w:hAnsi="Times New Roman"/>
                <w:sz w:val="13"/>
                <w:szCs w:val="13"/>
                <w:color w:val="auto"/>
              </w:rPr>
              <w:t>Total Rental property operating and maintenance</w:t>
            </w:r>
          </w:p>
        </w:tc>
        <w:tc>
          <w:tcPr>
            <w:tcW w:w="3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r>
      <w:tr>
        <w:trPr>
          <w:trHeight w:val="168"/>
        </w:trPr>
        <w:tc>
          <w:tcPr>
            <w:tcW w:w="3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(excluding utilities)</w:t>
            </w:r>
          </w:p>
        </w:tc>
        <w:tc>
          <w:tcPr>
            <w:tcW w:w="3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984,921</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909,830</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75,091</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8.3 %</w:t>
            </w:r>
          </w:p>
        </w:tc>
      </w:tr>
      <w:tr>
        <w:trPr>
          <w:trHeight w:val="156"/>
        </w:trPr>
        <w:tc>
          <w:tcPr>
            <w:tcW w:w="31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r>
      <w:tr>
        <w:trPr>
          <w:trHeight w:val="148"/>
        </w:trPr>
        <w:tc>
          <w:tcPr>
            <w:tcW w:w="318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Total Rental property operating and maintenance</w:t>
            </w:r>
          </w:p>
        </w:tc>
        <w:tc>
          <w:tcPr>
            <w:tcW w:w="3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2,318,337</w:t>
            </w:r>
          </w:p>
        </w:tc>
        <w:tc>
          <w:tcPr>
            <w:tcW w:w="12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2,381,666</w:t>
            </w:r>
          </w:p>
        </w:tc>
        <w:tc>
          <w:tcPr>
            <w:tcW w:w="12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(63,329)</w:t>
            </w:r>
          </w:p>
        </w:tc>
        <w:tc>
          <w:tcPr>
            <w:tcW w:w="80" w:type="dxa"/>
            <w:vAlign w:val="bottom"/>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(2.7)%</w:t>
            </w:r>
          </w:p>
        </w:tc>
      </w:tr>
      <w:tr>
        <w:trPr>
          <w:trHeight w:val="148"/>
        </w:trPr>
        <w:tc>
          <w:tcPr>
            <w:tcW w:w="3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5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Stabilized</w:t>
            </w:r>
          </w:p>
        </w:tc>
        <w:tc>
          <w:tcPr>
            <w:tcW w:w="3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159,339</w:t>
            </w: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138,141</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21,198</w:t>
            </w: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15.3 %</w:t>
            </w:r>
          </w:p>
        </w:tc>
      </w:tr>
      <w:tr>
        <w:trPr>
          <w:trHeight w:val="156"/>
        </w:trPr>
        <w:tc>
          <w:tcPr>
            <w:tcW w:w="3180" w:type="dxa"/>
            <w:vAlign w:val="bottom"/>
          </w:tcPr>
          <w:p>
            <w:pPr>
              <w:spacing w:after="0"/>
              <w:rPr>
                <w:sz w:val="20"/>
                <w:szCs w:val="20"/>
                <w:color w:val="auto"/>
              </w:rPr>
            </w:pPr>
            <w:r>
              <w:rPr>
                <w:rFonts w:ascii="Times New Roman" w:cs="Times New Roman" w:eastAsia="Times New Roman" w:hAnsi="Times New Roman"/>
                <w:sz w:val="13"/>
                <w:szCs w:val="13"/>
                <w:color w:val="auto"/>
              </w:rPr>
              <w:t>Non-Stabilized</w:t>
            </w:r>
          </w:p>
        </w:tc>
        <w:tc>
          <w:tcPr>
            <w:tcW w:w="3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41,439</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78,264</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(36,825)</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(47.1)%</w:t>
            </w:r>
          </w:p>
        </w:tc>
      </w:tr>
      <w:tr>
        <w:trPr>
          <w:trHeight w:val="148"/>
        </w:trPr>
        <w:tc>
          <w:tcPr>
            <w:tcW w:w="3180" w:type="dxa"/>
            <w:vAlign w:val="bottom"/>
            <w:tcBorders>
              <w:top w:val="single" w:sz="8" w:color="CCEEFF"/>
            </w:tcBorders>
            <w:shd w:val="clear" w:color="auto" w:fill="CCEEFF"/>
          </w:tcPr>
          <w:p>
            <w:pPr>
              <w:ind w:left="200"/>
              <w:spacing w:after="0" w:line="148" w:lineRule="exact"/>
              <w:rPr>
                <w:sz w:val="20"/>
                <w:szCs w:val="20"/>
                <w:color w:val="auto"/>
              </w:rPr>
            </w:pPr>
            <w:r>
              <w:rPr>
                <w:rFonts w:ascii="Times New Roman" w:cs="Times New Roman" w:eastAsia="Times New Roman" w:hAnsi="Times New Roman"/>
                <w:sz w:val="13"/>
                <w:szCs w:val="13"/>
                <w:color w:val="auto"/>
              </w:rPr>
              <w:t>Total Property taxes and insurance</w:t>
            </w:r>
          </w:p>
        </w:tc>
        <w:tc>
          <w:tcPr>
            <w:tcW w:w="320" w:type="dxa"/>
            <w:vAlign w:val="bottom"/>
            <w:tcBorders>
              <w:top w:val="single" w:sz="8" w:color="auto"/>
              <w:bottom w:val="single" w:sz="8" w:color="auto"/>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200,778</w:t>
            </w:r>
          </w:p>
        </w:tc>
        <w:tc>
          <w:tcPr>
            <w:tcW w:w="1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216,405</w:t>
            </w:r>
          </w:p>
        </w:tc>
        <w:tc>
          <w:tcPr>
            <w:tcW w:w="1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(15,627)</w:t>
            </w:r>
          </w:p>
        </w:tc>
        <w:tc>
          <w:tcPr>
            <w:tcW w:w="8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(7.2)%</w:t>
            </w:r>
          </w:p>
        </w:tc>
      </w:tr>
      <w:tr>
        <w:trPr>
          <w:trHeight w:val="148"/>
        </w:trPr>
        <w:tc>
          <w:tcPr>
            <w:tcW w:w="3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56"/>
        </w:trPr>
        <w:tc>
          <w:tcPr>
            <w:tcW w:w="3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Total property level operating expenses</w:t>
            </w: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2,519,115</w:t>
            </w:r>
          </w:p>
        </w:tc>
        <w:tc>
          <w:tcPr>
            <w:tcW w:w="44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2,598,071</w:t>
            </w:r>
          </w:p>
        </w:tc>
        <w:tc>
          <w:tcPr>
            <w:tcW w:w="38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(78,956)</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Property level operating expenses include costs to operate and maintain the properties in our portfolio as well as taxes and insurance.</w:t>
      </w:r>
    </w:p>
    <w:p>
      <w:pPr>
        <w:spacing w:after="0" w:line="1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Total Utilities</w:t>
      </w:r>
    </w:p>
    <w:p>
      <w:pPr>
        <w:spacing w:after="0" w:line="190" w:lineRule="exact"/>
        <w:rPr>
          <w:sz w:val="20"/>
          <w:szCs w:val="20"/>
          <w:color w:val="auto"/>
        </w:rPr>
      </w:pPr>
    </w:p>
    <w:p>
      <w:pPr>
        <w:ind w:left="320" w:right="480"/>
        <w:spacing w:after="0" w:line="259" w:lineRule="auto"/>
        <w:rPr>
          <w:sz w:val="20"/>
          <w:szCs w:val="20"/>
          <w:color w:val="auto"/>
        </w:rPr>
      </w:pPr>
      <w:r>
        <w:rPr>
          <w:rFonts w:ascii="Times New Roman" w:cs="Times New Roman" w:eastAsia="Times New Roman" w:hAnsi="Times New Roman"/>
          <w:sz w:val="16"/>
          <w:szCs w:val="16"/>
          <w:color w:val="auto"/>
        </w:rPr>
        <w:t>Total stabilized utilities expenses decreased by approximately $183.3 million compared to the same period in 2023 primarily due to lower power pricing at certain properties in the stabilized portfolio, mainly in EMEA and APAC.</w:t>
      </w:r>
    </w:p>
    <w:p>
      <w:pPr>
        <w:spacing w:after="0" w:line="155" w:lineRule="exact"/>
        <w:rPr>
          <w:sz w:val="20"/>
          <w:szCs w:val="20"/>
          <w:color w:val="auto"/>
        </w:rPr>
      </w:pPr>
    </w:p>
    <w:p>
      <w:pPr>
        <w:ind w:left="320" w:right="460"/>
        <w:spacing w:after="0" w:line="259" w:lineRule="auto"/>
        <w:rPr>
          <w:sz w:val="20"/>
          <w:szCs w:val="20"/>
          <w:color w:val="auto"/>
        </w:rPr>
      </w:pPr>
      <w:r>
        <w:rPr>
          <w:rFonts w:ascii="Times New Roman" w:cs="Times New Roman" w:eastAsia="Times New Roman" w:hAnsi="Times New Roman"/>
          <w:sz w:val="16"/>
          <w:szCs w:val="16"/>
          <w:color w:val="auto"/>
        </w:rPr>
        <w:t>Total non-stabilized utilities expenses increased by approximately $44.9 million compared to the same period in 2023 primarily due to:</w:t>
      </w:r>
    </w:p>
    <w:p>
      <w:pPr>
        <w:spacing w:after="0" w:line="59" w:lineRule="exact"/>
        <w:rPr>
          <w:sz w:val="20"/>
          <w:szCs w:val="20"/>
          <w:color w:val="auto"/>
        </w:rPr>
      </w:pPr>
    </w:p>
    <w:p>
      <w:pPr>
        <w:ind w:left="900" w:right="340" w:hanging="294"/>
        <w:spacing w:after="0" w:line="299" w:lineRule="auto"/>
        <w:tabs>
          <w:tab w:leader="none" w:pos="9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of approximately $75.9 million due to higher utility consumption in a growing portfolio of recently completed development sites (with the biggest contributions in Northern Virginia, Portland, Zurich, Cape Town and Johannesburg); the markets with the biggest contributions were Northern Virginia, Portland, Frankfurt, London and Paris);</w:t>
      </w:r>
    </w:p>
    <w:p>
      <w:pPr>
        <w:spacing w:after="0" w:line="34" w:lineRule="exact"/>
        <w:rPr>
          <w:rFonts w:ascii="Times New Roman" w:cs="Times New Roman" w:eastAsia="Times New Roman" w:hAnsi="Times New Roman"/>
          <w:sz w:val="14"/>
          <w:szCs w:val="14"/>
          <w:color w:val="auto"/>
        </w:rPr>
      </w:pPr>
    </w:p>
    <w:p>
      <w:pPr>
        <w:ind w:left="900" w:hanging="294"/>
        <w:spacing w:after="0"/>
        <w:tabs>
          <w:tab w:leader="none" w:pos="90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decrease in power agreement credits by $28.7 million; and</w:t>
      </w:r>
    </w:p>
    <w:p>
      <w:pPr>
        <w:spacing w:after="0" w:line="92" w:lineRule="exact"/>
        <w:rPr>
          <w:rFonts w:ascii="Times New Roman" w:cs="Times New Roman" w:eastAsia="Times New Roman" w:hAnsi="Times New Roman"/>
          <w:sz w:val="16"/>
          <w:szCs w:val="16"/>
          <w:color w:val="auto"/>
        </w:rPr>
      </w:pPr>
    </w:p>
    <w:p>
      <w:pPr>
        <w:ind w:left="900" w:hanging="294"/>
        <w:spacing w:after="0"/>
        <w:tabs>
          <w:tab w:leader="none" w:pos="90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offset by a decrease of $59.7 million related to properties sold or contributed in 2023 and 2024.</w:t>
      </w:r>
    </w:p>
    <w:p>
      <w:pPr>
        <w:spacing w:after="0" w:line="272" w:lineRule="exact"/>
        <w:rPr>
          <w:sz w:val="20"/>
          <w:szCs w:val="20"/>
          <w:color w:val="auto"/>
        </w:rPr>
      </w:pPr>
    </w:p>
    <w:p>
      <w:pPr>
        <w:ind w:left="320" w:right="580"/>
        <w:spacing w:after="0" w:line="239" w:lineRule="auto"/>
        <w:rPr>
          <w:sz w:val="20"/>
          <w:szCs w:val="20"/>
          <w:color w:val="auto"/>
        </w:rPr>
      </w:pPr>
      <w:r>
        <w:rPr>
          <w:rFonts w:ascii="Times New Roman" w:cs="Times New Roman" w:eastAsia="Times New Roman" w:hAnsi="Times New Roman"/>
          <w:sz w:val="16"/>
          <w:szCs w:val="16"/>
          <w:color w:val="auto"/>
        </w:rPr>
        <w:t>The cost of electric power comprises a significant component of our operating expenses. Any additional taxation or regulation of energy use, including as a result of (i) new legislation that the U.S. Congress may pass, (ii) the regulations that the U.S. EPA has proposed or finalized, (iii) regulations under legislation that states have passed or may pass, or (iv) any further legislation or regulations in EMEA, APAC or other regions where we operate could significantly increase our costs, and we may not be able to effectively pass all of these costs on to our customers. These matters could adversely impact our business, results of operations, or financial condition.</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Total Rental Property Operating and Maintenance (Excluding Utilities)</w:t>
      </w:r>
    </w:p>
    <w:p>
      <w:pPr>
        <w:spacing w:after="0" w:line="190" w:lineRule="exact"/>
        <w:rPr>
          <w:sz w:val="20"/>
          <w:szCs w:val="20"/>
          <w:color w:val="auto"/>
        </w:rPr>
      </w:pPr>
    </w:p>
    <w:p>
      <w:pPr>
        <w:ind w:left="320" w:right="540"/>
        <w:spacing w:after="0" w:line="331" w:lineRule="auto"/>
        <w:rPr>
          <w:sz w:val="20"/>
          <w:szCs w:val="20"/>
          <w:color w:val="auto"/>
        </w:rPr>
      </w:pPr>
      <w:r>
        <w:rPr>
          <w:rFonts w:ascii="Times New Roman" w:cs="Times New Roman" w:eastAsia="Times New Roman" w:hAnsi="Times New Roman"/>
          <w:sz w:val="14"/>
          <w:szCs w:val="14"/>
          <w:color w:val="auto"/>
        </w:rPr>
        <w:t>Total stabilized rental property operating and maintenance expenses (excluding utilities) increased by approximately $50.9 million compared to the same period in 2023 primarily due to an increase in data center labor and common area maintenance expense.</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69" w:name="page70"/>
    <w:bookmarkEnd w:id="69"/>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6" w:lineRule="exact"/>
        <w:rPr>
          <w:sz w:val="20"/>
          <w:szCs w:val="20"/>
          <w:color w:val="auto"/>
        </w:rPr>
      </w:pPr>
    </w:p>
    <w:p>
      <w:pPr>
        <w:jc w:val="both"/>
        <w:ind w:left="320" w:right="720"/>
        <w:spacing w:after="0" w:line="247" w:lineRule="auto"/>
        <w:rPr>
          <w:sz w:val="20"/>
          <w:szCs w:val="20"/>
          <w:color w:val="auto"/>
        </w:rPr>
      </w:pPr>
      <w:r>
        <w:rPr>
          <w:rFonts w:ascii="Times New Roman" w:cs="Times New Roman" w:eastAsia="Times New Roman" w:hAnsi="Times New Roman"/>
          <w:sz w:val="16"/>
          <w:szCs w:val="16"/>
          <w:color w:val="auto"/>
        </w:rPr>
        <w:t>Total non-stabilized rental property operating and maintenance expenses (excluding utilities) increased by approximately $24.2 million compared to the same period in 2023 primarily due to higher lease and common area maintenance expense in a growing portfolio of recently completed development sites.</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Total Property Taxes and Insurance</w:t>
      </w:r>
    </w:p>
    <w:p>
      <w:pPr>
        <w:spacing w:after="0" w:line="190" w:lineRule="exact"/>
        <w:rPr>
          <w:sz w:val="20"/>
          <w:szCs w:val="20"/>
          <w:color w:val="auto"/>
        </w:rPr>
      </w:pPr>
    </w:p>
    <w:p>
      <w:pPr>
        <w:ind w:left="320" w:right="380"/>
        <w:spacing w:after="0" w:line="259" w:lineRule="auto"/>
        <w:rPr>
          <w:sz w:val="20"/>
          <w:szCs w:val="20"/>
          <w:color w:val="auto"/>
        </w:rPr>
      </w:pPr>
      <w:r>
        <w:rPr>
          <w:rFonts w:ascii="Times New Roman" w:cs="Times New Roman" w:eastAsia="Times New Roman" w:hAnsi="Times New Roman"/>
          <w:sz w:val="16"/>
          <w:szCs w:val="16"/>
          <w:color w:val="auto"/>
        </w:rPr>
        <w:t>Total stabilized property taxes and insurance increased by approximately $ 21.2 million compared to the same period in 2023 due to a favorable property tax assessment at one of our North American properties realized in early 2023.</w:t>
      </w:r>
    </w:p>
    <w:p>
      <w:pPr>
        <w:spacing w:after="0" w:line="155" w:lineRule="exact"/>
        <w:rPr>
          <w:sz w:val="20"/>
          <w:szCs w:val="20"/>
          <w:color w:val="auto"/>
        </w:rPr>
      </w:pPr>
    </w:p>
    <w:p>
      <w:pPr>
        <w:ind w:left="320" w:right="500"/>
        <w:spacing w:after="0" w:line="259" w:lineRule="auto"/>
        <w:rPr>
          <w:sz w:val="20"/>
          <w:szCs w:val="20"/>
          <w:color w:val="auto"/>
        </w:rPr>
      </w:pPr>
      <w:r>
        <w:rPr>
          <w:rFonts w:ascii="Times New Roman" w:cs="Times New Roman" w:eastAsia="Times New Roman" w:hAnsi="Times New Roman"/>
          <w:sz w:val="16"/>
          <w:szCs w:val="16"/>
          <w:color w:val="auto"/>
        </w:rPr>
        <w:t>Total non- stabilized property taxes and insurance decreased $36.8 million compared to the same period in 2023 primarily related to properties sold or contributed after December 31, 2023.</w:t>
      </w:r>
    </w:p>
    <w:p>
      <w:pPr>
        <w:spacing w:after="0" w:line="1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Provision for Impairment</w:t>
      </w:r>
    </w:p>
    <w:p>
      <w:pPr>
        <w:spacing w:after="0" w:line="190" w:lineRule="exact"/>
        <w:rPr>
          <w:sz w:val="20"/>
          <w:szCs w:val="20"/>
          <w:color w:val="auto"/>
        </w:rPr>
      </w:pPr>
    </w:p>
    <w:p>
      <w:pPr>
        <w:ind w:left="320" w:right="360"/>
        <w:spacing w:after="0" w:line="241" w:lineRule="auto"/>
        <w:rPr>
          <w:sz w:val="20"/>
          <w:szCs w:val="20"/>
          <w:color w:val="auto"/>
        </w:rPr>
      </w:pPr>
      <w:r>
        <w:rPr>
          <w:rFonts w:ascii="Times New Roman" w:cs="Times New Roman" w:eastAsia="Times New Roman" w:hAnsi="Times New Roman"/>
          <w:sz w:val="16"/>
          <w:szCs w:val="16"/>
          <w:color w:val="auto"/>
        </w:rPr>
        <w:t>During the year ended December 31, 2024, we recognized impairment charges of approximately $191.2 million, which is recorded as provision for impairment on the consolidated income statement. We determined that certain non-core properties in secondary U.S. markets had carrying amounts that may not be fully recoverable as we determined that we no longer intend to hold these properties long-term. Accordingly, the recorded amounts were reduced to reflect management’s estimate of fair value principally based on sales of similar properties and ongoing negotiations with third parties.</w:t>
      </w:r>
    </w:p>
    <w:p>
      <w:pPr>
        <w:spacing w:after="0" w:line="169" w:lineRule="exact"/>
        <w:rPr>
          <w:sz w:val="20"/>
          <w:szCs w:val="20"/>
          <w:color w:val="auto"/>
        </w:rPr>
      </w:pPr>
    </w:p>
    <w:p>
      <w:pPr>
        <w:ind w:left="320" w:right="420"/>
        <w:spacing w:after="0" w:line="247" w:lineRule="auto"/>
        <w:rPr>
          <w:sz w:val="20"/>
          <w:szCs w:val="20"/>
          <w:color w:val="auto"/>
        </w:rPr>
      </w:pPr>
      <w:r>
        <w:rPr>
          <w:rFonts w:ascii="Times New Roman" w:cs="Times New Roman" w:eastAsia="Times New Roman" w:hAnsi="Times New Roman"/>
          <w:sz w:val="16"/>
          <w:szCs w:val="16"/>
          <w:color w:val="auto"/>
        </w:rPr>
        <w:t>During the year ended December 31, 2023, we recognized impairment charges of approximately $118.4 million, primarily due to the decline in fair value of our equity investment in DCRU, which was considered other than temporary due to the length of time and extent to which the fair value of our investment has been less than the carrying value.</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Other Operating Expenses</w:t>
      </w:r>
    </w:p>
    <w:p>
      <w:pPr>
        <w:spacing w:after="0" w:line="190" w:lineRule="exact"/>
        <w:rPr>
          <w:sz w:val="20"/>
          <w:szCs w:val="20"/>
          <w:color w:val="auto"/>
        </w:rPr>
      </w:pPr>
    </w:p>
    <w:p>
      <w:pPr>
        <w:jc w:val="both"/>
        <w:ind w:left="320" w:right="520"/>
        <w:spacing w:after="0" w:line="247" w:lineRule="auto"/>
        <w:rPr>
          <w:sz w:val="20"/>
          <w:szCs w:val="20"/>
          <w:color w:val="auto"/>
        </w:rPr>
      </w:pPr>
      <w:r>
        <w:rPr>
          <w:rFonts w:ascii="Times New Roman" w:cs="Times New Roman" w:eastAsia="Times New Roman" w:hAnsi="Times New Roman"/>
          <w:sz w:val="16"/>
          <w:szCs w:val="16"/>
          <w:color w:val="auto"/>
        </w:rPr>
        <w:t>Other operating expenses include costs which are either non-cash in nature (such as depreciation and amortization) or which do not directly pertain to operation of data center properties. A comparison of other operating expenses for the respective period is shown below (in thousands).</w:t>
      </w:r>
    </w:p>
    <w:p>
      <w:pPr>
        <w:spacing w:after="0" w:line="164" w:lineRule="exact"/>
        <w:rPr>
          <w:sz w:val="20"/>
          <w:szCs w:val="20"/>
          <w:color w:val="auto"/>
        </w:rPr>
      </w:pPr>
    </w:p>
    <w:tbl>
      <w:tblPr>
        <w:tblLayout w:type="fixed"/>
        <w:tblInd w:w="320" w:type="dxa"/>
        <w:tblCellMar>
          <w:top w:w="0" w:type="dxa"/>
          <w:left w:w="0" w:type="dxa"/>
          <w:bottom w:w="0" w:type="dxa"/>
          <w:right w:w="0" w:type="dxa"/>
        </w:tblCellMar>
      </w:tblPr>
      <w:tr>
        <w:trPr>
          <w:trHeight w:val="170"/>
        </w:trPr>
        <w:tc>
          <w:tcPr>
            <w:tcW w:w="2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220" w:type="dxa"/>
            <w:vAlign w:val="bottom"/>
            <w:tcBorders>
              <w:bottom w:val="single" w:sz="8" w:color="auto"/>
            </w:tcBorders>
          </w:tcPr>
          <w:p>
            <w:pPr>
              <w:spacing w:after="0"/>
              <w:rPr>
                <w:sz w:val="14"/>
                <w:szCs w:val="14"/>
                <w:color w:val="auto"/>
              </w:rPr>
            </w:pPr>
          </w:p>
        </w:tc>
      </w:tr>
      <w:tr>
        <w:trPr>
          <w:trHeight w:val="148"/>
        </w:trPr>
        <w:tc>
          <w:tcPr>
            <w:tcW w:w="20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jc w:val="right"/>
              <w:ind w:right="414"/>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jc w:val="right"/>
              <w:ind w:right="394"/>
              <w:spacing w:after="0" w:line="148" w:lineRule="exact"/>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ind w:left="100"/>
              <w:spacing w:after="0" w:line="148" w:lineRule="exact"/>
              <w:rPr>
                <w:sz w:val="20"/>
                <w:szCs w:val="20"/>
                <w:color w:val="auto"/>
              </w:rPr>
            </w:pPr>
            <w:r>
              <w:rPr>
                <w:rFonts w:ascii="Times New Roman" w:cs="Times New Roman" w:eastAsia="Times New Roman" w:hAnsi="Times New Roman"/>
                <w:sz w:val="13"/>
                <w:szCs w:val="13"/>
                <w:b w:val="1"/>
                <w:bCs w:val="1"/>
                <w:color w:val="auto"/>
              </w:rPr>
              <w:t>$ Change</w:t>
            </w:r>
          </w:p>
        </w:tc>
        <w:tc>
          <w:tcPr>
            <w:tcW w:w="1220" w:type="dxa"/>
            <w:vAlign w:val="bottom"/>
          </w:tcPr>
          <w:p>
            <w:pPr>
              <w:jc w:val="right"/>
              <w:ind w:right="254"/>
              <w:spacing w:after="0" w:line="148" w:lineRule="exact"/>
              <w:rPr>
                <w:sz w:val="20"/>
                <w:szCs w:val="20"/>
                <w:color w:val="auto"/>
              </w:rPr>
            </w:pPr>
            <w:r>
              <w:rPr>
                <w:rFonts w:ascii="Times New Roman" w:cs="Times New Roman" w:eastAsia="Times New Roman" w:hAnsi="Times New Roman"/>
                <w:sz w:val="13"/>
                <w:szCs w:val="13"/>
                <w:b w:val="1"/>
                <w:bCs w:val="1"/>
                <w:color w:val="auto"/>
              </w:rPr>
              <w:t>% Change</w:t>
            </w:r>
          </w:p>
        </w:tc>
      </w:tr>
      <w:tr>
        <w:trPr>
          <w:trHeight w:val="148"/>
        </w:trPr>
        <w:tc>
          <w:tcPr>
            <w:tcW w:w="3200" w:type="dxa"/>
            <w:vAlign w:val="bottom"/>
            <w:tcBorders>
              <w:top w:val="single" w:sz="8" w:color="CCEEFF"/>
            </w:tcBorders>
            <w:gridSpan w:val="2"/>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300" w:type="dxa"/>
            <w:vAlign w:val="bottom"/>
            <w:tcBorders>
              <w:top w:val="single" w:sz="8" w:color="auto"/>
            </w:tcBorders>
            <w:shd w:val="clear" w:color="auto" w:fill="CCEEFF"/>
          </w:tcPr>
          <w:p>
            <w:pPr>
              <w:jc w:val="right"/>
              <w:ind w:right="94"/>
              <w:spacing w:after="0" w:line="148"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1,771,797</w:t>
            </w:r>
          </w:p>
        </w:tc>
        <w:tc>
          <w:tcPr>
            <w:tcW w:w="14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94"/>
              <w:spacing w:after="0" w:line="148"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1,694,859</w:t>
            </w: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4"/>
              <w:spacing w:after="0" w:line="148"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76,938</w:t>
            </w:r>
          </w:p>
        </w:tc>
        <w:tc>
          <w:tcPr>
            <w:tcW w:w="10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4.5 %</w:t>
            </w:r>
          </w:p>
        </w:tc>
      </w:tr>
      <w:tr>
        <w:trPr>
          <w:trHeight w:val="156"/>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3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480,023</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449,056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30,967</w:t>
            </w:r>
          </w:p>
        </w:tc>
        <w:tc>
          <w:tcPr>
            <w:tcW w:w="1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6.9 %</w:t>
            </w:r>
          </w:p>
        </w:tc>
      </w:tr>
      <w:tr>
        <w:trPr>
          <w:trHeight w:val="15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Transaction, integration and other expense</w:t>
            </w:r>
          </w:p>
        </w:tc>
        <w:tc>
          <w:tcPr>
            <w:tcW w:w="3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93,902</w:t>
            </w: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84,722</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9,180</w:t>
            </w: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10.8 %</w:t>
            </w:r>
          </w:p>
        </w:tc>
      </w:tr>
      <w:tr>
        <w:trPr>
          <w:trHeight w:val="156"/>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Provision for impairment</w:t>
            </w:r>
          </w:p>
        </w:tc>
        <w:tc>
          <w:tcPr>
            <w:tcW w:w="3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191,184</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118,363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72,821</w:t>
            </w:r>
          </w:p>
        </w:tc>
        <w:tc>
          <w:tcPr>
            <w:tcW w:w="1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61.5 %</w:t>
            </w:r>
          </w:p>
        </w:tc>
      </w:tr>
      <w:tr>
        <w:trPr>
          <w:trHeight w:val="15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w:t>
            </w:r>
          </w:p>
        </w:tc>
        <w:tc>
          <w:tcPr>
            <w:tcW w:w="30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27,083</w:t>
            </w:r>
          </w:p>
        </w:tc>
        <w:tc>
          <w:tcPr>
            <w:tcW w:w="14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7,529</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19,554</w:t>
            </w:r>
          </w:p>
        </w:tc>
        <w:tc>
          <w:tcPr>
            <w:tcW w:w="100" w:type="dxa"/>
            <w:vAlign w:val="bottom"/>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n/m %</w:t>
            </w:r>
          </w:p>
        </w:tc>
      </w:tr>
      <w:tr>
        <w:trPr>
          <w:trHeight w:val="148"/>
        </w:trPr>
        <w:tc>
          <w:tcPr>
            <w:tcW w:w="3200" w:type="dxa"/>
            <w:vAlign w:val="bottom"/>
            <w:gridSpan w:val="2"/>
          </w:tcPr>
          <w:p>
            <w:pPr>
              <w:spacing w:after="0" w:line="148" w:lineRule="exact"/>
              <w:rPr>
                <w:sz w:val="20"/>
                <w:szCs w:val="20"/>
                <w:color w:val="auto"/>
              </w:rPr>
            </w:pPr>
            <w:r>
              <w:rPr>
                <w:rFonts w:ascii="Times New Roman" w:cs="Times New Roman" w:eastAsia="Times New Roman" w:hAnsi="Times New Roman"/>
                <w:sz w:val="13"/>
                <w:szCs w:val="13"/>
                <w:color w:val="auto"/>
              </w:rPr>
              <w:t>Total other operating expenses</w:t>
            </w:r>
          </w:p>
        </w:tc>
        <w:tc>
          <w:tcPr>
            <w:tcW w:w="300" w:type="dxa"/>
            <w:vAlign w:val="bottom"/>
          </w:tcPr>
          <w:p>
            <w:pPr>
              <w:spacing w:after="0"/>
              <w:rPr>
                <w:sz w:val="12"/>
                <w:szCs w:val="12"/>
                <w:color w:val="auto"/>
              </w:rPr>
            </w:pPr>
          </w:p>
        </w:tc>
        <w:tc>
          <w:tcPr>
            <w:tcW w:w="90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2,563,989</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2,354,529</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209,460</w:t>
            </w:r>
          </w:p>
        </w:tc>
        <w:tc>
          <w:tcPr>
            <w:tcW w:w="100" w:type="dxa"/>
            <w:vAlign w:val="bottom"/>
          </w:tcPr>
          <w:p>
            <w:pPr>
              <w:spacing w:after="0"/>
              <w:rPr>
                <w:sz w:val="12"/>
                <w:szCs w:val="12"/>
                <w:color w:val="auto"/>
              </w:rPr>
            </w:pPr>
          </w:p>
        </w:tc>
        <w:tc>
          <w:tcPr>
            <w:tcW w:w="122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8.9 %</w:t>
            </w:r>
          </w:p>
        </w:tc>
      </w:tr>
      <w:tr>
        <w:trPr>
          <w:trHeight w:val="15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property level operating expenses</w:t>
            </w:r>
          </w:p>
        </w:tc>
        <w:tc>
          <w:tcPr>
            <w:tcW w:w="3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2,519,115</w:t>
            </w: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2,598,071</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(78,956)</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r>
      <w:tr>
        <w:trPr>
          <w:trHeight w:val="148"/>
        </w:trPr>
        <w:tc>
          <w:tcPr>
            <w:tcW w:w="3200" w:type="dxa"/>
            <w:vAlign w:val="bottom"/>
            <w:gridSpan w:val="2"/>
          </w:tcPr>
          <w:p>
            <w:pPr>
              <w:spacing w:after="0" w:line="148" w:lineRule="exact"/>
              <w:rPr>
                <w:sz w:val="20"/>
                <w:szCs w:val="20"/>
                <w:color w:val="auto"/>
              </w:rPr>
            </w:pPr>
            <w:r>
              <w:rPr>
                <w:rFonts w:ascii="Times New Roman" w:cs="Times New Roman" w:eastAsia="Times New Roman" w:hAnsi="Times New Roman"/>
                <w:sz w:val="13"/>
                <w:szCs w:val="13"/>
                <w:color w:val="auto"/>
              </w:rPr>
              <w:t>Total operating expenses</w:t>
            </w:r>
          </w:p>
        </w:tc>
        <w:tc>
          <w:tcPr>
            <w:tcW w:w="300" w:type="dxa"/>
            <w:vAlign w:val="bottom"/>
            <w:tcBorders>
              <w:top w:val="single" w:sz="8" w:color="auto"/>
              <w:bottom w:val="single" w:sz="8" w:color="auto"/>
            </w:tcBorders>
          </w:tcPr>
          <w:p>
            <w:pPr>
              <w:jc w:val="right"/>
              <w:ind w:right="94"/>
              <w:spacing w:after="0" w:line="148"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5,083,104</w:t>
            </w:r>
          </w:p>
        </w:tc>
        <w:tc>
          <w:tcPr>
            <w:tcW w:w="14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94"/>
              <w:spacing w:after="0" w:line="148"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4,952,600</w:t>
            </w:r>
          </w:p>
        </w:tc>
        <w:tc>
          <w:tcPr>
            <w:tcW w:w="10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4"/>
              <w:spacing w:after="0" w:line="148"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130,504</w:t>
            </w:r>
          </w:p>
        </w:tc>
        <w:tc>
          <w:tcPr>
            <w:tcW w:w="100" w:type="dxa"/>
            <w:vAlign w:val="bottom"/>
          </w:tcPr>
          <w:p>
            <w:pPr>
              <w:spacing w:after="0"/>
              <w:rPr>
                <w:sz w:val="12"/>
                <w:szCs w:val="12"/>
                <w:color w:val="auto"/>
              </w:rPr>
            </w:pPr>
          </w:p>
        </w:tc>
        <w:tc>
          <w:tcPr>
            <w:tcW w:w="122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2.6 %</w:t>
            </w:r>
          </w:p>
        </w:tc>
      </w:tr>
      <w:tr>
        <w:trPr>
          <w:trHeight w:val="20"/>
        </w:trPr>
        <w:tc>
          <w:tcPr>
            <w:tcW w:w="20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72"/>
        </w:trPr>
        <w:tc>
          <w:tcPr>
            <w:tcW w:w="2080" w:type="dxa"/>
            <w:vAlign w:val="bottom"/>
            <w:tcBorders>
              <w:bottom w:val="single" w:sz="8" w:color="auto"/>
            </w:tcBorders>
          </w:tcPr>
          <w:p>
            <w:pPr>
              <w:spacing w:after="0"/>
              <w:rPr>
                <w:sz w:val="6"/>
                <w:szCs w:val="6"/>
                <w:color w:val="auto"/>
              </w:rPr>
            </w:pPr>
          </w:p>
        </w:tc>
        <w:tc>
          <w:tcPr>
            <w:tcW w:w="1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tcPr>
          <w:p>
            <w:pPr>
              <w:spacing w:after="0"/>
              <w:rPr>
                <w:sz w:val="6"/>
                <w:szCs w:val="6"/>
                <w:color w:val="auto"/>
              </w:rPr>
            </w:pPr>
          </w:p>
        </w:tc>
      </w:tr>
    </w:tbl>
    <w:p>
      <w:pPr>
        <w:spacing w:after="0" w:line="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Equity in Earnings (Loss) of Unconsolidated Entities</w:t>
      </w:r>
    </w:p>
    <w:p>
      <w:pPr>
        <w:spacing w:after="0" w:line="190" w:lineRule="exact"/>
        <w:rPr>
          <w:sz w:val="20"/>
          <w:szCs w:val="20"/>
          <w:color w:val="auto"/>
        </w:rPr>
      </w:pPr>
    </w:p>
    <w:p>
      <w:pPr>
        <w:jc w:val="both"/>
        <w:ind w:left="320" w:right="340"/>
        <w:spacing w:after="0" w:line="247" w:lineRule="auto"/>
        <w:rPr>
          <w:sz w:val="20"/>
          <w:szCs w:val="20"/>
          <w:color w:val="auto"/>
        </w:rPr>
      </w:pPr>
      <w:r>
        <w:rPr>
          <w:rFonts w:ascii="Times New Roman" w:cs="Times New Roman" w:eastAsia="Times New Roman" w:hAnsi="Times New Roman"/>
          <w:sz w:val="16"/>
          <w:szCs w:val="16"/>
          <w:color w:val="auto"/>
        </w:rPr>
        <w:t>Equity in earnings (loss) of unconsolidated entities decreased approximately $90.3 million compared to the same period in 2023. The foreign exchange remeasurement of debt associated with our unconsolidated Ascenty entity creates volatility in our equity in earnings and drove this fluctuation.</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70" w:name="page71"/>
    <w:bookmarkEnd w:id="70"/>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Gain on Disposition of Properties, net</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Gain on disposition of properties, net decreased approximately $304.7 million as compared to the same period in 2023.</w:t>
      </w:r>
    </w:p>
    <w:p>
      <w:pPr>
        <w:spacing w:after="0" w:line="176" w:lineRule="exact"/>
        <w:rPr>
          <w:sz w:val="20"/>
          <w:szCs w:val="20"/>
          <w:color w:val="auto"/>
        </w:rPr>
      </w:pPr>
    </w:p>
    <w:p>
      <w:pPr>
        <w:ind w:left="320" w:right="340"/>
        <w:spacing w:after="0" w:line="259" w:lineRule="auto"/>
        <w:rPr>
          <w:sz w:val="20"/>
          <w:szCs w:val="20"/>
          <w:color w:val="auto"/>
        </w:rPr>
      </w:pPr>
      <w:r>
        <w:rPr>
          <w:rFonts w:ascii="Times New Roman" w:cs="Times New Roman" w:eastAsia="Times New Roman" w:hAnsi="Times New Roman"/>
          <w:sz w:val="16"/>
          <w:szCs w:val="16"/>
          <w:color w:val="auto"/>
        </w:rPr>
        <w:t>In January 2024, we closed on the sale of our interest in four data centers to Brookfield Infrastructure Partners L.P., or Brookfield, for approximately $271 million. As a result of the sale, we recognized a total gain on disposition of approximately $191.6 million.</w:t>
      </w:r>
    </w:p>
    <w:p>
      <w:pPr>
        <w:spacing w:after="0" w:line="155" w:lineRule="exact"/>
        <w:rPr>
          <w:sz w:val="20"/>
          <w:szCs w:val="20"/>
          <w:color w:val="auto"/>
        </w:rPr>
      </w:pPr>
    </w:p>
    <w:p>
      <w:pPr>
        <w:ind w:left="320" w:right="360"/>
        <w:spacing w:after="0" w:line="243" w:lineRule="auto"/>
        <w:rPr>
          <w:sz w:val="20"/>
          <w:szCs w:val="20"/>
          <w:color w:val="auto"/>
        </w:rPr>
      </w:pPr>
      <w:r>
        <w:rPr>
          <w:rFonts w:ascii="Times New Roman" w:cs="Times New Roman" w:eastAsia="Times New Roman" w:hAnsi="Times New Roman"/>
          <w:sz w:val="16"/>
          <w:szCs w:val="16"/>
          <w:color w:val="auto"/>
        </w:rPr>
        <w:t>In March 2024, we formed a joint venture with Mitsubishi Corporation, or Mitsubishi, to support the development of two data centers in the Dallas metro area. We received approximately $153 million of gross proceeds from the contribution of our data centers to the joint venture. As a result of transferring control, we derecognized the data centers and recognized a gain on disposition of approximately $7.0 million.</w:t>
      </w:r>
    </w:p>
    <w:p>
      <w:pPr>
        <w:spacing w:after="0" w:line="167" w:lineRule="exact"/>
        <w:rPr>
          <w:sz w:val="20"/>
          <w:szCs w:val="20"/>
          <w:color w:val="auto"/>
        </w:rPr>
      </w:pPr>
    </w:p>
    <w:p>
      <w:pPr>
        <w:ind w:left="320" w:right="520"/>
        <w:spacing w:after="0" w:line="259" w:lineRule="auto"/>
        <w:rPr>
          <w:sz w:val="20"/>
          <w:szCs w:val="20"/>
          <w:color w:val="auto"/>
        </w:rPr>
      </w:pPr>
      <w:r>
        <w:rPr>
          <w:rFonts w:ascii="Times New Roman" w:cs="Times New Roman" w:eastAsia="Times New Roman" w:hAnsi="Times New Roman"/>
          <w:sz w:val="16"/>
          <w:szCs w:val="16"/>
          <w:color w:val="auto"/>
        </w:rPr>
        <w:t>In March 2024, we also recognized a total gain of $74.4 million from the sale of an easement to a local power provider in Northern Virginia.</w:t>
      </w:r>
    </w:p>
    <w:p>
      <w:pPr>
        <w:spacing w:after="0" w:line="155" w:lineRule="exact"/>
        <w:rPr>
          <w:sz w:val="20"/>
          <w:szCs w:val="20"/>
          <w:color w:val="auto"/>
        </w:rPr>
      </w:pPr>
    </w:p>
    <w:p>
      <w:pPr>
        <w:ind w:left="320" w:right="360"/>
        <w:spacing w:after="0" w:line="241" w:lineRule="auto"/>
        <w:rPr>
          <w:sz w:val="20"/>
          <w:szCs w:val="20"/>
          <w:color w:val="auto"/>
        </w:rPr>
      </w:pPr>
      <w:r>
        <w:rPr>
          <w:rFonts w:ascii="Times New Roman" w:cs="Times New Roman" w:eastAsia="Times New Roman" w:hAnsi="Times New Roman"/>
          <w:sz w:val="16"/>
          <w:szCs w:val="16"/>
          <w:color w:val="auto"/>
        </w:rPr>
        <w:t>In April 2024, we expanded our existing joint venture with GI Partners with the sale to GI Partners of a 75% interest in a third facility on the same hyperscale data center campus in Chicago. We contributed the data center at a value of approximately $453 million. We received approximately $386 million of net proceeds from the contribution of our data center to the joint venture and the associated financing and retained a 25% interest in the joint venture. As a result of transferring control, we derecognized the data center and recognized a gain on disposition of approximately $172 million.</w:t>
      </w:r>
    </w:p>
    <w:p>
      <w:pPr>
        <w:spacing w:after="0" w:line="169" w:lineRule="exact"/>
        <w:rPr>
          <w:sz w:val="20"/>
          <w:szCs w:val="20"/>
          <w:color w:val="auto"/>
        </w:rPr>
      </w:pPr>
    </w:p>
    <w:p>
      <w:pPr>
        <w:ind w:left="320" w:right="340"/>
        <w:spacing w:after="0" w:line="243" w:lineRule="auto"/>
        <w:rPr>
          <w:sz w:val="20"/>
          <w:szCs w:val="20"/>
          <w:color w:val="auto"/>
        </w:rPr>
      </w:pPr>
      <w:r>
        <w:rPr>
          <w:rFonts w:ascii="Times New Roman" w:cs="Times New Roman" w:eastAsia="Times New Roman" w:hAnsi="Times New Roman"/>
          <w:sz w:val="16"/>
          <w:szCs w:val="16"/>
          <w:color w:val="auto"/>
        </w:rPr>
        <w:t>In December 2024, the second phase of the Blackstone Inc. joint venture closed on hyperscale data center campuses in Frankfurt and Northern Virginia. We received approximately $385 million of net proceeds from the contribution of our data centers to the second phase of the joint venture and retained a 20% interest in the joint venture. As a result of transferring control, we derecognized the data centers and recognized a gain on disposition of approximately $44.5 million.</w:t>
      </w:r>
    </w:p>
    <w:p>
      <w:pPr>
        <w:spacing w:after="0" w:line="167" w:lineRule="exact"/>
        <w:rPr>
          <w:sz w:val="20"/>
          <w:szCs w:val="20"/>
          <w:color w:val="auto"/>
        </w:rPr>
      </w:pPr>
    </w:p>
    <w:p>
      <w:pPr>
        <w:ind w:left="320" w:right="480"/>
        <w:spacing w:after="0" w:line="247" w:lineRule="auto"/>
        <w:rPr>
          <w:sz w:val="20"/>
          <w:szCs w:val="20"/>
          <w:color w:val="auto"/>
        </w:rPr>
      </w:pPr>
      <w:r>
        <w:rPr>
          <w:rFonts w:ascii="Times New Roman" w:cs="Times New Roman" w:eastAsia="Times New Roman" w:hAnsi="Times New Roman"/>
          <w:sz w:val="16"/>
          <w:szCs w:val="16"/>
          <w:color w:val="auto"/>
        </w:rPr>
        <w:t>In December 2024, we also closed on the sale to DCREIT of an additional 15.1% interest in a data center located in Frankfurt, Germany for approximately $77 million. As a result of transferring control, we derecognized the Frankfurt facility and recognized a gain on disposition of approximately $101 million.</w:t>
      </w:r>
    </w:p>
    <w:p>
      <w:pPr>
        <w:spacing w:after="0" w:line="164" w:lineRule="exact"/>
        <w:rPr>
          <w:sz w:val="20"/>
          <w:szCs w:val="20"/>
          <w:color w:val="auto"/>
        </w:rPr>
      </w:pPr>
    </w:p>
    <w:p>
      <w:pPr>
        <w:ind w:left="320" w:right="360"/>
        <w:spacing w:after="0" w:line="243" w:lineRule="auto"/>
        <w:rPr>
          <w:sz w:val="20"/>
          <w:szCs w:val="20"/>
          <w:color w:val="auto"/>
        </w:rPr>
      </w:pPr>
      <w:r>
        <w:rPr>
          <w:rFonts w:ascii="Times New Roman" w:cs="Times New Roman" w:eastAsia="Times New Roman" w:hAnsi="Times New Roman"/>
          <w:sz w:val="16"/>
          <w:szCs w:val="16"/>
          <w:color w:val="auto"/>
        </w:rPr>
        <w:t>In May 2023, we disposed of a non -core asset, resulting in a net gain on sale of $87 million. In July 2023, we received approximately $0.7 billion of gross proceeds from the contribution of our data centers to the joint venture with GI Partners for a net gain on sale of approximately $238 million and we received approximately $1.4 billion of gross proceeds from the contribution of our data centers to the joint venture with TPG Real Estate for a net gain on sale of approximately $576 million.</w:t>
      </w:r>
    </w:p>
    <w:p>
      <w:pPr>
        <w:spacing w:after="0" w:line="1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Loss from Early Extinguishment of Debt</w:t>
      </w:r>
    </w:p>
    <w:p>
      <w:pPr>
        <w:spacing w:after="0" w:line="190" w:lineRule="exact"/>
        <w:rPr>
          <w:sz w:val="20"/>
          <w:szCs w:val="20"/>
          <w:color w:val="auto"/>
        </w:rPr>
      </w:pPr>
    </w:p>
    <w:p>
      <w:pPr>
        <w:ind w:left="320" w:right="340"/>
        <w:spacing w:after="0" w:line="239" w:lineRule="auto"/>
        <w:rPr>
          <w:sz w:val="20"/>
          <w:szCs w:val="20"/>
          <w:color w:val="auto"/>
        </w:rPr>
      </w:pPr>
      <w:r>
        <w:rPr>
          <w:rFonts w:ascii="Times New Roman" w:cs="Times New Roman" w:eastAsia="Times New Roman" w:hAnsi="Times New Roman"/>
          <w:sz w:val="16"/>
          <w:szCs w:val="16"/>
          <w:color w:val="auto"/>
        </w:rPr>
        <w:t>Loss on debt extinguishment and modifications was approximately $ 5.9 million for the year ended December 31,2024. In January 2024, we paid down $240 million on the U.S. term loan facility. The paydown resulted in an early extinguishment charge of approximately $1.0 million. In September 2024, we paid down €375 million on the Euro Term Loan Facilities, leaving €375 million outstanding. The paydown resulted in an early extinguishment charge of approximately $1.6 million. We also refinanced our Global Revolving Credit Facilities and wrote off deferred loan costs of approximately $1.1 million. In November 2024, we paid off the remaining $500 million on the U.S. term loan facility. As a result, approximately $2.2 million of deferred financing costs was written off.</w:t>
      </w:r>
    </w:p>
    <w:p>
      <w:pPr>
        <w:spacing w:after="0" w:line="1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We had no extinguishment of debt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71" w:name="page72"/>
    <w:bookmarkEnd w:id="71"/>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Interest Expense</w:t>
      </w:r>
    </w:p>
    <w:p>
      <w:pPr>
        <w:spacing w:after="0" w:line="178" w:lineRule="exact"/>
        <w:rPr>
          <w:sz w:val="20"/>
          <w:szCs w:val="20"/>
          <w:color w:val="auto"/>
        </w:rPr>
      </w:pPr>
    </w:p>
    <w:p>
      <w:pPr>
        <w:ind w:left="320" w:right="1020"/>
        <w:spacing w:after="0" w:line="259" w:lineRule="auto"/>
        <w:rPr>
          <w:sz w:val="20"/>
          <w:szCs w:val="20"/>
          <w:color w:val="auto"/>
        </w:rPr>
      </w:pPr>
      <w:r>
        <w:rPr>
          <w:rFonts w:ascii="Times New Roman" w:cs="Times New Roman" w:eastAsia="Times New Roman" w:hAnsi="Times New Roman"/>
          <w:sz w:val="16"/>
          <w:szCs w:val="16"/>
          <w:color w:val="auto"/>
        </w:rPr>
        <w:t>Interest expense increased approximately $15.1 million compared to the same period in 2023 driven primarily by increased borrowings at Teraco.</w:t>
      </w:r>
    </w:p>
    <w:p>
      <w:pPr>
        <w:spacing w:after="0" w:line="1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Income Tax Expense</w:t>
      </w:r>
    </w:p>
    <w:p>
      <w:pPr>
        <w:spacing w:after="0" w:line="178" w:lineRule="exact"/>
        <w:rPr>
          <w:sz w:val="20"/>
          <w:szCs w:val="20"/>
          <w:color w:val="auto"/>
        </w:rPr>
      </w:pPr>
    </w:p>
    <w:p>
      <w:pPr>
        <w:ind w:left="320" w:right="440"/>
        <w:spacing w:after="0" w:line="259" w:lineRule="auto"/>
        <w:rPr>
          <w:sz w:val="20"/>
          <w:szCs w:val="20"/>
          <w:color w:val="auto"/>
        </w:rPr>
      </w:pPr>
      <w:r>
        <w:rPr>
          <w:rFonts w:ascii="Times New Roman" w:cs="Times New Roman" w:eastAsia="Times New Roman" w:hAnsi="Times New Roman"/>
          <w:sz w:val="16"/>
          <w:szCs w:val="16"/>
          <w:color w:val="auto"/>
        </w:rPr>
        <w:t>Income tax expense decreased by approximately $20.8 million as compared to the same period in 2023 due to jurisdictional rate mix in foreign jurisdictions and internal restructurings within the global group.</w:t>
      </w:r>
    </w:p>
    <w:p>
      <w:pPr>
        <w:spacing w:after="0" w:line="1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Liquidity and Capital Resources</w:t>
      </w:r>
    </w:p>
    <w:p>
      <w:pPr>
        <w:spacing w:after="0" w:line="192" w:lineRule="exact"/>
        <w:rPr>
          <w:sz w:val="20"/>
          <w:szCs w:val="20"/>
          <w:color w:val="auto"/>
        </w:rPr>
      </w:pPr>
    </w:p>
    <w:p>
      <w:pPr>
        <w:ind w:left="320" w:right="340"/>
        <w:spacing w:after="0" w:line="243" w:lineRule="auto"/>
        <w:rPr>
          <w:sz w:val="20"/>
          <w:szCs w:val="20"/>
          <w:color w:val="auto"/>
        </w:rPr>
      </w:pPr>
      <w:r>
        <w:rPr>
          <w:rFonts w:ascii="Times New Roman" w:cs="Times New Roman" w:eastAsia="Times New Roman" w:hAnsi="Times New Roman"/>
          <w:sz w:val="16"/>
          <w:szCs w:val="16"/>
          <w:color w:val="auto"/>
        </w:rPr>
        <w:t>The sections “Analysis of Liquidity and Capital Resources — Parent” and “Analysis of Liquidity and Capital Resources — Operating Partnership” should be read in conjunction with one another to understand our liquidity and capital resources on a consolidated basis. The term “Parent” refers to Digital Realty Trust, Inc. on an unconsolidated basis, excluding our Operating Partnership. The term “Operating Partnership” or “OP” refers to Digital Realty Trust, L.P. on a consolidated basis.</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Analysis of Liquidity and Capital Resources — Parent</w:t>
      </w:r>
    </w:p>
    <w:p>
      <w:pPr>
        <w:spacing w:after="0" w:line="190" w:lineRule="exact"/>
        <w:rPr>
          <w:sz w:val="20"/>
          <w:szCs w:val="20"/>
          <w:color w:val="auto"/>
        </w:rPr>
      </w:pPr>
    </w:p>
    <w:p>
      <w:pPr>
        <w:ind w:left="320" w:right="440"/>
        <w:spacing w:after="0" w:line="239" w:lineRule="auto"/>
        <w:rPr>
          <w:sz w:val="20"/>
          <w:szCs w:val="20"/>
          <w:color w:val="auto"/>
        </w:rPr>
      </w:pPr>
      <w:r>
        <w:rPr>
          <w:rFonts w:ascii="Times New Roman" w:cs="Times New Roman" w:eastAsia="Times New Roman" w:hAnsi="Times New Roman"/>
          <w:sz w:val="16"/>
          <w:szCs w:val="16"/>
          <w:color w:val="auto"/>
        </w:rPr>
        <w:t>Our Parent does not conduct business itself, other than acting as the sole general partner of the Operating Partnership, issuing public equity from time to time, incurring certain expenses in operating as a public company (which are fully reimbursed by the Operating Partnership) and guaranteeing certain unsecured debt of the Operating Partnership and certain of its subsidiaries and affiliates. If our Operating Partnership or such subsidiaries fail to fulfill their debt requirements, which trigger Parent guarantee obligations, then our Parent will be required to fulfill its cash payment commitments under such guarantees. Our Parent’s only material asset is its investment in our Operating Partnership.</w:t>
      </w:r>
    </w:p>
    <w:p>
      <w:pPr>
        <w:spacing w:after="0" w:line="173" w:lineRule="exact"/>
        <w:rPr>
          <w:sz w:val="20"/>
          <w:szCs w:val="20"/>
          <w:color w:val="auto"/>
        </w:rPr>
      </w:pPr>
    </w:p>
    <w:p>
      <w:pPr>
        <w:ind w:left="320" w:right="560"/>
        <w:spacing w:after="0" w:line="259" w:lineRule="auto"/>
        <w:rPr>
          <w:sz w:val="20"/>
          <w:szCs w:val="20"/>
          <w:color w:val="auto"/>
        </w:rPr>
      </w:pPr>
      <w:r>
        <w:rPr>
          <w:rFonts w:ascii="Times New Roman" w:cs="Times New Roman" w:eastAsia="Times New Roman" w:hAnsi="Times New Roman"/>
          <w:sz w:val="16"/>
          <w:szCs w:val="16"/>
          <w:color w:val="auto"/>
        </w:rPr>
        <w:t>Our Parent’s principal funding requirement is the payment of dividends on its common and preferred stock. Our Parent’s principal source of funding is the distributions it receives from our Operating Partnership.</w:t>
      </w:r>
    </w:p>
    <w:p>
      <w:pPr>
        <w:spacing w:after="0" w:line="155" w:lineRule="exact"/>
        <w:rPr>
          <w:sz w:val="20"/>
          <w:szCs w:val="20"/>
          <w:color w:val="auto"/>
        </w:rPr>
      </w:pPr>
    </w:p>
    <w:p>
      <w:pPr>
        <w:ind w:left="320" w:right="440"/>
        <w:spacing w:after="0" w:line="243" w:lineRule="auto"/>
        <w:rPr>
          <w:sz w:val="20"/>
          <w:szCs w:val="20"/>
          <w:color w:val="auto"/>
        </w:rPr>
      </w:pPr>
      <w:r>
        <w:rPr>
          <w:rFonts w:ascii="Times New Roman" w:cs="Times New Roman" w:eastAsia="Times New Roman" w:hAnsi="Times New Roman"/>
          <w:sz w:val="16"/>
          <w:szCs w:val="16"/>
          <w:color w:val="auto"/>
        </w:rPr>
        <w:t>As the sole general partner of our Operating Partnership, our Parent has the full, exclusive and complete responsibility for our Operating Partnership’s day-to-day management and control. Our Parent causes our Operating Partnership to distribute such portion of its available cash as our Parent may in its discretion determine, in the manner provided in our Operating Partnership’s partnership agreement.</w:t>
      </w:r>
    </w:p>
    <w:p>
      <w:pPr>
        <w:spacing w:after="0" w:line="167" w:lineRule="exact"/>
        <w:rPr>
          <w:sz w:val="20"/>
          <w:szCs w:val="20"/>
          <w:color w:val="auto"/>
        </w:rPr>
      </w:pPr>
    </w:p>
    <w:p>
      <w:pPr>
        <w:ind w:left="320" w:right="320"/>
        <w:spacing w:after="0" w:line="241" w:lineRule="auto"/>
        <w:rPr>
          <w:sz w:val="20"/>
          <w:szCs w:val="20"/>
          <w:color w:val="auto"/>
        </w:rPr>
      </w:pPr>
      <w:r>
        <w:rPr>
          <w:rFonts w:ascii="Times New Roman" w:cs="Times New Roman" w:eastAsia="Times New Roman" w:hAnsi="Times New Roman"/>
          <w:sz w:val="16"/>
          <w:szCs w:val="16"/>
          <w:color w:val="auto"/>
        </w:rPr>
        <w:t>As circumstances warrant, our Parent may issue equity from time to time on an opportunistic basis, dependent upon market conditions and available pricing. Any proceeds from such equity issuances would generally be contributed to our Operating Partnership in exchange for additional equity interests in our Operating Partnership. Our Operating Partnership may use the proceeds to acquire additional properties, to fund development opportunities and for general working capital purposes, including potentially for the repurchase, redemption or retirement of outstanding debt or equity securities.</w:t>
      </w:r>
    </w:p>
    <w:p>
      <w:pPr>
        <w:spacing w:after="0" w:line="159" w:lineRule="exact"/>
        <w:rPr>
          <w:sz w:val="20"/>
          <w:szCs w:val="20"/>
          <w:color w:val="auto"/>
        </w:rPr>
      </w:pPr>
    </w:p>
    <w:p>
      <w:pPr>
        <w:ind w:left="320" w:right="380"/>
        <w:spacing w:after="0" w:line="226" w:lineRule="auto"/>
        <w:rPr>
          <w:sz w:val="20"/>
          <w:szCs w:val="20"/>
          <w:color w:val="auto"/>
        </w:rPr>
      </w:pPr>
      <w:r>
        <w:rPr>
          <w:rFonts w:ascii="Times New Roman" w:cs="Times New Roman" w:eastAsia="Times New Roman" w:hAnsi="Times New Roman"/>
          <w:sz w:val="16"/>
          <w:szCs w:val="16"/>
          <w:color w:val="auto"/>
        </w:rPr>
        <w:t>Digital Realty Trust, Inc. and Digital Realty Trust, L.P. were parties to an ATM Equity Offering</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6"/>
          <w:szCs w:val="16"/>
          <w:color w:val="auto"/>
        </w:rPr>
        <w:t xml:space="preserve"> Sales Agreement dated August 4, 2023 (the “2023 Sales Agreement”). Pursuant to the 2023 Sales Agreement, Digital Realty Trust, Inc. could issue and sell common stock having an aggregate offering price of up to $1.5 billion through various named agents from time to time. From January 1, 2024 through February 23, 2024, Digital Realty Trust, Inc. generated net proceeds of approximately $99 million from the issuance of approximately 0.6 million common shares under the 2023 Sales Agreement at an average price of $133.43 per share after payment of approximately $0.6 million of commissions to the agents. The proceeds from the issuances under the 2023 Sales Agreement for the year ended December 31, 2024, were contributed to our Operating Partnership in exchange for the issuance of approximately 0.6 million common units to our Parent Company.</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72" w:name="page73"/>
    <w:bookmarkEnd w:id="72"/>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6" w:lineRule="exact"/>
        <w:rPr>
          <w:sz w:val="20"/>
          <w:szCs w:val="20"/>
          <w:color w:val="auto"/>
        </w:rPr>
      </w:pPr>
    </w:p>
    <w:p>
      <w:pPr>
        <w:ind w:left="320" w:right="380"/>
        <w:spacing w:after="0" w:line="238" w:lineRule="auto"/>
        <w:rPr>
          <w:sz w:val="20"/>
          <w:szCs w:val="20"/>
          <w:color w:val="auto"/>
        </w:rPr>
      </w:pPr>
      <w:r>
        <w:rPr>
          <w:rFonts w:ascii="Times New Roman" w:cs="Times New Roman" w:eastAsia="Times New Roman" w:hAnsi="Times New Roman"/>
          <w:sz w:val="16"/>
          <w:szCs w:val="16"/>
          <w:color w:val="auto"/>
        </w:rPr>
        <w:t>The 2023 Sales Agreement was amended on February 23, 2024 (the “Sales Agreement Amendment”). At the time of the amendment, $258.3 million remained unsold under the 2023 Sales Agreement. Following the Sales Agreement Amendment, Digital Realty Trust, Inc. could issue and sell common stock having an aggregate offering price of up to $2.0 billion through various named agents from time to time pursuant to the 2023 Sales Agreement. During the year ended December 31, 2024, Digital Realty Trust, Inc. generated net proceeds of approximately $1.9 billion from the issuance of approximately 11.4 million common shares under the 2023 Sales Agreement at an average price, net of commissions, of $166.85 per share. Commissions to the agents amounted to approximately $17.4 million. The proceeds from the issuances under the 2023 Sales Agreement for the year ended December 31, 2024, were contributed to our Operating Partnership in exchange for the issuance of approximately 11.4 million common units to our Parent Company.</w:t>
      </w:r>
    </w:p>
    <w:p>
      <w:pPr>
        <w:spacing w:after="0" w:line="161" w:lineRule="exact"/>
        <w:rPr>
          <w:sz w:val="20"/>
          <w:szCs w:val="20"/>
          <w:color w:val="auto"/>
        </w:rPr>
      </w:pPr>
    </w:p>
    <w:p>
      <w:pPr>
        <w:ind w:left="320" w:right="520"/>
        <w:spacing w:after="0" w:line="234" w:lineRule="auto"/>
        <w:rPr>
          <w:sz w:val="20"/>
          <w:szCs w:val="20"/>
          <w:color w:val="auto"/>
        </w:rPr>
      </w:pPr>
      <w:r>
        <w:rPr>
          <w:rFonts w:ascii="Times New Roman" w:cs="Times New Roman" w:eastAsia="Times New Roman" w:hAnsi="Times New Roman"/>
          <w:sz w:val="15"/>
          <w:szCs w:val="15"/>
          <w:color w:val="auto"/>
        </w:rPr>
        <w:t>On December 23, 2024, our Parent and our Operating Partnership entered into a new an ATM Equity Offering</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5"/>
          <w:szCs w:val="15"/>
          <w:color w:val="auto"/>
        </w:rPr>
        <w:t xml:space="preserve"> Sales Agreement (the “2024 Sales Agreement”), pursuant to which, Digital Realty Trust, Inc. can issue and sell common stock having an aggregate offering price of up to $3.0 billion through various named agents from time to time. The 2023 Sales Agreement was terminated in connection with entry into the 2024 Sales Agreement, and at the time of such termination, $76.5 million remained unsold under the 2024 Sales Agreement. As of December 31, 2024, $3.0 billion remains available for future sales under the 2024 Sales Agreement.</w:t>
      </w:r>
    </w:p>
    <w:p>
      <w:pPr>
        <w:spacing w:after="0" w:line="172" w:lineRule="exact"/>
        <w:rPr>
          <w:sz w:val="20"/>
          <w:szCs w:val="20"/>
          <w:color w:val="auto"/>
        </w:rPr>
      </w:pPr>
    </w:p>
    <w:p>
      <w:pPr>
        <w:ind w:left="320" w:right="340"/>
        <w:spacing w:after="0" w:line="241" w:lineRule="auto"/>
        <w:rPr>
          <w:sz w:val="20"/>
          <w:szCs w:val="20"/>
          <w:color w:val="auto"/>
        </w:rPr>
      </w:pPr>
      <w:r>
        <w:rPr>
          <w:rFonts w:ascii="Times New Roman" w:cs="Times New Roman" w:eastAsia="Times New Roman" w:hAnsi="Times New Roman"/>
          <w:sz w:val="16"/>
          <w:szCs w:val="16"/>
          <w:color w:val="auto"/>
        </w:rPr>
        <w:t>The sales of common stock made under the 2024 Sales Agreement will be made in “at the market” offerings as defined in Rule 415 of the Securities Act. Our Parent has used and intends to use the net proceeds from the program to temporarily repay borrowings under our Operating Partnership’s Global Revolving Credit Facilities, to acquire additional properties or businesses, to fund development opportunities and for working capital and other general corporate purposes, including potentially for the repayment of other debt or the repurchase, redemption or retirement of outstanding debt securities.</w:t>
      </w:r>
    </w:p>
    <w:p>
      <w:pPr>
        <w:spacing w:after="0" w:line="169" w:lineRule="exact"/>
        <w:rPr>
          <w:sz w:val="20"/>
          <w:szCs w:val="20"/>
          <w:color w:val="auto"/>
        </w:rPr>
      </w:pPr>
    </w:p>
    <w:p>
      <w:pPr>
        <w:ind w:left="320" w:right="400"/>
        <w:spacing w:after="0" w:line="239" w:lineRule="auto"/>
        <w:rPr>
          <w:sz w:val="20"/>
          <w:szCs w:val="20"/>
          <w:color w:val="auto"/>
        </w:rPr>
      </w:pPr>
      <w:r>
        <w:rPr>
          <w:rFonts w:ascii="Times New Roman" w:cs="Times New Roman" w:eastAsia="Times New Roman" w:hAnsi="Times New Roman"/>
          <w:sz w:val="16"/>
          <w:szCs w:val="16"/>
          <w:color w:val="auto"/>
        </w:rPr>
        <w:t>For the year ended December 31, 2023, Digital Realty Trust, Inc. generated net proceeds of approximately $1.1 billion from the issuance of approximately 8.7 million common shares under the 2023 Sales Agreement at an average price of $133.21 per share after payment of approximately $11.4 million of commissions to the agents. As of December 31, 2023, approximately $343.4 million remained available for future sales under the 2023 Sales Agreement. The proceeds from the issuances under the 2023 Sales Agreement for the year ended December 31, 2023 were contributed to our Operating Partnership in exchange for the issuance of approximately 8.7 million common units to our Parent Company.</w:t>
      </w:r>
    </w:p>
    <w:p>
      <w:pPr>
        <w:spacing w:after="0" w:line="173" w:lineRule="exact"/>
        <w:rPr>
          <w:sz w:val="20"/>
          <w:szCs w:val="20"/>
          <w:color w:val="auto"/>
        </w:rPr>
      </w:pPr>
    </w:p>
    <w:p>
      <w:pPr>
        <w:ind w:left="320" w:right="320"/>
        <w:spacing w:after="0" w:line="284" w:lineRule="auto"/>
        <w:rPr>
          <w:sz w:val="20"/>
          <w:szCs w:val="20"/>
          <w:color w:val="auto"/>
        </w:rPr>
      </w:pPr>
      <w:r>
        <w:rPr>
          <w:rFonts w:ascii="Times New Roman" w:cs="Times New Roman" w:eastAsia="Times New Roman" w:hAnsi="Times New Roman"/>
          <w:sz w:val="14"/>
          <w:szCs w:val="14"/>
          <w:color w:val="auto"/>
        </w:rPr>
        <w:t>On May 7, 2024, our Parent and our Operating Partnership entered into an underwriting agreement with BofA Securities, Inc., Citigroup Global Markets Inc. and J.P. Morgan Securities LLC, as representatives of the several underwriters relating to the sale of up to approximately 12.1 million shares of common stock (including approximately 1.6 million additional shares that the underwriters had the option to purchase, and which option was exercised in full on May 8, 2024), at a purchase price to the underwriters of $136.66 per share. The offering closed on May 10, 2024, and we received net proceeds of approximately $1.7 billion.</w:t>
      </w:r>
    </w:p>
    <w:p>
      <w:pPr>
        <w:spacing w:after="0" w:line="128" w:lineRule="exact"/>
        <w:rPr>
          <w:sz w:val="20"/>
          <w:szCs w:val="20"/>
          <w:color w:val="auto"/>
        </w:rPr>
      </w:pPr>
    </w:p>
    <w:p>
      <w:pPr>
        <w:ind w:left="320" w:right="400"/>
        <w:spacing w:after="0" w:line="280" w:lineRule="auto"/>
        <w:rPr>
          <w:sz w:val="20"/>
          <w:szCs w:val="20"/>
          <w:color w:val="auto"/>
        </w:rPr>
      </w:pPr>
      <w:r>
        <w:rPr>
          <w:rFonts w:ascii="Times New Roman" w:cs="Times New Roman" w:eastAsia="Times New Roman" w:hAnsi="Times New Roman"/>
          <w:sz w:val="14"/>
          <w:szCs w:val="14"/>
          <w:color w:val="auto"/>
        </w:rPr>
        <w:t>We believe our Operating Partnership’s sources of working capital, specifically its cash flow from operations, and funds available under its Global Revolving Credit Facility are adequate for it to make its distribution payments to our Parent and, in turn, for our Parent to make its dividend payments to its stockholders. However, we cannot assure you that our Operating Partnership’s sources of capital will continue to be available at all or in amounts sufficient to meet its needs, including making distribution payments to our Parent. The lack of availability of capital could adversely affect our Operating Partnership’s ability to pay its distributions to our Parent, which would in turn, adversely affect our Parent’s ability to pay cash dividends to its stockholders.</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Future Uses of Cash — Parent</w:t>
      </w:r>
    </w:p>
    <w:p>
      <w:pPr>
        <w:spacing w:after="0" w:line="190" w:lineRule="exact"/>
        <w:rPr>
          <w:sz w:val="20"/>
          <w:szCs w:val="20"/>
          <w:color w:val="auto"/>
        </w:rPr>
      </w:pPr>
    </w:p>
    <w:p>
      <w:pPr>
        <w:ind w:left="320" w:right="360"/>
        <w:spacing w:after="0" w:line="243" w:lineRule="auto"/>
        <w:rPr>
          <w:sz w:val="20"/>
          <w:szCs w:val="20"/>
          <w:color w:val="auto"/>
        </w:rPr>
      </w:pPr>
      <w:r>
        <w:rPr>
          <w:rFonts w:ascii="Times New Roman" w:cs="Times New Roman" w:eastAsia="Times New Roman" w:hAnsi="Times New Roman"/>
          <w:sz w:val="16"/>
          <w:szCs w:val="16"/>
          <w:color w:val="auto"/>
        </w:rPr>
        <w:t>Our Parent may from time to time seek to retire, redeem or repurchase its equity or the debt securities of our Operating Partnership or its subsidiaries through cash purchases and/or exchanges for equity securities in open market purchases, privately negotiated transactions or otherwise. Such repurchases, redemptions or exchanges, if any, will depend on prevailing market conditions, our liquidity requirements, contractual restrictions or other factors. The amounts involved may be material.</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73" w:name="page74"/>
    <w:bookmarkEnd w:id="73"/>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Dividends and Distributions — Parent</w:t>
      </w:r>
    </w:p>
    <w:p>
      <w:pPr>
        <w:spacing w:after="0" w:line="190" w:lineRule="exact"/>
        <w:rPr>
          <w:sz w:val="20"/>
          <w:szCs w:val="20"/>
          <w:color w:val="auto"/>
        </w:rPr>
      </w:pPr>
    </w:p>
    <w:p>
      <w:pPr>
        <w:ind w:left="320" w:right="380"/>
        <w:spacing w:after="0" w:line="237" w:lineRule="auto"/>
        <w:rPr>
          <w:sz w:val="20"/>
          <w:szCs w:val="20"/>
          <w:color w:val="auto"/>
        </w:rPr>
      </w:pPr>
      <w:r>
        <w:rPr>
          <w:rFonts w:ascii="Times New Roman" w:cs="Times New Roman" w:eastAsia="Times New Roman" w:hAnsi="Times New Roman"/>
          <w:sz w:val="16"/>
          <w:szCs w:val="16"/>
          <w:color w:val="auto"/>
        </w:rPr>
        <w:t>Our Parent is required to distribute 90% of its taxable income (excluding capital gains) on an annual basis to continue to qualify as a REIT for U.S. federal income tax purposes. Our Parent intends to make, but is not contractually bound to make, regular quarterly distributions to its common stockholders from cash flow from our Operating Partnership’s operating activities. While historically our Parent has satisfied this distribution requirement by making cash distributions to its stockholders, it may choose to satisfy this requirement by making distributions of cash or other property. All such distributions are at the discretion of our Parent’s Board of Directors. Our Parent considers market factors and our Operating Partnership’s performance in addition to REIT requirements in determining distribution levels. Our Parent has distributed at least 100% of its taxable income annually since inception to minimize corporate level federal and state income taxes. Amounts accumulated for distribution to stockholders are invested primarily in interest-bearing accounts and short-term interest-bearing securities, which are consistent with our intention to maintain our Parent’s status as a REIT.</w:t>
      </w:r>
    </w:p>
    <w:p>
      <w:pPr>
        <w:spacing w:after="0" w:line="176" w:lineRule="exact"/>
        <w:rPr>
          <w:sz w:val="20"/>
          <w:szCs w:val="20"/>
          <w:color w:val="auto"/>
        </w:rPr>
      </w:pPr>
    </w:p>
    <w:p>
      <w:pPr>
        <w:jc w:val="both"/>
        <w:ind w:left="320" w:right="360"/>
        <w:spacing w:after="0" w:line="239" w:lineRule="auto"/>
        <w:rPr>
          <w:sz w:val="20"/>
          <w:szCs w:val="20"/>
          <w:color w:val="auto"/>
        </w:rPr>
      </w:pPr>
      <w:r>
        <w:rPr>
          <w:rFonts w:ascii="Times New Roman" w:cs="Times New Roman" w:eastAsia="Times New Roman" w:hAnsi="Times New Roman"/>
          <w:sz w:val="16"/>
          <w:szCs w:val="16"/>
          <w:color w:val="auto"/>
        </w:rPr>
        <w:t>As a result of this distribution requirement, our Operating Partnership cannot rely on retained earnings to fund its ongoing operations to the same extent that other companies whose parent companies are not REITs can. Our Parent may need to continue to raise capital in the debt and equity markets to fund our Operating Partnership’s working capital needs, as well as potential developments at new or existing properties, acquisitions or investments in existing or newly created joint ventures. In addition, our Parent may be required to use borrowings under the Operating Partnership’s Global Revolving Credit Facility (which is guaranteed by our Parent), if necessary, to meet REIT distribution requirements and maintain our Parent’s REIT status.</w:t>
      </w:r>
    </w:p>
    <w:p>
      <w:pPr>
        <w:spacing w:after="0" w:line="173" w:lineRule="exact"/>
        <w:rPr>
          <w:sz w:val="20"/>
          <w:szCs w:val="20"/>
          <w:color w:val="auto"/>
        </w:rPr>
      </w:pPr>
    </w:p>
    <w:p>
      <w:pPr>
        <w:ind w:left="320" w:right="400"/>
        <w:spacing w:after="0" w:line="239" w:lineRule="auto"/>
        <w:rPr>
          <w:sz w:val="20"/>
          <w:szCs w:val="20"/>
          <w:color w:val="auto"/>
        </w:rPr>
      </w:pPr>
      <w:r>
        <w:rPr>
          <w:rFonts w:ascii="Times New Roman" w:cs="Times New Roman" w:eastAsia="Times New Roman" w:hAnsi="Times New Roman"/>
          <w:sz w:val="16"/>
          <w:szCs w:val="16"/>
          <w:color w:val="auto"/>
        </w:rPr>
        <w:t>Distributions out of our Parent’s current or accumulated earnings and profits are generally classified as ordinary income whereas distributions in excess of our Parent’s current and accumulated earnings and profits, to the extent of a stockholder’s U.S. federal income tax basis in our Parent’s stock, are generally classified as a return of capital. Distributions in excess of a stockholder’s U.S. federal income tax basis in our Parent’s stock are generally characterized as capital gain. Cash provided by operating activities has been generally sufficient to fund distributions on an annual basis. However, we may also need to utilize borrowings under the Global Revolving Credit Facility to fund distributions.</w:t>
      </w:r>
    </w:p>
    <w:p>
      <w:pPr>
        <w:spacing w:after="0" w:line="173" w:lineRule="exact"/>
        <w:rPr>
          <w:sz w:val="20"/>
          <w:szCs w:val="20"/>
          <w:color w:val="auto"/>
        </w:rPr>
      </w:pPr>
    </w:p>
    <w:p>
      <w:pPr>
        <w:ind w:left="320" w:right="380"/>
        <w:spacing w:after="0" w:line="241" w:lineRule="auto"/>
        <w:rPr>
          <w:sz w:val="20"/>
          <w:szCs w:val="20"/>
          <w:color w:val="auto"/>
        </w:rPr>
      </w:pPr>
      <w:r>
        <w:rPr>
          <w:rFonts w:ascii="Times New Roman" w:cs="Times New Roman" w:eastAsia="Times New Roman" w:hAnsi="Times New Roman"/>
          <w:sz w:val="16"/>
          <w:szCs w:val="16"/>
          <w:color w:val="auto"/>
        </w:rPr>
        <w:t>The expected tax treatment of distributions on our Parent’s common stock and preferred stock paid in 2024 is as follows: approximately 77% ordinary income and 23% as capital gain distribution. The tax treatment of distributions on our Parent’s common stock and preferred stock paid in 2023 was as follows: approximately 40% ordinary income and 60% as capital gain distribution. The tax treatment of distributions on our Parent’s common stock paid in 2022 was as follows: approximately 59% ordinary income, 16% as capital gain distribution, and 25% as nondividend distribution.</w:t>
      </w:r>
    </w:p>
    <w:p>
      <w:pPr>
        <w:spacing w:after="0" w:line="169" w:lineRule="exact"/>
        <w:rPr>
          <w:sz w:val="20"/>
          <w:szCs w:val="20"/>
          <w:color w:val="auto"/>
        </w:rPr>
      </w:pPr>
    </w:p>
    <w:p>
      <w:pPr>
        <w:jc w:val="both"/>
        <w:ind w:left="320" w:right="720"/>
        <w:spacing w:after="0" w:line="247" w:lineRule="auto"/>
        <w:rPr>
          <w:sz w:val="20"/>
          <w:szCs w:val="20"/>
          <w:color w:val="auto"/>
        </w:rPr>
      </w:pPr>
      <w:r>
        <w:rPr>
          <w:rFonts w:ascii="Times New Roman" w:cs="Times New Roman" w:eastAsia="Times New Roman" w:hAnsi="Times New Roman"/>
          <w:sz w:val="16"/>
          <w:szCs w:val="16"/>
          <w:color w:val="auto"/>
        </w:rPr>
        <w:t>For additional information regarding dividends declared and paid by our Parent on its common and preferred stock for the years ended December 31, 2024, 2023 and 2022, see Item 8, Note 14. “Equity and Capital” in the Notes to the Consolidated Financial Statements contained herein.</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74" w:name="page75"/>
    <w:bookmarkEnd w:id="74"/>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Analysis of Liquidity and Capital Resources — Operating Partnership</w:t>
      </w:r>
    </w:p>
    <w:p>
      <w:pPr>
        <w:spacing w:after="0" w:line="190" w:lineRule="exact"/>
        <w:rPr>
          <w:sz w:val="20"/>
          <w:szCs w:val="20"/>
          <w:color w:val="auto"/>
        </w:rPr>
      </w:pPr>
    </w:p>
    <w:p>
      <w:pPr>
        <w:ind w:left="320" w:right="320"/>
        <w:spacing w:after="0" w:line="238" w:lineRule="auto"/>
        <w:rPr>
          <w:sz w:val="20"/>
          <w:szCs w:val="20"/>
          <w:color w:val="auto"/>
        </w:rPr>
      </w:pPr>
      <w:r>
        <w:rPr>
          <w:rFonts w:ascii="Times New Roman" w:cs="Times New Roman" w:eastAsia="Times New Roman" w:hAnsi="Times New Roman"/>
          <w:sz w:val="16"/>
          <w:szCs w:val="16"/>
          <w:color w:val="auto"/>
        </w:rPr>
        <w:t>As of December 31, 2024, we had $3,870.9 million of cash and cash equivalents, excluding $ 5.8 million of restricted cash. Restricted cash primarily consists of contractual capital expenditures plus other deposits and is included in Other assets on our Consolidated Balance Sheets. As circumstances warrant, our Operating Partnership may dispose of stabilized assets or enter into joint venture arrangements with institutional investors or strategic partners, on an opportunistic basis dependent upon market conditions. Our Operating Partnership may use the proceeds from such dispositions to acquire additional properties, to fund development opportunities and for general working capital purposes, including the repayment of indebtedness. Our liquidity requirements primarily consist of:</w:t>
      </w:r>
    </w:p>
    <w:p>
      <w:pPr>
        <w:ind w:left="1200" w:hanging="282"/>
        <w:spacing w:after="0" w:line="236" w:lineRule="auto"/>
        <w:tabs>
          <w:tab w:leader="none" w:pos="12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expenses;</w:t>
      </w:r>
    </w:p>
    <w:p>
      <w:pPr>
        <w:ind w:left="1200" w:hanging="282"/>
        <w:spacing w:after="0" w:line="234" w:lineRule="auto"/>
        <w:tabs>
          <w:tab w:leader="none" w:pos="12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development costs and other expenditures associated with our properties, including joint ventures;</w:t>
      </w:r>
    </w:p>
    <w:p>
      <w:pPr>
        <w:ind w:left="1200" w:hanging="282"/>
        <w:spacing w:after="0" w:line="234" w:lineRule="auto"/>
        <w:tabs>
          <w:tab w:leader="none" w:pos="12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distributions to our Parent to enable it to make dividend payments;</w:t>
      </w:r>
    </w:p>
    <w:p>
      <w:pPr>
        <w:ind w:left="1200" w:hanging="282"/>
        <w:spacing w:after="0" w:line="234" w:lineRule="auto"/>
        <w:tabs>
          <w:tab w:leader="none" w:pos="12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distributions to unitholders of common limited partnership interests in Digital Realty Trust, L.P.,</w:t>
      </w:r>
    </w:p>
    <w:p>
      <w:pPr>
        <w:ind w:left="1200" w:hanging="282"/>
        <w:spacing w:after="0" w:line="234" w:lineRule="auto"/>
        <w:tabs>
          <w:tab w:leader="none" w:pos="12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debt service; and,</w:t>
      </w:r>
    </w:p>
    <w:p>
      <w:pPr>
        <w:ind w:left="1200" w:hanging="282"/>
        <w:spacing w:after="0"/>
        <w:tabs>
          <w:tab w:leader="none" w:pos="12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potentially, acquisitions.</w:t>
      </w:r>
    </w:p>
    <w:p>
      <w:pPr>
        <w:spacing w:after="0" w:line="158" w:lineRule="exact"/>
        <w:rPr>
          <w:sz w:val="20"/>
          <w:szCs w:val="20"/>
          <w:color w:val="auto"/>
        </w:rPr>
      </w:pPr>
    </w:p>
    <w:p>
      <w:pPr>
        <w:ind w:left="320" w:right="320"/>
        <w:spacing w:after="0" w:line="239" w:lineRule="auto"/>
        <w:rPr>
          <w:sz w:val="20"/>
          <w:szCs w:val="20"/>
          <w:color w:val="auto"/>
        </w:rPr>
      </w:pPr>
      <w:r>
        <w:rPr>
          <w:rFonts w:ascii="Times New Roman" w:cs="Times New Roman" w:eastAsia="Times New Roman" w:hAnsi="Times New Roman"/>
          <w:sz w:val="16"/>
          <w:szCs w:val="16"/>
          <w:color w:val="auto"/>
        </w:rPr>
        <w:t>On September 24, 2024, we refinanced our Global Revolving Credit Facility and Yen Revolving Credit Facility. The Global Revolving Credit Facilities provide for borrowings up to $4.4 billion (including approximately $0.3 billion available to be drawn on the Yen Revolving Credit Facility) based on currency commitments and foreign exchange rates as of December 31, 2024. The Global Revolving Credit Facility provides for borrowings in a variety of currencies and can be increased by an additional $1.8 billion, subject to receipt of lender commitments and other conditions precedent. Both facilities mature on January 24, 2029, with two six-month extension options available.</w:t>
      </w:r>
    </w:p>
    <w:p>
      <w:pPr>
        <w:spacing w:after="0" w:line="173" w:lineRule="exact"/>
        <w:rPr>
          <w:sz w:val="20"/>
          <w:szCs w:val="20"/>
          <w:color w:val="auto"/>
        </w:rPr>
      </w:pPr>
    </w:p>
    <w:p>
      <w:pPr>
        <w:ind w:left="320" w:right="1120"/>
        <w:spacing w:after="0" w:line="331" w:lineRule="auto"/>
        <w:rPr>
          <w:sz w:val="20"/>
          <w:szCs w:val="20"/>
          <w:color w:val="auto"/>
        </w:rPr>
      </w:pPr>
      <w:r>
        <w:rPr>
          <w:rFonts w:ascii="Times New Roman" w:cs="Times New Roman" w:eastAsia="Times New Roman" w:hAnsi="Times New Roman"/>
          <w:sz w:val="14"/>
          <w:szCs w:val="14"/>
          <w:color w:val="auto"/>
        </w:rPr>
        <w:t>These facilities also feature a sustainability -linked pricing component, with pricing subject to adjustment based on annual performance targets, further demonstrating our continued leadership and commitment to sustainable business practices.</w:t>
      </w:r>
    </w:p>
    <w:p>
      <w:pPr>
        <w:spacing w:after="0" w:line="108" w:lineRule="exact"/>
        <w:rPr>
          <w:sz w:val="20"/>
          <w:szCs w:val="20"/>
          <w:color w:val="auto"/>
        </w:rPr>
      </w:pPr>
    </w:p>
    <w:p>
      <w:pPr>
        <w:ind w:left="320" w:right="380"/>
        <w:spacing w:after="0" w:line="239" w:lineRule="auto"/>
        <w:rPr>
          <w:sz w:val="20"/>
          <w:szCs w:val="20"/>
          <w:color w:val="auto"/>
        </w:rPr>
      </w:pPr>
      <w:r>
        <w:rPr>
          <w:rFonts w:ascii="Times New Roman" w:cs="Times New Roman" w:eastAsia="Times New Roman" w:hAnsi="Times New Roman"/>
          <w:sz w:val="16"/>
          <w:szCs w:val="16"/>
          <w:color w:val="auto"/>
        </w:rPr>
        <w:t>The Global Revolving Credit Facility provides for borrowings in a variety of currencies and includes the ability to add additional currencies in the future. We have used and intend to use available borrowings under the Global Revolving Credit Facilities to acquire additional properties, fund development opportunities and for general working capital and other corporate purposes, including potentially for the repurchase, redemption or retirement of outstanding debt or equity securities. For additional information regarding our Global Revolving Credit Facilities, see Item 8, Note 11. “Debt of the Operating Partnership” in the Notes to the Consolidated Financial Statements.</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Future Uses of Cash</w:t>
      </w:r>
    </w:p>
    <w:p>
      <w:pPr>
        <w:spacing w:after="0" w:line="190" w:lineRule="exact"/>
        <w:rPr>
          <w:sz w:val="20"/>
          <w:szCs w:val="20"/>
          <w:color w:val="auto"/>
        </w:rPr>
      </w:pPr>
    </w:p>
    <w:p>
      <w:pPr>
        <w:ind w:left="320" w:right="360"/>
        <w:spacing w:after="0" w:line="243" w:lineRule="auto"/>
        <w:rPr>
          <w:sz w:val="20"/>
          <w:szCs w:val="20"/>
          <w:color w:val="auto"/>
        </w:rPr>
      </w:pPr>
      <w:r>
        <w:rPr>
          <w:rFonts w:ascii="Times New Roman" w:cs="Times New Roman" w:eastAsia="Times New Roman" w:hAnsi="Times New Roman"/>
          <w:sz w:val="16"/>
          <w:szCs w:val="16"/>
          <w:color w:val="auto"/>
        </w:rPr>
        <w:t>Our properties require periodic investments of capital for customer-related capital expenditures and for general capital improvements. Depending upon customer demand, we expect to incur significant improvement costs to build out and develop additional capacity. At December 31, 2024, we had open commitments, related to construction contracts of approximately $2.0 billion, including amounts reimbursable of approximately $102.5 million.</w:t>
      </w:r>
    </w:p>
    <w:p>
      <w:pPr>
        <w:spacing w:after="0" w:line="167" w:lineRule="exact"/>
        <w:rPr>
          <w:sz w:val="20"/>
          <w:szCs w:val="20"/>
          <w:color w:val="auto"/>
        </w:rPr>
      </w:pPr>
    </w:p>
    <w:p>
      <w:pPr>
        <w:ind w:left="320" w:right="340"/>
        <w:spacing w:after="0" w:line="243" w:lineRule="auto"/>
        <w:rPr>
          <w:sz w:val="20"/>
          <w:szCs w:val="20"/>
          <w:color w:val="auto"/>
        </w:rPr>
      </w:pPr>
      <w:r>
        <w:rPr>
          <w:rFonts w:ascii="Times New Roman" w:cs="Times New Roman" w:eastAsia="Times New Roman" w:hAnsi="Times New Roman"/>
          <w:sz w:val="16"/>
          <w:szCs w:val="16"/>
          <w:color w:val="auto"/>
        </w:rPr>
        <w:t>During the year ending December 31, 2025, we expect to incur approximately $3.0 billion to $3.5 billion of capital expenditures, which includes our share of joint venture contributions and is net of partner contributions for our development programs. This amount could go up or down, potentially materially, based on numerous factors, including changes in demand, leasing results and availability of debt or equity capital.</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75" w:name="page76"/>
    <w:bookmarkEnd w:id="75"/>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Development Projects</w:t>
      </w:r>
    </w:p>
    <w:p>
      <w:pPr>
        <w:spacing w:after="0" w:line="190" w:lineRule="exact"/>
        <w:rPr>
          <w:sz w:val="20"/>
          <w:szCs w:val="20"/>
          <w:color w:val="auto"/>
        </w:rPr>
      </w:pPr>
    </w:p>
    <w:p>
      <w:pPr>
        <w:ind w:left="320" w:right="500"/>
        <w:spacing w:after="0" w:line="247" w:lineRule="auto"/>
        <w:rPr>
          <w:sz w:val="20"/>
          <w:szCs w:val="20"/>
          <w:color w:val="auto"/>
        </w:rPr>
      </w:pPr>
      <w:r>
        <w:rPr>
          <w:rFonts w:ascii="Times New Roman" w:cs="Times New Roman" w:eastAsia="Times New Roman" w:hAnsi="Times New Roman"/>
          <w:sz w:val="16"/>
          <w:szCs w:val="16"/>
          <w:color w:val="auto"/>
        </w:rPr>
        <w:t>The costs we incur to develop our properties is a key component of our liquidity requirements. The following table summarizes our cumulative investments in current development projects as well as expected future investments in these projects as of the periods presented, excluding square feet held in and costs incurred or to be incurred by unconsolidated entities.</w:t>
      </w:r>
    </w:p>
    <w:p>
      <w:pPr>
        <w:spacing w:after="0" w:line="187" w:lineRule="exact"/>
        <w:rPr>
          <w:sz w:val="20"/>
          <w:szCs w:val="20"/>
          <w:color w:val="auto"/>
        </w:rPr>
      </w:pPr>
    </w:p>
    <w:tbl>
      <w:tblPr>
        <w:tblLayout w:type="fixed"/>
        <w:tblInd w:w="320" w:type="dxa"/>
        <w:tblCellMar>
          <w:top w:w="0" w:type="dxa"/>
          <w:left w:w="0" w:type="dxa"/>
          <w:bottom w:w="0" w:type="dxa"/>
          <w:right w:w="0" w:type="dxa"/>
        </w:tblCellMar>
      </w:tblPr>
      <w:tr>
        <w:trPr>
          <w:trHeight w:val="134"/>
        </w:trPr>
        <w:tc>
          <w:tcPr>
            <w:tcW w:w="3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Construction Projects in Progress</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gridSpan w:val="7"/>
          </w:tcPr>
          <w:p>
            <w:pPr>
              <w:jc w:val="right"/>
              <w:ind w:right="446"/>
              <w:spacing w:after="0"/>
              <w:rPr>
                <w:sz w:val="20"/>
                <w:szCs w:val="20"/>
                <w:color w:val="auto"/>
              </w:rPr>
            </w:pPr>
            <w:r>
              <w:rPr>
                <w:rFonts w:ascii="Times New Roman" w:cs="Times New Roman" w:eastAsia="Times New Roman" w:hAnsi="Times New Roman"/>
                <w:sz w:val="11"/>
                <w:szCs w:val="11"/>
                <w:b w:val="1"/>
                <w:bCs w:val="1"/>
                <w:color w:val="auto"/>
              </w:rPr>
              <w:t>As of December 31, 2024</w:t>
            </w:r>
          </w:p>
        </w:tc>
        <w:tc>
          <w:tcPr>
            <w:tcW w:w="12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1"/>
                <w:szCs w:val="11"/>
                <w:b w:val="1"/>
                <w:bCs w:val="1"/>
                <w:color w:val="auto"/>
              </w:rPr>
              <w:t>As of December 31, 2023</w:t>
            </w:r>
          </w:p>
        </w:tc>
        <w:tc>
          <w:tcPr>
            <w:tcW w:w="6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ind w:right="68"/>
              <w:spacing w:after="0" w:line="122" w:lineRule="exact"/>
              <w:rPr>
                <w:sz w:val="20"/>
                <w:szCs w:val="20"/>
                <w:color w:val="auto"/>
              </w:rPr>
            </w:pPr>
            <w:r>
              <w:rPr>
                <w:rFonts w:ascii="Times New Roman" w:cs="Times New Roman" w:eastAsia="Times New Roman" w:hAnsi="Times New Roman"/>
                <w:sz w:val="11"/>
                <w:szCs w:val="11"/>
                <w:b w:val="1"/>
                <w:bCs w:val="1"/>
                <w:color w:val="auto"/>
                <w:w w:val="98"/>
              </w:rPr>
              <w:t>Current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ind w:right="89"/>
              <w:spacing w:after="0" w:line="122" w:lineRule="exact"/>
              <w:rPr>
                <w:sz w:val="20"/>
                <w:szCs w:val="20"/>
                <w:color w:val="auto"/>
              </w:rPr>
            </w:pPr>
            <w:r>
              <w:rPr>
                <w:rFonts w:ascii="Times New Roman" w:cs="Times New Roman" w:eastAsia="Times New Roman" w:hAnsi="Times New Roman"/>
                <w:sz w:val="11"/>
                <w:szCs w:val="11"/>
                <w:b w:val="1"/>
                <w:bCs w:val="1"/>
                <w:color w:val="auto"/>
              </w:rPr>
              <w:t>Future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ind w:left="120"/>
              <w:spacing w:after="0" w:line="122" w:lineRule="exact"/>
              <w:rPr>
                <w:sz w:val="20"/>
                <w:szCs w:val="20"/>
                <w:color w:val="auto"/>
              </w:rPr>
            </w:pPr>
            <w:r>
              <w:rPr>
                <w:rFonts w:ascii="Times New Roman" w:cs="Times New Roman" w:eastAsia="Times New Roman" w:hAnsi="Times New Roman"/>
                <w:sz w:val="11"/>
                <w:szCs w:val="11"/>
                <w:b w:val="1"/>
                <w:bCs w:val="1"/>
                <w:color w:val="auto"/>
              </w:rPr>
              <w:t>Current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b w:val="1"/>
                <w:bCs w:val="1"/>
                <w:color w:val="auto"/>
              </w:rPr>
              <w:t>Future</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6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0" w:type="dxa"/>
            <w:vAlign w:val="bottom"/>
          </w:tcPr>
          <w:p>
            <w:pPr>
              <w:spacing w:after="0"/>
              <w:rPr>
                <w:sz w:val="10"/>
                <w:szCs w:val="10"/>
                <w:color w:val="auto"/>
              </w:rPr>
            </w:pPr>
          </w:p>
        </w:tc>
        <w:tc>
          <w:tcPr>
            <w:tcW w:w="6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Investment</w:t>
            </w:r>
          </w:p>
        </w:tc>
        <w:tc>
          <w:tcPr>
            <w:tcW w:w="120" w:type="dxa"/>
            <w:vAlign w:val="bottom"/>
          </w:tcPr>
          <w:p>
            <w:pPr>
              <w:spacing w:after="0"/>
              <w:rPr>
                <w:sz w:val="10"/>
                <w:szCs w:val="10"/>
                <w:color w:val="auto"/>
              </w:rPr>
            </w:pPr>
          </w:p>
        </w:tc>
        <w:tc>
          <w:tcPr>
            <w:tcW w:w="5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w w:val="98"/>
              </w:rPr>
              <w:t>Investment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Total Cost</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8"/>
              </w:rPr>
              <w:t>Investment</w:t>
            </w:r>
          </w:p>
        </w:tc>
        <w:tc>
          <w:tcPr>
            <w:tcW w:w="140" w:type="dxa"/>
            <w:vAlign w:val="bottom"/>
          </w:tcPr>
          <w:p>
            <w:pPr>
              <w:jc w:val="right"/>
              <w:ind w:right="15"/>
              <w:spacing w:after="0"/>
              <w:rPr>
                <w:sz w:val="20"/>
                <w:szCs w:val="20"/>
                <w:color w:val="auto"/>
              </w:rPr>
            </w:pPr>
            <w:r>
              <w:rPr>
                <w:rFonts w:ascii="Times New Roman" w:cs="Times New Roman" w:eastAsia="Times New Roman" w:hAnsi="Times New Roman"/>
                <w:sz w:val="7"/>
                <w:szCs w:val="7"/>
                <w:b w:val="1"/>
                <w:bCs w:val="1"/>
                <w:color w:val="auto"/>
                <w:w w:val="72"/>
              </w:rPr>
              <w:t>(3)</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w w:val="95"/>
              </w:rPr>
              <w:t>Investment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7"/>
                <w:szCs w:val="7"/>
                <w:b w:val="1"/>
                <w:bCs w:val="1"/>
                <w:color w:val="auto"/>
                <w:w w:val="97"/>
              </w:rPr>
              <w:t>(2)</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97"/>
              </w:rPr>
              <w:t>Total Cost</w:t>
            </w:r>
          </w:p>
        </w:tc>
        <w:tc>
          <w:tcPr>
            <w:tcW w:w="0" w:type="dxa"/>
            <w:vAlign w:val="bottom"/>
          </w:tcPr>
          <w:p>
            <w:pPr>
              <w:spacing w:after="0"/>
              <w:rPr>
                <w:sz w:val="1"/>
                <w:szCs w:val="1"/>
                <w:color w:val="auto"/>
              </w:rPr>
            </w:pPr>
          </w:p>
        </w:tc>
      </w:tr>
      <w:tr>
        <w:trPr>
          <w:trHeight w:val="84"/>
        </w:trPr>
        <w:tc>
          <w:tcPr>
            <w:tcW w:w="3600" w:type="dxa"/>
            <w:vAlign w:val="bottom"/>
            <w:tcBorders>
              <w:bottom w:val="single" w:sz="8" w:color="CCEEFF"/>
            </w:tcBorders>
            <w:gridSpan w:val="2"/>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7"/>
                <w:szCs w:val="7"/>
                <w:b w:val="1"/>
                <w:bCs w:val="1"/>
                <w:color w:val="auto"/>
              </w:rPr>
              <w:t>(1)</w:t>
            </w:r>
          </w:p>
        </w:tc>
        <w:tc>
          <w:tcPr>
            <w:tcW w:w="120" w:type="dxa"/>
            <w:vAlign w:val="bottom"/>
            <w:tcBorders>
              <w:bottom w:val="single" w:sz="8" w:color="CCEEFF"/>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7"/>
                <w:szCs w:val="7"/>
                <w:b w:val="1"/>
                <w:bCs w:val="1"/>
                <w:color w:val="auto"/>
              </w:rPr>
              <w:t>(2)</w:t>
            </w:r>
          </w:p>
        </w:tc>
        <w:tc>
          <w:tcPr>
            <w:tcW w:w="120" w:type="dxa"/>
            <w:vAlign w:val="bottom"/>
            <w:tcBorders>
              <w:bottom w:val="single" w:sz="8" w:color="CCEEFF"/>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vMerge w:val="continue"/>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360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1"/>
                <w:szCs w:val="11"/>
                <w:color w:val="auto"/>
              </w:rPr>
              <w:t xml:space="preserve">Future Development Capacity </w:t>
            </w:r>
            <w:r>
              <w:rPr>
                <w:rFonts w:ascii="Times New Roman" w:cs="Times New Roman" w:eastAsia="Times New Roman" w:hAnsi="Times New Roman"/>
                <w:sz w:val="14"/>
                <w:szCs w:val="14"/>
                <w:color w:val="auto"/>
                <w:vertAlign w:val="superscript"/>
              </w:rPr>
              <w:t>(4)</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2,129,342</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1,550,645</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3,679,987</w:t>
            </w: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2,222,062</w:t>
            </w: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337,681</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jc w:val="right"/>
              <w:ind w:right="6"/>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2,559,743</w:t>
            </w:r>
          </w:p>
        </w:tc>
        <w:tc>
          <w:tcPr>
            <w:tcW w:w="0" w:type="dxa"/>
            <w:vAlign w:val="bottom"/>
          </w:tcPr>
          <w:p>
            <w:pPr>
              <w:spacing w:after="0"/>
              <w:rPr>
                <w:sz w:val="1"/>
                <w:szCs w:val="1"/>
                <w:color w:val="auto"/>
              </w:rPr>
            </w:pPr>
          </w:p>
        </w:tc>
      </w:tr>
      <w:tr>
        <w:trPr>
          <w:trHeight w:val="132"/>
        </w:trPr>
        <w:tc>
          <w:tcPr>
            <w:tcW w:w="36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Data Center Construction</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2,610,305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2,857,313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5,467,618</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2,116,335</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2,231,747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4,348,082</w:t>
            </w:r>
          </w:p>
        </w:tc>
        <w:tc>
          <w:tcPr>
            <w:tcW w:w="0" w:type="dxa"/>
            <w:vAlign w:val="bottom"/>
          </w:tcPr>
          <w:p>
            <w:pPr>
              <w:spacing w:after="0"/>
              <w:rPr>
                <w:sz w:val="1"/>
                <w:szCs w:val="1"/>
                <w:color w:val="auto"/>
              </w:rPr>
            </w:pPr>
          </w:p>
        </w:tc>
      </w:tr>
      <w:tr>
        <w:trPr>
          <w:trHeight w:val="132"/>
        </w:trPr>
        <w:tc>
          <w:tcPr>
            <w:tcW w:w="3600" w:type="dxa"/>
            <w:vAlign w:val="bottom"/>
            <w:gridSpan w:val="2"/>
            <w:shd w:val="clear" w:color="auto" w:fill="CCEEFF"/>
          </w:tcPr>
          <w:p>
            <w:pPr>
              <w:spacing w:after="0" w:line="132" w:lineRule="exact"/>
              <w:rPr>
                <w:sz w:val="20"/>
                <w:szCs w:val="20"/>
                <w:color w:val="auto"/>
              </w:rPr>
            </w:pPr>
            <w:r>
              <w:rPr>
                <w:rFonts w:ascii="Times New Roman" w:cs="Times New Roman" w:eastAsia="Times New Roman" w:hAnsi="Times New Roman"/>
                <w:sz w:val="11"/>
                <w:szCs w:val="11"/>
                <w:color w:val="auto"/>
              </w:rPr>
              <w:t xml:space="preserve">Equipment Pool and Other Inventory </w:t>
            </w:r>
            <w:r>
              <w:rPr>
                <w:rFonts w:ascii="Times New Roman" w:cs="Times New Roman" w:eastAsia="Times New Roman" w:hAnsi="Times New Roman"/>
                <w:sz w:val="14"/>
                <w:szCs w:val="14"/>
                <w:color w:val="auto"/>
                <w:vertAlign w:val="superscript"/>
              </w:rPr>
              <w:t>(5)</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192,429</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192,429</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203,821</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203,821</w:t>
            </w:r>
          </w:p>
        </w:tc>
        <w:tc>
          <w:tcPr>
            <w:tcW w:w="0" w:type="dxa"/>
            <w:vAlign w:val="bottom"/>
          </w:tcPr>
          <w:p>
            <w:pPr>
              <w:spacing w:after="0"/>
              <w:rPr>
                <w:sz w:val="1"/>
                <w:szCs w:val="1"/>
                <w:color w:val="auto"/>
              </w:rPr>
            </w:pPr>
          </w:p>
        </w:tc>
      </w:tr>
      <w:tr>
        <w:trPr>
          <w:trHeight w:val="132"/>
        </w:trPr>
        <w:tc>
          <w:tcPr>
            <w:tcW w:w="3600" w:type="dxa"/>
            <w:vAlign w:val="bottom"/>
            <w:tcBorders>
              <w:bottom w:val="single" w:sz="8" w:color="CCEEFF"/>
            </w:tcBorders>
            <w:gridSpan w:val="2"/>
          </w:tcPr>
          <w:p>
            <w:pPr>
              <w:spacing w:after="0" w:line="132" w:lineRule="exact"/>
              <w:rPr>
                <w:sz w:val="20"/>
                <w:szCs w:val="20"/>
                <w:color w:val="auto"/>
              </w:rPr>
            </w:pPr>
            <w:r>
              <w:rPr>
                <w:rFonts w:ascii="Times New Roman" w:cs="Times New Roman" w:eastAsia="Times New Roman" w:hAnsi="Times New Roman"/>
                <w:sz w:val="11"/>
                <w:szCs w:val="11"/>
                <w:color w:val="auto"/>
              </w:rPr>
              <w:t xml:space="preserve">Campus, Tenant Improvements and Other </w:t>
            </w:r>
            <w:r>
              <w:rPr>
                <w:rFonts w:ascii="Times New Roman" w:cs="Times New Roman" w:eastAsia="Times New Roman" w:hAnsi="Times New Roman"/>
                <w:sz w:val="14"/>
                <w:szCs w:val="14"/>
                <w:color w:val="auto"/>
                <w:vertAlign w:val="superscript"/>
              </w:rPr>
              <w:t>(6)</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271,042</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157,976</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429,018</w:t>
            </w:r>
          </w:p>
        </w:tc>
        <w:tc>
          <w:tcPr>
            <w:tcW w:w="120" w:type="dxa"/>
            <w:vAlign w:val="bottom"/>
            <w:tcBorders>
              <w:bottom w:val="single" w:sz="8" w:color="CCEE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211,187</w:t>
            </w:r>
          </w:p>
        </w:tc>
        <w:tc>
          <w:tcPr>
            <w:tcW w:w="120" w:type="dxa"/>
            <w:vAlign w:val="bottom"/>
            <w:tcBorders>
              <w:bottom w:val="single" w:sz="8" w:color="CCEE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130,260</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341,447</w:t>
            </w:r>
          </w:p>
        </w:tc>
        <w:tc>
          <w:tcPr>
            <w:tcW w:w="0" w:type="dxa"/>
            <w:vAlign w:val="bottom"/>
          </w:tcPr>
          <w:p>
            <w:pPr>
              <w:spacing w:after="0"/>
              <w:rPr>
                <w:sz w:val="1"/>
                <w:szCs w:val="1"/>
                <w:color w:val="auto"/>
              </w:rPr>
            </w:pPr>
          </w:p>
        </w:tc>
      </w:tr>
      <w:tr>
        <w:trPr>
          <w:trHeight w:val="124"/>
        </w:trPr>
        <w:tc>
          <w:tcPr>
            <w:tcW w:w="3600" w:type="dxa"/>
            <w:vAlign w:val="bottom"/>
            <w:tcBorders>
              <w:bottom w:val="single" w:sz="8" w:color="CCEEFF"/>
            </w:tcBorders>
            <w:gridSpan w:val="2"/>
            <w:shd w:val="clear" w:color="auto" w:fill="CCEEFF"/>
          </w:tcPr>
          <w:p>
            <w:pPr>
              <w:ind w:left="280"/>
              <w:spacing w:after="0" w:line="124" w:lineRule="exact"/>
              <w:rPr>
                <w:sz w:val="20"/>
                <w:szCs w:val="20"/>
                <w:color w:val="auto"/>
              </w:rPr>
            </w:pPr>
            <w:r>
              <w:rPr>
                <w:rFonts w:ascii="Times New Roman" w:cs="Times New Roman" w:eastAsia="Times New Roman" w:hAnsi="Times New Roman"/>
                <w:sz w:val="11"/>
                <w:szCs w:val="11"/>
                <w:b w:val="1"/>
                <w:bCs w:val="1"/>
                <w:color w:val="auto"/>
              </w:rPr>
              <w:t>Consolidated Land Held and Development Construction in Progress</w:t>
            </w:r>
          </w:p>
        </w:tc>
        <w:tc>
          <w:tcPr>
            <w:tcW w:w="1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5,203,119</w:t>
            </w:r>
          </w:p>
        </w:tc>
        <w:tc>
          <w:tcPr>
            <w:tcW w:w="1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0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4,565,934</w:t>
            </w:r>
          </w:p>
        </w:tc>
        <w:tc>
          <w:tcPr>
            <w:tcW w:w="1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4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9,769,053</w:t>
            </w:r>
          </w:p>
        </w:tc>
        <w:tc>
          <w:tcPr>
            <w:tcW w:w="12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80" w:type="dxa"/>
            <w:vAlign w:val="bottom"/>
            <w:tcBorders>
              <w:bottom w:val="single" w:sz="8" w:color="auto"/>
            </w:tcBorders>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4,753,405</w:t>
            </w:r>
          </w:p>
        </w:tc>
        <w:tc>
          <w:tcPr>
            <w:tcW w:w="12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00" w:type="dxa"/>
            <w:vAlign w:val="bottom"/>
            <w:tcBorders>
              <w:bottom w:val="single" w:sz="8" w:color="auto"/>
            </w:tcBorders>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2,699,688</w:t>
            </w:r>
          </w:p>
        </w:tc>
        <w:tc>
          <w:tcPr>
            <w:tcW w:w="10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jc w:val="right"/>
              <w:ind w:right="6"/>
              <w:spacing w:after="0" w:line="124"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7,453,093</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2080" w:type="dxa"/>
            <w:vAlign w:val="bottom"/>
            <w:tcBorders>
              <w:bottom w:val="single" w:sz="8" w:color="auto"/>
            </w:tcBorders>
          </w:tcPr>
          <w:p>
            <w:pPr>
              <w:spacing w:after="0"/>
              <w:rPr>
                <w:sz w:val="6"/>
                <w:szCs w:val="6"/>
                <w:color w:val="auto"/>
              </w:rPr>
            </w:pPr>
          </w:p>
        </w:tc>
        <w:tc>
          <w:tcPr>
            <w:tcW w:w="1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ind w:left="600" w:hanging="282"/>
        <w:spacing w:after="0"/>
        <w:tabs>
          <w:tab w:leader="none" w:pos="6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incurred through December 31, 2024.</w:t>
      </w:r>
    </w:p>
    <w:p>
      <w:pPr>
        <w:spacing w:after="0" w:line="14" w:lineRule="exact"/>
        <w:rPr>
          <w:rFonts w:ascii="Times New Roman" w:cs="Times New Roman" w:eastAsia="Times New Roman" w:hAnsi="Times New Roman"/>
          <w:sz w:val="16"/>
          <w:szCs w:val="16"/>
          <w:color w:val="auto"/>
        </w:rPr>
      </w:pPr>
    </w:p>
    <w:p>
      <w:pPr>
        <w:ind w:left="600" w:hanging="282"/>
        <w:spacing w:after="0" w:line="234" w:lineRule="auto"/>
        <w:tabs>
          <w:tab w:leader="none" w:pos="6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estimated cost to complete scope of work pursuant to approved development budget.</w:t>
      </w:r>
    </w:p>
    <w:p>
      <w:pPr>
        <w:ind w:left="600" w:hanging="282"/>
        <w:spacing w:after="0" w:line="234" w:lineRule="auto"/>
        <w:tabs>
          <w:tab w:leader="none" w:pos="6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incurred through December 31, 2023.</w:t>
      </w:r>
    </w:p>
    <w:p>
      <w:pPr>
        <w:ind w:left="600" w:hanging="282"/>
        <w:spacing w:after="0" w:line="234" w:lineRule="auto"/>
        <w:tabs>
          <w:tab w:leader="none" w:pos="6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land and space held or actively under construction in preparation for future data center fit-out.</w:t>
      </w:r>
    </w:p>
    <w:p>
      <w:pPr>
        <w:ind w:left="600" w:hanging="282"/>
        <w:spacing w:after="0" w:line="234" w:lineRule="auto"/>
        <w:tabs>
          <w:tab w:leader="none" w:pos="6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long-lead equipment and materials required for timely deployment and delivery of data center fit-out.</w:t>
      </w:r>
    </w:p>
    <w:p>
      <w:pPr>
        <w:ind w:left="600" w:right="640" w:hanging="282"/>
        <w:spacing w:after="0" w:line="236" w:lineRule="auto"/>
        <w:tabs>
          <w:tab w:leader="none" w:pos="6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improvements in progress, which benefit space recently converted to our operating portfolio and is composed primarily of shared infrastructure projects and first-generation tenant improvements. Includes approximately $2.8 million included in our condensed consolidated balance sheet related to fair value adjustments on Teraco portfolio projects that were partially constructed as of August 1, 2022.</w:t>
      </w:r>
    </w:p>
    <w:p>
      <w:pPr>
        <w:spacing w:after="0" w:line="159" w:lineRule="exact"/>
        <w:rPr>
          <w:sz w:val="20"/>
          <w:szCs w:val="20"/>
          <w:color w:val="auto"/>
        </w:rPr>
      </w:pPr>
    </w:p>
    <w:p>
      <w:pPr>
        <w:ind w:left="320" w:right="740"/>
        <w:spacing w:after="0" w:line="247" w:lineRule="auto"/>
        <w:rPr>
          <w:sz w:val="20"/>
          <w:szCs w:val="20"/>
          <w:color w:val="auto"/>
        </w:rPr>
      </w:pPr>
      <w:r>
        <w:rPr>
          <w:rFonts w:ascii="Times New Roman" w:cs="Times New Roman" w:eastAsia="Times New Roman" w:hAnsi="Times New Roman"/>
          <w:sz w:val="16"/>
          <w:szCs w:val="16"/>
          <w:color w:val="auto"/>
        </w:rPr>
        <w:t>Future development reflects cumulative cost spent pending future development and includes ongoing improvements to building infrastructure in preparation for future data center fit -out. We expect to deliver the space within 12 months; however, lease commencement dates may significantly impact final delivery schedules.</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Capital Expenditures (Cash Basis)</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table below summarizes our capital expenditure activity for the year ended December 31, 2024 and 2023 (in thousands):</w:t>
      </w:r>
    </w:p>
    <w:p>
      <w:pPr>
        <w:spacing w:after="0" w:line="188" w:lineRule="exact"/>
        <w:rPr>
          <w:sz w:val="20"/>
          <w:szCs w:val="20"/>
          <w:color w:val="auto"/>
        </w:rPr>
      </w:pPr>
    </w:p>
    <w:tbl>
      <w:tblPr>
        <w:tblLayout w:type="fixed"/>
        <w:tblInd w:w="320" w:type="dxa"/>
        <w:tblCellMar>
          <w:top w:w="0" w:type="dxa"/>
          <w:left w:w="0" w:type="dxa"/>
          <w:bottom w:w="0" w:type="dxa"/>
          <w:right w:w="0" w:type="dxa"/>
        </w:tblCellMar>
      </w:tblPr>
      <w:tr>
        <w:trPr>
          <w:trHeight w:val="170"/>
        </w:trPr>
        <w:tc>
          <w:tcPr>
            <w:tcW w:w="49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980" w:type="dxa"/>
            <w:vAlign w:val="bottom"/>
            <w:tcBorders>
              <w:bottom w:val="single" w:sz="8" w:color="auto"/>
            </w:tcBorders>
          </w:tcPr>
          <w:p>
            <w:pPr>
              <w:spacing w:after="0"/>
              <w:rPr>
                <w:sz w:val="14"/>
                <w:szCs w:val="14"/>
                <w:color w:val="auto"/>
              </w:rPr>
            </w:pPr>
          </w:p>
        </w:tc>
      </w:tr>
      <w:tr>
        <w:trPr>
          <w:trHeight w:val="148"/>
        </w:trPr>
        <w:tc>
          <w:tcPr>
            <w:tcW w:w="49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86"/>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c>
          <w:tcPr>
            <w:tcW w:w="26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604"/>
              <w:spacing w:after="0" w:line="148" w:lineRule="exact"/>
              <w:rPr>
                <w:sz w:val="20"/>
                <w:szCs w:val="20"/>
                <w:color w:val="auto"/>
              </w:rPr>
            </w:pPr>
            <w:r>
              <w:rPr>
                <w:rFonts w:ascii="Times New Roman" w:cs="Times New Roman" w:eastAsia="Times New Roman" w:hAnsi="Times New Roman"/>
                <w:sz w:val="13"/>
                <w:szCs w:val="13"/>
                <w:b w:val="1"/>
                <w:bCs w:val="1"/>
                <w:color w:val="auto"/>
              </w:rPr>
              <w:t>2023</w:t>
            </w:r>
          </w:p>
        </w:tc>
      </w:tr>
      <w:tr>
        <w:trPr>
          <w:trHeight w:val="172"/>
        </w:trPr>
        <w:tc>
          <w:tcPr>
            <w:tcW w:w="490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Development projects</w:t>
            </w:r>
          </w:p>
        </w:tc>
        <w:tc>
          <w:tcPr>
            <w:tcW w:w="380" w:type="dxa"/>
            <w:vAlign w:val="bottom"/>
            <w:shd w:val="clear" w:color="auto" w:fill="CCEEFF"/>
          </w:tcPr>
          <w:p>
            <w:pPr>
              <w:jc w:val="right"/>
              <w:ind w:right="22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2,260,692</w:t>
            </w: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8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2,966,898</w:t>
            </w:r>
          </w:p>
        </w:tc>
      </w:tr>
      <w:tr>
        <w:trPr>
          <w:trHeight w:val="180"/>
        </w:trPr>
        <w:tc>
          <w:tcPr>
            <w:tcW w:w="4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Enhancement and improvements</w:t>
            </w:r>
          </w:p>
        </w:tc>
        <w:tc>
          <w:tcPr>
            <w:tcW w:w="380" w:type="dxa"/>
            <w:vAlign w:val="bottom"/>
          </w:tcPr>
          <w:p>
            <w:pPr>
              <w:spacing w:after="0"/>
              <w:rPr>
                <w:sz w:val="15"/>
                <w:szCs w:val="15"/>
                <w:color w:val="auto"/>
              </w:rPr>
            </w:pPr>
          </w:p>
        </w:tc>
        <w:tc>
          <w:tcPr>
            <w:tcW w:w="12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35,243</w:t>
            </w: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15,705</w:t>
            </w:r>
          </w:p>
        </w:tc>
      </w:tr>
      <w:tr>
        <w:trPr>
          <w:trHeight w:val="180"/>
        </w:trPr>
        <w:tc>
          <w:tcPr>
            <w:tcW w:w="49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Recurring capital expenditures</w:t>
            </w:r>
          </w:p>
        </w:tc>
        <w:tc>
          <w:tcPr>
            <w:tcW w:w="3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305,712</w:t>
            </w:r>
          </w:p>
        </w:tc>
        <w:tc>
          <w:tcPr>
            <w:tcW w:w="26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327,022</w:t>
            </w:r>
          </w:p>
        </w:tc>
      </w:tr>
      <w:tr>
        <w:trPr>
          <w:trHeight w:val="172"/>
        </w:trPr>
        <w:tc>
          <w:tcPr>
            <w:tcW w:w="490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Total capital expenditures (excluding indirect costs)</w:t>
            </w:r>
          </w:p>
        </w:tc>
        <w:tc>
          <w:tcPr>
            <w:tcW w:w="380" w:type="dxa"/>
            <w:vAlign w:val="bottom"/>
            <w:tcBorders>
              <w:bottom w:val="single" w:sz="8" w:color="auto"/>
            </w:tcBorders>
          </w:tcPr>
          <w:p>
            <w:pPr>
              <w:jc w:val="right"/>
              <w:ind w:right="22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2,601,647</w:t>
            </w:r>
          </w:p>
        </w:tc>
        <w:tc>
          <w:tcPr>
            <w:tcW w:w="260" w:type="dxa"/>
            <w:vAlign w:val="bottom"/>
          </w:tcPr>
          <w:p>
            <w:pPr>
              <w:spacing w:after="0"/>
              <w:rPr>
                <w:sz w:val="14"/>
                <w:szCs w:val="14"/>
                <w:color w:val="auto"/>
              </w:rPr>
            </w:pPr>
          </w:p>
        </w:tc>
        <w:tc>
          <w:tcPr>
            <w:tcW w:w="640" w:type="dxa"/>
            <w:vAlign w:val="bottom"/>
            <w:tcBorders>
              <w:bottom w:val="single" w:sz="8" w:color="auto"/>
            </w:tcBorders>
          </w:tcPr>
          <w:p>
            <w:pPr>
              <w:jc w:val="right"/>
              <w:ind w:right="48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3,309,625</w:t>
            </w:r>
          </w:p>
        </w:tc>
      </w:tr>
      <w:tr>
        <w:trPr>
          <w:trHeight w:val="20"/>
        </w:trPr>
        <w:tc>
          <w:tcPr>
            <w:tcW w:w="4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320" w:right="420"/>
        <w:spacing w:after="0" w:line="243" w:lineRule="auto"/>
        <w:rPr>
          <w:sz w:val="20"/>
          <w:szCs w:val="20"/>
          <w:color w:val="auto"/>
        </w:rPr>
      </w:pPr>
      <w:r>
        <w:rPr>
          <w:rFonts w:ascii="Times New Roman" w:cs="Times New Roman" w:eastAsia="Times New Roman" w:hAnsi="Times New Roman"/>
          <w:sz w:val="16"/>
          <w:szCs w:val="16"/>
          <w:color w:val="auto"/>
        </w:rPr>
        <w:t>For the year ended December 31, 2024, total capital expenditures decreased approximately $ 0.7 billion as compared to the same period in 2023. Capital expenditures on our development projects plus our enhancement and improvements projects for the year ended December 31, 2024 were approximately $ 2.3 billion, which reflects a decrease of approximately 23% from the same period in 2023. Our development capital expenditures are generally funded by our available cash and equity and debt capital.</w:t>
      </w:r>
    </w:p>
    <w:p>
      <w:pPr>
        <w:spacing w:after="0" w:line="155" w:lineRule="exact"/>
        <w:rPr>
          <w:sz w:val="20"/>
          <w:szCs w:val="20"/>
          <w:color w:val="auto"/>
        </w:rPr>
      </w:pPr>
    </w:p>
    <w:p>
      <w:pPr>
        <w:ind w:left="320" w:right="340"/>
        <w:spacing w:after="0" w:line="243" w:lineRule="auto"/>
        <w:rPr>
          <w:sz w:val="20"/>
          <w:szCs w:val="20"/>
          <w:color w:val="auto"/>
        </w:rPr>
      </w:pPr>
      <w:r>
        <w:rPr>
          <w:rFonts w:ascii="Times New Roman" w:cs="Times New Roman" w:eastAsia="Times New Roman" w:hAnsi="Times New Roman"/>
          <w:sz w:val="16"/>
          <w:szCs w:val="16"/>
          <w:color w:val="auto"/>
        </w:rPr>
        <w:t>Indirect costs, including interest, capitalized in the years ended December 31, 2024 and 2023 were $ 230.1 million and $216.0 million, respectively. Capitalized interest comprised approximately $118.9 million and $116.8 million of the total indirect costs capitalized for the years ended December 31, 2024 and 2023, respectively. Capitalized interest in the year ended December 31, 2024 increased compared to the same period in 2023 due to an increase in qualifying activities and higher interest rates.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76" w:name="page77"/>
    <w:bookmarkEnd w:id="76"/>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6" w:lineRule="exact"/>
        <w:rPr>
          <w:sz w:val="20"/>
          <w:szCs w:val="20"/>
          <w:color w:val="auto"/>
        </w:rPr>
      </w:pPr>
    </w:p>
    <w:p>
      <w:pPr>
        <w:ind w:left="320" w:right="320"/>
        <w:spacing w:after="0" w:line="259" w:lineRule="auto"/>
        <w:rPr>
          <w:sz w:val="20"/>
          <w:szCs w:val="20"/>
          <w:color w:val="auto"/>
        </w:rPr>
      </w:pPr>
      <w:r>
        <w:rPr>
          <w:rFonts w:ascii="Times New Roman" w:cs="Times New Roman" w:eastAsia="Times New Roman" w:hAnsi="Times New Roman"/>
          <w:sz w:val="16"/>
          <w:szCs w:val="16"/>
          <w:color w:val="auto"/>
        </w:rPr>
        <w:t>Excluding capitalized interest, indirect costs in the year ended December 31, 2024 increased compared to the same period in 2023 due primarily to capitalized amounts relating to compensation expense of employees directly engaged in construction activities.</w:t>
      </w:r>
    </w:p>
    <w:p>
      <w:pPr>
        <w:spacing w:after="0" w:line="155" w:lineRule="exact"/>
        <w:rPr>
          <w:sz w:val="20"/>
          <w:szCs w:val="20"/>
          <w:color w:val="auto"/>
        </w:rPr>
      </w:pPr>
    </w:p>
    <w:p>
      <w:pPr>
        <w:ind w:left="320" w:right="400"/>
        <w:spacing w:after="0" w:line="280" w:lineRule="auto"/>
        <w:rPr>
          <w:sz w:val="20"/>
          <w:szCs w:val="20"/>
          <w:color w:val="auto"/>
        </w:rPr>
      </w:pPr>
      <w:r>
        <w:rPr>
          <w:rFonts w:ascii="Times New Roman" w:cs="Times New Roman" w:eastAsia="Times New Roman" w:hAnsi="Times New Roman"/>
          <w:sz w:val="14"/>
          <w:szCs w:val="14"/>
          <w:color w:val="auto"/>
        </w:rPr>
        <w:t>Consistent with our growth strategy, we actively pursue potential acquisition opportunities, with due diligence and negotiations often at different stages at different times. The dollar value of acquisitions for the year ending December 31, 2025 will depend upon numerous factors, including customer demand, leasing results, availability of debt or equity capital and acquisition opportunities. Further, the growing acceptance by private institutional investors of the data center asset class has generally pushed capitalization rates lower, as such private investors may often have lower return expectations than us. As a result, we anticipate near-term single asset acquisitions activity to comprise a smaller percentage of our growth while this market dynamic persists.</w:t>
      </w:r>
    </w:p>
    <w:p>
      <w:pPr>
        <w:spacing w:after="0" w:line="145" w:lineRule="exact"/>
        <w:rPr>
          <w:sz w:val="20"/>
          <w:szCs w:val="20"/>
          <w:color w:val="auto"/>
        </w:rPr>
      </w:pPr>
    </w:p>
    <w:p>
      <w:pPr>
        <w:ind w:left="320" w:right="380"/>
        <w:spacing w:after="0" w:line="243" w:lineRule="auto"/>
        <w:rPr>
          <w:sz w:val="20"/>
          <w:szCs w:val="20"/>
          <w:color w:val="auto"/>
        </w:rPr>
      </w:pPr>
      <w:r>
        <w:rPr>
          <w:rFonts w:ascii="Times New Roman" w:cs="Times New Roman" w:eastAsia="Times New Roman" w:hAnsi="Times New Roman"/>
          <w:sz w:val="16"/>
          <w:szCs w:val="16"/>
          <w:color w:val="auto"/>
        </w:rPr>
        <w:t>We may from time to time seek to retire or repurchase our outstanding debt or the equity of our Parent through cash purchases and/or exchanges for equity securities of our Parent in open market purchases, privately negotiated transactions or otherwise. Such repurchases or exchanges, if any, will depend upon prevailing market conditions, our liquidity requirements, contractual restrictions or other factors. The amounts involved may be material.</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Sources of Cash</w:t>
      </w:r>
    </w:p>
    <w:p>
      <w:pPr>
        <w:spacing w:after="0" w:line="190" w:lineRule="exact"/>
        <w:rPr>
          <w:sz w:val="20"/>
          <w:szCs w:val="20"/>
          <w:color w:val="auto"/>
        </w:rPr>
      </w:pPr>
    </w:p>
    <w:p>
      <w:pPr>
        <w:ind w:left="320" w:right="420"/>
        <w:spacing w:after="0" w:line="239" w:lineRule="auto"/>
        <w:rPr>
          <w:sz w:val="20"/>
          <w:szCs w:val="20"/>
          <w:color w:val="auto"/>
        </w:rPr>
      </w:pPr>
      <w:r>
        <w:rPr>
          <w:rFonts w:ascii="Times New Roman" w:cs="Times New Roman" w:eastAsia="Times New Roman" w:hAnsi="Times New Roman"/>
          <w:sz w:val="16"/>
          <w:szCs w:val="16"/>
          <w:color w:val="auto"/>
        </w:rPr>
        <w:t>We expect to meet our short-term and long-term liquidity requirements, including payment of scheduled debt maturities and funding of acquisitions and non-recurring capital improvements, with net cash from operations, future long-term secured and unsecured indebtedness and the issuance of equity and debt securities and the proceeds of equity issuances by our Parent. We also may fund future short-term and long-term liquidity requirements, including acquisitions and non-recurring capital improvements, using our Global Revolving Credit Facilities pending permanent financing. As of February 18, 2025, we had approximately $3.4 billion of borrowings available under our Global Revolving Credit Facilities.</w:t>
      </w:r>
    </w:p>
    <w:p>
      <w:pPr>
        <w:spacing w:after="0" w:line="173" w:lineRule="exact"/>
        <w:rPr>
          <w:sz w:val="20"/>
          <w:szCs w:val="20"/>
          <w:color w:val="auto"/>
        </w:rPr>
      </w:pPr>
    </w:p>
    <w:p>
      <w:pPr>
        <w:ind w:left="320" w:right="420"/>
        <w:spacing w:after="0" w:line="277" w:lineRule="auto"/>
        <w:rPr>
          <w:sz w:val="20"/>
          <w:szCs w:val="20"/>
          <w:color w:val="auto"/>
        </w:rPr>
      </w:pPr>
      <w:r>
        <w:rPr>
          <w:rFonts w:ascii="Times New Roman" w:cs="Times New Roman" w:eastAsia="Times New Roman" w:hAnsi="Times New Roman"/>
          <w:sz w:val="14"/>
          <w:szCs w:val="14"/>
          <w:color w:val="auto"/>
        </w:rPr>
        <w:t>Our Global Revolving Credit Facilities provides for borrowings up to $4.4 billion (including approximately $ 0.3 billion available to be drawn on the Yen Revolving Credit Facility). We have the ability from time to time to increase the size of the Global Revolving Credit Facility by up to $1.8 billion, subject to the receipt of lender commitments and other conditions precedent. Both facilities mature on January 24, 2029, with two six-month extension options available. These facilities also feature a sustainability-linked pricing component, with pricing subject to adjustment based on annual performance targets, further demonstrating our continued leadership and commitment to sustainable business practices. We have used and intend to use available borrowings under the Global Revolving Credit Facilities to fund our liquidity requirements from time to time. For additional information regarding our Global Revolving Credit Facility, see Note 11. “Debt of the Operating Partnership” to Consolidated Financial Statements contained herein.</w:t>
      </w:r>
    </w:p>
    <w:p>
      <w:pPr>
        <w:spacing w:after="0" w:line="146" w:lineRule="exact"/>
        <w:rPr>
          <w:sz w:val="20"/>
          <w:szCs w:val="20"/>
          <w:color w:val="auto"/>
        </w:rPr>
      </w:pPr>
    </w:p>
    <w:p>
      <w:pPr>
        <w:ind w:left="320" w:right="660"/>
        <w:spacing w:after="0" w:line="281" w:lineRule="auto"/>
        <w:rPr>
          <w:sz w:val="20"/>
          <w:szCs w:val="20"/>
          <w:color w:val="auto"/>
        </w:rPr>
      </w:pPr>
      <w:r>
        <w:rPr>
          <w:rFonts w:ascii="Times New Roman" w:cs="Times New Roman" w:eastAsia="Times New Roman" w:hAnsi="Times New Roman"/>
          <w:sz w:val="14"/>
          <w:szCs w:val="14"/>
          <w:color w:val="auto"/>
        </w:rPr>
        <w:t>In addition, the 2025-27 Term Facility provides for a €375,000,000 five-year senior unsecured term loan facility, comprised of €125,000,000 of initial term loans, and €250,000,000 of delayed draw term loan commitments that were funded on September 9,</w:t>
      </w:r>
    </w:p>
    <w:p>
      <w:pPr>
        <w:spacing w:after="0" w:line="1" w:lineRule="exact"/>
        <w:rPr>
          <w:sz w:val="20"/>
          <w:szCs w:val="20"/>
          <w:color w:val="auto"/>
        </w:rPr>
      </w:pPr>
    </w:p>
    <w:p>
      <w:pPr>
        <w:ind w:left="320" w:right="320"/>
        <w:spacing w:after="0" w:line="236" w:lineRule="auto"/>
        <w:rPr>
          <w:sz w:val="20"/>
          <w:szCs w:val="20"/>
          <w:color w:val="auto"/>
        </w:rPr>
      </w:pPr>
      <w:r>
        <w:rPr>
          <w:rFonts w:ascii="Times New Roman" w:cs="Times New Roman" w:eastAsia="Times New Roman" w:hAnsi="Times New Roman"/>
          <w:sz w:val="16"/>
          <w:szCs w:val="16"/>
          <w:color w:val="auto"/>
        </w:rPr>
        <w:t>2023. Such facility provides for borrowings in Euros. The 2025 -27 Term Facility matures on August 11, 2025, subject to two maturity extension options of one year each; provided that the Operating Partnership must pay a 0.125% extension fee based on the then-outstanding principal amount of the 2025-27 Term Facility commitments then outstanding. For additional information regarding the 2025-27 Term Facility and the defined terms used above, see Note 11. “Debt of the Operating Partnership” to Consolidated Financial Statements contained herein.</w:t>
      </w:r>
    </w:p>
    <w:p>
      <w:pPr>
        <w:spacing w:after="0" w:line="158" w:lineRule="exact"/>
        <w:rPr>
          <w:sz w:val="20"/>
          <w:szCs w:val="20"/>
          <w:color w:val="auto"/>
        </w:rPr>
      </w:pPr>
    </w:p>
    <w:p>
      <w:pPr>
        <w:ind w:left="320" w:right="420"/>
        <w:spacing w:after="0" w:line="284" w:lineRule="auto"/>
        <w:rPr>
          <w:sz w:val="20"/>
          <w:szCs w:val="20"/>
          <w:color w:val="auto"/>
        </w:rPr>
      </w:pPr>
      <w:r>
        <w:rPr>
          <w:rFonts w:ascii="Times New Roman" w:cs="Times New Roman" w:eastAsia="Times New Roman" w:hAnsi="Times New Roman"/>
          <w:sz w:val="14"/>
          <w:szCs w:val="14"/>
          <w:color w:val="auto"/>
        </w:rPr>
        <w:t>On September 13, 2024, Digital Dutch Finco B.V., an indirect wholly owned finance subsidiary of the Operating Partnership, issued and sold €850 million aggregate principal amount of 3.875% Guaranteed Notes due 2033. Net proceeds from the offering were approximately €843 million (approximately $933 million based on the exchange rate on September 13, 2024) after deducting managers’ discounts and estimated offering expenses. We used the net proceeds from the offering to pay down a portion of our Euro Term Loan Facilities, temporarily repay borrowings under our Global Revolving Credit Facility and for general corporate purposes.</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77" w:name="page78"/>
    <w:bookmarkEnd w:id="77"/>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6" w:lineRule="exact"/>
        <w:rPr>
          <w:sz w:val="20"/>
          <w:szCs w:val="20"/>
          <w:color w:val="auto"/>
        </w:rPr>
      </w:pPr>
    </w:p>
    <w:p>
      <w:pPr>
        <w:ind w:left="320" w:right="340"/>
        <w:spacing w:after="0" w:line="239" w:lineRule="auto"/>
        <w:rPr>
          <w:sz w:val="20"/>
          <w:szCs w:val="20"/>
          <w:color w:val="auto"/>
        </w:rPr>
      </w:pPr>
      <w:r>
        <w:rPr>
          <w:rFonts w:ascii="Times New Roman" w:cs="Times New Roman" w:eastAsia="Times New Roman" w:hAnsi="Times New Roman"/>
          <w:sz w:val="16"/>
          <w:szCs w:val="16"/>
          <w:color w:val="auto"/>
        </w:rPr>
        <w:t>On July 13, 2023, we formed a joint venture with GI Partners, and GI Partners acquired a 65% interest in two stabilized hyperscale data center buildings in the Chicago metro area that we contributed. We retained a 35% interest in the joint venture. As a result of transferring control, we derecognized the data centers. In addition, GI Partners had a call option to increase their ownership interest in the joint venture from 65% to 80%. The call option top -up election notice was delivered to the Company on December 21, 2023. On January 12, 2024, GI Partners made an additional cash capital contribution, pursuant to the exercise of such call option, in the amount of $68 million, resulting in such additional 15% ownership in the joint venture. Currently, GI Partners has an 80% interest in the joint venture, and we have retained a 20% interest.</w:t>
      </w:r>
    </w:p>
    <w:p>
      <w:pPr>
        <w:spacing w:after="0" w:line="170" w:lineRule="exact"/>
        <w:rPr>
          <w:sz w:val="20"/>
          <w:szCs w:val="20"/>
          <w:color w:val="auto"/>
        </w:rPr>
      </w:pPr>
    </w:p>
    <w:p>
      <w:pPr>
        <w:ind w:left="320" w:right="380"/>
        <w:spacing w:after="0" w:line="243" w:lineRule="auto"/>
        <w:rPr>
          <w:sz w:val="20"/>
          <w:szCs w:val="20"/>
          <w:color w:val="auto"/>
        </w:rPr>
      </w:pPr>
      <w:r>
        <w:rPr>
          <w:rFonts w:ascii="Times New Roman" w:cs="Times New Roman" w:eastAsia="Times New Roman" w:hAnsi="Times New Roman"/>
          <w:sz w:val="16"/>
          <w:szCs w:val="16"/>
          <w:color w:val="auto"/>
        </w:rPr>
        <w:t>We also granted GI Partners an option to purchase an interest in the third facility on the same hyperscale data center campus in Chicago. On April 16, 2024, we expanded our existing joint venture with GI Partners with the sale to GI Partners of a 75% interest in a third facility. We received approximately $386 million of net proceeds from the contribution of our data center to the joint venture and the associated financing and retained a 25% interest in the joint venture.</w:t>
      </w:r>
    </w:p>
    <w:p>
      <w:pPr>
        <w:spacing w:after="0" w:line="167" w:lineRule="exact"/>
        <w:rPr>
          <w:sz w:val="20"/>
          <w:szCs w:val="20"/>
          <w:color w:val="auto"/>
        </w:rPr>
      </w:pPr>
    </w:p>
    <w:p>
      <w:pPr>
        <w:ind w:left="320" w:right="320"/>
        <w:spacing w:after="0" w:line="237" w:lineRule="auto"/>
        <w:rPr>
          <w:sz w:val="20"/>
          <w:szCs w:val="20"/>
          <w:color w:val="auto"/>
        </w:rPr>
      </w:pPr>
      <w:r>
        <w:rPr>
          <w:rFonts w:ascii="Times New Roman" w:cs="Times New Roman" w:eastAsia="Times New Roman" w:hAnsi="Times New Roman"/>
          <w:sz w:val="16"/>
          <w:szCs w:val="16"/>
          <w:color w:val="auto"/>
        </w:rPr>
        <w:t>On January 11, 2024, we formed a joint venture with Blackstone Inc. to develop four hyperscale data center campuses across Frankfurt, Paris and Northern Virginia. The campuses are planned to support the construction of 10 data centers with approximately 500 megawatts of potential IT load capacity. The first phase of the joint venture closed on hyperscale data center campuses in Paris and Northern Virginia, while the second phase closed in the fourth quarter of 2024. We received approximately $231 million of net proceeds from the contribution of our data centers to the first phase of the joint venture and retained a 20% interest in the joint venture. Each partner funded its pro rata share of the remaining $3.0 billion estimated development cost for the first phase of the joint venture, which is slated for completion in various stages, contingent on customer demand, which began in the first quarter of 2024. In the fourth quarter, the second phase of the joint venture closed on hyperscale data center campuses in Frankfurt and Northern Virginia. We received approximately $385 million of net proceeds from the contribution of our data centers to the second phase of the joint venture and retained a 20% interest in the joint venture. As a result of transferring control, we derecognized the data centers and recognized a gain on disposition of approximately $44.5 million.</w:t>
      </w:r>
    </w:p>
    <w:p>
      <w:pPr>
        <w:spacing w:after="0" w:line="174" w:lineRule="exact"/>
        <w:rPr>
          <w:sz w:val="20"/>
          <w:szCs w:val="20"/>
          <w:color w:val="auto"/>
        </w:rPr>
      </w:pPr>
    </w:p>
    <w:p>
      <w:pPr>
        <w:ind w:left="320" w:right="340"/>
        <w:spacing w:after="0" w:line="237" w:lineRule="auto"/>
        <w:rPr>
          <w:sz w:val="20"/>
          <w:szCs w:val="20"/>
          <w:color w:val="auto"/>
        </w:rPr>
      </w:pPr>
      <w:r>
        <w:rPr>
          <w:rFonts w:ascii="Times New Roman" w:cs="Times New Roman" w:eastAsia="Times New Roman" w:hAnsi="Times New Roman"/>
          <w:sz w:val="16"/>
          <w:szCs w:val="16"/>
          <w:color w:val="auto"/>
        </w:rPr>
        <w:t>In January 2024, we closed on the sale of our interest in four data centers to Brookfield Infrastructure Partners L.P., or Brookfield, for approximately $ 271 million. Two of the data centers were consolidated by us; while two of the data centers were owned by Digital Core REIT. The sale was completed subsequent to Brookfield’s November 2023 acquisition of one of our customers, Cyxtera Technologies. The acquisition was part of Cyxtera’s plan of reorganization under its Chapter 11 bankruptcy proceedings. In conjunction with the sale, we bought out Cyxtera’s leases in three data centers located in Singapore and Frankfurt for approximately $57 million. In addition, Brookfield assumed the leases on three facilities previously leased to Cyxtera and amended the leases on three additional data centers in North America, accelerating the expiration date to September 2024. As a result of the sale, we recognized a total gain on disposition of approximately $200.5 million, of which $191.6 million is included within Gain on disposition of properties, net and $8.9 million is included within Equity in (loss) earnings of unconsolidated entities on our condensed consolidated income statements.</w:t>
      </w:r>
    </w:p>
    <w:p>
      <w:pPr>
        <w:spacing w:after="0" w:line="176" w:lineRule="exact"/>
        <w:rPr>
          <w:sz w:val="20"/>
          <w:szCs w:val="20"/>
          <w:color w:val="auto"/>
        </w:rPr>
      </w:pPr>
    </w:p>
    <w:p>
      <w:pPr>
        <w:ind w:left="320" w:right="380"/>
        <w:spacing w:after="0" w:line="239" w:lineRule="auto"/>
        <w:rPr>
          <w:sz w:val="20"/>
          <w:szCs w:val="20"/>
          <w:color w:val="auto"/>
        </w:rPr>
      </w:pPr>
      <w:r>
        <w:rPr>
          <w:rFonts w:ascii="Times New Roman" w:cs="Times New Roman" w:eastAsia="Times New Roman" w:hAnsi="Times New Roman"/>
          <w:sz w:val="16"/>
          <w:szCs w:val="16"/>
          <w:color w:val="auto"/>
        </w:rPr>
        <w:t>On March 1, 2024, we formed a joint venture with Mitsubishi Corporation, or Mitsubishi, to support the development of two data centers in the Dallas metro area. The facilities were 100% pre-leased prior to construction. We contributed the two data center buildings at a contribution value of approximately $261 million. We received approximately $153 million of gross proceeds from the contribution of our data centers to the joint venture and retained a 35% interest in the joint venture. Mitsubishi contributed such cash in exchange for a 65% interest in the joint venture. Each partner funded its pro rata share of the remaining $140 million estimated development cost for the first phase of the project, of which one project has been completed in June 2024 and another has been completed in October 2024.</w:t>
      </w:r>
    </w:p>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Distributions</w:t>
      </w:r>
    </w:p>
    <w:p>
      <w:pPr>
        <w:spacing w:after="0" w:line="190" w:lineRule="exact"/>
        <w:rPr>
          <w:sz w:val="20"/>
          <w:szCs w:val="20"/>
          <w:color w:val="auto"/>
        </w:rPr>
      </w:pPr>
    </w:p>
    <w:p>
      <w:pPr>
        <w:ind w:left="320" w:right="400"/>
        <w:spacing w:after="0" w:line="247" w:lineRule="auto"/>
        <w:rPr>
          <w:sz w:val="20"/>
          <w:szCs w:val="20"/>
          <w:color w:val="auto"/>
        </w:rPr>
      </w:pPr>
      <w:r>
        <w:rPr>
          <w:rFonts w:ascii="Times New Roman" w:cs="Times New Roman" w:eastAsia="Times New Roman" w:hAnsi="Times New Roman"/>
          <w:sz w:val="16"/>
          <w:szCs w:val="16"/>
          <w:color w:val="auto"/>
        </w:rPr>
        <w:t>All distributions on our units are at the discretion of our Parent’s Board of Directors. For additional information regarding distributions paid on our common and preferred units for the years ended December 31, 2024 and 2023, see Item 8, Note 14. “Equity and Capital” in the Notes to the Consolidated Financial Statements.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78" w:name="page79"/>
    <w:bookmarkEnd w:id="78"/>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3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Outstanding Consolidated Indebtedness</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tables below summarize our outstanding debt, and also our contractual debt maturities and principal payments as of</w:t>
      </w:r>
    </w:p>
    <w:p>
      <w:pPr>
        <w:spacing w:after="0" w:line="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December 31, 2024 (in thousands):</w:t>
      </w:r>
    </w:p>
    <w:p>
      <w:pPr>
        <w:spacing w:after="0" w:line="158" w:lineRule="exact"/>
        <w:rPr>
          <w:sz w:val="20"/>
          <w:szCs w:val="20"/>
          <w:color w:val="auto"/>
        </w:rPr>
      </w:pPr>
    </w:p>
    <w:tbl>
      <w:tblPr>
        <w:tblLayout w:type="fixed"/>
        <w:tblInd w:w="320" w:type="dxa"/>
        <w:tblCellMar>
          <w:top w:w="0" w:type="dxa"/>
          <w:left w:w="0" w:type="dxa"/>
          <w:bottom w:w="0" w:type="dxa"/>
          <w:right w:w="0" w:type="dxa"/>
        </w:tblCellMar>
      </w:tblPr>
      <w:tr>
        <w:trPr>
          <w:trHeight w:val="203"/>
        </w:trPr>
        <w:tc>
          <w:tcPr>
            <w:tcW w:w="2060" w:type="dxa"/>
            <w:vAlign w:val="bottom"/>
          </w:tcPr>
          <w:p>
            <w:pPr>
              <w:spacing w:after="0"/>
              <w:rPr>
                <w:sz w:val="20"/>
                <w:szCs w:val="20"/>
                <w:color w:val="auto"/>
              </w:rPr>
            </w:pPr>
            <w:r>
              <w:rPr>
                <w:rFonts w:ascii="Times New Roman" w:cs="Times New Roman" w:eastAsia="Times New Roman" w:hAnsi="Times New Roman"/>
                <w:sz w:val="16"/>
                <w:szCs w:val="16"/>
                <w:color w:val="auto"/>
              </w:rPr>
              <w:t>Outstanding Debt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82"/>
        </w:trPr>
        <w:tc>
          <w:tcPr>
            <w:tcW w:w="2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80"/>
        </w:trPr>
        <w:tc>
          <w:tcPr>
            <w:tcW w:w="20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Debt Summary:</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180"/>
        </w:trPr>
        <w:tc>
          <w:tcPr>
            <w:tcW w:w="20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Fixed rate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12,160</w:t>
            </w:r>
          </w:p>
        </w:tc>
        <w:tc>
          <w:tcPr>
            <w:tcW w:w="160" w:type="dxa"/>
            <w:vAlign w:val="bottom"/>
          </w:tcPr>
          <w:p>
            <w:pPr>
              <w:spacing w:after="0"/>
              <w:rPr>
                <w:sz w:val="15"/>
                <w:szCs w:val="15"/>
                <w:color w:val="auto"/>
              </w:rPr>
            </w:pPr>
          </w:p>
        </w:tc>
      </w:tr>
      <w:tr>
        <w:trPr>
          <w:trHeight w:val="180"/>
        </w:trPr>
        <w:tc>
          <w:tcPr>
            <w:tcW w:w="3340" w:type="dxa"/>
            <w:vAlign w:val="bottom"/>
            <w:gridSpan w:val="5"/>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Variable rate debt subject to interest rate swaps</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3,103</w:t>
            </w:r>
          </w:p>
        </w:tc>
        <w:tc>
          <w:tcPr>
            <w:tcW w:w="160" w:type="dxa"/>
            <w:vAlign w:val="bottom"/>
            <w:shd w:val="clear" w:color="auto" w:fill="CCEEFF"/>
          </w:tcPr>
          <w:p>
            <w:pPr>
              <w:spacing w:after="0"/>
              <w:rPr>
                <w:sz w:val="15"/>
                <w:szCs w:val="15"/>
                <w:color w:val="auto"/>
              </w:rPr>
            </w:pPr>
          </w:p>
        </w:tc>
      </w:tr>
      <w:tr>
        <w:trPr>
          <w:trHeight w:val="172"/>
        </w:trPr>
        <w:tc>
          <w:tcPr>
            <w:tcW w:w="3340" w:type="dxa"/>
            <w:vAlign w:val="bottom"/>
            <w:gridSpan w:val="5"/>
          </w:tcPr>
          <w:p>
            <w:pPr>
              <w:spacing w:after="0" w:line="172" w:lineRule="exact"/>
              <w:rPr>
                <w:sz w:val="20"/>
                <w:szCs w:val="20"/>
                <w:color w:val="auto"/>
              </w:rPr>
            </w:pPr>
            <w:r>
              <w:rPr>
                <w:rFonts w:ascii="Times New Roman" w:cs="Times New Roman" w:eastAsia="Times New Roman" w:hAnsi="Times New Roman"/>
                <w:sz w:val="16"/>
                <w:szCs w:val="16"/>
                <w:color w:val="auto"/>
              </w:rPr>
              <w:t>Total fixed rate debt (including interest rate swaps)</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15,263</w:t>
            </w:r>
          </w:p>
        </w:tc>
        <w:tc>
          <w:tcPr>
            <w:tcW w:w="160" w:type="dxa"/>
            <w:vAlign w:val="bottom"/>
          </w:tcPr>
          <w:p>
            <w:pPr>
              <w:spacing w:after="0"/>
              <w:rPr>
                <w:sz w:val="14"/>
                <w:szCs w:val="14"/>
                <w:color w:val="auto"/>
              </w:rPr>
            </w:pPr>
          </w:p>
        </w:tc>
      </w:tr>
      <w:tr>
        <w:trPr>
          <w:trHeight w:val="180"/>
        </w:trPr>
        <w:tc>
          <w:tcPr>
            <w:tcW w:w="20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Variable rate—unhedged</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1,584</w:t>
            </w:r>
          </w:p>
        </w:tc>
        <w:tc>
          <w:tcPr>
            <w:tcW w:w="160" w:type="dxa"/>
            <w:vAlign w:val="bottom"/>
            <w:shd w:val="clear" w:color="auto" w:fill="CCEEFF"/>
          </w:tcPr>
          <w:p>
            <w:pPr>
              <w:spacing w:after="0"/>
              <w:rPr>
                <w:sz w:val="15"/>
                <w:szCs w:val="15"/>
                <w:color w:val="auto"/>
              </w:rPr>
            </w:pPr>
          </w:p>
        </w:tc>
      </w:tr>
      <w:tr>
        <w:trPr>
          <w:trHeight w:val="212"/>
        </w:trPr>
        <w:tc>
          <w:tcPr>
            <w:tcW w:w="2060" w:type="dxa"/>
            <w:vAlign w:val="bottom"/>
            <w:tcBorders>
              <w:bottom w:val="single" w:sz="8" w:color="CCEEFF"/>
            </w:tcBorders>
          </w:tcPr>
          <w:p>
            <w:pPr>
              <w:spacing w:after="0" w:line="172" w:lineRule="exact"/>
              <w:rPr>
                <w:sz w:val="20"/>
                <w:szCs w:val="20"/>
                <w:color w:val="auto"/>
              </w:rPr>
            </w:pPr>
            <w:r>
              <w:rPr>
                <w:rFonts w:ascii="Times New Roman" w:cs="Times New Roman" w:eastAsia="Times New Roman" w:hAnsi="Times New Roman"/>
                <w:sz w:val="16"/>
                <w:szCs w:val="16"/>
                <w:color w:val="auto"/>
              </w:rPr>
              <w:t>Total</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8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16,847</w:t>
            </w:r>
          </w:p>
        </w:tc>
        <w:tc>
          <w:tcPr>
            <w:tcW w:w="160" w:type="dxa"/>
            <w:vAlign w:val="bottom"/>
            <w:tcBorders>
              <w:bottom w:val="single" w:sz="8" w:color="CCEEFF"/>
            </w:tcBorders>
          </w:tcPr>
          <w:p>
            <w:pPr>
              <w:spacing w:after="0"/>
              <w:rPr>
                <w:sz w:val="18"/>
                <w:szCs w:val="18"/>
                <w:color w:val="auto"/>
              </w:rPr>
            </w:pPr>
          </w:p>
        </w:tc>
      </w:tr>
      <w:tr>
        <w:trPr>
          <w:trHeight w:val="156"/>
        </w:trPr>
        <w:tc>
          <w:tcPr>
            <w:tcW w:w="206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Percent of Total Debt: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80"/>
        </w:trPr>
        <w:tc>
          <w:tcPr>
            <w:tcW w:w="3340" w:type="dxa"/>
            <w:vAlign w:val="bottom"/>
            <w:gridSpan w:val="5"/>
          </w:tcPr>
          <w:p>
            <w:pPr>
              <w:spacing w:after="0" w:line="180" w:lineRule="exact"/>
              <w:rPr>
                <w:sz w:val="20"/>
                <w:szCs w:val="20"/>
                <w:color w:val="auto"/>
              </w:rPr>
            </w:pPr>
            <w:r>
              <w:rPr>
                <w:rFonts w:ascii="Times New Roman" w:cs="Times New Roman" w:eastAsia="Times New Roman" w:hAnsi="Times New Roman"/>
                <w:sz w:val="16"/>
                <w:szCs w:val="16"/>
                <w:color w:val="auto"/>
              </w:rPr>
              <w:t>Fixed rate (including swapped debt)</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90.6 %</w:t>
            </w:r>
          </w:p>
        </w:tc>
      </w:tr>
      <w:tr>
        <w:trPr>
          <w:trHeight w:val="180"/>
        </w:trPr>
        <w:tc>
          <w:tcPr>
            <w:tcW w:w="20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Variable rate</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9.4 %</w:t>
            </w:r>
          </w:p>
        </w:tc>
      </w:tr>
      <w:tr>
        <w:trPr>
          <w:trHeight w:val="212"/>
        </w:trPr>
        <w:tc>
          <w:tcPr>
            <w:tcW w:w="2060" w:type="dxa"/>
            <w:vAlign w:val="bottom"/>
            <w:tcBorders>
              <w:bottom w:val="single" w:sz="8" w:color="CCEEFF"/>
            </w:tcBorders>
          </w:tcPr>
          <w:p>
            <w:pPr>
              <w:spacing w:after="0" w:line="172" w:lineRule="exact"/>
              <w:rPr>
                <w:sz w:val="20"/>
                <w:szCs w:val="20"/>
                <w:color w:val="auto"/>
              </w:rPr>
            </w:pPr>
            <w:r>
              <w:rPr>
                <w:rFonts w:ascii="Times New Roman" w:cs="Times New Roman" w:eastAsia="Times New Roman" w:hAnsi="Times New Roman"/>
                <w:sz w:val="16"/>
                <w:szCs w:val="16"/>
                <w:color w:val="auto"/>
              </w:rPr>
              <w:t>Total</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100.0</w:t>
            </w:r>
          </w:p>
        </w:tc>
        <w:tc>
          <w:tcPr>
            <w:tcW w:w="160" w:type="dxa"/>
            <w:vAlign w:val="bottom"/>
            <w:tcBorders>
              <w:bottom w:val="single" w:sz="8" w:color="CCEEFF"/>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r>
      <w:tr>
        <w:trPr>
          <w:trHeight w:val="156"/>
        </w:trPr>
        <w:tc>
          <w:tcPr>
            <w:tcW w:w="20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80"/>
        </w:trPr>
        <w:tc>
          <w:tcPr>
            <w:tcW w:w="3340" w:type="dxa"/>
            <w:vAlign w:val="bottom"/>
            <w:gridSpan w:val="5"/>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Effective Interest Rate as of December 31, 2024</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80"/>
        </w:trPr>
        <w:tc>
          <w:tcPr>
            <w:tcW w:w="3340" w:type="dxa"/>
            <w:vAlign w:val="bottom"/>
            <w:gridSpan w:val="5"/>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Fixed rate (including hedged variable rate debt)</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2.58 %</w:t>
            </w:r>
          </w:p>
        </w:tc>
      </w:tr>
      <w:tr>
        <w:trPr>
          <w:trHeight w:val="180"/>
        </w:trPr>
        <w:tc>
          <w:tcPr>
            <w:tcW w:w="20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Variable rate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4.07 %</w:t>
            </w:r>
          </w:p>
        </w:tc>
      </w:tr>
      <w:tr>
        <w:trPr>
          <w:trHeight w:val="180"/>
        </w:trPr>
        <w:tc>
          <w:tcPr>
            <w:tcW w:w="20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Effective interest rate</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2.72 %</w:t>
            </w:r>
          </w:p>
        </w:tc>
      </w:tr>
      <w:tr>
        <w:trPr>
          <w:trHeight w:val="370"/>
        </w:trPr>
        <w:tc>
          <w:tcPr>
            <w:tcW w:w="3340" w:type="dxa"/>
            <w:vAlign w:val="bottom"/>
            <w:gridSpan w:val="5"/>
          </w:tcPr>
          <w:p>
            <w:pPr>
              <w:spacing w:after="0"/>
              <w:rPr>
                <w:sz w:val="20"/>
                <w:szCs w:val="20"/>
                <w:color w:val="auto"/>
              </w:rPr>
            </w:pPr>
            <w:r>
              <w:rPr>
                <w:rFonts w:ascii="Times New Roman" w:cs="Times New Roman" w:eastAsia="Times New Roman" w:hAnsi="Times New Roman"/>
                <w:sz w:val="16"/>
                <w:szCs w:val="16"/>
                <w:color w:val="auto"/>
                <w:w w:val="99"/>
              </w:rPr>
              <w:t>Contractual Debt Maturities and Principal Payments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11"/>
        </w:trPr>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w w:val="98"/>
              </w:rPr>
              <w:t>Global Revolving</w:t>
            </w:r>
          </w:p>
        </w:tc>
        <w:tc>
          <w:tcPr>
            <w:tcW w:w="160" w:type="dxa"/>
            <w:vAlign w:val="bottom"/>
          </w:tcPr>
          <w:p>
            <w:pPr>
              <w:spacing w:after="0"/>
              <w:rPr>
                <w:sz w:val="24"/>
                <w:szCs w:val="24"/>
                <w:color w:val="auto"/>
              </w:rPr>
            </w:pPr>
          </w:p>
        </w:tc>
        <w:tc>
          <w:tcPr>
            <w:tcW w:w="960" w:type="dxa"/>
            <w:vAlign w:val="bottom"/>
          </w:tcPr>
          <w:p>
            <w:pPr>
              <w:jc w:val="right"/>
              <w:ind w:right="215"/>
              <w:spacing w:after="0"/>
              <w:rPr>
                <w:sz w:val="20"/>
                <w:szCs w:val="20"/>
                <w:color w:val="auto"/>
              </w:rPr>
            </w:pPr>
            <w:r>
              <w:rPr>
                <w:rFonts w:ascii="Times New Roman" w:cs="Times New Roman" w:eastAsia="Times New Roman" w:hAnsi="Times New Roman"/>
                <w:sz w:val="12"/>
                <w:szCs w:val="12"/>
                <w:b w:val="1"/>
                <w:bCs w:val="1"/>
                <w:color w:val="auto"/>
              </w:rPr>
              <w:t>Unsecured</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Unsecured</w:t>
            </w:r>
          </w:p>
        </w:tc>
        <w:tc>
          <w:tcPr>
            <w:tcW w:w="160" w:type="dxa"/>
            <w:vAlign w:val="bottom"/>
          </w:tcPr>
          <w:p>
            <w:pPr>
              <w:spacing w:after="0"/>
              <w:rPr>
                <w:sz w:val="24"/>
                <w:szCs w:val="24"/>
                <w:color w:val="auto"/>
              </w:rPr>
            </w:pPr>
          </w:p>
        </w:tc>
        <w:tc>
          <w:tcPr>
            <w:tcW w:w="960" w:type="dxa"/>
            <w:vAlign w:val="bottom"/>
            <w:gridSpan w:val="2"/>
          </w:tcPr>
          <w:p>
            <w:pPr>
              <w:jc w:val="right"/>
              <w:ind w:right="162"/>
              <w:spacing w:after="0"/>
              <w:rPr>
                <w:sz w:val="20"/>
                <w:szCs w:val="20"/>
                <w:color w:val="auto"/>
              </w:rPr>
            </w:pPr>
            <w:r>
              <w:rPr>
                <w:rFonts w:ascii="Times New Roman" w:cs="Times New Roman" w:eastAsia="Times New Roman" w:hAnsi="Times New Roman"/>
                <w:sz w:val="12"/>
                <w:szCs w:val="12"/>
                <w:b w:val="1"/>
                <w:bCs w:val="1"/>
                <w:color w:val="auto"/>
              </w:rPr>
              <w:t>Secured and</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59"/>
        </w:trPr>
        <w:tc>
          <w:tcPr>
            <w:tcW w:w="2060" w:type="dxa"/>
            <w:vAlign w:val="bottom"/>
          </w:tcPr>
          <w:p>
            <w:pPr>
              <w:spacing w:after="0"/>
              <w:rPr>
                <w:sz w:val="13"/>
                <w:szCs w:val="13"/>
                <w:color w:val="auto"/>
              </w:rPr>
            </w:pPr>
          </w:p>
        </w:tc>
        <w:tc>
          <w:tcPr>
            <w:tcW w:w="1280" w:type="dxa"/>
            <w:vAlign w:val="bottom"/>
            <w:gridSpan w:val="4"/>
          </w:tcPr>
          <w:p>
            <w:pPr>
              <w:ind w:left="20"/>
              <w:spacing w:after="0" w:line="159" w:lineRule="exact"/>
              <w:rPr>
                <w:sz w:val="20"/>
                <w:szCs w:val="20"/>
                <w:color w:val="auto"/>
              </w:rPr>
            </w:pPr>
            <w:r>
              <w:rPr>
                <w:rFonts w:ascii="Times New Roman" w:cs="Times New Roman" w:eastAsia="Times New Roman" w:hAnsi="Times New Roman"/>
                <w:sz w:val="12"/>
                <w:szCs w:val="12"/>
                <w:b w:val="1"/>
                <w:bCs w:val="1"/>
                <w:color w:val="auto"/>
              </w:rPr>
              <w:t xml:space="preserve">Credit Facilities </w:t>
            </w:r>
            <w:r>
              <w:rPr>
                <w:rFonts w:ascii="Times New Roman" w:cs="Times New Roman" w:eastAsia="Times New Roman" w:hAnsi="Times New Roman"/>
                <w:sz w:val="16"/>
                <w:szCs w:val="16"/>
                <w:b w:val="1"/>
                <w:bCs w:val="1"/>
                <w:color w:val="auto"/>
                <w:vertAlign w:val="superscript"/>
              </w:rPr>
              <w:t>(1)(2)</w:t>
            </w:r>
          </w:p>
        </w:tc>
        <w:tc>
          <w:tcPr>
            <w:tcW w:w="160" w:type="dxa"/>
            <w:vAlign w:val="bottom"/>
          </w:tcPr>
          <w:p>
            <w:pPr>
              <w:spacing w:after="0"/>
              <w:rPr>
                <w:sz w:val="13"/>
                <w:szCs w:val="13"/>
                <w:color w:val="auto"/>
              </w:rPr>
            </w:pPr>
          </w:p>
        </w:tc>
        <w:tc>
          <w:tcPr>
            <w:tcW w:w="960" w:type="dxa"/>
            <w:vAlign w:val="bottom"/>
          </w:tcPr>
          <w:p>
            <w:pPr>
              <w:jc w:val="right"/>
              <w:ind w:right="115"/>
              <w:spacing w:after="0" w:line="159" w:lineRule="exact"/>
              <w:rPr>
                <w:sz w:val="20"/>
                <w:szCs w:val="20"/>
                <w:color w:val="auto"/>
              </w:rPr>
            </w:pPr>
            <w:r>
              <w:rPr>
                <w:rFonts w:ascii="Times New Roman" w:cs="Times New Roman" w:eastAsia="Times New Roman" w:hAnsi="Times New Roman"/>
                <w:sz w:val="12"/>
                <w:szCs w:val="12"/>
                <w:b w:val="1"/>
                <w:bCs w:val="1"/>
                <w:color w:val="auto"/>
              </w:rPr>
              <w:t>Term Loans</w:t>
            </w:r>
            <w:r>
              <w:rPr>
                <w:rFonts w:ascii="Times New Roman" w:cs="Times New Roman" w:eastAsia="Times New Roman" w:hAnsi="Times New Roman"/>
                <w:sz w:val="16"/>
                <w:szCs w:val="16"/>
                <w:b w:val="1"/>
                <w:bCs w:val="1"/>
                <w:color w:val="auto"/>
                <w:vertAlign w:val="superscript"/>
              </w:rPr>
              <w:t>(3)</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right"/>
              <w:ind w:right="360"/>
              <w:spacing w:after="0" w:line="159" w:lineRule="exact"/>
              <w:rPr>
                <w:sz w:val="20"/>
                <w:szCs w:val="20"/>
                <w:color w:val="auto"/>
              </w:rPr>
            </w:pPr>
            <w:r>
              <w:rPr>
                <w:rFonts w:ascii="Times New Roman" w:cs="Times New Roman" w:eastAsia="Times New Roman" w:hAnsi="Times New Roman"/>
                <w:sz w:val="12"/>
                <w:szCs w:val="12"/>
                <w:b w:val="1"/>
                <w:bCs w:val="1"/>
                <w:color w:val="auto"/>
              </w:rPr>
              <w:t>Senior Notes</w:t>
            </w:r>
            <w:r>
              <w:rPr>
                <w:rFonts w:ascii="Times New Roman" w:cs="Times New Roman" w:eastAsia="Times New Roman" w:hAnsi="Times New Roman"/>
                <w:sz w:val="16"/>
                <w:szCs w:val="16"/>
                <w:b w:val="1"/>
                <w:bCs w:val="1"/>
                <w:color w:val="auto"/>
                <w:vertAlign w:val="superscript"/>
              </w:rPr>
              <w:t>(4)</w:t>
            </w:r>
          </w:p>
        </w:tc>
        <w:tc>
          <w:tcPr>
            <w:tcW w:w="160" w:type="dxa"/>
            <w:vAlign w:val="bottom"/>
          </w:tcPr>
          <w:p>
            <w:pPr>
              <w:spacing w:after="0"/>
              <w:rPr>
                <w:sz w:val="13"/>
                <w:szCs w:val="13"/>
                <w:color w:val="auto"/>
              </w:rPr>
            </w:pPr>
          </w:p>
        </w:tc>
        <w:tc>
          <w:tcPr>
            <w:tcW w:w="960" w:type="dxa"/>
            <w:vAlign w:val="bottom"/>
            <w:gridSpan w:val="2"/>
          </w:tcPr>
          <w:p>
            <w:pPr>
              <w:jc w:val="right"/>
              <w:ind w:right="202"/>
              <w:spacing w:after="0"/>
              <w:rPr>
                <w:sz w:val="20"/>
                <w:szCs w:val="20"/>
                <w:color w:val="auto"/>
              </w:rPr>
            </w:pPr>
            <w:r>
              <w:rPr>
                <w:rFonts w:ascii="Times New Roman" w:cs="Times New Roman" w:eastAsia="Times New Roman" w:hAnsi="Times New Roman"/>
                <w:sz w:val="12"/>
                <w:szCs w:val="12"/>
                <w:b w:val="1"/>
                <w:bCs w:val="1"/>
                <w:color w:val="auto"/>
              </w:rPr>
              <w:t>Other Debt</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right"/>
              <w:ind w:right="222"/>
              <w:spacing w:after="0"/>
              <w:rPr>
                <w:sz w:val="20"/>
                <w:szCs w:val="20"/>
                <w:color w:val="auto"/>
              </w:rPr>
            </w:pPr>
            <w:r>
              <w:rPr>
                <w:rFonts w:ascii="Times New Roman" w:cs="Times New Roman" w:eastAsia="Times New Roman" w:hAnsi="Times New Roman"/>
                <w:sz w:val="12"/>
                <w:szCs w:val="12"/>
                <w:b w:val="1"/>
                <w:bCs w:val="1"/>
                <w:color w:val="auto"/>
              </w:rPr>
              <w:t>Total Debt</w:t>
            </w:r>
          </w:p>
        </w:tc>
      </w:tr>
      <w:tr>
        <w:trPr>
          <w:trHeight w:val="148"/>
        </w:trPr>
        <w:tc>
          <w:tcPr>
            <w:tcW w:w="206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2025</w:t>
            </w:r>
          </w:p>
        </w:tc>
        <w:tc>
          <w:tcPr>
            <w:tcW w:w="100" w:type="dxa"/>
            <w:vAlign w:val="bottom"/>
            <w:tcBorders>
              <w:top w:val="single" w:sz="8" w:color="auto"/>
            </w:tcBorders>
            <w:gridSpan w:val="2"/>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388,275</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1,173,650</w:t>
            </w: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14"/>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782</w:t>
            </w: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34"/>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1,562,707</w:t>
            </w:r>
          </w:p>
        </w:tc>
      </w:tr>
      <w:tr>
        <w:trPr>
          <w:trHeight w:val="156"/>
        </w:trPr>
        <w:tc>
          <w:tcPr>
            <w:tcW w:w="2060" w:type="dxa"/>
            <w:vAlign w:val="bottom"/>
          </w:tcPr>
          <w:p>
            <w:pPr>
              <w:spacing w:after="0"/>
              <w:rPr>
                <w:sz w:val="20"/>
                <w:szCs w:val="20"/>
                <w:color w:val="auto"/>
              </w:rPr>
            </w:pPr>
            <w:r>
              <w:rPr>
                <w:rFonts w:ascii="Times New Roman" w:cs="Times New Roman" w:eastAsia="Times New Roman" w:hAnsi="Times New Roman"/>
                <w:sz w:val="13"/>
                <w:szCs w:val="13"/>
                <w:color w:val="auto"/>
              </w:rPr>
              <w:t>2026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1,416,042</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114,505</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1,530,547</w:t>
            </w:r>
          </w:p>
        </w:tc>
      </w:tr>
      <w:tr>
        <w:trPr>
          <w:trHeight w:val="156"/>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2027</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1,165,265</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234,023</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1,399,288</w:t>
            </w:r>
          </w:p>
        </w:tc>
      </w:tr>
      <w:tr>
        <w:trPr>
          <w:trHeight w:val="156"/>
        </w:trPr>
        <w:tc>
          <w:tcPr>
            <w:tcW w:w="2060" w:type="dxa"/>
            <w:vAlign w:val="bottom"/>
          </w:tcPr>
          <w:p>
            <w:pPr>
              <w:spacing w:after="0"/>
              <w:rPr>
                <w:sz w:val="20"/>
                <w:szCs w:val="20"/>
                <w:color w:val="auto"/>
              </w:rPr>
            </w:pPr>
            <w:r>
              <w:rPr>
                <w:rFonts w:ascii="Times New Roman" w:cs="Times New Roman" w:eastAsia="Times New Roman" w:hAnsi="Times New Roman"/>
                <w:sz w:val="13"/>
                <w:szCs w:val="13"/>
                <w:color w:val="auto"/>
              </w:rPr>
              <w:t>2028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2,067,700</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354,999</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2,422,699</w:t>
            </w:r>
          </w:p>
        </w:tc>
      </w:tr>
      <w:tr>
        <w:trPr>
          <w:trHeight w:val="156"/>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2029</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1,637,922</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2,785,538</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13,946</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4,437,406</w:t>
            </w:r>
          </w:p>
        </w:tc>
      </w:tr>
      <w:tr>
        <w:trPr>
          <w:trHeight w:val="156"/>
        </w:trPr>
        <w:tc>
          <w:tcPr>
            <w:tcW w:w="2060" w:type="dxa"/>
            <w:vAlign w:val="bottom"/>
          </w:tcPr>
          <w:p>
            <w:pPr>
              <w:spacing w:after="0"/>
              <w:rPr>
                <w:sz w:val="20"/>
                <w:szCs w:val="20"/>
                <w:color w:val="auto"/>
              </w:rPr>
            </w:pPr>
            <w:r>
              <w:rPr>
                <w:rFonts w:ascii="Times New Roman" w:cs="Times New Roman" w:eastAsia="Times New Roman" w:hAnsi="Times New Roman"/>
                <w:sz w:val="13"/>
                <w:szCs w:val="13"/>
                <w:color w:val="auto"/>
              </w:rPr>
              <w:t>Thereafter</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5,451,220</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43,008</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5,494,228</w:t>
            </w:r>
          </w:p>
        </w:tc>
      </w:tr>
      <w:tr>
        <w:trPr>
          <w:trHeight w:val="148"/>
        </w:trPr>
        <w:tc>
          <w:tcPr>
            <w:tcW w:w="2060" w:type="dxa"/>
            <w:vAlign w:val="bottom"/>
            <w:tcBorders>
              <w:top w:val="single" w:sz="8" w:color="CCEEFF"/>
            </w:tcBorders>
            <w:shd w:val="clear" w:color="auto" w:fill="CCEEFF"/>
          </w:tcPr>
          <w:p>
            <w:pPr>
              <w:ind w:left="280"/>
              <w:spacing w:after="0" w:line="148" w:lineRule="exact"/>
              <w:rPr>
                <w:sz w:val="20"/>
                <w:szCs w:val="20"/>
                <w:color w:val="auto"/>
              </w:rPr>
            </w:pPr>
            <w:r>
              <w:rPr>
                <w:rFonts w:ascii="Times New Roman" w:cs="Times New Roman" w:eastAsia="Times New Roman" w:hAnsi="Times New Roman"/>
                <w:sz w:val="13"/>
                <w:szCs w:val="13"/>
                <w:color w:val="auto"/>
              </w:rPr>
              <w:t>Subtotal</w:t>
            </w:r>
          </w:p>
        </w:tc>
        <w:tc>
          <w:tcPr>
            <w:tcW w:w="100" w:type="dxa"/>
            <w:vAlign w:val="bottom"/>
            <w:tcBorders>
              <w:top w:val="single" w:sz="8" w:color="auto"/>
            </w:tcBorders>
            <w:gridSpan w:val="2"/>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1,637,922</w:t>
            </w: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388,275</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14,059,415</w:t>
            </w: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14"/>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761,263</w:t>
            </w: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34"/>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16,846,875</w:t>
            </w:r>
          </w:p>
        </w:tc>
      </w:tr>
      <w:tr>
        <w:trPr>
          <w:trHeight w:val="156"/>
        </w:trPr>
        <w:tc>
          <w:tcPr>
            <w:tcW w:w="2060" w:type="dxa"/>
            <w:vAlign w:val="bottom"/>
          </w:tcPr>
          <w:p>
            <w:pPr>
              <w:spacing w:after="0"/>
              <w:rPr>
                <w:sz w:val="20"/>
                <w:szCs w:val="20"/>
                <w:color w:val="auto"/>
              </w:rPr>
            </w:pPr>
            <w:r>
              <w:rPr>
                <w:rFonts w:ascii="Times New Roman" w:cs="Times New Roman" w:eastAsia="Times New Roman" w:hAnsi="Times New Roman"/>
                <w:sz w:val="13"/>
                <w:szCs w:val="13"/>
                <w:color w:val="auto"/>
              </w:rPr>
              <w:t>Unamortized net discounts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(27,476)</w:t>
            </w:r>
          </w:p>
        </w:tc>
        <w:tc>
          <w:tcPr>
            <w:tcW w:w="16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(3,658)</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(31,134)</w:t>
            </w:r>
          </w:p>
        </w:tc>
      </w:tr>
      <w:tr>
        <w:trPr>
          <w:trHeight w:val="144"/>
        </w:trPr>
        <w:tc>
          <w:tcPr>
            <w:tcW w:w="206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Unamortized deferred financing</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68"/>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costs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(26,614)</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(1,372)</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(69,087)</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(4,291)</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(101,364)</w:t>
            </w:r>
          </w:p>
        </w:tc>
      </w:tr>
      <w:tr>
        <w:trPr>
          <w:trHeight w:val="148"/>
        </w:trPr>
        <w:tc>
          <w:tcPr>
            <w:tcW w:w="2060" w:type="dxa"/>
            <w:vAlign w:val="bottom"/>
          </w:tcPr>
          <w:p>
            <w:pPr>
              <w:ind w:left="480"/>
              <w:spacing w:after="0" w:line="148" w:lineRule="exact"/>
              <w:rPr>
                <w:sz w:val="20"/>
                <w:szCs w:val="20"/>
                <w:color w:val="auto"/>
              </w:rPr>
            </w:pPr>
            <w:r>
              <w:rPr>
                <w:rFonts w:ascii="Times New Roman" w:cs="Times New Roman" w:eastAsia="Times New Roman" w:hAnsi="Times New Roman"/>
                <w:sz w:val="13"/>
                <w:szCs w:val="13"/>
                <w:color w:val="auto"/>
              </w:rPr>
              <w:t>Total</w:t>
            </w:r>
          </w:p>
        </w:tc>
        <w:tc>
          <w:tcPr>
            <w:tcW w:w="100" w:type="dxa"/>
            <w:vAlign w:val="bottom"/>
            <w:tcBorders>
              <w:top w:val="single" w:sz="8" w:color="auto"/>
              <w:bottom w:val="single" w:sz="8" w:color="auto"/>
            </w:tcBorders>
            <w:gridSpan w:val="2"/>
          </w:tcPr>
          <w:p>
            <w:pPr>
              <w:ind w:left="20"/>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1,611,308</w:t>
            </w:r>
          </w:p>
        </w:tc>
        <w:tc>
          <w:tcPr>
            <w:tcW w:w="18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386,903</w:t>
            </w:r>
          </w:p>
        </w:tc>
        <w:tc>
          <w:tcPr>
            <w:tcW w:w="18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13,962,852</w:t>
            </w:r>
          </w:p>
        </w:tc>
        <w:tc>
          <w:tcPr>
            <w:tcW w:w="18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14"/>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gridSpan w:val="2"/>
          </w:tcPr>
          <w:p>
            <w:pPr>
              <w:jc w:val="right"/>
              <w:spacing w:after="0" w:line="148" w:lineRule="exact"/>
              <w:rPr>
                <w:sz w:val="20"/>
                <w:szCs w:val="20"/>
                <w:color w:val="auto"/>
              </w:rPr>
            </w:pPr>
            <w:r>
              <w:rPr>
                <w:rFonts w:ascii="Times New Roman" w:cs="Times New Roman" w:eastAsia="Times New Roman" w:hAnsi="Times New Roman"/>
                <w:sz w:val="13"/>
                <w:szCs w:val="13"/>
                <w:color w:val="auto"/>
              </w:rPr>
              <w:t>753,314</w:t>
            </w:r>
          </w:p>
        </w:tc>
        <w:tc>
          <w:tcPr>
            <w:tcW w:w="18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34"/>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gridSpan w:val="2"/>
          </w:tcPr>
          <w:p>
            <w:pPr>
              <w:jc w:val="right"/>
              <w:spacing w:after="0" w:line="148" w:lineRule="exact"/>
              <w:rPr>
                <w:sz w:val="20"/>
                <w:szCs w:val="20"/>
                <w:color w:val="auto"/>
              </w:rPr>
            </w:pPr>
            <w:r>
              <w:rPr>
                <w:rFonts w:ascii="Times New Roman" w:cs="Times New Roman" w:eastAsia="Times New Roman" w:hAnsi="Times New Roman"/>
                <w:sz w:val="13"/>
                <w:szCs w:val="13"/>
                <w:color w:val="auto"/>
              </w:rPr>
              <w:t>16,714,377</w:t>
            </w:r>
          </w:p>
        </w:tc>
      </w:tr>
      <w:tr>
        <w:trPr>
          <w:trHeight w:val="20"/>
        </w:trPr>
        <w:tc>
          <w:tcPr>
            <w:tcW w:w="20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72"/>
        </w:trPr>
        <w:tc>
          <w:tcPr>
            <w:tcW w:w="20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r>
    </w:tbl>
    <w:p>
      <w:pPr>
        <w:spacing w:after="0" w:line="59" w:lineRule="exact"/>
        <w:rPr>
          <w:sz w:val="20"/>
          <w:szCs w:val="20"/>
          <w:color w:val="auto"/>
        </w:rPr>
      </w:pPr>
    </w:p>
    <w:p>
      <w:pPr>
        <w:ind w:left="600" w:hanging="282"/>
        <w:spacing w:after="0"/>
        <w:tabs>
          <w:tab w:leader="none" w:pos="60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amounts outstanding under the Global Revolving Credit Facilities.</w:t>
      </w:r>
    </w:p>
    <w:p>
      <w:pPr>
        <w:spacing w:after="0" w:line="14" w:lineRule="exact"/>
        <w:rPr>
          <w:rFonts w:ascii="Times New Roman" w:cs="Times New Roman" w:eastAsia="Times New Roman" w:hAnsi="Times New Roman"/>
          <w:sz w:val="16"/>
          <w:szCs w:val="16"/>
          <w:color w:val="auto"/>
        </w:rPr>
      </w:pPr>
    </w:p>
    <w:p>
      <w:pPr>
        <w:jc w:val="both"/>
        <w:ind w:left="600" w:right="780" w:hanging="282"/>
        <w:spacing w:after="0" w:line="234" w:lineRule="auto"/>
        <w:tabs>
          <w:tab w:leader="none" w:pos="60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Global Revolving Credit Facilities are subject to two six-month extension options exercisable by us; provided that the Operating Partnership must pay a 0.0625% extension fee based on each lender’s revolving commitments then outstanding (whether funded or unfunded).</w:t>
      </w:r>
    </w:p>
    <w:p>
      <w:pPr>
        <w:spacing w:after="0" w:line="1" w:lineRule="exact"/>
        <w:rPr>
          <w:rFonts w:ascii="Times New Roman" w:cs="Times New Roman" w:eastAsia="Times New Roman" w:hAnsi="Times New Roman"/>
          <w:sz w:val="16"/>
          <w:szCs w:val="16"/>
          <w:color w:val="auto"/>
        </w:rPr>
      </w:pPr>
    </w:p>
    <w:p>
      <w:pPr>
        <w:ind w:left="600" w:right="800" w:hanging="282"/>
        <w:spacing w:after="0" w:line="234" w:lineRule="auto"/>
        <w:tabs>
          <w:tab w:leader="none" w:pos="60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€375.0 million 2025-27 Term Facility is subject to two maturity extension options of one year each, provided that the Operating Partnership must pay a 0.125% extension fee based on the then-outstanding principal amount of such facility commitments then outstanding.</w:t>
      </w:r>
    </w:p>
    <w:p>
      <w:pPr>
        <w:spacing w:after="0" w:line="1" w:lineRule="exact"/>
        <w:rPr>
          <w:rFonts w:ascii="Times New Roman" w:cs="Times New Roman" w:eastAsia="Times New Roman" w:hAnsi="Times New Roman"/>
          <w:sz w:val="16"/>
          <w:szCs w:val="16"/>
          <w:color w:val="auto"/>
        </w:rPr>
      </w:pPr>
    </w:p>
    <w:p>
      <w:pPr>
        <w:ind w:left="600" w:hanging="282"/>
        <w:spacing w:after="0"/>
        <w:tabs>
          <w:tab w:leader="none" w:pos="60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£400 million 4.250% unsecured senior note was paid at maturity on January 17, 2025.</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79" w:name="page80"/>
    <w:bookmarkEnd w:id="79"/>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6" w:lineRule="exact"/>
        <w:rPr>
          <w:sz w:val="20"/>
          <w:szCs w:val="20"/>
          <w:color w:val="auto"/>
        </w:rPr>
      </w:pPr>
    </w:p>
    <w:p>
      <w:pPr>
        <w:ind w:left="320" w:right="300"/>
        <w:spacing w:after="0" w:line="239" w:lineRule="auto"/>
        <w:rPr>
          <w:sz w:val="20"/>
          <w:szCs w:val="20"/>
          <w:color w:val="auto"/>
        </w:rPr>
      </w:pPr>
      <w:r>
        <w:rPr>
          <w:rFonts w:ascii="Times New Roman" w:cs="Times New Roman" w:eastAsia="Times New Roman" w:hAnsi="Times New Roman"/>
          <w:sz w:val="16"/>
          <w:szCs w:val="16"/>
          <w:color w:val="auto"/>
        </w:rPr>
        <w:t>Our ratio of debt to total enterprise value was approximately 21.4% (based on the closing price of Digital Realty Trust, Inc.’s common stock on December 31, 2024 of $177.33). For this purpose, our total enterprise value is defined as the sum of the market value of Digital Realty Trust, Inc.’s outstanding common stock (which may decrease, thereby increasing our debt to total enterprise value ratio), plus the liquidation value of Digital Realty Trust, Inc.’s preferred stock, plus the aggregate value of our Operating Partnership’s units not held by Digital Realty Trust, Inc. (with the per unit value equal to the market value of one share of Digital Realty Trust, Inc.’s common stock and excluding long-term incentive units, Class C units and Class D units), plus the book value of our total consolidated indebtedness.</w:t>
      </w:r>
    </w:p>
    <w:p>
      <w:pPr>
        <w:spacing w:after="0" w:line="170" w:lineRule="exact"/>
        <w:rPr>
          <w:sz w:val="20"/>
          <w:szCs w:val="20"/>
          <w:color w:val="auto"/>
        </w:rPr>
      </w:pPr>
    </w:p>
    <w:p>
      <w:pPr>
        <w:ind w:left="320" w:right="340"/>
        <w:spacing w:after="0" w:line="243" w:lineRule="auto"/>
        <w:rPr>
          <w:sz w:val="20"/>
          <w:szCs w:val="20"/>
          <w:color w:val="auto"/>
        </w:rPr>
      </w:pPr>
      <w:r>
        <w:rPr>
          <w:rFonts w:ascii="Times New Roman" w:cs="Times New Roman" w:eastAsia="Times New Roman" w:hAnsi="Times New Roman"/>
          <w:sz w:val="16"/>
          <w:szCs w:val="16"/>
          <w:color w:val="auto"/>
        </w:rPr>
        <w:t>The variable rate debt shown above bears interest based on various one-month SOFR, EURIBOR, HIBOR, TIBOR, Base CD Rate, CDOR and JIBAR rates, depending on the respective agreement governing the debt, including our Global Revolving Credit Facilities, unsecured term loans, Teraco loans and ICN10 Facilities. As of December 31, 2023, our debt had a weighted average term to initial maturity of approximately 4.2 years (or approximately 4.4 years assuming exercise of extension options).</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Off-Balance Sheet Arrangements</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As of December 31, 2024, our pro-rata share of secured debt of unconsolidated entities was approximately $1.4 billion.</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Cash Flows</w:t>
      </w:r>
    </w:p>
    <w:p>
      <w:pPr>
        <w:spacing w:after="0" w:line="190" w:lineRule="exact"/>
        <w:rPr>
          <w:sz w:val="20"/>
          <w:szCs w:val="20"/>
          <w:color w:val="auto"/>
        </w:rPr>
      </w:pPr>
    </w:p>
    <w:p>
      <w:pPr>
        <w:ind w:left="320" w:right="440"/>
        <w:spacing w:after="0" w:line="259" w:lineRule="auto"/>
        <w:rPr>
          <w:sz w:val="20"/>
          <w:szCs w:val="20"/>
          <w:color w:val="auto"/>
        </w:rPr>
      </w:pPr>
      <w:r>
        <w:rPr>
          <w:rFonts w:ascii="Times New Roman" w:cs="Times New Roman" w:eastAsia="Times New Roman" w:hAnsi="Times New Roman"/>
          <w:sz w:val="16"/>
          <w:szCs w:val="16"/>
          <w:color w:val="auto"/>
        </w:rPr>
        <w:t>The following summary discussion of our cash flows is based on the consolidated statements of cash flows and is not meant to be an all-inclusive discussion of the changes in our cash flows for the periods presented below.</w:t>
      </w:r>
    </w:p>
    <w:p>
      <w:pPr>
        <w:spacing w:after="0" w:line="1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Comparison of Year Ended December 31, 2024 to Year Ended December 31, 2023</w:t>
      </w:r>
    </w:p>
    <w:p>
      <w:pPr>
        <w:spacing w:after="0" w:line="190" w:lineRule="exact"/>
        <w:rPr>
          <w:sz w:val="20"/>
          <w:szCs w:val="20"/>
          <w:color w:val="auto"/>
        </w:rPr>
      </w:pPr>
    </w:p>
    <w:p>
      <w:pPr>
        <w:ind w:left="320" w:right="580"/>
        <w:spacing w:after="0" w:line="259" w:lineRule="auto"/>
        <w:rPr>
          <w:sz w:val="20"/>
          <w:szCs w:val="20"/>
          <w:color w:val="auto"/>
        </w:rPr>
      </w:pPr>
      <w:r>
        <w:rPr>
          <w:rFonts w:ascii="Times New Roman" w:cs="Times New Roman" w:eastAsia="Times New Roman" w:hAnsi="Times New Roman"/>
          <w:sz w:val="16"/>
          <w:szCs w:val="16"/>
          <w:color w:val="auto"/>
        </w:rPr>
        <w:t>The following table shows cash flows and ending cash, cash equivalents and restricted cash balances for the respective periods (in thousands).</w:t>
      </w:r>
    </w:p>
    <w:p>
      <w:pPr>
        <w:spacing w:after="0" w:line="154" w:lineRule="exact"/>
        <w:rPr>
          <w:sz w:val="20"/>
          <w:szCs w:val="20"/>
          <w:color w:val="auto"/>
        </w:rPr>
      </w:pPr>
    </w:p>
    <w:tbl>
      <w:tblPr>
        <w:tblLayout w:type="fixed"/>
        <w:tblInd w:w="320" w:type="dxa"/>
        <w:tblCellMar>
          <w:top w:w="0" w:type="dxa"/>
          <w:left w:w="0" w:type="dxa"/>
          <w:bottom w:w="0" w:type="dxa"/>
          <w:right w:w="0" w:type="dxa"/>
        </w:tblCellMar>
      </w:tblPr>
      <w:tr>
        <w:trPr>
          <w:trHeight w:val="170"/>
        </w:trPr>
        <w:tc>
          <w:tcPr>
            <w:tcW w:w="4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8"/>
        </w:trPr>
        <w:tc>
          <w:tcPr>
            <w:tcW w:w="43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86"/>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84"/>
              <w:spacing w:after="0" w:line="148" w:lineRule="exact"/>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04"/>
              <w:spacing w:after="0" w:line="148" w:lineRule="exact"/>
              <w:rPr>
                <w:sz w:val="20"/>
                <w:szCs w:val="20"/>
                <w:color w:val="auto"/>
              </w:rPr>
            </w:pPr>
            <w:r>
              <w:rPr>
                <w:rFonts w:ascii="Times New Roman" w:cs="Times New Roman" w:eastAsia="Times New Roman" w:hAnsi="Times New Roman"/>
                <w:sz w:val="13"/>
                <w:szCs w:val="13"/>
                <w:b w:val="1"/>
                <w:bCs w:val="1"/>
                <w:color w:val="auto"/>
              </w:rPr>
              <w:t>Change</w:t>
            </w:r>
          </w:p>
        </w:tc>
        <w:tc>
          <w:tcPr>
            <w:tcW w:w="20" w:type="dxa"/>
            <w:vAlign w:val="bottom"/>
          </w:tcPr>
          <w:p>
            <w:pPr>
              <w:spacing w:after="0"/>
              <w:rPr>
                <w:sz w:val="12"/>
                <w:szCs w:val="12"/>
                <w:color w:val="auto"/>
              </w:rPr>
            </w:pPr>
          </w:p>
        </w:tc>
      </w:tr>
      <w:tr>
        <w:trPr>
          <w:trHeight w:val="172"/>
        </w:trPr>
        <w:tc>
          <w:tcPr>
            <w:tcW w:w="430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shd w:val="clear" w:color="auto" w:fill="CCEEFF"/>
          </w:tcPr>
          <w:p>
            <w:pPr>
              <w:jc w:val="right"/>
              <w:ind w:right="14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center"/>
              <w:ind w:left="246"/>
              <w:spacing w:after="0" w:line="172" w:lineRule="exact"/>
              <w:rPr>
                <w:sz w:val="20"/>
                <w:szCs w:val="20"/>
                <w:color w:val="auto"/>
              </w:rPr>
            </w:pPr>
            <w:r>
              <w:rPr>
                <w:rFonts w:ascii="Times New Roman" w:cs="Times New Roman" w:eastAsia="Times New Roman" w:hAnsi="Times New Roman"/>
                <w:sz w:val="16"/>
                <w:szCs w:val="16"/>
                <w:color w:val="auto"/>
                <w:w w:val="96"/>
              </w:rPr>
              <w:t>2,261,477</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1,634,780</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626,697</w:t>
            </w:r>
          </w:p>
        </w:tc>
        <w:tc>
          <w:tcPr>
            <w:tcW w:w="20" w:type="dxa"/>
            <w:vAlign w:val="bottom"/>
          </w:tcPr>
          <w:p>
            <w:pPr>
              <w:spacing w:after="0"/>
              <w:rPr>
                <w:sz w:val="14"/>
                <w:szCs w:val="14"/>
                <w:color w:val="auto"/>
              </w:rPr>
            </w:pPr>
          </w:p>
        </w:tc>
      </w:tr>
      <w:tr>
        <w:trPr>
          <w:trHeight w:val="180"/>
        </w:trPr>
        <w:tc>
          <w:tcPr>
            <w:tcW w:w="43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tcPr>
          <w:p>
            <w:pPr>
              <w:spacing w:after="0"/>
              <w:rPr>
                <w:sz w:val="15"/>
                <w:szCs w:val="15"/>
                <w:color w:val="auto"/>
              </w:rPr>
            </w:pPr>
          </w:p>
        </w:tc>
        <w:tc>
          <w:tcPr>
            <w:tcW w:w="1060" w:type="dxa"/>
            <w:vAlign w:val="bottom"/>
          </w:tcPr>
          <w:p>
            <w:pPr>
              <w:jc w:val="center"/>
              <w:ind w:left="246"/>
              <w:spacing w:after="0" w:line="180" w:lineRule="exact"/>
              <w:rPr>
                <w:sz w:val="20"/>
                <w:szCs w:val="20"/>
                <w:color w:val="auto"/>
              </w:rPr>
            </w:pPr>
            <w:r>
              <w:rPr>
                <w:rFonts w:ascii="Times New Roman" w:cs="Times New Roman" w:eastAsia="Times New Roman" w:hAnsi="Times New Roman"/>
                <w:sz w:val="16"/>
                <w:szCs w:val="16"/>
                <w:color w:val="auto"/>
                <w:w w:val="99"/>
              </w:rPr>
              <w:t>(1,906,157)</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(1,115,111)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(791,046)</w:t>
            </w:r>
          </w:p>
        </w:tc>
        <w:tc>
          <w:tcPr>
            <w:tcW w:w="20" w:type="dxa"/>
            <w:vAlign w:val="bottom"/>
          </w:tcPr>
          <w:p>
            <w:pPr>
              <w:spacing w:after="0"/>
              <w:rPr>
                <w:sz w:val="15"/>
                <w:szCs w:val="15"/>
                <w:color w:val="auto"/>
              </w:rPr>
            </w:pPr>
          </w:p>
        </w:tc>
      </w:tr>
      <w:tr>
        <w:trPr>
          <w:trHeight w:val="180"/>
        </w:trPr>
        <w:tc>
          <w:tcPr>
            <w:tcW w:w="43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Net cash provided by financing activities</w:t>
            </w: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center"/>
              <w:ind w:left="246"/>
              <w:spacing w:after="0" w:line="180" w:lineRule="exact"/>
              <w:rPr>
                <w:sz w:val="20"/>
                <w:szCs w:val="20"/>
                <w:color w:val="auto"/>
              </w:rPr>
            </w:pPr>
            <w:r>
              <w:rPr>
                <w:rFonts w:ascii="Times New Roman" w:cs="Times New Roman" w:eastAsia="Times New Roman" w:hAnsi="Times New Roman"/>
                <w:sz w:val="16"/>
                <w:szCs w:val="16"/>
                <w:color w:val="auto"/>
                <w:w w:val="96"/>
              </w:rPr>
              <w:t>2,063,433</w:t>
            </w:r>
          </w:p>
        </w:tc>
        <w:tc>
          <w:tcPr>
            <w:tcW w:w="2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963,474</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1,099,959</w:t>
            </w:r>
          </w:p>
        </w:tc>
        <w:tc>
          <w:tcPr>
            <w:tcW w:w="20" w:type="dxa"/>
            <w:vAlign w:val="bottom"/>
          </w:tcPr>
          <w:p>
            <w:pPr>
              <w:spacing w:after="0"/>
              <w:rPr>
                <w:sz w:val="15"/>
                <w:szCs w:val="15"/>
                <w:color w:val="auto"/>
              </w:rPr>
            </w:pPr>
          </w:p>
        </w:tc>
      </w:tr>
      <w:tr>
        <w:trPr>
          <w:trHeight w:val="172"/>
        </w:trPr>
        <w:tc>
          <w:tcPr>
            <w:tcW w:w="430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300" w:type="dxa"/>
            <w:vAlign w:val="bottom"/>
            <w:tcBorders>
              <w:bottom w:val="single" w:sz="8" w:color="auto"/>
            </w:tcBorders>
          </w:tcPr>
          <w:p>
            <w:pPr>
              <w:jc w:val="right"/>
              <w:ind w:right="14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center"/>
              <w:ind w:left="246"/>
              <w:spacing w:after="0" w:line="172" w:lineRule="exact"/>
              <w:rPr>
                <w:sz w:val="20"/>
                <w:szCs w:val="20"/>
                <w:color w:val="auto"/>
              </w:rPr>
            </w:pPr>
            <w:r>
              <w:rPr>
                <w:rFonts w:ascii="Times New Roman" w:cs="Times New Roman" w:eastAsia="Times New Roman" w:hAnsi="Times New Roman"/>
                <w:sz w:val="16"/>
                <w:szCs w:val="16"/>
                <w:color w:val="auto"/>
                <w:w w:val="96"/>
              </w:rPr>
              <w:t>2,418,753</w:t>
            </w:r>
          </w:p>
        </w:tc>
        <w:tc>
          <w:tcPr>
            <w:tcW w:w="220" w:type="dxa"/>
            <w:vAlign w:val="bottom"/>
          </w:tcPr>
          <w:p>
            <w:pPr>
              <w:spacing w:after="0"/>
              <w:rPr>
                <w:sz w:val="14"/>
                <w:szCs w:val="14"/>
                <w:color w:val="auto"/>
              </w:rPr>
            </w:pPr>
          </w:p>
        </w:tc>
        <w:tc>
          <w:tcPr>
            <w:tcW w:w="260" w:type="dxa"/>
            <w:vAlign w:val="bottom"/>
            <w:tcBorders>
              <w:bottom w:val="single" w:sz="8" w:color="auto"/>
            </w:tcBorders>
          </w:tcPr>
          <w:p>
            <w:pPr>
              <w:jc w:val="right"/>
              <w:ind w:right="10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1,483,143</w:t>
            </w:r>
          </w:p>
        </w:tc>
        <w:tc>
          <w:tcPr>
            <w:tcW w:w="120" w:type="dxa"/>
            <w:vAlign w:val="bottom"/>
          </w:tcPr>
          <w:p>
            <w:pPr>
              <w:spacing w:after="0"/>
              <w:rPr>
                <w:sz w:val="14"/>
                <w:szCs w:val="14"/>
                <w:color w:val="auto"/>
              </w:rPr>
            </w:pPr>
          </w:p>
        </w:tc>
        <w:tc>
          <w:tcPr>
            <w:tcW w:w="240" w:type="dxa"/>
            <w:vAlign w:val="bottom"/>
            <w:tcBorders>
              <w:bottom w:val="single" w:sz="8" w:color="auto"/>
            </w:tcBorders>
          </w:tcPr>
          <w:p>
            <w:pPr>
              <w:jc w:val="right"/>
              <w:ind w:right="8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935,610</w:t>
            </w:r>
          </w:p>
        </w:tc>
        <w:tc>
          <w:tcPr>
            <w:tcW w:w="20" w:type="dxa"/>
            <w:vAlign w:val="bottom"/>
          </w:tcPr>
          <w:p>
            <w:pPr>
              <w:spacing w:after="0"/>
              <w:rPr>
                <w:sz w:val="14"/>
                <w:szCs w:val="14"/>
                <w:color w:val="auto"/>
              </w:rPr>
            </w:pPr>
          </w:p>
        </w:tc>
      </w:tr>
      <w:tr>
        <w:trPr>
          <w:trHeight w:val="20"/>
        </w:trPr>
        <w:tc>
          <w:tcPr>
            <w:tcW w:w="4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Cash provided by operating activities in 2024 increased $626.7 million over 2023. The year-over-year increase was driven by:</w:t>
      </w:r>
    </w:p>
    <w:p>
      <w:pPr>
        <w:spacing w:after="0" w:line="14" w:lineRule="exact"/>
        <w:rPr>
          <w:sz w:val="20"/>
          <w:szCs w:val="20"/>
          <w:color w:val="auto"/>
        </w:rPr>
      </w:pPr>
    </w:p>
    <w:p>
      <w:pPr>
        <w:ind w:left="940" w:hanging="298"/>
        <w:spacing w:after="0"/>
        <w:tabs>
          <w:tab w:leader="none" w:pos="9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revenues due to the completion of our global development pipeline and related lease up operating activities;</w:t>
      </w:r>
    </w:p>
    <w:p>
      <w:pPr>
        <w:spacing w:after="0" w:line="24" w:lineRule="exact"/>
        <w:rPr>
          <w:rFonts w:ascii="Times New Roman" w:cs="Times New Roman" w:eastAsia="Times New Roman" w:hAnsi="Times New Roman"/>
          <w:sz w:val="14"/>
          <w:szCs w:val="14"/>
          <w:color w:val="auto"/>
        </w:rPr>
      </w:pPr>
    </w:p>
    <w:p>
      <w:pPr>
        <w:ind w:left="940" w:hanging="298"/>
        <w:spacing w:after="0"/>
        <w:tabs>
          <w:tab w:leader="none" w:pos="94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increase in interest income as a result of carrying higher cash balances;</w:t>
      </w:r>
    </w:p>
    <w:p>
      <w:pPr>
        <w:spacing w:after="0" w:line="8" w:lineRule="exact"/>
        <w:rPr>
          <w:rFonts w:ascii="Times New Roman" w:cs="Times New Roman" w:eastAsia="Times New Roman" w:hAnsi="Times New Roman"/>
          <w:sz w:val="16"/>
          <w:szCs w:val="16"/>
          <w:color w:val="auto"/>
        </w:rPr>
      </w:pPr>
    </w:p>
    <w:p>
      <w:pPr>
        <w:ind w:left="940" w:hanging="298"/>
        <w:spacing w:after="0"/>
        <w:tabs>
          <w:tab w:leader="none" w:pos="94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decrease in property level operating expenses;</w:t>
      </w:r>
    </w:p>
    <w:p>
      <w:pPr>
        <w:spacing w:after="0" w:line="8" w:lineRule="exact"/>
        <w:rPr>
          <w:rFonts w:ascii="Times New Roman" w:cs="Times New Roman" w:eastAsia="Times New Roman" w:hAnsi="Times New Roman"/>
          <w:sz w:val="16"/>
          <w:szCs w:val="16"/>
          <w:color w:val="auto"/>
        </w:rPr>
      </w:pPr>
    </w:p>
    <w:p>
      <w:pPr>
        <w:ind w:left="940" w:hanging="298"/>
        <w:spacing w:after="0"/>
        <w:tabs>
          <w:tab w:leader="none" w:pos="94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offset by the net impact of properties sold and contributed in 2023 and 2024.</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80" w:name="page81"/>
    <w:bookmarkEnd w:id="80"/>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356" w:lineRule="exact"/>
        <w:rPr>
          <w:sz w:val="20"/>
          <w:szCs w:val="20"/>
          <w:color w:val="auto"/>
        </w:rPr>
      </w:pPr>
    </w:p>
    <w:p>
      <w:pPr>
        <w:ind w:left="320" w:right="380"/>
        <w:spacing w:after="0" w:line="259" w:lineRule="auto"/>
        <w:rPr>
          <w:sz w:val="20"/>
          <w:szCs w:val="20"/>
          <w:color w:val="auto"/>
        </w:rPr>
      </w:pPr>
      <w:r>
        <w:rPr>
          <w:rFonts w:ascii="Times New Roman" w:cs="Times New Roman" w:eastAsia="Times New Roman" w:hAnsi="Times New Roman"/>
          <w:sz w:val="16"/>
          <w:szCs w:val="16"/>
          <w:color w:val="auto"/>
        </w:rPr>
        <w:t>The changes in the activities that comprise net cash used in investing activities for the year ended December 31, 2024 as compared to the year ended December 31, 2023 consisted of the following amounts (in thousands).</w:t>
      </w:r>
    </w:p>
    <w:p>
      <w:pPr>
        <w:spacing w:after="0" w:line="153" w:lineRule="exact"/>
        <w:rPr>
          <w:sz w:val="20"/>
          <w:szCs w:val="20"/>
          <w:color w:val="auto"/>
        </w:rPr>
      </w:pPr>
    </w:p>
    <w:tbl>
      <w:tblPr>
        <w:tblLayout w:type="fixed"/>
        <w:tblInd w:w="320" w:type="dxa"/>
        <w:tblCellMar>
          <w:top w:w="0" w:type="dxa"/>
          <w:left w:w="0" w:type="dxa"/>
          <w:bottom w:w="0" w:type="dxa"/>
          <w:right w:w="0" w:type="dxa"/>
        </w:tblCellMar>
      </w:tblPr>
      <w:tr>
        <w:trPr>
          <w:trHeight w:val="195"/>
        </w:trPr>
        <w:tc>
          <w:tcPr>
            <w:tcW w:w="6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80" w:type="dxa"/>
            <w:vAlign w:val="bottom"/>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72"/>
        </w:trPr>
        <w:tc>
          <w:tcPr>
            <w:tcW w:w="62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760" w:type="dxa"/>
            <w:vAlign w:val="bottom"/>
            <w:tcBorders>
              <w:top w:val="single" w:sz="8" w:color="auto"/>
              <w:bottom w:val="single" w:sz="8" w:color="auto"/>
            </w:tcBorders>
          </w:tcPr>
          <w:p>
            <w:pPr>
              <w:jc w:val="right"/>
              <w:ind w:right="562"/>
              <w:spacing w:after="0" w:line="172" w:lineRule="exact"/>
              <w:rPr>
                <w:sz w:val="20"/>
                <w:szCs w:val="20"/>
                <w:color w:val="auto"/>
              </w:rPr>
            </w:pPr>
            <w:r>
              <w:rPr>
                <w:rFonts w:ascii="Times New Roman" w:cs="Times New Roman" w:eastAsia="Times New Roman" w:hAnsi="Times New Roman"/>
                <w:sz w:val="16"/>
                <w:szCs w:val="16"/>
                <w:b w:val="1"/>
                <w:bCs w:val="1"/>
                <w:color w:val="auto"/>
              </w:rPr>
              <w:t>2024 vs 2023</w:t>
            </w:r>
          </w:p>
        </w:tc>
        <w:tc>
          <w:tcPr>
            <w:tcW w:w="20" w:type="dxa"/>
            <w:vAlign w:val="bottom"/>
          </w:tcPr>
          <w:p>
            <w:pPr>
              <w:spacing w:after="0"/>
              <w:rPr>
                <w:sz w:val="14"/>
                <w:szCs w:val="14"/>
                <w:color w:val="auto"/>
              </w:rPr>
            </w:pPr>
          </w:p>
        </w:tc>
      </w:tr>
      <w:tr>
        <w:trPr>
          <w:trHeight w:val="172"/>
        </w:trPr>
        <w:tc>
          <w:tcPr>
            <w:tcW w:w="62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Increase in net cash used in business combinations / asset acquisitions</w:t>
            </w: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7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(455,704)</w:t>
            </w:r>
          </w:p>
        </w:tc>
        <w:tc>
          <w:tcPr>
            <w:tcW w:w="20" w:type="dxa"/>
            <w:vAlign w:val="bottom"/>
          </w:tcPr>
          <w:p>
            <w:pPr>
              <w:spacing w:after="0"/>
              <w:rPr>
                <w:sz w:val="14"/>
                <w:szCs w:val="14"/>
                <w:color w:val="auto"/>
              </w:rPr>
            </w:pPr>
          </w:p>
        </w:tc>
      </w:tr>
      <w:tr>
        <w:trPr>
          <w:trHeight w:val="180"/>
        </w:trPr>
        <w:tc>
          <w:tcPr>
            <w:tcW w:w="62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Decrease in cash used for improvements to investments in real estate</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693,858</w:t>
            </w:r>
          </w:p>
        </w:tc>
        <w:tc>
          <w:tcPr>
            <w:tcW w:w="20" w:type="dxa"/>
            <w:vAlign w:val="bottom"/>
          </w:tcPr>
          <w:p>
            <w:pPr>
              <w:spacing w:after="0"/>
              <w:rPr>
                <w:sz w:val="15"/>
                <w:szCs w:val="15"/>
                <w:color w:val="auto"/>
              </w:rPr>
            </w:pPr>
          </w:p>
        </w:tc>
      </w:tr>
      <w:tr>
        <w:trPr>
          <w:trHeight w:val="180"/>
        </w:trPr>
        <w:tc>
          <w:tcPr>
            <w:tcW w:w="62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Decrease in cash distributed from investments in unconsolidated entities, net</w:t>
            </w: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(121,287)</w:t>
            </w:r>
          </w:p>
        </w:tc>
        <w:tc>
          <w:tcPr>
            <w:tcW w:w="20" w:type="dxa"/>
            <w:vAlign w:val="bottom"/>
          </w:tcPr>
          <w:p>
            <w:pPr>
              <w:spacing w:after="0"/>
              <w:rPr>
                <w:sz w:val="15"/>
                <w:szCs w:val="15"/>
                <w:color w:val="auto"/>
              </w:rPr>
            </w:pPr>
          </w:p>
        </w:tc>
      </w:tr>
      <w:tr>
        <w:trPr>
          <w:trHeight w:val="180"/>
        </w:trPr>
        <w:tc>
          <w:tcPr>
            <w:tcW w:w="62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Decrease in net cash provided by proceeds from sale of real estate</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(854,943)</w:t>
            </w:r>
          </w:p>
        </w:tc>
        <w:tc>
          <w:tcPr>
            <w:tcW w:w="20" w:type="dxa"/>
            <w:vAlign w:val="bottom"/>
          </w:tcPr>
          <w:p>
            <w:pPr>
              <w:spacing w:after="0"/>
              <w:rPr>
                <w:sz w:val="15"/>
                <w:szCs w:val="15"/>
                <w:color w:val="auto"/>
              </w:rPr>
            </w:pPr>
          </w:p>
        </w:tc>
      </w:tr>
      <w:tr>
        <w:trPr>
          <w:trHeight w:val="180"/>
        </w:trPr>
        <w:tc>
          <w:tcPr>
            <w:tcW w:w="62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Other changes</w:t>
            </w:r>
          </w:p>
        </w:tc>
        <w:tc>
          <w:tcPr>
            <w:tcW w:w="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7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(52,970)</w:t>
            </w:r>
          </w:p>
        </w:tc>
        <w:tc>
          <w:tcPr>
            <w:tcW w:w="20" w:type="dxa"/>
            <w:vAlign w:val="bottom"/>
          </w:tcPr>
          <w:p>
            <w:pPr>
              <w:spacing w:after="0"/>
              <w:rPr>
                <w:sz w:val="15"/>
                <w:szCs w:val="15"/>
                <w:color w:val="auto"/>
              </w:rPr>
            </w:pPr>
          </w:p>
        </w:tc>
      </w:tr>
      <w:tr>
        <w:trPr>
          <w:trHeight w:val="172"/>
        </w:trPr>
        <w:tc>
          <w:tcPr>
            <w:tcW w:w="6260" w:type="dxa"/>
            <w:vAlign w:val="bottom"/>
          </w:tcPr>
          <w:p>
            <w:pPr>
              <w:ind w:left="200"/>
              <w:spacing w:after="0" w:line="172" w:lineRule="exact"/>
              <w:rPr>
                <w:sz w:val="20"/>
                <w:szCs w:val="20"/>
                <w:color w:val="auto"/>
              </w:rPr>
            </w:pPr>
            <w:r>
              <w:rPr>
                <w:rFonts w:ascii="Times New Roman" w:cs="Times New Roman" w:eastAsia="Times New Roman" w:hAnsi="Times New Roman"/>
                <w:sz w:val="16"/>
                <w:szCs w:val="16"/>
                <w:color w:val="auto"/>
              </w:rPr>
              <w:t>Increase in net cash used in investing activities</w:t>
            </w: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76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(791,046)</w:t>
            </w:r>
          </w:p>
        </w:tc>
        <w:tc>
          <w:tcPr>
            <w:tcW w:w="20" w:type="dxa"/>
            <w:vAlign w:val="bottom"/>
            <w:tcBorders>
              <w:bottom w:val="single" w:sz="8" w:color="auto"/>
            </w:tcBorders>
          </w:tcPr>
          <w:p>
            <w:pPr>
              <w:spacing w:after="0"/>
              <w:rPr>
                <w:sz w:val="14"/>
                <w:szCs w:val="14"/>
                <w:color w:val="auto"/>
              </w:rPr>
            </w:pPr>
          </w:p>
        </w:tc>
      </w:tr>
      <w:tr>
        <w:trPr>
          <w:trHeight w:val="20"/>
        </w:trPr>
        <w:tc>
          <w:tcPr>
            <w:tcW w:w="6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increase in net cash used in investing activities as compared to the same period in 2023 was primarily due to:</w:t>
      </w:r>
    </w:p>
    <w:p>
      <w:pPr>
        <w:spacing w:after="0" w:line="176" w:lineRule="exact"/>
        <w:rPr>
          <w:sz w:val="20"/>
          <w:szCs w:val="20"/>
          <w:color w:val="auto"/>
        </w:rPr>
      </w:pPr>
    </w:p>
    <w:p>
      <w:pPr>
        <w:ind w:left="900" w:right="620" w:hanging="294"/>
        <w:spacing w:after="0" w:line="246" w:lineRule="auto"/>
        <w:tabs>
          <w:tab w:leader="none" w:pos="90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increase in spend due to acquisitions of land parcels in Paris and Charlotte and two data centers located in the Slough Trading Estate;</w:t>
      </w:r>
    </w:p>
    <w:p>
      <w:pPr>
        <w:ind w:left="900" w:hanging="294"/>
        <w:spacing w:after="0" w:line="234" w:lineRule="auto"/>
        <w:tabs>
          <w:tab w:leader="none" w:pos="90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decrease in spend on development projects of approximately $694 million;</w:t>
      </w:r>
    </w:p>
    <w:p>
      <w:pPr>
        <w:ind w:left="900" w:hanging="294"/>
        <w:spacing w:after="0" w:line="234" w:lineRule="auto"/>
        <w:tabs>
          <w:tab w:leader="none" w:pos="90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increase in cash contributed to various investments in unconsolidated entities;</w:t>
      </w:r>
    </w:p>
    <w:p>
      <w:pPr>
        <w:ind w:left="940" w:right="1320" w:hanging="334"/>
        <w:spacing w:after="0" w:line="234" w:lineRule="auto"/>
        <w:tabs>
          <w:tab w:leader="none" w:pos="904"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decrease in cash provided by the sale or contributions of data centers in 2024 compared to 2023 as follows: a. $2.6 billion from 2023 transactions comprised mainly of:</w:t>
      </w:r>
    </w:p>
    <w:p>
      <w:pPr>
        <w:spacing w:after="0" w:line="1" w:lineRule="exact"/>
        <w:rPr>
          <w:rFonts w:ascii="Times New Roman" w:cs="Times New Roman" w:eastAsia="Times New Roman" w:hAnsi="Times New Roman"/>
          <w:sz w:val="16"/>
          <w:szCs w:val="16"/>
          <w:color w:val="auto"/>
        </w:rPr>
      </w:pPr>
    </w:p>
    <w:p>
      <w:pPr>
        <w:ind w:left="2040" w:right="900" w:hanging="221"/>
        <w:spacing w:after="0" w:line="234" w:lineRule="auto"/>
        <w:tabs>
          <w:tab w:leader="none" w:pos="2040" w:val="left"/>
        </w:tabs>
        <w:numPr>
          <w:ilvl w:val="3"/>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212529"/>
        </w:rPr>
        <w:t>contributions of data centers to our joint ventures with GI Partners and TPG Real Estate for gross proceeds of approximately $0.7 billion and $1.4 billion, respectively;</w:t>
      </w:r>
    </w:p>
    <w:p>
      <w:pPr>
        <w:spacing w:after="0" w:line="1" w:lineRule="exact"/>
        <w:rPr>
          <w:rFonts w:ascii="Times New Roman" w:cs="Times New Roman" w:eastAsia="Times New Roman" w:hAnsi="Times New Roman"/>
          <w:sz w:val="16"/>
          <w:szCs w:val="16"/>
          <w:color w:val="auto"/>
        </w:rPr>
      </w:pPr>
    </w:p>
    <w:p>
      <w:pPr>
        <w:ind w:left="2040" w:hanging="257"/>
        <w:spacing w:after="0" w:line="234" w:lineRule="auto"/>
        <w:tabs>
          <w:tab w:leader="none" w:pos="2040" w:val="left"/>
        </w:tabs>
        <w:numPr>
          <w:ilvl w:val="3"/>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212529"/>
        </w:rPr>
        <w:t>the sale of three non-core assets for gross proceeds of approximately $341 million; offset by</w:t>
      </w:r>
    </w:p>
    <w:p>
      <w:pPr>
        <w:ind w:left="1180" w:hanging="286"/>
        <w:spacing w:after="0" w:line="234" w:lineRule="auto"/>
        <w:tabs>
          <w:tab w:leader="none" w:pos="1180"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$1.8 billion from 2024 transactions consisting of:</w:t>
      </w:r>
    </w:p>
    <w:p>
      <w:pPr>
        <w:ind w:left="2040" w:right="540" w:hanging="221"/>
        <w:spacing w:after="0" w:line="234" w:lineRule="auto"/>
        <w:tabs>
          <w:tab w:leader="none" w:pos="2040" w:val="left"/>
        </w:tabs>
        <w:numPr>
          <w:ilvl w:val="3"/>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sale to GI Partners of a 75% interest in a third facility in Chicago. We received approximately $386 million of net proceeds and retained a 25% interest in the joint venture;</w:t>
      </w:r>
    </w:p>
    <w:p>
      <w:pPr>
        <w:spacing w:after="0" w:line="1" w:lineRule="exact"/>
        <w:rPr>
          <w:rFonts w:ascii="Times New Roman" w:cs="Times New Roman" w:eastAsia="Times New Roman" w:hAnsi="Times New Roman"/>
          <w:sz w:val="16"/>
          <w:szCs w:val="16"/>
          <w:color w:val="auto"/>
        </w:rPr>
      </w:pPr>
    </w:p>
    <w:p>
      <w:pPr>
        <w:ind w:left="2040" w:right="360" w:hanging="257"/>
        <w:spacing w:after="0" w:line="234" w:lineRule="auto"/>
        <w:tabs>
          <w:tab w:leader="none" w:pos="2040" w:val="left"/>
        </w:tabs>
        <w:numPr>
          <w:ilvl w:val="3"/>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provided by the contribution of data centers to our joint ventures with Blackstone and Mitsubishi, for gross proceeds of approximately $707 million and $153 million, respectively; and</w:t>
      </w:r>
    </w:p>
    <w:p>
      <w:pPr>
        <w:spacing w:after="0" w:line="1" w:lineRule="exact"/>
        <w:rPr>
          <w:rFonts w:ascii="Times New Roman" w:cs="Times New Roman" w:eastAsia="Times New Roman" w:hAnsi="Times New Roman"/>
          <w:sz w:val="16"/>
          <w:szCs w:val="16"/>
          <w:color w:val="auto"/>
        </w:rPr>
      </w:pPr>
    </w:p>
    <w:p>
      <w:pPr>
        <w:ind w:left="2040" w:right="460" w:hanging="305"/>
        <w:spacing w:after="0" w:line="236" w:lineRule="auto"/>
        <w:tabs>
          <w:tab w:leader="none" w:pos="2040" w:val="left"/>
        </w:tabs>
        <w:numPr>
          <w:ilvl w:val="3"/>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sale of four data centers to Brookfield for gross proceeds of approximately $271 million, the sale of non-core assets for gross proceeds of approximately $91 million, the sale to DCREIT of an additional 15.1% interest in a data center located in Frankfurt, Germany for approximately $77 million and the sale of a land parcel in Sydney for gross proceeds of approximately $68 million.</w:t>
      </w:r>
    </w:p>
    <w:p>
      <w:pPr>
        <w:spacing w:after="0" w:line="159" w:lineRule="exact"/>
        <w:rPr>
          <w:sz w:val="20"/>
          <w:szCs w:val="20"/>
          <w:color w:val="auto"/>
        </w:rPr>
      </w:pPr>
    </w:p>
    <w:p>
      <w:pPr>
        <w:ind w:left="320" w:right="880"/>
        <w:spacing w:after="0" w:line="259" w:lineRule="auto"/>
        <w:rPr>
          <w:sz w:val="20"/>
          <w:szCs w:val="20"/>
          <w:color w:val="auto"/>
        </w:rPr>
      </w:pPr>
      <w:r>
        <w:rPr>
          <w:rFonts w:ascii="Times New Roman" w:cs="Times New Roman" w:eastAsia="Times New Roman" w:hAnsi="Times New Roman"/>
          <w:sz w:val="16"/>
          <w:szCs w:val="16"/>
          <w:color w:val="auto"/>
        </w:rPr>
        <w:t>The changes in the activities that comprise net cash provided by financing activities for the year ended December 31, 2024 as compared to the year ended December 31, 2023 consisted of the following amounts (in thousands).</w:t>
      </w:r>
    </w:p>
    <w:p>
      <w:pPr>
        <w:spacing w:after="0" w:line="153" w:lineRule="exact"/>
        <w:rPr>
          <w:sz w:val="20"/>
          <w:szCs w:val="20"/>
          <w:color w:val="auto"/>
        </w:rPr>
      </w:pPr>
    </w:p>
    <w:tbl>
      <w:tblPr>
        <w:tblLayout w:type="fixed"/>
        <w:tblInd w:w="320" w:type="dxa"/>
        <w:tblCellMar>
          <w:top w:w="0" w:type="dxa"/>
          <w:left w:w="0" w:type="dxa"/>
          <w:bottom w:w="0" w:type="dxa"/>
          <w:right w:w="0" w:type="dxa"/>
        </w:tblCellMar>
      </w:tblPr>
      <w:tr>
        <w:trPr>
          <w:trHeight w:val="195"/>
        </w:trPr>
        <w:tc>
          <w:tcPr>
            <w:tcW w:w="5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72"/>
        </w:trPr>
        <w:tc>
          <w:tcPr>
            <w:tcW w:w="572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760" w:type="dxa"/>
            <w:vAlign w:val="bottom"/>
            <w:tcBorders>
              <w:top w:val="single" w:sz="8" w:color="auto"/>
              <w:bottom w:val="single" w:sz="8" w:color="auto"/>
            </w:tcBorders>
          </w:tcPr>
          <w:p>
            <w:pPr>
              <w:jc w:val="right"/>
              <w:ind w:right="562"/>
              <w:spacing w:after="0" w:line="172" w:lineRule="exact"/>
              <w:rPr>
                <w:sz w:val="20"/>
                <w:szCs w:val="20"/>
                <w:color w:val="auto"/>
              </w:rPr>
            </w:pPr>
            <w:r>
              <w:rPr>
                <w:rFonts w:ascii="Times New Roman" w:cs="Times New Roman" w:eastAsia="Times New Roman" w:hAnsi="Times New Roman"/>
                <w:sz w:val="16"/>
                <w:szCs w:val="16"/>
                <w:b w:val="1"/>
                <w:bCs w:val="1"/>
                <w:color w:val="auto"/>
              </w:rPr>
              <w:t>2024 vs 2023</w:t>
            </w:r>
          </w:p>
        </w:tc>
        <w:tc>
          <w:tcPr>
            <w:tcW w:w="20" w:type="dxa"/>
            <w:vAlign w:val="bottom"/>
          </w:tcPr>
          <w:p>
            <w:pPr>
              <w:spacing w:after="0"/>
              <w:rPr>
                <w:sz w:val="14"/>
                <w:szCs w:val="14"/>
                <w:color w:val="auto"/>
              </w:rPr>
            </w:pPr>
          </w:p>
        </w:tc>
      </w:tr>
      <w:tr>
        <w:trPr>
          <w:trHeight w:val="172"/>
        </w:trPr>
        <w:tc>
          <w:tcPr>
            <w:tcW w:w="57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Increase in cash provided by short-term borrowings</w:t>
            </w:r>
          </w:p>
        </w:tc>
        <w:tc>
          <w:tcPr>
            <w:tcW w:w="54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344,110</w:t>
            </w:r>
          </w:p>
        </w:tc>
        <w:tc>
          <w:tcPr>
            <w:tcW w:w="20" w:type="dxa"/>
            <w:vAlign w:val="bottom"/>
          </w:tcPr>
          <w:p>
            <w:pPr>
              <w:spacing w:after="0"/>
              <w:rPr>
                <w:sz w:val="14"/>
                <w:szCs w:val="14"/>
                <w:color w:val="auto"/>
              </w:rPr>
            </w:pPr>
          </w:p>
        </w:tc>
      </w:tr>
      <w:tr>
        <w:trPr>
          <w:trHeight w:val="180"/>
        </w:trPr>
        <w:tc>
          <w:tcPr>
            <w:tcW w:w="57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Increase in cash provided by proceeds from secured / unsecured debt</w:t>
            </w: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1,365,867</w:t>
            </w:r>
          </w:p>
        </w:tc>
        <w:tc>
          <w:tcPr>
            <w:tcW w:w="20" w:type="dxa"/>
            <w:vAlign w:val="bottom"/>
          </w:tcPr>
          <w:p>
            <w:pPr>
              <w:spacing w:after="0"/>
              <w:rPr>
                <w:sz w:val="15"/>
                <w:szCs w:val="15"/>
                <w:color w:val="auto"/>
              </w:rPr>
            </w:pPr>
          </w:p>
        </w:tc>
      </w:tr>
      <w:tr>
        <w:trPr>
          <w:trHeight w:val="180"/>
        </w:trPr>
        <w:tc>
          <w:tcPr>
            <w:tcW w:w="57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Increase in cash used for repayment on secured / unsecured debt</w:t>
            </w:r>
          </w:p>
        </w:tc>
        <w:tc>
          <w:tcPr>
            <w:tcW w:w="5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(2,007,028)</w:t>
            </w:r>
          </w:p>
        </w:tc>
        <w:tc>
          <w:tcPr>
            <w:tcW w:w="20" w:type="dxa"/>
            <w:vAlign w:val="bottom"/>
          </w:tcPr>
          <w:p>
            <w:pPr>
              <w:spacing w:after="0"/>
              <w:rPr>
                <w:sz w:val="15"/>
                <w:szCs w:val="15"/>
                <w:color w:val="auto"/>
              </w:rPr>
            </w:pPr>
          </w:p>
        </w:tc>
      </w:tr>
      <w:tr>
        <w:trPr>
          <w:trHeight w:val="180"/>
        </w:trPr>
        <w:tc>
          <w:tcPr>
            <w:tcW w:w="57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Increase in cash provided by proceeds from issuance of common stock, net of costs</w:t>
            </w: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1,443,512</w:t>
            </w:r>
          </w:p>
        </w:tc>
        <w:tc>
          <w:tcPr>
            <w:tcW w:w="20" w:type="dxa"/>
            <w:vAlign w:val="bottom"/>
          </w:tcPr>
          <w:p>
            <w:pPr>
              <w:spacing w:after="0"/>
              <w:rPr>
                <w:sz w:val="15"/>
                <w:szCs w:val="15"/>
                <w:color w:val="auto"/>
              </w:rPr>
            </w:pPr>
          </w:p>
        </w:tc>
      </w:tr>
      <w:tr>
        <w:trPr>
          <w:trHeight w:val="180"/>
        </w:trPr>
        <w:tc>
          <w:tcPr>
            <w:tcW w:w="57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Increase in cash used for dividend and distribution payments</w:t>
            </w:r>
          </w:p>
        </w:tc>
        <w:tc>
          <w:tcPr>
            <w:tcW w:w="5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(112,603)</w:t>
            </w:r>
          </w:p>
        </w:tc>
        <w:tc>
          <w:tcPr>
            <w:tcW w:w="20" w:type="dxa"/>
            <w:vAlign w:val="bottom"/>
          </w:tcPr>
          <w:p>
            <w:pPr>
              <w:spacing w:after="0"/>
              <w:rPr>
                <w:sz w:val="15"/>
                <w:szCs w:val="15"/>
                <w:color w:val="auto"/>
              </w:rPr>
            </w:pPr>
          </w:p>
        </w:tc>
      </w:tr>
      <w:tr>
        <w:trPr>
          <w:trHeight w:val="180"/>
        </w:trPr>
        <w:tc>
          <w:tcPr>
            <w:tcW w:w="572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Other changes, net</w:t>
            </w:r>
          </w:p>
        </w:tc>
        <w:tc>
          <w:tcPr>
            <w:tcW w:w="5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66,101</w:t>
            </w:r>
          </w:p>
        </w:tc>
        <w:tc>
          <w:tcPr>
            <w:tcW w:w="20" w:type="dxa"/>
            <w:vAlign w:val="bottom"/>
          </w:tcPr>
          <w:p>
            <w:pPr>
              <w:spacing w:after="0"/>
              <w:rPr>
                <w:sz w:val="15"/>
                <w:szCs w:val="15"/>
                <w:color w:val="auto"/>
              </w:rPr>
            </w:pPr>
          </w:p>
        </w:tc>
      </w:tr>
      <w:tr>
        <w:trPr>
          <w:trHeight w:val="184"/>
        </w:trPr>
        <w:tc>
          <w:tcPr>
            <w:tcW w:w="57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Increase in net cash provided by financing activities</w:t>
            </w:r>
          </w:p>
        </w:tc>
        <w:tc>
          <w:tcPr>
            <w:tcW w:w="5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1,099,959</w:t>
            </w:r>
          </w:p>
        </w:tc>
        <w:tc>
          <w:tcPr>
            <w:tcW w:w="20" w:type="dxa"/>
            <w:vAlign w:val="bottom"/>
          </w:tcPr>
          <w:p>
            <w:pPr>
              <w:spacing w:after="0"/>
              <w:rPr>
                <w:sz w:val="16"/>
                <w:szCs w:val="16"/>
                <w:color w:val="auto"/>
              </w:rPr>
            </w:pPr>
          </w:p>
        </w:tc>
      </w:tr>
      <w:tr>
        <w:trPr>
          <w:trHeight w:val="20"/>
        </w:trPr>
        <w:tc>
          <w:tcPr>
            <w:tcW w:w="5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increase in net cash provided by financing activities as compared to the same period in 2023 was primarily due to:</w:t>
      </w:r>
    </w:p>
    <w:p>
      <w:pPr>
        <w:spacing w:after="0" w:line="176" w:lineRule="exact"/>
        <w:rPr>
          <w:sz w:val="20"/>
          <w:szCs w:val="20"/>
          <w:color w:val="auto"/>
        </w:rPr>
      </w:pPr>
    </w:p>
    <w:p>
      <w:pPr>
        <w:ind w:left="900" w:hanging="294"/>
        <w:spacing w:after="0"/>
        <w:tabs>
          <w:tab w:leader="none" w:pos="9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decrease in cash payments on short-term borrowings;</w:t>
      </w:r>
    </w:p>
    <w:p>
      <w:pPr>
        <w:spacing w:after="0" w:line="14" w:lineRule="exact"/>
        <w:rPr>
          <w:rFonts w:ascii="Times New Roman" w:cs="Times New Roman" w:eastAsia="Times New Roman" w:hAnsi="Times New Roman"/>
          <w:sz w:val="16"/>
          <w:szCs w:val="16"/>
          <w:color w:val="auto"/>
        </w:rPr>
      </w:pPr>
    </w:p>
    <w:p>
      <w:pPr>
        <w:ind w:left="900" w:hanging="294"/>
        <w:spacing w:after="0"/>
        <w:tabs>
          <w:tab w:leader="none" w:pos="9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increase in cash provided by proceeds from secured / unsecured debt:</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81" w:name="page82"/>
    <w:bookmarkEnd w:id="81"/>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6" w:lineRule="exact"/>
        <w:rPr>
          <w:sz w:val="20"/>
          <w:szCs w:val="20"/>
          <w:color w:val="auto"/>
        </w:rPr>
      </w:pPr>
    </w:p>
    <w:p>
      <w:pPr>
        <w:ind w:left="1220" w:hanging="289"/>
        <w:spacing w:after="0"/>
        <w:tabs>
          <w:tab w:leader="none" w:pos="1220" w:val="left"/>
        </w:tabs>
        <w:numPr>
          <w:ilvl w:val="1"/>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$933 million on the issuance of the 3.875% Guaranteed Notes due 2033 in September 2024;</w:t>
      </w:r>
    </w:p>
    <w:p>
      <w:pPr>
        <w:spacing w:after="0" w:line="14" w:lineRule="exact"/>
        <w:rPr>
          <w:rFonts w:ascii="Times New Roman" w:cs="Times New Roman" w:eastAsia="Times New Roman" w:hAnsi="Times New Roman"/>
          <w:sz w:val="16"/>
          <w:szCs w:val="16"/>
          <w:color w:val="auto"/>
        </w:rPr>
      </w:pPr>
    </w:p>
    <w:p>
      <w:pPr>
        <w:ind w:left="1220" w:hanging="289"/>
        <w:spacing w:after="0" w:line="234" w:lineRule="auto"/>
        <w:tabs>
          <w:tab w:leader="none" w:pos="1220" w:val="left"/>
        </w:tabs>
        <w:numPr>
          <w:ilvl w:val="1"/>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$1.1 billion on the issuance of the 1.875% Exchangeable Notes due 2029 in November 2024;</w:t>
      </w:r>
    </w:p>
    <w:p>
      <w:pPr>
        <w:ind w:left="1220" w:hanging="289"/>
        <w:spacing w:after="0" w:line="234" w:lineRule="auto"/>
        <w:tabs>
          <w:tab w:leader="none" w:pos="1220" w:val="left"/>
        </w:tabs>
        <w:numPr>
          <w:ilvl w:val="1"/>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offset by $740 million on the closing of the U.S. term loan facility in January 2023;</w:t>
      </w:r>
    </w:p>
    <w:p>
      <w:pPr>
        <w:ind w:left="900" w:hanging="294"/>
        <w:spacing w:after="0" w:line="234" w:lineRule="auto"/>
        <w:tabs>
          <w:tab w:leader="none" w:pos="90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increase in cash used for repayment on secured / unsecured debt:</w:t>
      </w:r>
    </w:p>
    <w:p>
      <w:pPr>
        <w:ind w:left="1220" w:hanging="289"/>
        <w:spacing w:after="0" w:line="234" w:lineRule="auto"/>
        <w:tabs>
          <w:tab w:leader="none" w:pos="1220"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$740 million on the U.S. term loan facility;</w:t>
      </w:r>
    </w:p>
    <w:p>
      <w:pPr>
        <w:ind w:left="1220" w:hanging="289"/>
        <w:spacing w:after="0" w:line="234" w:lineRule="auto"/>
        <w:tabs>
          <w:tab w:leader="none" w:pos="1220"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$637 million on the Euro notes (2.625% notes due 2024);</w:t>
      </w:r>
    </w:p>
    <w:p>
      <w:pPr>
        <w:ind w:left="1220" w:hanging="289"/>
        <w:spacing w:after="0" w:line="234" w:lineRule="auto"/>
        <w:tabs>
          <w:tab w:leader="none" w:pos="1220"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$323 million on the 2.750% notes due 2024;</w:t>
      </w:r>
    </w:p>
    <w:p>
      <w:pPr>
        <w:ind w:left="1220" w:hanging="289"/>
        <w:spacing w:after="0" w:line="234" w:lineRule="auto"/>
        <w:tabs>
          <w:tab w:leader="none" w:pos="1220"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$415 million on the Euro Term Loan Facilities;</w:t>
      </w:r>
    </w:p>
    <w:p>
      <w:pPr>
        <w:ind w:left="900" w:hanging="294"/>
        <w:spacing w:after="0" w:line="234" w:lineRule="auto"/>
        <w:tabs>
          <w:tab w:leader="none" w:pos="90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increase in cash provided by proceeds from the issuance of:</w:t>
      </w:r>
    </w:p>
    <w:p>
      <w:pPr>
        <w:ind w:left="1220" w:right="780" w:hanging="289"/>
        <w:spacing w:after="0" w:line="234" w:lineRule="auto"/>
        <w:tabs>
          <w:tab w:leader="none" w:pos="1220"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approximately 12.0 million shares of common stock, net of costs, for approximately $2.0 billion under our ATM program;</w:t>
      </w:r>
    </w:p>
    <w:p>
      <w:pPr>
        <w:spacing w:after="0" w:line="1" w:lineRule="exact"/>
        <w:rPr>
          <w:rFonts w:ascii="Times New Roman" w:cs="Times New Roman" w:eastAsia="Times New Roman" w:hAnsi="Times New Roman"/>
          <w:sz w:val="16"/>
          <w:szCs w:val="16"/>
          <w:color w:val="auto"/>
        </w:rPr>
      </w:pPr>
    </w:p>
    <w:p>
      <w:pPr>
        <w:ind w:left="1220" w:right="780" w:hanging="289"/>
        <w:spacing w:after="0" w:line="234" w:lineRule="auto"/>
        <w:tabs>
          <w:tab w:leader="none" w:pos="1220"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approximately 12.1 million shares of common stock, net of costs, for approximately $1.7 billion from our equity offering;</w:t>
      </w:r>
    </w:p>
    <w:p>
      <w:pPr>
        <w:spacing w:after="0" w:line="1" w:lineRule="exact"/>
        <w:rPr>
          <w:rFonts w:ascii="Times New Roman" w:cs="Times New Roman" w:eastAsia="Times New Roman" w:hAnsi="Times New Roman"/>
          <w:sz w:val="16"/>
          <w:szCs w:val="16"/>
          <w:color w:val="auto"/>
        </w:rPr>
      </w:pPr>
    </w:p>
    <w:p>
      <w:pPr>
        <w:ind w:left="1220" w:right="700" w:hanging="289"/>
        <w:spacing w:after="0" w:line="234" w:lineRule="auto"/>
        <w:tabs>
          <w:tab w:leader="none" w:pos="1220"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offset by the issuance of approximately 20.0 million shares of common stock, net of costs, for approximately $2.2 billion under our ATM program in 2023; and</w:t>
      </w:r>
    </w:p>
    <w:p>
      <w:pPr>
        <w:spacing w:after="0" w:line="1" w:lineRule="exact"/>
        <w:rPr>
          <w:rFonts w:ascii="Times New Roman" w:cs="Times New Roman" w:eastAsia="Times New Roman" w:hAnsi="Times New Roman"/>
          <w:sz w:val="16"/>
          <w:szCs w:val="16"/>
          <w:color w:val="auto"/>
        </w:rPr>
      </w:pPr>
    </w:p>
    <w:p>
      <w:pPr>
        <w:ind w:left="900" w:right="900" w:hanging="294"/>
        <w:spacing w:after="0" w:line="238" w:lineRule="auto"/>
        <w:tabs>
          <w:tab w:leader="none" w:pos="90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increase in dividend and distribution payments due to an increased number of common shares and common units outstanding.</w:t>
      </w:r>
    </w:p>
    <w:p>
      <w:pPr>
        <w:spacing w:after="0" w:line="1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Noncontrolling Interests in Operating Partnership</w:t>
      </w:r>
    </w:p>
    <w:p>
      <w:pPr>
        <w:spacing w:after="0" w:line="190" w:lineRule="exact"/>
        <w:rPr>
          <w:sz w:val="20"/>
          <w:szCs w:val="20"/>
          <w:color w:val="auto"/>
        </w:rPr>
      </w:pPr>
    </w:p>
    <w:p>
      <w:pPr>
        <w:ind w:left="320" w:right="540"/>
        <w:spacing w:after="0" w:line="243" w:lineRule="auto"/>
        <w:rPr>
          <w:sz w:val="20"/>
          <w:szCs w:val="20"/>
          <w:color w:val="auto"/>
        </w:rPr>
      </w:pPr>
      <w:r>
        <w:rPr>
          <w:rFonts w:ascii="Times New Roman" w:cs="Times New Roman" w:eastAsia="Times New Roman" w:hAnsi="Times New Roman"/>
          <w:sz w:val="16"/>
          <w:szCs w:val="16"/>
          <w:color w:val="auto"/>
        </w:rPr>
        <w:t>Noncontrolling interests relate to the common units in our Operating Partnership that are not owned by Digital Realty Trust, Inc., which, as of December 31, 2024, amounted to 1.8% of our Operating Partnership common units. Historically, our Operating Partnership has issued common units to third party sellers in connection with our acquisition of real estate interests from such third parties.</w:t>
      </w:r>
    </w:p>
    <w:p>
      <w:pPr>
        <w:spacing w:after="0" w:line="167" w:lineRule="exact"/>
        <w:rPr>
          <w:sz w:val="20"/>
          <w:szCs w:val="20"/>
          <w:color w:val="auto"/>
        </w:rPr>
      </w:pPr>
    </w:p>
    <w:p>
      <w:pPr>
        <w:ind w:left="320" w:right="400"/>
        <w:spacing w:after="0" w:line="238" w:lineRule="auto"/>
        <w:rPr>
          <w:sz w:val="20"/>
          <w:szCs w:val="20"/>
          <w:color w:val="auto"/>
        </w:rPr>
      </w:pPr>
      <w:r>
        <w:rPr>
          <w:rFonts w:ascii="Times New Roman" w:cs="Times New Roman" w:eastAsia="Times New Roman" w:hAnsi="Times New Roman"/>
          <w:sz w:val="16"/>
          <w:szCs w:val="16"/>
          <w:color w:val="auto"/>
        </w:rPr>
        <w:t>Limited partners have the right to require the Operating Partnership to redeem part or all of their common units for cash based on the fair market value of an equivalent number of shares of Digital Realty Trust, Inc. common stock at the time of redemption. Alternatively, Digital Realty Trust, Inc. may elect to acquire those common units in exchange for shares of its common stock on a one-for-one basis, subject to adjustment in the event of stock splits, stock dividends, issuance of stock rights, specified extraordinary distributions and similar events. As of December 31, 2024, approximately 0.2 million common units and incentive units of the Operating Partnership are classified within equity, except for certain common units issued to certain former DuPont Fabros Technology, L.P. unitholders in the Company’s acquisition of DuPont Fabros Technology, Inc., which are subject to certain restrictions and, accordingly, are not presented as permanent equity in the consolidated balance sheet.</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Inflation</w:t>
      </w:r>
    </w:p>
    <w:p>
      <w:pPr>
        <w:spacing w:after="0" w:line="190" w:lineRule="exact"/>
        <w:rPr>
          <w:sz w:val="20"/>
          <w:szCs w:val="20"/>
          <w:color w:val="auto"/>
        </w:rPr>
      </w:pPr>
    </w:p>
    <w:p>
      <w:pPr>
        <w:ind w:left="320" w:right="360"/>
        <w:spacing w:after="0" w:line="241" w:lineRule="auto"/>
        <w:rPr>
          <w:sz w:val="20"/>
          <w:szCs w:val="20"/>
          <w:color w:val="auto"/>
        </w:rPr>
      </w:pPr>
      <w:r>
        <w:rPr>
          <w:rFonts w:ascii="Times New Roman" w:cs="Times New Roman" w:eastAsia="Times New Roman" w:hAnsi="Times New Roman"/>
          <w:sz w:val="16"/>
          <w:szCs w:val="16"/>
          <w:color w:val="auto"/>
        </w:rPr>
        <w:t>Many of our leases provide for separate real estate tax and operating expense escalations. In addition, many of the leases provide for fixed base rent increases. We believe that inflationary increases may be at least partially offset by the contractual rent increases and expense escalations described above. A period of inflation, however, could cause an increase in the cost of our variable- rate borrowings, including borrowings under our Global Revolving Credit Facilities, borrowings under our Euro Term Loan Facilities and USD Term Loan Facility and issuances of unsecured senior notes.</w:t>
      </w:r>
    </w:p>
    <w:p>
      <w:pPr>
        <w:spacing w:after="0" w:line="169" w:lineRule="exact"/>
        <w:rPr>
          <w:sz w:val="20"/>
          <w:szCs w:val="20"/>
          <w:color w:val="auto"/>
        </w:rPr>
      </w:pPr>
    </w:p>
    <w:p>
      <w:pPr>
        <w:ind w:left="320" w:right="360"/>
        <w:spacing w:after="0" w:line="259" w:lineRule="auto"/>
        <w:rPr>
          <w:sz w:val="20"/>
          <w:szCs w:val="20"/>
          <w:color w:val="auto"/>
        </w:rPr>
      </w:pPr>
      <w:r>
        <w:rPr>
          <w:rFonts w:ascii="Times New Roman" w:cs="Times New Roman" w:eastAsia="Times New Roman" w:hAnsi="Times New Roman"/>
          <w:sz w:val="16"/>
          <w:szCs w:val="16"/>
          <w:color w:val="auto"/>
        </w:rPr>
        <w:t>In addition, refer to “Item 1A. Risk Factors” in this Annual Report on Form 10-K for a discussion about risks that inflation directly or indirectly may pose to our business.</w:t>
      </w:r>
    </w:p>
    <w:p>
      <w:pPr>
        <w:spacing w:after="0" w:line="1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Critical Accounting Policies</w:t>
      </w:r>
    </w:p>
    <w:p>
      <w:pPr>
        <w:spacing w:after="0" w:line="190" w:lineRule="exact"/>
        <w:rPr>
          <w:sz w:val="20"/>
          <w:szCs w:val="20"/>
          <w:color w:val="auto"/>
        </w:rPr>
      </w:pPr>
    </w:p>
    <w:p>
      <w:pPr>
        <w:ind w:left="320" w:right="360"/>
        <w:spacing w:after="0" w:line="241" w:lineRule="auto"/>
        <w:rPr>
          <w:sz w:val="20"/>
          <w:szCs w:val="20"/>
          <w:color w:val="auto"/>
        </w:rPr>
      </w:pPr>
      <w:r>
        <w:rPr>
          <w:rFonts w:ascii="Times New Roman" w:cs="Times New Roman" w:eastAsia="Times New Roman" w:hAnsi="Times New Roman"/>
          <w:sz w:val="16"/>
          <w:szCs w:val="16"/>
          <w:color w:val="auto"/>
        </w:rPr>
        <w:t>A critical accounting policy is one that involves management’s use of judgement regarding expected outcomes of uncertain events in order to make estimates and assumptions that are material to an entity’s financial condition and results of operations. Though we base our estimates and assumptions regarding these matters on historical and current conditions as well as future expectations, these estimates and assumptions are subjective in nature. Changes to the estimates and assumptions we make regarding these matters could affect our financial position and specific items in our</w:t>
      </w: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82" w:name="page83"/>
    <w:bookmarkEnd w:id="82"/>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6" w:lineRule="exact"/>
        <w:rPr>
          <w:sz w:val="20"/>
          <w:szCs w:val="20"/>
          <w:color w:val="auto"/>
        </w:rPr>
      </w:pPr>
    </w:p>
    <w:p>
      <w:pPr>
        <w:ind w:left="320" w:right="420"/>
        <w:spacing w:after="0" w:line="243" w:lineRule="auto"/>
        <w:rPr>
          <w:sz w:val="20"/>
          <w:szCs w:val="20"/>
          <w:color w:val="auto"/>
        </w:rPr>
      </w:pPr>
      <w:r>
        <w:rPr>
          <w:rFonts w:ascii="Times New Roman" w:cs="Times New Roman" w:eastAsia="Times New Roman" w:hAnsi="Times New Roman"/>
          <w:sz w:val="16"/>
          <w:szCs w:val="16"/>
          <w:color w:val="auto"/>
        </w:rPr>
        <w:t>results of operations used by stockholders, potential investors, industry analysts and lenders in the evaluation of our performance. Of the significant accounting policies described in Note 2 to the Consolidated Financial Statements, the subsequent items have been identified by us as meeting the criteria to be considered critical accounting policies. Refer to Note 2 for more information on these critical accounting policies.</w:t>
      </w:r>
    </w:p>
    <w:p>
      <w:pPr>
        <w:spacing w:after="0" w:line="165" w:lineRule="exact"/>
        <w:rPr>
          <w:sz w:val="20"/>
          <w:szCs w:val="20"/>
          <w:color w:val="auto"/>
        </w:rPr>
      </w:pPr>
    </w:p>
    <w:p>
      <w:pPr>
        <w:ind w:left="320" w:right="380"/>
        <w:spacing w:after="0" w:line="273" w:lineRule="auto"/>
        <w:rPr>
          <w:sz w:val="20"/>
          <w:szCs w:val="20"/>
          <w:color w:val="auto"/>
        </w:rPr>
      </w:pPr>
      <w:r>
        <w:rPr>
          <w:rFonts w:ascii="Times New Roman" w:cs="Times New Roman" w:eastAsia="Times New Roman" w:hAnsi="Times New Roman"/>
          <w:sz w:val="14"/>
          <w:szCs w:val="14"/>
          <w:b w:val="1"/>
          <w:bCs w:val="1"/>
          <w:color w:val="auto"/>
        </w:rPr>
        <w:t xml:space="preserve">Fair Value Measurements. </w:t>
      </w:r>
      <w:r>
        <w:rPr>
          <w:rFonts w:ascii="Times New Roman" w:cs="Times New Roman" w:eastAsia="Times New Roman" w:hAnsi="Times New Roman"/>
          <w:sz w:val="14"/>
          <w:szCs w:val="14"/>
          <w:color w:val="auto"/>
        </w:rPr>
        <w:t>Fair value is intended to reflect the price that would be received for the sale of an asset or paid for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transfer of a liability in an orderly transaction between market participants at the measurement date (the exit price). We use fair value measurements to enable us to determine the fair value of a variety of items. Fair value measurements are most significant to our financial statements in the following areas: 1) evaluation of recoverability of real estate and intangible assets (which involves comparison of fair value of the assets to net book value to quantify any potential impairments), 2) accounting for assets held for sale (which involves recording assets qualifying for held for sale treatment at the lower of book value or fair value less costs to sell), and</w:t>
      </w:r>
    </w:p>
    <w:p>
      <w:pPr>
        <w:spacing w:after="0" w:line="2" w:lineRule="exact"/>
        <w:rPr>
          <w:sz w:val="20"/>
          <w:szCs w:val="20"/>
          <w:color w:val="auto"/>
        </w:rPr>
      </w:pPr>
    </w:p>
    <w:p>
      <w:pPr>
        <w:ind w:left="320" w:right="420" w:hanging="2"/>
        <w:spacing w:after="0" w:line="238" w:lineRule="auto"/>
        <w:tabs>
          <w:tab w:leader="none" w:pos="489"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determination of fair value of assets and liabilities acquired in connection with business combinations or asset acquisitions as well as certain equity interests in unconsolidated entities.</w:t>
      </w:r>
    </w:p>
    <w:p>
      <w:pPr>
        <w:spacing w:after="0" w:line="169" w:lineRule="exact"/>
        <w:rPr>
          <w:sz w:val="20"/>
          <w:szCs w:val="20"/>
          <w:color w:val="auto"/>
        </w:rPr>
      </w:pPr>
    </w:p>
    <w:p>
      <w:pPr>
        <w:ind w:left="320" w:right="600"/>
        <w:spacing w:after="0" w:line="243" w:lineRule="auto"/>
        <w:rPr>
          <w:sz w:val="20"/>
          <w:szCs w:val="20"/>
          <w:color w:val="auto"/>
        </w:rPr>
      </w:pPr>
      <w:r>
        <w:rPr>
          <w:rFonts w:ascii="Times New Roman" w:cs="Times New Roman" w:eastAsia="Times New Roman" w:hAnsi="Times New Roman"/>
          <w:sz w:val="16"/>
          <w:szCs w:val="16"/>
          <w:color w:val="auto"/>
        </w:rPr>
        <w:t>We estimate fair value using available market information and valuation methods we believe to be appropriate for these purposes. Given the significant amount of judgement and subjectivity involved in the determination of fair value, estimated fair value is not necessarily indicative of amounts that would be realized on disposition. Refer to Note 2. “Summary of Significant Accounting Policies” the Consolidated Financial Statements for additional information.</w:t>
      </w:r>
    </w:p>
    <w:p>
      <w:pPr>
        <w:spacing w:after="0" w:line="165" w:lineRule="exact"/>
        <w:rPr>
          <w:sz w:val="20"/>
          <w:szCs w:val="20"/>
          <w:color w:val="auto"/>
        </w:rPr>
      </w:pPr>
    </w:p>
    <w:p>
      <w:pPr>
        <w:ind w:left="320" w:right="280"/>
        <w:spacing w:after="0" w:line="238" w:lineRule="auto"/>
        <w:rPr>
          <w:sz w:val="20"/>
          <w:szCs w:val="20"/>
          <w:color w:val="auto"/>
        </w:rPr>
      </w:pPr>
      <w:r>
        <w:rPr>
          <w:rFonts w:ascii="Times New Roman" w:cs="Times New Roman" w:eastAsia="Times New Roman" w:hAnsi="Times New Roman"/>
          <w:sz w:val="16"/>
          <w:szCs w:val="16"/>
          <w:b w:val="1"/>
          <w:bCs w:val="1"/>
          <w:color w:val="auto"/>
        </w:rPr>
        <w:t xml:space="preserve">Recoverability of Real Estate Assets. </w:t>
      </w:r>
      <w:r>
        <w:rPr>
          <w:rFonts w:ascii="Times New Roman" w:cs="Times New Roman" w:eastAsia="Times New Roman" w:hAnsi="Times New Roman"/>
          <w:sz w:val="16"/>
          <w:szCs w:val="16"/>
          <w:color w:val="auto"/>
        </w:rPr>
        <w:t>We assess the carrying value of our properties whenever events or circumstances indicate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carrying amounts of these assets may not be fully recoverable (“triggering events"). Triggering events typically relate to a change in the expected holding period of a property, an adverse change in expected future cash flows of the property, or a trend of past cash flow losses that is expected to continue in the future. If our assessment of triggering events indicates the carrying value of a property or asset group might not be recoverable, we estimate the future undiscounted net cash flows expected to be generated by the assets and compare that amount to the book value of the assets. If our future undiscounted net cash flow evaluation indicates we are unable to recover the carrying value of a property or asset group, we record an impairment loss to the extent the carrying value of the property or asset group exceeds fair value. Refer to Note 2. “Summary of Significant Accounting Policies” of the Consolidated Financial Statements for additional information.</w:t>
      </w:r>
    </w:p>
    <w:p>
      <w:pPr>
        <w:spacing w:after="0" w:line="170" w:lineRule="exact"/>
        <w:rPr>
          <w:sz w:val="20"/>
          <w:szCs w:val="20"/>
          <w:color w:val="auto"/>
        </w:rPr>
      </w:pPr>
    </w:p>
    <w:p>
      <w:pPr>
        <w:ind w:left="320" w:right="400"/>
        <w:spacing w:after="0" w:line="241" w:lineRule="auto"/>
        <w:rPr>
          <w:sz w:val="20"/>
          <w:szCs w:val="20"/>
          <w:color w:val="auto"/>
        </w:rPr>
      </w:pPr>
      <w:r>
        <w:rPr>
          <w:rFonts w:ascii="Times New Roman" w:cs="Times New Roman" w:eastAsia="Times New Roman" w:hAnsi="Times New Roman"/>
          <w:sz w:val="16"/>
          <w:szCs w:val="16"/>
          <w:b w:val="1"/>
          <w:bCs w:val="1"/>
          <w:color w:val="auto"/>
        </w:rPr>
        <w:t xml:space="preserve">Consolidation. </w:t>
      </w:r>
      <w:r>
        <w:rPr>
          <w:rFonts w:ascii="Times New Roman" w:cs="Times New Roman" w:eastAsia="Times New Roman" w:hAnsi="Times New Roman"/>
          <w:sz w:val="16"/>
          <w:szCs w:val="16"/>
          <w:color w:val="auto"/>
        </w:rPr>
        <w:t>We consolidate all entities that are wholly owned as well as all partially-owned entities that we control. In addition,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we consolidate any variable interest entities (“VIEs”) for which we are the primary beneficiary. We evaluate whether or not an entity is a VIE (and we are the primary beneficiary) through consideration of substantive terms in the arrangement to identify which enterprise has the power to direct the activities of the entity that most significantly impact the entity’s economic performance and the obligation to absorb losses/receive benefits from the entity.</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83" w:name="page84"/>
    <w:bookmarkEnd w:id="83"/>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6" w:lineRule="exact"/>
        <w:rPr>
          <w:sz w:val="20"/>
          <w:szCs w:val="20"/>
          <w:color w:val="auto"/>
        </w:rPr>
      </w:pPr>
    </w:p>
    <w:p>
      <w:pPr>
        <w:ind w:left="320" w:right="380"/>
        <w:spacing w:after="0" w:line="276" w:lineRule="auto"/>
        <w:rPr>
          <w:sz w:val="20"/>
          <w:szCs w:val="20"/>
          <w:color w:val="auto"/>
        </w:rPr>
      </w:pPr>
      <w:r>
        <w:rPr>
          <w:rFonts w:ascii="Times New Roman" w:cs="Times New Roman" w:eastAsia="Times New Roman" w:hAnsi="Times New Roman"/>
          <w:sz w:val="14"/>
          <w:szCs w:val="14"/>
          <w:color w:val="auto"/>
        </w:rPr>
        <w:t>For entities that do not meet the definition of VIEs, we first consider if we are the general partner or a limited partner (or the equivalent in investments not structured as partnerships). We consolidate entities in which we are the general partner and the limited partners do not have rights that would preclude control. For entities in which we are the general partner, but the limited partners hold substantive participating or kick -out rights that prohibit our ability to control the entity, we apply the equity method of accounting since, as the general partner, we have the ability to exercise significant influence over the operating and financial policies of the entities. For entities in which we are a limited partner, or that are not structured similar to a partnership, we consider factors such as ownership interest, voting control, authority to make decisions and contractual and substantive participating rights of the partners. When factors indicate we have a controlling financial interest in an entity, we consolidate the entity. Refer to Note 8. “Investments in Unconsolidated Entities” of the Consolidated Financial Statements for additional information.</w:t>
      </w:r>
    </w:p>
    <w:p>
      <w:pPr>
        <w:spacing w:after="0" w:line="329" w:lineRule="exact"/>
        <w:rPr>
          <w:sz w:val="20"/>
          <w:szCs w:val="20"/>
          <w:color w:val="auto"/>
        </w:rPr>
      </w:pPr>
    </w:p>
    <w:p>
      <w:pPr>
        <w:ind w:left="320" w:right="440"/>
        <w:spacing w:after="0" w:line="244" w:lineRule="auto"/>
        <w:rPr>
          <w:sz w:val="20"/>
          <w:szCs w:val="20"/>
          <w:color w:val="auto"/>
        </w:rPr>
      </w:pPr>
      <w:r>
        <w:rPr>
          <w:rFonts w:ascii="Times New Roman" w:cs="Times New Roman" w:eastAsia="Times New Roman" w:hAnsi="Times New Roman"/>
          <w:sz w:val="16"/>
          <w:szCs w:val="16"/>
          <w:b w:val="1"/>
          <w:bCs w:val="1"/>
          <w:color w:val="auto"/>
        </w:rPr>
        <w:t xml:space="preserve">Revenue Recognition. </w:t>
      </w:r>
      <w:r>
        <w:rPr>
          <w:rFonts w:ascii="Times New Roman" w:cs="Times New Roman" w:eastAsia="Times New Roman" w:hAnsi="Times New Roman"/>
          <w:sz w:val="16"/>
          <w:szCs w:val="16"/>
          <w:color w:val="auto"/>
        </w:rPr>
        <w:t>We generate the majority of our revenue by leasing our properties to customers under operating lease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agreements, which are accounted for under Accounting Standards Codification 842, Leases (“ASC 842”). We recognize the total minimum lease payments provided for under the leases on a straight-line basis over the lease term if we determine it is probable that substantially all of the lease payments will be collected over the lease term.</w:t>
      </w:r>
    </w:p>
    <w:p>
      <w:pPr>
        <w:spacing w:after="0" w:line="166" w:lineRule="exact"/>
        <w:rPr>
          <w:sz w:val="20"/>
          <w:szCs w:val="20"/>
          <w:color w:val="auto"/>
        </w:rPr>
      </w:pPr>
    </w:p>
    <w:p>
      <w:pPr>
        <w:ind w:left="320" w:right="400"/>
        <w:spacing w:after="0" w:line="239" w:lineRule="auto"/>
        <w:rPr>
          <w:sz w:val="20"/>
          <w:szCs w:val="20"/>
          <w:color w:val="auto"/>
        </w:rPr>
      </w:pPr>
      <w:r>
        <w:rPr>
          <w:rFonts w:ascii="Times New Roman" w:cs="Times New Roman" w:eastAsia="Times New Roman" w:hAnsi="Times New Roman"/>
          <w:sz w:val="16"/>
          <w:szCs w:val="16"/>
          <w:color w:val="auto"/>
        </w:rPr>
        <w:t>We estimate the probability of collection of lease payments based on customer creditworthiness, outstanding accounts receivable balances, and historical bad debts – as well as current economic trends. If collection of substantially all lease payments over the lease term is not probable, rental revenue is recognized when payment is received, and we record a reduction to rental revenue equal to the balance of any deferred rent and rent receivable, less the balance of any security deposits or letters of credit. If collection is subsequently determined to be probable, we: 1) resume recognizing rental revenue on a straight-line basis, 2) record incremental revenue such that the cumulative amount recognized is equal to the amount that would have been recorded on a straight-line basis since inception of the lease, and 3) reverse the allowance for bad debt recorded on outstanding receivables.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New Accounting Pronouncements</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See Note 2. “Summary of Significant Accounting Policies” of the Consolidated Financial Statements.</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Funds From Operations</w:t>
      </w:r>
    </w:p>
    <w:p>
      <w:pPr>
        <w:spacing w:after="0" w:line="190" w:lineRule="exact"/>
        <w:rPr>
          <w:sz w:val="20"/>
          <w:szCs w:val="20"/>
          <w:color w:val="auto"/>
        </w:rPr>
      </w:pPr>
    </w:p>
    <w:p>
      <w:pPr>
        <w:ind w:left="320" w:right="320"/>
        <w:spacing w:after="0" w:line="236" w:lineRule="auto"/>
        <w:rPr>
          <w:sz w:val="20"/>
          <w:szCs w:val="20"/>
          <w:color w:val="auto"/>
        </w:rPr>
      </w:pPr>
      <w:r>
        <w:rPr>
          <w:rFonts w:ascii="Times New Roman" w:cs="Times New Roman" w:eastAsia="Times New Roman" w:hAnsi="Times New Roman"/>
          <w:sz w:val="16"/>
          <w:szCs w:val="16"/>
          <w:color w:val="auto"/>
        </w:rPr>
        <w:t>We calculate funds from operations, or FFO, in accordance with the standards established by the National Association of Real Estate Investment Trusts (Nareit) in the Nareit Funds From Operations White Paper - 2018 Restatement. FFO is a non- GAAP financial measure and represents net income (loss) (computed in accordance with GAAP), excluding gain (loss) from the disposition of real estate assets, provision for impairment, real estate related depreciation and amortization (excluding amortization of deferred financing costs), our share of unconsolidated JV real estate related depreciation &amp; amortization, net income attributable to noncontrolling interests in operating partnership and, reconciling items related to noncontrolling interests. Management uses FFO as a supplemental performance measure because, in excluding real estate related depreciation and amortization and gains and losses from property dispositions and after adjustments for unconsolidated partnerships and joint ventures, it provides a performance measure that, when compared year over year, captures trends in occupancy rates, rental rates and operating costs. We also believe that, as a widely recognized measure of the performance of REITs, FFO will be used by investors as a basis to compare our operating performance with that of other REITs. However, because FFO excludes depreciation and amortization and captures neither the changes in the value of our data centers that result from use or market conditions, nor the level of capital expenditures and capitalized leasing commissions necessary to maintain the operating performance of our data centers, all of which have real economic effect and could materially impact our financial condition and results from operations, the utility of FFO as a measure of our performance is limited. Other REITs may not calculate FFO in accordance with the Nareit definition and, accordingly, our FFO may not be comparable to other REITs’ FFO. FFO should be considered only as a supplement to net income computed in accordance with GAAP as a measure of our performance.</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84" w:name="page85"/>
    <w:bookmarkEnd w:id="84"/>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Reconciliation of Net Income Available to Common Stockholders to Funds From Operations (FFO)</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per share and unit data)</w:t>
      </w: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0" w:lineRule="exact"/>
        <w:rPr>
          <w:sz w:val="20"/>
          <w:szCs w:val="20"/>
          <w:color w:val="auto"/>
        </w:rPr>
      </w:pPr>
    </w:p>
    <w:tbl>
      <w:tblPr>
        <w:tblLayout w:type="fixed"/>
        <w:tblInd w:w="320" w:type="dxa"/>
        <w:tblCellMar>
          <w:top w:w="0" w:type="dxa"/>
          <w:left w:w="0" w:type="dxa"/>
          <w:bottom w:w="0" w:type="dxa"/>
          <w:right w:w="0" w:type="dxa"/>
        </w:tblCellMar>
      </w:tblPr>
      <w:tr>
        <w:trPr>
          <w:trHeight w:val="170"/>
        </w:trPr>
        <w:tc>
          <w:tcPr>
            <w:tcW w:w="4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23"/>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63"/>
              <w:spacing w:after="0" w:line="148" w:lineRule="exact"/>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23"/>
              <w:spacing w:after="0" w:line="148" w:lineRule="exact"/>
              <w:rPr>
                <w:sz w:val="20"/>
                <w:szCs w:val="20"/>
                <w:color w:val="auto"/>
              </w:rPr>
            </w:pPr>
            <w:r>
              <w:rPr>
                <w:rFonts w:ascii="Times New Roman" w:cs="Times New Roman" w:eastAsia="Times New Roman" w:hAnsi="Times New Roman"/>
                <w:sz w:val="13"/>
                <w:szCs w:val="13"/>
                <w:b w:val="1"/>
                <w:bCs w:val="1"/>
                <w:color w:val="auto"/>
              </w:rPr>
              <w:t>2022</w:t>
            </w:r>
          </w:p>
        </w:tc>
        <w:tc>
          <w:tcPr>
            <w:tcW w:w="0" w:type="dxa"/>
            <w:vAlign w:val="bottom"/>
          </w:tcPr>
          <w:p>
            <w:pPr>
              <w:spacing w:after="0"/>
              <w:rPr>
                <w:sz w:val="1"/>
                <w:szCs w:val="1"/>
                <w:color w:val="auto"/>
              </w:rPr>
            </w:pPr>
          </w:p>
        </w:tc>
      </w:tr>
      <w:tr>
        <w:trPr>
          <w:trHeight w:val="172"/>
        </w:trPr>
        <w:tc>
          <w:tcPr>
            <w:tcW w:w="410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GAAP Net Income Available to Common Stockholders</w:t>
            </w: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4"/>
                <w:szCs w:val="4"/>
                <w:color w:val="auto"/>
                <w:w w:val="97"/>
              </w:rPr>
              <w:t>$</w:t>
            </w:r>
          </w:p>
        </w:tc>
        <w:tc>
          <w:tcPr>
            <w:tcW w:w="9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561,766</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908,114</w:t>
            </w: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336,960</w:t>
            </w:r>
          </w:p>
        </w:tc>
        <w:tc>
          <w:tcPr>
            <w:tcW w:w="0" w:type="dxa"/>
            <w:vAlign w:val="bottom"/>
          </w:tcPr>
          <w:p>
            <w:pPr>
              <w:spacing w:after="0"/>
              <w:rPr>
                <w:sz w:val="1"/>
                <w:szCs w:val="1"/>
                <w:color w:val="auto"/>
              </w:rPr>
            </w:pPr>
          </w:p>
        </w:tc>
      </w:tr>
      <w:tr>
        <w:trPr>
          <w:trHeight w:val="180"/>
        </w:trPr>
        <w:tc>
          <w:tcPr>
            <w:tcW w:w="41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Non-GAAP Adjustments:</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4100" w:type="dxa"/>
            <w:vAlign w:val="bottom"/>
            <w:shd w:val="clear" w:color="auto" w:fill="CCEEFF"/>
          </w:tcPr>
          <w:p>
            <w:pPr>
              <w:ind w:left="280"/>
              <w:spacing w:after="0" w:line="167" w:lineRule="exact"/>
              <w:rPr>
                <w:sz w:val="20"/>
                <w:szCs w:val="20"/>
                <w:color w:val="auto"/>
              </w:rPr>
            </w:pPr>
            <w:r>
              <w:rPr>
                <w:rFonts w:ascii="Times New Roman" w:cs="Times New Roman" w:eastAsia="Times New Roman" w:hAnsi="Times New Roman"/>
                <w:sz w:val="16"/>
                <w:szCs w:val="16"/>
                <w:color w:val="auto"/>
              </w:rPr>
              <w:t>Net income attributable to non-controlling interests in</w:t>
            </w: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4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operating partnership</w:t>
            </w: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12,700</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20,710</w:t>
            </w: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7,914</w:t>
            </w:r>
          </w:p>
        </w:tc>
        <w:tc>
          <w:tcPr>
            <w:tcW w:w="0" w:type="dxa"/>
            <w:vAlign w:val="bottom"/>
          </w:tcPr>
          <w:p>
            <w:pPr>
              <w:spacing w:after="0"/>
              <w:rPr>
                <w:sz w:val="1"/>
                <w:szCs w:val="1"/>
                <w:color w:val="auto"/>
              </w:rPr>
            </w:pPr>
          </w:p>
        </w:tc>
      </w:tr>
      <w:tr>
        <w:trPr>
          <w:trHeight w:val="180"/>
        </w:trPr>
        <w:tc>
          <w:tcPr>
            <w:tcW w:w="4100" w:type="dxa"/>
            <w:vAlign w:val="bottom"/>
          </w:tcPr>
          <w:p>
            <w:pPr>
              <w:ind w:left="280"/>
              <w:spacing w:after="0" w:line="180" w:lineRule="exact"/>
              <w:rPr>
                <w:sz w:val="20"/>
                <w:szCs w:val="20"/>
                <w:color w:val="auto"/>
              </w:rPr>
            </w:pPr>
            <w:r>
              <w:rPr>
                <w:rFonts w:ascii="Times New Roman" w:cs="Times New Roman" w:eastAsia="Times New Roman" w:hAnsi="Times New Roman"/>
                <w:sz w:val="13"/>
                <w:szCs w:val="13"/>
                <w:color w:val="auto"/>
              </w:rPr>
              <w:t xml:space="preserve">Real estate related depreciation and amortization </w:t>
            </w:r>
            <w:r>
              <w:rPr>
                <w:rFonts w:ascii="Times New Roman" w:cs="Times New Roman" w:eastAsia="Times New Roman" w:hAnsi="Times New Roman"/>
                <w:sz w:val="20"/>
                <w:szCs w:val="20"/>
                <w:color w:val="auto"/>
                <w:vertAlign w:val="superscript"/>
              </w:rPr>
              <w:t>(1)</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1,730,058</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1,657,240</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1,547,865</w:t>
            </w:r>
          </w:p>
        </w:tc>
        <w:tc>
          <w:tcPr>
            <w:tcW w:w="0" w:type="dxa"/>
            <w:vAlign w:val="bottom"/>
          </w:tcPr>
          <w:p>
            <w:pPr>
              <w:spacing w:after="0"/>
              <w:rPr>
                <w:sz w:val="1"/>
                <w:szCs w:val="1"/>
                <w:color w:val="auto"/>
              </w:rPr>
            </w:pPr>
          </w:p>
        </w:tc>
      </w:tr>
      <w:tr>
        <w:trPr>
          <w:trHeight w:val="180"/>
        </w:trPr>
        <w:tc>
          <w:tcPr>
            <w:tcW w:w="4100" w:type="dxa"/>
            <w:vAlign w:val="bottom"/>
            <w:shd w:val="clear" w:color="auto" w:fill="CCEEFF"/>
          </w:tcPr>
          <w:p>
            <w:pPr>
              <w:ind w:left="280"/>
              <w:spacing w:after="0" w:line="180" w:lineRule="exact"/>
              <w:rPr>
                <w:sz w:val="20"/>
                <w:szCs w:val="20"/>
                <w:color w:val="auto"/>
              </w:rPr>
            </w:pPr>
            <w:r>
              <w:rPr>
                <w:rFonts w:ascii="Times New Roman" w:cs="Times New Roman" w:eastAsia="Times New Roman" w:hAnsi="Times New Roman"/>
                <w:sz w:val="16"/>
                <w:szCs w:val="16"/>
                <w:color w:val="auto"/>
              </w:rPr>
              <w:t>Depreciation related to non-controlling interests</w:t>
            </w: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(64,612)</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(57,477)</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(22,110)</w:t>
            </w:r>
          </w:p>
        </w:tc>
        <w:tc>
          <w:tcPr>
            <w:tcW w:w="0" w:type="dxa"/>
            <w:vAlign w:val="bottom"/>
          </w:tcPr>
          <w:p>
            <w:pPr>
              <w:spacing w:after="0"/>
              <w:rPr>
                <w:sz w:val="1"/>
                <w:szCs w:val="1"/>
                <w:color w:val="auto"/>
              </w:rPr>
            </w:pPr>
          </w:p>
        </w:tc>
      </w:tr>
      <w:tr>
        <w:trPr>
          <w:trHeight w:val="167"/>
        </w:trPr>
        <w:tc>
          <w:tcPr>
            <w:tcW w:w="4100" w:type="dxa"/>
            <w:vAlign w:val="bottom"/>
          </w:tcPr>
          <w:p>
            <w:pPr>
              <w:ind w:left="280"/>
              <w:spacing w:after="0" w:line="167" w:lineRule="exact"/>
              <w:rPr>
                <w:sz w:val="20"/>
                <w:szCs w:val="20"/>
                <w:color w:val="auto"/>
              </w:rPr>
            </w:pPr>
            <w:r>
              <w:rPr>
                <w:rFonts w:ascii="Times New Roman" w:cs="Times New Roman" w:eastAsia="Times New Roman" w:hAnsi="Times New Roman"/>
                <w:sz w:val="16"/>
                <w:szCs w:val="16"/>
                <w:color w:val="auto"/>
              </w:rPr>
              <w:t>Unconsolidated JV real estate related depreciation and</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41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amortization</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192,931</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177,153</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123,099</w:t>
            </w:r>
          </w:p>
        </w:tc>
        <w:tc>
          <w:tcPr>
            <w:tcW w:w="0" w:type="dxa"/>
            <w:vAlign w:val="bottom"/>
          </w:tcPr>
          <w:p>
            <w:pPr>
              <w:spacing w:after="0"/>
              <w:rPr>
                <w:sz w:val="1"/>
                <w:szCs w:val="1"/>
                <w:color w:val="auto"/>
              </w:rPr>
            </w:pPr>
          </w:p>
        </w:tc>
      </w:tr>
      <w:tr>
        <w:trPr>
          <w:trHeight w:val="180"/>
        </w:trPr>
        <w:tc>
          <w:tcPr>
            <w:tcW w:w="4100" w:type="dxa"/>
            <w:vAlign w:val="bottom"/>
            <w:shd w:val="clear" w:color="auto" w:fill="CCEEFF"/>
          </w:tcPr>
          <w:p>
            <w:pPr>
              <w:ind w:left="280"/>
              <w:spacing w:after="0" w:line="180" w:lineRule="exact"/>
              <w:rPr>
                <w:sz w:val="20"/>
                <w:szCs w:val="20"/>
                <w:color w:val="auto"/>
              </w:rPr>
            </w:pPr>
            <w:r>
              <w:rPr>
                <w:rFonts w:ascii="Times New Roman" w:cs="Times New Roman" w:eastAsia="Times New Roman" w:hAnsi="Times New Roman"/>
                <w:sz w:val="16"/>
                <w:szCs w:val="16"/>
                <w:color w:val="auto"/>
              </w:rPr>
              <w:t>Gain from the disposition of real estate assets</w:t>
            </w: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(596,904)</w:t>
            </w: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(908,356)</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(177,332)</w:t>
            </w:r>
          </w:p>
        </w:tc>
        <w:tc>
          <w:tcPr>
            <w:tcW w:w="0" w:type="dxa"/>
            <w:vAlign w:val="bottom"/>
          </w:tcPr>
          <w:p>
            <w:pPr>
              <w:spacing w:after="0"/>
              <w:rPr>
                <w:sz w:val="1"/>
                <w:szCs w:val="1"/>
                <w:color w:val="auto"/>
              </w:rPr>
            </w:pPr>
          </w:p>
        </w:tc>
      </w:tr>
      <w:tr>
        <w:trPr>
          <w:trHeight w:val="180"/>
        </w:trPr>
        <w:tc>
          <w:tcPr>
            <w:tcW w:w="4100" w:type="dxa"/>
            <w:vAlign w:val="bottom"/>
            <w:tcBorders>
              <w:bottom w:val="single" w:sz="8" w:color="CCEEFF"/>
            </w:tcBorders>
          </w:tcPr>
          <w:p>
            <w:pPr>
              <w:ind w:left="280"/>
              <w:spacing w:after="0" w:line="180" w:lineRule="exact"/>
              <w:rPr>
                <w:sz w:val="20"/>
                <w:szCs w:val="20"/>
                <w:color w:val="auto"/>
              </w:rPr>
            </w:pPr>
            <w:r>
              <w:rPr>
                <w:rFonts w:ascii="Times New Roman" w:cs="Times New Roman" w:eastAsia="Times New Roman" w:hAnsi="Times New Roman"/>
                <w:sz w:val="16"/>
                <w:szCs w:val="16"/>
                <w:color w:val="auto"/>
              </w:rPr>
              <w:t>Provision for impairment</w:t>
            </w:r>
          </w:p>
        </w:tc>
        <w:tc>
          <w:tcPr>
            <w:tcW w:w="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191,185</w:t>
            </w: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118,363</w:t>
            </w:r>
          </w:p>
        </w:tc>
        <w:tc>
          <w:tcPr>
            <w:tcW w:w="2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0" w:type="dxa"/>
            <w:vAlign w:val="bottom"/>
          </w:tcPr>
          <w:p>
            <w:pPr>
              <w:spacing w:after="0"/>
              <w:rPr>
                <w:sz w:val="1"/>
                <w:szCs w:val="1"/>
                <w:color w:val="auto"/>
              </w:rPr>
            </w:pPr>
          </w:p>
        </w:tc>
      </w:tr>
      <w:tr>
        <w:trPr>
          <w:trHeight w:val="172"/>
        </w:trPr>
        <w:tc>
          <w:tcPr>
            <w:tcW w:w="4100" w:type="dxa"/>
            <w:vAlign w:val="bottom"/>
            <w:tcBorders>
              <w:bottom w:val="single" w:sz="8" w:color="CCEEFF"/>
            </w:tcBorders>
            <w:shd w:val="clear" w:color="auto" w:fill="CCEEFF"/>
          </w:tcPr>
          <w:p>
            <w:pPr>
              <w:spacing w:after="0" w:line="173" w:lineRule="exact"/>
              <w:rPr>
                <w:sz w:val="20"/>
                <w:szCs w:val="20"/>
                <w:color w:val="auto"/>
              </w:rPr>
            </w:pPr>
            <w:r>
              <w:rPr>
                <w:rFonts w:ascii="Times New Roman" w:cs="Times New Roman" w:eastAsia="Times New Roman" w:hAnsi="Times New Roman"/>
                <w:sz w:val="13"/>
                <w:szCs w:val="13"/>
                <w:color w:val="auto"/>
              </w:rPr>
              <w:t xml:space="preserve">FFO available to common stockholders and unitholders </w:t>
            </w:r>
            <w:r>
              <w:rPr>
                <w:rFonts w:ascii="Times New Roman" w:cs="Times New Roman" w:eastAsia="Times New Roman" w:hAnsi="Times New Roman"/>
                <w:sz w:val="19"/>
                <w:szCs w:val="19"/>
                <w:color w:val="auto"/>
                <w:vertAlign w:val="superscript"/>
              </w:rPr>
              <w:t>(2)</w:t>
            </w:r>
          </w:p>
        </w:tc>
        <w:tc>
          <w:tcPr>
            <w:tcW w:w="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98"/>
              <w:spacing w:after="0"/>
              <w:rPr>
                <w:sz w:val="20"/>
                <w:szCs w:val="20"/>
                <w:color w:val="auto"/>
              </w:rPr>
            </w:pPr>
            <w:r>
              <w:rPr>
                <w:rFonts w:ascii="Times New Roman" w:cs="Times New Roman" w:eastAsia="Times New Roman" w:hAnsi="Times New Roman"/>
                <w:sz w:val="4"/>
                <w:szCs w:val="4"/>
                <w:color w:val="auto"/>
                <w:w w:val="97"/>
              </w:rPr>
              <w:t>$</w:t>
            </w:r>
          </w:p>
        </w:tc>
        <w:tc>
          <w:tcPr>
            <w:tcW w:w="96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2,027,124</w:t>
            </w: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6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1,915,747</w:t>
            </w:r>
          </w:p>
        </w:tc>
        <w:tc>
          <w:tcPr>
            <w:tcW w:w="2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4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1,819,395</w:t>
            </w: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Basic FFO per share and unit</w:t>
            </w:r>
          </w:p>
        </w:tc>
        <w:tc>
          <w:tcPr>
            <w:tcW w:w="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1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60" w:type="dxa"/>
            <w:vAlign w:val="bottom"/>
          </w:tcPr>
          <w:p>
            <w:pPr>
              <w:jc w:val="right"/>
              <w:ind w:right="198"/>
              <w:spacing w:after="0"/>
              <w:rPr>
                <w:sz w:val="20"/>
                <w:szCs w:val="20"/>
                <w:color w:val="auto"/>
              </w:rPr>
            </w:pPr>
            <w:r>
              <w:rPr>
                <w:rFonts w:ascii="Times New Roman" w:cs="Times New Roman" w:eastAsia="Times New Roman" w:hAnsi="Times New Roman"/>
                <w:sz w:val="4"/>
                <w:szCs w:val="4"/>
                <w:color w:val="auto"/>
                <w:w w:val="97"/>
              </w:rPr>
              <w:t>$</w:t>
            </w:r>
          </w:p>
        </w:tc>
        <w:tc>
          <w:tcPr>
            <w:tcW w:w="96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6.15</w:t>
            </w:r>
          </w:p>
        </w:tc>
        <w:tc>
          <w:tcPr>
            <w:tcW w:w="6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320" w:type="dxa"/>
            <w:vAlign w:val="bottom"/>
          </w:tcPr>
          <w:p>
            <w:pPr>
              <w:jc w:val="right"/>
              <w:ind w:right="162"/>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6.29</w:t>
            </w:r>
          </w:p>
        </w:tc>
        <w:tc>
          <w:tcPr>
            <w:tcW w:w="200" w:type="dxa"/>
            <w:vAlign w:val="bottom"/>
          </w:tcPr>
          <w:p>
            <w:pPr>
              <w:spacing w:after="0"/>
              <w:rPr>
                <w:sz w:val="13"/>
                <w:szCs w:val="13"/>
                <w:color w:val="auto"/>
              </w:rPr>
            </w:pPr>
          </w:p>
        </w:tc>
        <w:tc>
          <w:tcPr>
            <w:tcW w:w="300" w:type="dxa"/>
            <w:vAlign w:val="bottom"/>
          </w:tcPr>
          <w:p>
            <w:pPr>
              <w:jc w:val="right"/>
              <w:ind w:right="142"/>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6.23</w:t>
            </w:r>
          </w:p>
        </w:tc>
        <w:tc>
          <w:tcPr>
            <w:tcW w:w="0" w:type="dxa"/>
            <w:vAlign w:val="bottom"/>
          </w:tcPr>
          <w:p>
            <w:pPr>
              <w:spacing w:after="0"/>
              <w:rPr>
                <w:sz w:val="1"/>
                <w:szCs w:val="1"/>
                <w:color w:val="auto"/>
              </w:rPr>
            </w:pPr>
          </w:p>
        </w:tc>
      </w:tr>
      <w:tr>
        <w:trPr>
          <w:trHeight w:val="180"/>
        </w:trPr>
        <w:tc>
          <w:tcPr>
            <w:tcW w:w="41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3"/>
                <w:szCs w:val="13"/>
                <w:color w:val="auto"/>
              </w:rPr>
              <w:t xml:space="preserve">Diluted FFO per share and unit </w:t>
            </w:r>
            <w:r>
              <w:rPr>
                <w:rFonts w:ascii="Times New Roman" w:cs="Times New Roman" w:eastAsia="Times New Roman" w:hAnsi="Times New Roman"/>
                <w:sz w:val="20"/>
                <w:szCs w:val="20"/>
                <w:color w:val="auto"/>
                <w:vertAlign w:val="superscript"/>
              </w:rPr>
              <w:t>(2)(3)</w:t>
            </w:r>
          </w:p>
        </w:tc>
        <w:tc>
          <w:tcPr>
            <w:tcW w:w="28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6.14</w:t>
            </w:r>
          </w:p>
        </w:tc>
        <w:tc>
          <w:tcPr>
            <w:tcW w:w="6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6.20</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6.03</w:t>
            </w:r>
          </w:p>
        </w:tc>
        <w:tc>
          <w:tcPr>
            <w:tcW w:w="0" w:type="dxa"/>
            <w:vAlign w:val="bottom"/>
          </w:tcPr>
          <w:p>
            <w:pPr>
              <w:spacing w:after="0"/>
              <w:rPr>
                <w:sz w:val="1"/>
                <w:szCs w:val="1"/>
                <w:color w:val="auto"/>
              </w:rPr>
            </w:pPr>
          </w:p>
        </w:tc>
      </w:tr>
      <w:tr>
        <w:trPr>
          <w:trHeight w:val="180"/>
        </w:trPr>
        <w:tc>
          <w:tcPr>
            <w:tcW w:w="41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Weighted average common stock and units outstanding</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Basic</w:t>
            </w: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329,485</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304,651</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292,123</w:t>
            </w:r>
          </w:p>
        </w:tc>
        <w:tc>
          <w:tcPr>
            <w:tcW w:w="0" w:type="dxa"/>
            <w:vAlign w:val="bottom"/>
          </w:tcPr>
          <w:p>
            <w:pPr>
              <w:spacing w:after="0"/>
              <w:rPr>
                <w:sz w:val="1"/>
                <w:szCs w:val="1"/>
                <w:color w:val="auto"/>
              </w:rPr>
            </w:pPr>
          </w:p>
        </w:tc>
      </w:tr>
      <w:tr>
        <w:trPr>
          <w:trHeight w:val="315"/>
        </w:trPr>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Diluted </w:t>
            </w:r>
            <w:r>
              <w:rPr>
                <w:rFonts w:ascii="Times New Roman" w:cs="Times New Roman" w:eastAsia="Times New Roman" w:hAnsi="Times New Roman"/>
                <w:sz w:val="24"/>
                <w:szCs w:val="24"/>
                <w:color w:val="auto"/>
                <w:vertAlign w:val="superscript"/>
              </w:rPr>
              <w:t>(2)(3)</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337,696</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315,113</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303,708</w:t>
            </w:r>
          </w:p>
        </w:tc>
        <w:tc>
          <w:tcPr>
            <w:tcW w:w="0" w:type="dxa"/>
            <w:vAlign w:val="bottom"/>
          </w:tcPr>
          <w:p>
            <w:pPr>
              <w:spacing w:after="0"/>
              <w:rPr>
                <w:sz w:val="1"/>
                <w:szCs w:val="1"/>
                <w:color w:val="auto"/>
              </w:rPr>
            </w:pPr>
          </w:p>
        </w:tc>
      </w:tr>
      <w:tr>
        <w:trPr>
          <w:trHeight w:val="49"/>
        </w:trPr>
        <w:tc>
          <w:tcPr>
            <w:tcW w:w="5400" w:type="dxa"/>
            <w:vAlign w:val="bottom"/>
            <w:tcBorders>
              <w:bottom w:val="single" w:sz="8" w:color="auto"/>
            </w:tcBorders>
            <w:gridSpan w:val="5"/>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4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(1) Real estate related depreciation and amortization was computed as follows:</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4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 per income statement</w:t>
            </w:r>
          </w:p>
        </w:tc>
        <w:tc>
          <w:tcPr>
            <w:tcW w:w="280" w:type="dxa"/>
            <w:vAlign w:val="bottom"/>
            <w:gridSpan w:val="2"/>
          </w:tcPr>
          <w:p>
            <w:pPr>
              <w:jc w:val="right"/>
              <w:ind w:right="198"/>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1,771,797</w:t>
            </w:r>
          </w:p>
        </w:tc>
        <w:tc>
          <w:tcPr>
            <w:tcW w:w="60" w:type="dxa"/>
            <w:vAlign w:val="bottom"/>
          </w:tcPr>
          <w:p>
            <w:pPr>
              <w:spacing w:after="0"/>
              <w:rPr>
                <w:sz w:val="24"/>
                <w:szCs w:val="24"/>
                <w:color w:val="auto"/>
              </w:rPr>
            </w:pPr>
          </w:p>
        </w:tc>
        <w:tc>
          <w:tcPr>
            <w:tcW w:w="460" w:type="dxa"/>
            <w:vAlign w:val="bottom"/>
            <w:gridSpan w:val="2"/>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1,694,859</w:t>
            </w:r>
          </w:p>
        </w:tc>
        <w:tc>
          <w:tcPr>
            <w:tcW w:w="200" w:type="dxa"/>
            <w:vAlign w:val="bottom"/>
          </w:tcPr>
          <w:p>
            <w:pPr>
              <w:spacing w:after="0"/>
              <w:rPr>
                <w:sz w:val="24"/>
                <w:szCs w:val="24"/>
                <w:color w:val="auto"/>
              </w:rPr>
            </w:pPr>
          </w:p>
        </w:tc>
        <w:tc>
          <w:tcPr>
            <w:tcW w:w="3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1,577,933</w:t>
            </w:r>
          </w:p>
        </w:tc>
        <w:tc>
          <w:tcPr>
            <w:tcW w:w="0" w:type="dxa"/>
            <w:vAlign w:val="bottom"/>
          </w:tcPr>
          <w:p>
            <w:pPr>
              <w:spacing w:after="0"/>
              <w:rPr>
                <w:sz w:val="1"/>
                <w:szCs w:val="1"/>
                <w:color w:val="auto"/>
              </w:rPr>
            </w:pPr>
          </w:p>
        </w:tc>
      </w:tr>
      <w:tr>
        <w:trPr>
          <w:trHeight w:val="193"/>
        </w:trPr>
        <w:tc>
          <w:tcPr>
            <w:tcW w:w="4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Non-real estate depreciation</w:t>
            </w: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(41,739)</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(37,619)</w:t>
            </w: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(30,068)</w:t>
            </w:r>
          </w:p>
        </w:tc>
        <w:tc>
          <w:tcPr>
            <w:tcW w:w="0" w:type="dxa"/>
            <w:vAlign w:val="bottom"/>
          </w:tcPr>
          <w:p>
            <w:pPr>
              <w:spacing w:after="0"/>
              <w:rPr>
                <w:sz w:val="1"/>
                <w:szCs w:val="1"/>
                <w:color w:val="auto"/>
              </w:rPr>
            </w:pPr>
          </w:p>
        </w:tc>
      </w:tr>
      <w:tr>
        <w:trPr>
          <w:trHeight w:val="172"/>
        </w:trPr>
        <w:tc>
          <w:tcPr>
            <w:tcW w:w="4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4"/>
                <w:szCs w:val="4"/>
                <w:color w:val="auto"/>
                <w:w w:val="97"/>
              </w:rPr>
              <w:t>$</w:t>
            </w:r>
          </w:p>
        </w:tc>
        <w:tc>
          <w:tcPr>
            <w:tcW w:w="96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1,730,058</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jc w:val="right"/>
              <w:ind w:right="16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1,657,240</w:t>
            </w:r>
          </w:p>
        </w:tc>
        <w:tc>
          <w:tcPr>
            <w:tcW w:w="200" w:type="dxa"/>
            <w:vAlign w:val="bottom"/>
          </w:tcPr>
          <w:p>
            <w:pPr>
              <w:spacing w:after="0"/>
              <w:rPr>
                <w:sz w:val="14"/>
                <w:szCs w:val="14"/>
                <w:color w:val="auto"/>
              </w:rPr>
            </w:pPr>
          </w:p>
        </w:tc>
        <w:tc>
          <w:tcPr>
            <w:tcW w:w="300" w:type="dxa"/>
            <w:vAlign w:val="bottom"/>
            <w:tcBorders>
              <w:bottom w:val="single" w:sz="8" w:color="auto"/>
            </w:tcBorders>
          </w:tcPr>
          <w:p>
            <w:pPr>
              <w:jc w:val="right"/>
              <w:ind w:right="14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1,547,865</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600" w:right="320" w:hanging="282"/>
        <w:spacing w:after="0" w:line="272" w:lineRule="auto"/>
        <w:tabs>
          <w:tab w:leader="none" w:pos="6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part of the acquisition of Teraco in 2022, certain of Teraco's minority indirect shareholders have the right to put their shares in an upstream parent company of Teraco to the Company in exchange for cash or the equivalent value of shares of the Company common stock, or a combination thereof. U.S. GAAP requires the Company to assume the put right is settled in shares for purposes of calculating diluted EPS. This same approach was utilized to calculate FFO per share. When calculating diluted FFO, Teraco related minority interest is added back to the FFO numerator as the denominator assumes all shares have been put back to the Company. The Teraco noncontrolling share of FFO was $46,953, $39,386, and $11,919 for the years ended</w:t>
      </w:r>
    </w:p>
    <w:p>
      <w:pPr>
        <w:spacing w:after="0" w:line="3" w:lineRule="exact"/>
        <w:rPr>
          <w:rFonts w:ascii="Times New Roman" w:cs="Times New Roman" w:eastAsia="Times New Roman" w:hAnsi="Times New Roman"/>
          <w:sz w:val="14"/>
          <w:szCs w:val="14"/>
          <w:color w:val="auto"/>
        </w:rPr>
      </w:pPr>
    </w:p>
    <w:p>
      <w:pPr>
        <w:ind w:left="600"/>
        <w:spacing w:after="0" w:line="23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December 31, 2024, 2023 and 2022, respectively.</w:t>
      </w:r>
    </w:p>
    <w:p>
      <w:pPr>
        <w:ind w:left="600" w:right="400" w:hanging="282"/>
        <w:spacing w:after="0" w:line="286" w:lineRule="auto"/>
        <w:tabs>
          <w:tab w:leader="none" w:pos="6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all periods presented, we have excluded the effect of the series J, series K and series L preferred stock, as applicable, that may be converted into common stock upon the occurrence of specified change in control transactions as described in the articles supplementary governing the series J, series K and series L preferred stock, as applicable, as they would be anti-dilutive.</w:t>
      </w:r>
    </w:p>
    <w:p>
      <w:pPr>
        <w:spacing w:after="0" w:line="137" w:lineRule="exact"/>
        <w:rPr>
          <w:sz w:val="20"/>
          <w:szCs w:val="20"/>
          <w:color w:val="auto"/>
        </w:rPr>
      </w:pPr>
    </w:p>
    <w:tbl>
      <w:tblPr>
        <w:tblLayout w:type="fixed"/>
        <w:tblInd w:w="320" w:type="dxa"/>
        <w:tblCellMar>
          <w:top w:w="0" w:type="dxa"/>
          <w:left w:w="0" w:type="dxa"/>
          <w:bottom w:w="0" w:type="dxa"/>
          <w:right w:w="0" w:type="dxa"/>
        </w:tblCellMar>
      </w:tblPr>
      <w:tr>
        <w:trPr>
          <w:trHeight w:val="195"/>
        </w:trPr>
        <w:tc>
          <w:tcPr>
            <w:tcW w:w="374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3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740" w:type="dxa"/>
            <w:vAlign w:val="bottom"/>
          </w:tcPr>
          <w:p>
            <w:pPr>
              <w:spacing w:after="0"/>
              <w:rPr>
                <w:sz w:val="14"/>
                <w:szCs w:val="14"/>
                <w:color w:val="auto"/>
              </w:rPr>
            </w:pPr>
          </w:p>
        </w:tc>
        <w:tc>
          <w:tcPr>
            <w:tcW w:w="1360" w:type="dxa"/>
            <w:vAlign w:val="bottom"/>
          </w:tcPr>
          <w:p>
            <w:pPr>
              <w:jc w:val="right"/>
              <w:ind w:right="442"/>
              <w:spacing w:after="0" w:line="172" w:lineRule="exact"/>
              <w:rPr>
                <w:sz w:val="20"/>
                <w:szCs w:val="20"/>
                <w:color w:val="auto"/>
              </w:rPr>
            </w:pPr>
            <w:r>
              <w:rPr>
                <w:rFonts w:ascii="Times New Roman" w:cs="Times New Roman" w:eastAsia="Times New Roman" w:hAnsi="Times New Roman"/>
                <w:sz w:val="16"/>
                <w:szCs w:val="16"/>
                <w:b w:val="1"/>
                <w:bCs w:val="1"/>
                <w:color w:val="auto"/>
              </w:rPr>
              <w:t>2024</w:t>
            </w:r>
          </w:p>
        </w:tc>
        <w:tc>
          <w:tcPr>
            <w:tcW w:w="1640" w:type="dxa"/>
            <w:vAlign w:val="bottom"/>
            <w:gridSpan w:val="2"/>
          </w:tcPr>
          <w:p>
            <w:pPr>
              <w:jc w:val="right"/>
              <w:ind w:right="462"/>
              <w:spacing w:after="0" w:line="172" w:lineRule="exact"/>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4"/>
                <w:szCs w:val="14"/>
                <w:color w:val="auto"/>
              </w:rPr>
            </w:pPr>
          </w:p>
        </w:tc>
        <w:tc>
          <w:tcPr>
            <w:tcW w:w="1380" w:type="dxa"/>
            <w:vAlign w:val="bottom"/>
          </w:tcPr>
          <w:p>
            <w:pPr>
              <w:jc w:val="right"/>
              <w:ind w:right="442"/>
              <w:spacing w:after="0" w:line="172" w:lineRule="exact"/>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740" w:type="dxa"/>
            <w:vAlign w:val="bottom"/>
            <w:tcBorders>
              <w:top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Weighted average common stock and units outstanding</w:t>
            </w:r>
          </w:p>
        </w:tc>
        <w:tc>
          <w:tcPr>
            <w:tcW w:w="136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329,485</w:t>
            </w:r>
          </w:p>
        </w:tc>
        <w:tc>
          <w:tcPr>
            <w:tcW w:w="26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304,651</w:t>
            </w:r>
          </w:p>
        </w:tc>
        <w:tc>
          <w:tcPr>
            <w:tcW w:w="24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292,123</w:t>
            </w:r>
          </w:p>
        </w:tc>
        <w:tc>
          <w:tcPr>
            <w:tcW w:w="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74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Add: Effect of dilutive securities</w:t>
            </w:r>
          </w:p>
        </w:tc>
        <w:tc>
          <w:tcPr>
            <w:tcW w:w="13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8,211</w:t>
            </w:r>
          </w:p>
        </w:tc>
        <w:tc>
          <w:tcPr>
            <w:tcW w:w="26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10,462</w:t>
            </w:r>
          </w:p>
        </w:tc>
        <w:tc>
          <w:tcPr>
            <w:tcW w:w="24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11,585</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37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6"/>
                <w:szCs w:val="16"/>
                <w:color w:val="auto"/>
              </w:rPr>
              <w:t>Weighted average common stock and units outstanding</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337,696</w:t>
            </w:r>
          </w:p>
        </w:tc>
        <w:tc>
          <w:tcPr>
            <w:tcW w:w="16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315,113</w:t>
            </w:r>
          </w:p>
        </w:tc>
        <w:tc>
          <w:tcPr>
            <w:tcW w:w="240" w:type="dxa"/>
            <w:vAlign w:val="bottom"/>
            <w:shd w:val="clear" w:color="auto" w:fill="CCEEFF"/>
          </w:tcPr>
          <w:p>
            <w:pPr>
              <w:spacing w:after="0"/>
              <w:rPr>
                <w:sz w:val="12"/>
                <w:szCs w:val="12"/>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303,708</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74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—diluted</w:t>
            </w:r>
          </w:p>
        </w:tc>
        <w:tc>
          <w:tcPr>
            <w:tcW w:w="1360" w:type="dxa"/>
            <w:vAlign w:val="bottom"/>
            <w:vMerge w:val="continue"/>
            <w:shd w:val="clear" w:color="auto" w:fill="CCEEFF"/>
          </w:tcPr>
          <w:p>
            <w:pPr>
              <w:spacing w:after="0"/>
              <w:rPr>
                <w:sz w:val="15"/>
                <w:szCs w:val="15"/>
                <w:color w:val="auto"/>
              </w:rPr>
            </w:pPr>
          </w:p>
        </w:tc>
        <w:tc>
          <w:tcPr>
            <w:tcW w:w="1640" w:type="dxa"/>
            <w:vAlign w:val="bottom"/>
            <w:gridSpan w:val="2"/>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8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2"/>
        </w:trPr>
        <w:tc>
          <w:tcPr>
            <w:tcW w:w="3740" w:type="dxa"/>
            <w:vAlign w:val="bottom"/>
          </w:tcPr>
          <w:p>
            <w:pPr>
              <w:spacing w:after="0"/>
              <w:rPr>
                <w:sz w:val="24"/>
                <w:szCs w:val="24"/>
                <w:color w:val="auto"/>
              </w:rPr>
            </w:pPr>
          </w:p>
        </w:tc>
        <w:tc>
          <w:tcPr>
            <w:tcW w:w="1360" w:type="dxa"/>
            <w:vAlign w:val="bottom"/>
          </w:tcPr>
          <w:p>
            <w:pPr>
              <w:jc w:val="right"/>
              <w:ind w:right="762"/>
              <w:spacing w:after="0"/>
              <w:rPr>
                <w:sz w:val="20"/>
                <w:szCs w:val="20"/>
                <w:color w:val="auto"/>
              </w:rPr>
            </w:pPr>
            <w:r>
              <w:rPr>
                <w:rFonts w:ascii="Times New Roman" w:cs="Times New Roman" w:eastAsia="Times New Roman" w:hAnsi="Times New Roman"/>
                <w:sz w:val="16"/>
                <w:szCs w:val="16"/>
                <w:color w:val="auto"/>
              </w:rPr>
              <w:t>80</w:t>
            </w: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37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020"/>
          </w:cols>
          <w:pgMar w:left="1440" w:top="557" w:right="1440" w:bottom="1440" w:gutter="0" w:footer="0" w:header="0"/>
        </w:sectPr>
      </w:pPr>
    </w:p>
    <w:bookmarkStart w:id="85" w:name="page86"/>
    <w:bookmarkEnd w:id="85"/>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ind w:left="320"/>
        <w:spacing w:after="0"/>
        <w:tabs>
          <w:tab w:leader="none" w:pos="1260" w:val="left"/>
        </w:tabs>
        <w:rPr>
          <w:sz w:val="20"/>
          <w:szCs w:val="20"/>
          <w:color w:val="auto"/>
        </w:rPr>
      </w:pPr>
      <w:r>
        <w:rPr>
          <w:rFonts w:ascii="Times New Roman" w:cs="Times New Roman" w:eastAsia="Times New Roman" w:hAnsi="Times New Roman"/>
          <w:sz w:val="16"/>
          <w:szCs w:val="16"/>
          <w:b w:val="1"/>
          <w:bCs w:val="1"/>
          <w:color w:val="auto"/>
        </w:rPr>
        <w:t>ITEM 7A.</w:t>
      </w:r>
      <w:r>
        <w:rPr>
          <w:sz w:val="20"/>
          <w:szCs w:val="20"/>
          <w:color w:val="auto"/>
        </w:rPr>
        <w:tab/>
      </w:r>
      <w:r>
        <w:rPr>
          <w:rFonts w:ascii="Times New Roman" w:cs="Times New Roman" w:eastAsia="Times New Roman" w:hAnsi="Times New Roman"/>
          <w:sz w:val="14"/>
          <w:szCs w:val="14"/>
          <w:b w:val="1"/>
          <w:bCs w:val="1"/>
          <w:color w:val="auto"/>
        </w:rPr>
        <w:t>QUANTITATIVE AND QUALITATIVE DISCLOSURES ABOUT MARKET RISK</w:t>
      </w:r>
    </w:p>
    <w:p>
      <w:pPr>
        <w:spacing w:after="0" w:line="190" w:lineRule="exact"/>
        <w:rPr>
          <w:sz w:val="20"/>
          <w:szCs w:val="20"/>
          <w:color w:val="auto"/>
        </w:rPr>
      </w:pPr>
    </w:p>
    <w:p>
      <w:pPr>
        <w:ind w:left="320" w:right="500"/>
        <w:spacing w:after="0" w:line="299" w:lineRule="auto"/>
        <w:rPr>
          <w:sz w:val="20"/>
          <w:szCs w:val="20"/>
          <w:color w:val="auto"/>
        </w:rPr>
      </w:pPr>
      <w:r>
        <w:rPr>
          <w:rFonts w:ascii="Times New Roman" w:cs="Times New Roman" w:eastAsia="Times New Roman" w:hAnsi="Times New Roman"/>
          <w:sz w:val="14"/>
          <w:szCs w:val="14"/>
          <w:color w:val="auto"/>
        </w:rPr>
        <w:t>Our future income, cash flows and fair values relevant to financial instruments depend upon prevalent market interest rates. Market risk refers to the risk of loss from adverse changes in market prices and interest rates. We do not use derivatives for trading or speculative purposes and only enter into contracts with major financial institutions based on their credit ratings and other factors.</w:t>
      </w:r>
    </w:p>
    <w:p>
      <w:pPr>
        <w:spacing w:after="0" w:line="1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Analysis of Debt between Fixed and Variable Rate</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We use interest rate swap agreements and fixed rate debt to reduce our exposure to interest rate movements. As of</w:t>
      </w:r>
    </w:p>
    <w:p>
      <w:pPr>
        <w:spacing w:after="0" w:line="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December 31, 2024, our consolidated debt was as follows (in millions):</w:t>
      </w:r>
    </w:p>
    <w:p>
      <w:pPr>
        <w:spacing w:after="0" w:line="164"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39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Estimated Fair</w:t>
            </w:r>
          </w:p>
        </w:tc>
      </w:tr>
      <w:tr>
        <w:trPr>
          <w:trHeight w:val="195"/>
        </w:trPr>
        <w:tc>
          <w:tcPr>
            <w:tcW w:w="392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2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172"/>
        </w:trPr>
        <w:tc>
          <w:tcPr>
            <w:tcW w:w="39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Fixed rate debt</w:t>
            </w: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12,160</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11,463</w:t>
            </w:r>
          </w:p>
        </w:tc>
      </w:tr>
      <w:tr>
        <w:trPr>
          <w:trHeight w:val="180"/>
        </w:trPr>
        <w:tc>
          <w:tcPr>
            <w:tcW w:w="392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Variable rate debt subject to interest rate swaps</w:t>
            </w:r>
          </w:p>
        </w:tc>
        <w:tc>
          <w:tcPr>
            <w:tcW w:w="7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3,103</w:t>
            </w:r>
          </w:p>
        </w:tc>
        <w:tc>
          <w:tcPr>
            <w:tcW w:w="2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3,103</w:t>
            </w:r>
          </w:p>
        </w:tc>
      </w:tr>
      <w:tr>
        <w:trPr>
          <w:trHeight w:val="172"/>
        </w:trPr>
        <w:tc>
          <w:tcPr>
            <w:tcW w:w="39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Total fixed rate debt (including interest rate swaps)</w:t>
            </w: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15,263</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14,566</w:t>
            </w:r>
          </w:p>
        </w:tc>
      </w:tr>
      <w:tr>
        <w:trPr>
          <w:trHeight w:val="180"/>
        </w:trPr>
        <w:tc>
          <w:tcPr>
            <w:tcW w:w="392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Variable rate debt</w:t>
            </w:r>
          </w:p>
        </w:tc>
        <w:tc>
          <w:tcPr>
            <w:tcW w:w="7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1,584</w:t>
            </w:r>
          </w:p>
        </w:tc>
        <w:tc>
          <w:tcPr>
            <w:tcW w:w="2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1,584</w:t>
            </w:r>
          </w:p>
        </w:tc>
      </w:tr>
      <w:tr>
        <w:trPr>
          <w:trHeight w:val="172"/>
        </w:trPr>
        <w:tc>
          <w:tcPr>
            <w:tcW w:w="3920" w:type="dxa"/>
            <w:vAlign w:val="bottom"/>
            <w:tcBorders>
              <w:bottom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Total outstanding debt</w:t>
            </w:r>
          </w:p>
        </w:tc>
        <w:tc>
          <w:tcPr>
            <w:tcW w:w="7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16,847</w:t>
            </w:r>
          </w:p>
        </w:tc>
        <w:tc>
          <w:tcPr>
            <w:tcW w:w="2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8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16,150</w:t>
            </w:r>
          </w:p>
        </w:tc>
      </w:tr>
      <w:tr>
        <w:trPr>
          <w:trHeight w:val="20"/>
        </w:trPr>
        <w:tc>
          <w:tcPr>
            <w:tcW w:w="3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Sensitivity to Changes in Interest Rates</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following table shows the effect if assumed changes in interest rates occurred, based on fair values and interest expense as of</w:t>
      </w:r>
    </w:p>
    <w:p>
      <w:pPr>
        <w:spacing w:after="0" w:line="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December 31, 2024:</w:t>
      </w:r>
    </w:p>
    <w:p>
      <w:pPr>
        <w:spacing w:after="0" w:line="164"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7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95"/>
        </w:trPr>
        <w:tc>
          <w:tcPr>
            <w:tcW w:w="7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Assumed event</w:t>
            </w:r>
          </w:p>
        </w:tc>
        <w:tc>
          <w:tcPr>
            <w:tcW w:w="1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 millions)</w:t>
            </w:r>
          </w:p>
        </w:tc>
      </w:tr>
      <w:tr>
        <w:trPr>
          <w:trHeight w:val="172"/>
        </w:trPr>
        <w:tc>
          <w:tcPr>
            <w:tcW w:w="704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Increase in fair value of interest rate swaps following an assumed 10% increase in interest rates</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shd w:val="clear" w:color="auto" w:fill="CCEEFF"/>
          </w:tcPr>
          <w:p>
            <w:pPr>
              <w:spacing w:after="0"/>
              <w:rPr>
                <w:sz w:val="14"/>
                <w:szCs w:val="14"/>
                <w:color w:val="auto"/>
              </w:rPr>
            </w:pPr>
          </w:p>
        </w:tc>
      </w:tr>
      <w:tr>
        <w:trPr>
          <w:trHeight w:val="180"/>
        </w:trPr>
        <w:tc>
          <w:tcPr>
            <w:tcW w:w="7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Decrease in fair value of interest rate swaps following an assumed 10% decrease in interest rates</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r>
      <w:tr>
        <w:trPr>
          <w:trHeight w:val="167"/>
        </w:trPr>
        <w:tc>
          <w:tcPr>
            <w:tcW w:w="70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w w:val="97"/>
              </w:rPr>
              <w:t>Increase in annual interest expense on our debt that is variable rate and not subject to swapped interest following</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93"/>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 10% increase in interest rates</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 w:type="dxa"/>
            <w:vAlign w:val="bottom"/>
            <w:shd w:val="clear" w:color="auto" w:fill="CCEEFF"/>
          </w:tcPr>
          <w:p>
            <w:pPr>
              <w:spacing w:after="0"/>
              <w:rPr>
                <w:sz w:val="16"/>
                <w:szCs w:val="16"/>
                <w:color w:val="auto"/>
              </w:rPr>
            </w:pPr>
          </w:p>
        </w:tc>
      </w:tr>
      <w:tr>
        <w:trPr>
          <w:trHeight w:val="167"/>
        </w:trPr>
        <w:tc>
          <w:tcPr>
            <w:tcW w:w="704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Decrease in annual interest expense on our debt that is variable rate and not subject to swapped interest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3"/>
        </w:trPr>
        <w:tc>
          <w:tcPr>
            <w:tcW w:w="7040" w:type="dxa"/>
            <w:vAlign w:val="bottom"/>
          </w:tcPr>
          <w:p>
            <w:pPr>
              <w:spacing w:after="0"/>
              <w:rPr>
                <w:sz w:val="20"/>
                <w:szCs w:val="20"/>
                <w:color w:val="auto"/>
              </w:rPr>
            </w:pPr>
            <w:r>
              <w:rPr>
                <w:rFonts w:ascii="Times New Roman" w:cs="Times New Roman" w:eastAsia="Times New Roman" w:hAnsi="Times New Roman"/>
                <w:sz w:val="16"/>
                <w:szCs w:val="16"/>
                <w:color w:val="auto"/>
              </w:rPr>
              <w:t>following a 10% decrease in interest rates</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180"/>
        </w:trPr>
        <w:tc>
          <w:tcPr>
            <w:tcW w:w="70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Increase in fair value of fixed rate debt following a 10% decrease in interest rates</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(139)</w:t>
            </w:r>
          </w:p>
        </w:tc>
      </w:tr>
      <w:tr>
        <w:trPr>
          <w:trHeight w:val="203"/>
        </w:trPr>
        <w:tc>
          <w:tcPr>
            <w:tcW w:w="7040" w:type="dxa"/>
            <w:vAlign w:val="bottom"/>
          </w:tcPr>
          <w:p>
            <w:pPr>
              <w:spacing w:after="0"/>
              <w:rPr>
                <w:sz w:val="20"/>
                <w:szCs w:val="20"/>
                <w:color w:val="auto"/>
              </w:rPr>
            </w:pPr>
            <w:r>
              <w:rPr>
                <w:rFonts w:ascii="Times New Roman" w:cs="Times New Roman" w:eastAsia="Times New Roman" w:hAnsi="Times New Roman"/>
                <w:sz w:val="16"/>
                <w:szCs w:val="16"/>
                <w:color w:val="auto"/>
              </w:rPr>
              <w:t>Decrease in fair value of fixed rate debt following a 10% increase in interest rates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731"/>
        </w:trPr>
        <w:tc>
          <w:tcPr>
            <w:tcW w:w="7040" w:type="dxa"/>
            <w:vAlign w:val="bottom"/>
          </w:tcPr>
          <w:p>
            <w:pPr>
              <w:ind w:left="4100"/>
              <w:spacing w:after="0"/>
              <w:rPr>
                <w:sz w:val="20"/>
                <w:szCs w:val="20"/>
                <w:color w:val="auto"/>
              </w:rPr>
            </w:pPr>
            <w:r>
              <w:rPr>
                <w:rFonts w:ascii="Times New Roman" w:cs="Times New Roman" w:eastAsia="Times New Roman" w:hAnsi="Times New Roman"/>
                <w:sz w:val="16"/>
                <w:szCs w:val="16"/>
                <w:color w:val="auto"/>
              </w:rPr>
              <w:t>81</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4"/>
        </w:trPr>
        <w:tc>
          <w:tcPr>
            <w:tcW w:w="7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40" w:orient="portrait"/>
          <w:cols w:equalWidth="0" w:num="1">
            <w:col w:w="9020"/>
          </w:cols>
          <w:pgMar w:left="1440" w:top="557" w:right="1440" w:bottom="1440" w:gutter="0" w:footer="0" w:header="0"/>
        </w:sectPr>
      </w:pPr>
    </w:p>
    <w:bookmarkStart w:id="86" w:name="page87"/>
    <w:bookmarkEnd w:id="86"/>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6" w:lineRule="exact"/>
        <w:rPr>
          <w:sz w:val="20"/>
          <w:szCs w:val="20"/>
          <w:color w:val="auto"/>
        </w:rPr>
      </w:pPr>
    </w:p>
    <w:p>
      <w:pPr>
        <w:ind w:left="320" w:right="540"/>
        <w:spacing w:after="0" w:line="241" w:lineRule="auto"/>
        <w:rPr>
          <w:sz w:val="20"/>
          <w:szCs w:val="20"/>
          <w:color w:val="auto"/>
        </w:rPr>
      </w:pPr>
      <w:r>
        <w:rPr>
          <w:rFonts w:ascii="Times New Roman" w:cs="Times New Roman" w:eastAsia="Times New Roman" w:hAnsi="Times New Roman"/>
          <w:sz w:val="16"/>
          <w:szCs w:val="16"/>
          <w:color w:val="auto"/>
        </w:rPr>
        <w:t>Interest risk amounts were determined by considering the impact of hypothetical interest rates on our financial instruments. These analyses do not consider the effect of any change in overall economic activity that could occur in that environment. Further, in the event of a change of that magnitude, we may take actions to further mitigate our exposure to the change. However, due to the uncertainty of the specific actions that would be taken and their possible effects, these analyses assume no changes in our financial structure.</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Foreign Currency Exchange Risk</w:t>
      </w:r>
    </w:p>
    <w:p>
      <w:pPr>
        <w:spacing w:after="0" w:line="190" w:lineRule="exact"/>
        <w:rPr>
          <w:sz w:val="20"/>
          <w:szCs w:val="20"/>
          <w:color w:val="auto"/>
        </w:rPr>
      </w:pPr>
    </w:p>
    <w:p>
      <w:pPr>
        <w:ind w:left="900" w:right="300" w:hanging="287"/>
        <w:spacing w:after="0" w:line="237" w:lineRule="auto"/>
        <w:rPr>
          <w:sz w:val="20"/>
          <w:szCs w:val="20"/>
          <w:color w:val="auto"/>
        </w:rPr>
      </w:pPr>
      <w:r>
        <w:rPr>
          <w:rFonts w:ascii="Times New Roman" w:cs="Times New Roman" w:eastAsia="Times New Roman" w:hAnsi="Times New Roman"/>
          <w:sz w:val="16"/>
          <w:szCs w:val="16"/>
          <w:color w:val="auto"/>
        </w:rPr>
        <w:t>We are subject to risk from the effects of exchange rate movements of a variety of foreign currencies, which may affect future costs and cash flows. Our primary currency exposures are to the Euro, Japanese yen, British pound sterling, Singapore dollar, South African rand and Brazilian real. Our exposure to foreign exchange risk related to the Brazilian real is limited to the impact that currency has on our share of the Ascenty entity’s operations and financial position. We attempt to mitigate a portion of the risk of currency fluctuations by financing our investments in local currency denominations in order to reduce our exposure to any foreign currency transaction gains or losses resulting from transactions entered into in currencies other than the functional currencies of the associated entities. We also utilize cross-currency interest rate swaps, designated as net investment hedges, which effectively convert a portion of our U.S. dollar-denominated fixed-rate debt to foreign currency-denominated fixed-rate debt, to hedge the currency exposure associated with our net investment in our foreign subsidiaries. In addition, we may also hedge well- defined transactional exposures with foreign currency forwards or options, although there can be no assurances that these will be effective. As a result, changes in the relation of any such foreign currency to U.S. dollar may affect our revenues, operating margins and distributions and may also affect the book value of our assets and the amount of stockholders’ equity</w:t>
      </w:r>
      <w:r>
        <w:rPr>
          <w:rFonts w:ascii="Times New Roman" w:cs="Times New Roman" w:eastAsia="Times New Roman" w:hAnsi="Times New Roman"/>
          <w:sz w:val="16"/>
          <w:szCs w:val="16"/>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87" w:name="page88"/>
    <w:bookmarkEnd w:id="87"/>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tbl>
      <w:tblPr>
        <w:tblLayout w:type="fixed"/>
        <w:tblInd w:w="320" w:type="dxa"/>
        <w:tblCellMar>
          <w:top w:w="0" w:type="dxa"/>
          <w:left w:w="0" w:type="dxa"/>
          <w:bottom w:w="0" w:type="dxa"/>
          <w:right w:w="0" w:type="dxa"/>
        </w:tblCellMar>
      </w:tblPr>
      <w:tr>
        <w:trPr>
          <w:trHeight w:val="205"/>
        </w:trPr>
        <w:tc>
          <w:tcPr>
            <w:tcW w:w="7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ITEM 8.</w:t>
            </w:r>
          </w:p>
        </w:tc>
        <w:tc>
          <w:tcPr>
            <w:tcW w:w="6820" w:type="dxa"/>
            <w:vAlign w:val="bottom"/>
            <w:gridSpan w:val="12"/>
          </w:tcPr>
          <w:p>
            <w:pPr>
              <w:ind w:left="160"/>
              <w:spacing w:after="0"/>
              <w:rPr>
                <w:sz w:val="20"/>
                <w:szCs w:val="20"/>
                <w:color w:val="auto"/>
              </w:rPr>
            </w:pPr>
            <w:r>
              <w:rPr>
                <w:rFonts w:ascii="Times New Roman" w:cs="Times New Roman" w:eastAsia="Times New Roman" w:hAnsi="Times New Roman"/>
                <w:sz w:val="16"/>
                <w:szCs w:val="16"/>
                <w:b w:val="1"/>
                <w:bCs w:val="1"/>
                <w:color w:val="auto"/>
              </w:rPr>
              <w:t>FINANCIAL STATEMENTS AND SUPPLEMENTARY DATA</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20" w:type="dxa"/>
            <w:vAlign w:val="bottom"/>
            <w:gridSpan w:val="12"/>
          </w:tcPr>
          <w:p>
            <w:pPr>
              <w:ind w:left="1240"/>
              <w:spacing w:after="0"/>
              <w:rPr>
                <w:sz w:val="20"/>
                <w:szCs w:val="20"/>
                <w:color w:val="auto"/>
              </w:rPr>
            </w:pPr>
            <w:r>
              <w:rPr>
                <w:rFonts w:ascii="Times New Roman" w:cs="Times New Roman" w:eastAsia="Times New Roman" w:hAnsi="Times New Roman"/>
                <w:sz w:val="16"/>
                <w:szCs w:val="16"/>
                <w:b w:val="1"/>
                <w:bCs w:val="1"/>
                <w:color w:val="auto"/>
              </w:rPr>
              <w:t>INDEX TO THE CONSOLIDATED FINANCIAL STATEMENTS</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3"/>
                <w:szCs w:val="13"/>
                <w:b w:val="1"/>
                <w:bCs w:val="1"/>
                <w:color w:val="auto"/>
              </w:rPr>
              <w:t>Page No.</w:t>
            </w:r>
          </w:p>
        </w:tc>
        <w:tc>
          <w:tcPr>
            <w:tcW w:w="0" w:type="dxa"/>
            <w:vAlign w:val="bottom"/>
          </w:tcPr>
          <w:p>
            <w:pPr>
              <w:spacing w:after="0"/>
              <w:rPr>
                <w:sz w:val="1"/>
                <w:szCs w:val="1"/>
                <w:color w:val="auto"/>
              </w:rPr>
            </w:pPr>
          </w:p>
        </w:tc>
      </w:tr>
      <w:tr>
        <w:trPr>
          <w:trHeight w:val="196"/>
        </w:trPr>
        <w:tc>
          <w:tcPr>
            <w:tcW w:w="7540" w:type="dxa"/>
            <w:vAlign w:val="bottom"/>
            <w:gridSpan w:val="14"/>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Management’s Reports on Internal Control over Financial Reporting</w:t>
              </w:r>
            </w:hyperlink>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540" w:type="dxa"/>
            <w:vAlign w:val="bottom"/>
            <w:gridSpan w:val="14"/>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 xml:space="preserve">Reports of Independent Registered Public Accounting Firm </w:t>
              </w:r>
            </w:hyperlink>
            <w:r>
              <w:rPr>
                <w:rFonts w:ascii="Times New Roman" w:cs="Times New Roman" w:eastAsia="Times New Roman" w:hAnsi="Times New Roman"/>
                <w:sz w:val="16"/>
                <w:szCs w:val="16"/>
                <w:color w:val="000000"/>
              </w:rPr>
              <w:t>(Auditor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Firm ID: 185)</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7540" w:type="dxa"/>
            <w:vAlign w:val="bottom"/>
            <w:gridSpan w:val="14"/>
          </w:tcPr>
          <w:p>
            <w:pPr>
              <w:spacing w:after="0"/>
              <w:rPr>
                <w:sz w:val="20"/>
                <w:szCs w:val="20"/>
                <w:color w:val="auto"/>
              </w:rPr>
            </w:pPr>
            <w:r>
              <w:rPr>
                <w:rFonts w:ascii="Times New Roman" w:cs="Times New Roman" w:eastAsia="Times New Roman" w:hAnsi="Times New Roman"/>
                <w:sz w:val="16"/>
                <w:szCs w:val="16"/>
                <w:b w:val="1"/>
                <w:bCs w:val="1"/>
                <w:color w:val="auto"/>
              </w:rPr>
              <w:t>Consolidated Financial Statements of Digital Realty Trust, Inc.</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7540" w:type="dxa"/>
            <w:vAlign w:val="bottom"/>
            <w:gridSpan w:val="14"/>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Consolidated Balance Sheets as of December 31, 2024 and 2023</w:t>
              </w:r>
            </w:hyperlink>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540" w:type="dxa"/>
            <w:vAlign w:val="bottom"/>
            <w:gridSpan w:val="14"/>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Consolidated Income Statements for each of the years in the three-year period ended December 31, 202</w:t>
              </w:r>
            </w:hyperlink>
            <w:r>
              <w:rPr>
                <w:rFonts w:ascii="Times New Roman" w:cs="Times New Roman" w:eastAsia="Times New Roman" w:hAnsi="Times New Roman"/>
                <w:sz w:val="16"/>
                <w:szCs w:val="16"/>
                <w:color w:val="0000EE"/>
              </w:rPr>
              <w:t>4</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540" w:type="dxa"/>
            <w:vAlign w:val="bottom"/>
            <w:gridSpan w:val="14"/>
          </w:tcPr>
          <w:p>
            <w:pPr>
              <w:spacing w:after="0"/>
              <w:rPr>
                <w:rFonts w:ascii="Times New Roman" w:cs="Times New Roman" w:eastAsia="Times New Roman" w:hAnsi="Times New Roman"/>
                <w:sz w:val="16"/>
                <w:szCs w:val="16"/>
                <w:color w:val="0000EE"/>
                <w:w w:val="99"/>
              </w:rPr>
            </w:pPr>
            <w:hyperlink w:anchor="page1">
              <w:r>
                <w:rPr>
                  <w:rFonts w:ascii="Times New Roman" w:cs="Times New Roman" w:eastAsia="Times New Roman" w:hAnsi="Times New Roman"/>
                  <w:sz w:val="16"/>
                  <w:szCs w:val="16"/>
                  <w:color w:val="0000EE"/>
                  <w:w w:val="99"/>
                </w:rPr>
                <w:t>Consolidated Statements of Comprehensive Income for each of the years in the three-year period ended December 31,</w:t>
              </w:r>
            </w:hyperlink>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160"/>
        </w:trPr>
        <w:tc>
          <w:tcPr>
            <w:tcW w:w="320" w:type="dxa"/>
            <w:vAlign w:val="bottom"/>
            <w:tcBorders>
              <w:top w:val="single" w:sz="8" w:color="0000EE"/>
              <w:bottom w:val="single" w:sz="8" w:color="0000EE"/>
            </w:tcBorders>
          </w:tcPr>
          <w:p>
            <w:pPr>
              <w:spacing w:after="0" w:line="160" w:lineRule="exact"/>
              <w:rPr>
                <w:rFonts w:ascii="Times New Roman" w:cs="Times New Roman" w:eastAsia="Times New Roman" w:hAnsi="Times New Roman"/>
                <w:sz w:val="16"/>
                <w:szCs w:val="16"/>
                <w:color w:val="0000EE"/>
                <w:w w:val="93"/>
              </w:rPr>
            </w:pPr>
            <w:hyperlink w:anchor="page1">
              <w:r>
                <w:rPr>
                  <w:rFonts w:ascii="Times New Roman" w:cs="Times New Roman" w:eastAsia="Times New Roman" w:hAnsi="Times New Roman"/>
                  <w:sz w:val="16"/>
                  <w:szCs w:val="16"/>
                  <w:color w:val="0000EE"/>
                  <w:w w:val="93"/>
                </w:rPr>
                <w:t>2024</w:t>
              </w:r>
            </w:hyperlink>
          </w:p>
        </w:tc>
        <w:tc>
          <w:tcPr>
            <w:tcW w:w="400" w:type="dxa"/>
            <w:vAlign w:val="bottom"/>
            <w:tcBorders>
              <w:top w:val="single" w:sz="8" w:color="0000EE"/>
            </w:tcBorders>
          </w:tcPr>
          <w:p>
            <w:pPr>
              <w:spacing w:after="0"/>
              <w:rPr>
                <w:sz w:val="13"/>
                <w:szCs w:val="13"/>
                <w:color w:val="auto"/>
              </w:rPr>
            </w:pPr>
          </w:p>
        </w:tc>
        <w:tc>
          <w:tcPr>
            <w:tcW w:w="2000" w:type="dxa"/>
            <w:vAlign w:val="bottom"/>
            <w:tcBorders>
              <w:top w:val="single" w:sz="8" w:color="0000EE"/>
            </w:tcBorders>
          </w:tcPr>
          <w:p>
            <w:pPr>
              <w:spacing w:after="0"/>
              <w:rPr>
                <w:sz w:val="13"/>
                <w:szCs w:val="13"/>
                <w:color w:val="auto"/>
              </w:rPr>
            </w:pPr>
          </w:p>
        </w:tc>
        <w:tc>
          <w:tcPr>
            <w:tcW w:w="1000" w:type="dxa"/>
            <w:vAlign w:val="bottom"/>
            <w:tcBorders>
              <w:top w:val="single" w:sz="8" w:color="0000EE"/>
            </w:tcBorders>
          </w:tcPr>
          <w:p>
            <w:pPr>
              <w:spacing w:after="0"/>
              <w:rPr>
                <w:sz w:val="13"/>
                <w:szCs w:val="13"/>
                <w:color w:val="auto"/>
              </w:rPr>
            </w:pPr>
          </w:p>
        </w:tc>
        <w:tc>
          <w:tcPr>
            <w:tcW w:w="30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900" w:type="dxa"/>
            <w:vAlign w:val="bottom"/>
            <w:tcBorders>
              <w:top w:val="single" w:sz="8" w:color="0000EE"/>
            </w:tcBorders>
          </w:tcPr>
          <w:p>
            <w:pPr>
              <w:spacing w:after="0"/>
              <w:rPr>
                <w:sz w:val="13"/>
                <w:szCs w:val="13"/>
                <w:color w:val="auto"/>
              </w:rPr>
            </w:pPr>
          </w:p>
        </w:tc>
        <w:tc>
          <w:tcPr>
            <w:tcW w:w="136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80" w:type="dxa"/>
            <w:vAlign w:val="bottom"/>
            <w:tcBorders>
              <w:top w:val="single" w:sz="8" w:color="0000EE"/>
            </w:tcBorders>
          </w:tcPr>
          <w:p>
            <w:pPr>
              <w:spacing w:after="0"/>
              <w:rPr>
                <w:sz w:val="13"/>
                <w:szCs w:val="13"/>
                <w:color w:val="auto"/>
              </w:rPr>
            </w:pPr>
          </w:p>
        </w:tc>
        <w:tc>
          <w:tcPr>
            <w:tcW w:w="440" w:type="dxa"/>
            <w:vAlign w:val="bottom"/>
            <w:tcBorders>
              <w:top w:val="single" w:sz="8" w:color="0000EE"/>
            </w:tcBorders>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7540" w:type="dxa"/>
            <w:vAlign w:val="bottom"/>
            <w:gridSpan w:val="14"/>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Consolidated Statements of Equity for each of the years in the three-year period ended December 31, 202</w:t>
              </w:r>
            </w:hyperlink>
            <w:r>
              <w:rPr>
                <w:rFonts w:ascii="Times New Roman" w:cs="Times New Roman" w:eastAsia="Times New Roman" w:hAnsi="Times New Roman"/>
                <w:sz w:val="16"/>
                <w:szCs w:val="16"/>
                <w:color w:val="0000EE"/>
              </w:rPr>
              <w:t>4</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0"/>
        </w:trPr>
        <w:tc>
          <w:tcPr>
            <w:tcW w:w="2720" w:type="dxa"/>
            <w:vAlign w:val="bottom"/>
            <w:gridSpan w:val="3"/>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540" w:type="dxa"/>
            <w:vAlign w:val="bottom"/>
            <w:gridSpan w:val="14"/>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Consolidated Statements of Cash Flows for each of the years in the three-year period ended December 31, 202</w:t>
              </w:r>
            </w:hyperlink>
            <w:r>
              <w:rPr>
                <w:rFonts w:ascii="Times New Roman" w:cs="Times New Roman" w:eastAsia="Times New Roman" w:hAnsi="Times New Roman"/>
                <w:sz w:val="16"/>
                <w:szCs w:val="16"/>
                <w:color w:val="0000EE"/>
              </w:rPr>
              <w:t>4</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42"/>
        </w:trPr>
        <w:tc>
          <w:tcPr>
            <w:tcW w:w="692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6"/>
                <w:szCs w:val="16"/>
                <w:b w:val="1"/>
                <w:bCs w:val="1"/>
                <w:color w:val="auto"/>
              </w:rPr>
              <w:t>Consolidated Financial Statements of Digital Realty Trust, L.P.</w:t>
            </w:r>
          </w:p>
        </w:tc>
        <w:tc>
          <w:tcPr>
            <w:tcW w:w="620" w:type="dxa"/>
            <w:vAlign w:val="bottom"/>
            <w:gridSpan w:val="2"/>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7540" w:type="dxa"/>
            <w:vAlign w:val="bottom"/>
            <w:gridSpan w:val="14"/>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Consolidated Balance Sheets as of December 31, 2024 and 2023</w:t>
              </w:r>
            </w:hyperlink>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20"/>
        </w:trPr>
        <w:tc>
          <w:tcPr>
            <w:tcW w:w="2720" w:type="dxa"/>
            <w:vAlign w:val="bottom"/>
            <w:gridSpan w:val="3"/>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540" w:type="dxa"/>
            <w:vAlign w:val="bottom"/>
            <w:gridSpan w:val="14"/>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Consolidated Income Statements for each of the years in the three-year period ended December 31, 202</w:t>
              </w:r>
            </w:hyperlink>
            <w:r>
              <w:rPr>
                <w:rFonts w:ascii="Times New Roman" w:cs="Times New Roman" w:eastAsia="Times New Roman" w:hAnsi="Times New Roman"/>
                <w:sz w:val="16"/>
                <w:szCs w:val="16"/>
                <w:color w:val="0000EE"/>
              </w:rPr>
              <w:t>4</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20"/>
        </w:trPr>
        <w:tc>
          <w:tcPr>
            <w:tcW w:w="2720" w:type="dxa"/>
            <w:vAlign w:val="bottom"/>
            <w:gridSpan w:val="3"/>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540" w:type="dxa"/>
            <w:vAlign w:val="bottom"/>
            <w:gridSpan w:val="14"/>
          </w:tcPr>
          <w:p>
            <w:pPr>
              <w:spacing w:after="0"/>
              <w:rPr>
                <w:rFonts w:ascii="Times New Roman" w:cs="Times New Roman" w:eastAsia="Times New Roman" w:hAnsi="Times New Roman"/>
                <w:sz w:val="16"/>
                <w:szCs w:val="16"/>
                <w:color w:val="0000EE"/>
                <w:w w:val="99"/>
              </w:rPr>
            </w:pPr>
            <w:hyperlink w:anchor="page1">
              <w:r>
                <w:rPr>
                  <w:rFonts w:ascii="Times New Roman" w:cs="Times New Roman" w:eastAsia="Times New Roman" w:hAnsi="Times New Roman"/>
                  <w:sz w:val="16"/>
                  <w:szCs w:val="16"/>
                  <w:color w:val="0000EE"/>
                  <w:w w:val="99"/>
                </w:rPr>
                <w:t>Consolidated Statements of Comprehensive Income for each of the years in the three-year period ended December 31,</w:t>
              </w:r>
            </w:hyperlink>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60"/>
        </w:trPr>
        <w:tc>
          <w:tcPr>
            <w:tcW w:w="320" w:type="dxa"/>
            <w:vAlign w:val="bottom"/>
            <w:tcBorders>
              <w:top w:val="single" w:sz="8" w:color="0000EE"/>
              <w:bottom w:val="single" w:sz="8" w:color="0000EE"/>
            </w:tcBorders>
          </w:tcPr>
          <w:p>
            <w:pPr>
              <w:spacing w:after="0" w:line="160" w:lineRule="exact"/>
              <w:rPr>
                <w:rFonts w:ascii="Times New Roman" w:cs="Times New Roman" w:eastAsia="Times New Roman" w:hAnsi="Times New Roman"/>
                <w:sz w:val="16"/>
                <w:szCs w:val="16"/>
                <w:color w:val="0000EE"/>
                <w:w w:val="93"/>
              </w:rPr>
            </w:pPr>
            <w:hyperlink w:anchor="page1">
              <w:r>
                <w:rPr>
                  <w:rFonts w:ascii="Times New Roman" w:cs="Times New Roman" w:eastAsia="Times New Roman" w:hAnsi="Times New Roman"/>
                  <w:sz w:val="16"/>
                  <w:szCs w:val="16"/>
                  <w:color w:val="0000EE"/>
                  <w:w w:val="93"/>
                </w:rPr>
                <w:t>2024</w:t>
              </w:r>
            </w:hyperlink>
          </w:p>
        </w:tc>
        <w:tc>
          <w:tcPr>
            <w:tcW w:w="400" w:type="dxa"/>
            <w:vAlign w:val="bottom"/>
            <w:tcBorders>
              <w:top w:val="single" w:sz="8" w:color="0000EE"/>
            </w:tcBorders>
          </w:tcPr>
          <w:p>
            <w:pPr>
              <w:spacing w:after="0"/>
              <w:rPr>
                <w:sz w:val="13"/>
                <w:szCs w:val="13"/>
                <w:color w:val="auto"/>
              </w:rPr>
            </w:pPr>
          </w:p>
        </w:tc>
        <w:tc>
          <w:tcPr>
            <w:tcW w:w="2000" w:type="dxa"/>
            <w:vAlign w:val="bottom"/>
            <w:tcBorders>
              <w:top w:val="single" w:sz="8" w:color="0000EE"/>
            </w:tcBorders>
          </w:tcPr>
          <w:p>
            <w:pPr>
              <w:spacing w:after="0"/>
              <w:rPr>
                <w:sz w:val="13"/>
                <w:szCs w:val="13"/>
                <w:color w:val="auto"/>
              </w:rPr>
            </w:pPr>
          </w:p>
        </w:tc>
        <w:tc>
          <w:tcPr>
            <w:tcW w:w="1000" w:type="dxa"/>
            <w:vAlign w:val="bottom"/>
            <w:tcBorders>
              <w:top w:val="single" w:sz="8" w:color="0000EE"/>
            </w:tcBorders>
          </w:tcPr>
          <w:p>
            <w:pPr>
              <w:spacing w:after="0"/>
              <w:rPr>
                <w:sz w:val="13"/>
                <w:szCs w:val="13"/>
                <w:color w:val="auto"/>
              </w:rPr>
            </w:pPr>
          </w:p>
        </w:tc>
        <w:tc>
          <w:tcPr>
            <w:tcW w:w="30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900" w:type="dxa"/>
            <w:vAlign w:val="bottom"/>
            <w:tcBorders>
              <w:top w:val="single" w:sz="8" w:color="0000EE"/>
            </w:tcBorders>
          </w:tcPr>
          <w:p>
            <w:pPr>
              <w:spacing w:after="0"/>
              <w:rPr>
                <w:sz w:val="13"/>
                <w:szCs w:val="13"/>
                <w:color w:val="auto"/>
              </w:rPr>
            </w:pPr>
          </w:p>
        </w:tc>
        <w:tc>
          <w:tcPr>
            <w:tcW w:w="136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80" w:type="dxa"/>
            <w:vAlign w:val="bottom"/>
            <w:tcBorders>
              <w:top w:val="single" w:sz="8" w:color="0000EE"/>
            </w:tcBorders>
          </w:tcPr>
          <w:p>
            <w:pPr>
              <w:spacing w:after="0"/>
              <w:rPr>
                <w:sz w:val="13"/>
                <w:szCs w:val="13"/>
                <w:color w:val="auto"/>
              </w:rPr>
            </w:pPr>
          </w:p>
        </w:tc>
        <w:tc>
          <w:tcPr>
            <w:tcW w:w="440" w:type="dxa"/>
            <w:vAlign w:val="bottom"/>
            <w:tcBorders>
              <w:top w:val="single" w:sz="8" w:color="0000EE"/>
            </w:tcBorders>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7540" w:type="dxa"/>
            <w:vAlign w:val="bottom"/>
            <w:gridSpan w:val="14"/>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Consolidated Statements of Capital for each of the years in the three-year period ended December 31, 202</w:t>
              </w:r>
            </w:hyperlink>
            <w:r>
              <w:rPr>
                <w:rFonts w:ascii="Times New Roman" w:cs="Times New Roman" w:eastAsia="Times New Roman" w:hAnsi="Times New Roman"/>
                <w:sz w:val="16"/>
                <w:szCs w:val="16"/>
                <w:color w:val="0000EE"/>
              </w:rPr>
              <w:t>4</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20"/>
        </w:trPr>
        <w:tc>
          <w:tcPr>
            <w:tcW w:w="2720" w:type="dxa"/>
            <w:vAlign w:val="bottom"/>
            <w:gridSpan w:val="3"/>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540" w:type="dxa"/>
            <w:vAlign w:val="bottom"/>
            <w:gridSpan w:val="14"/>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Consolidated Statements of Cash Flows for each of the years in the three-year period ended December 31, 202</w:t>
              </w:r>
            </w:hyperlink>
            <w:r>
              <w:rPr>
                <w:rFonts w:ascii="Times New Roman" w:cs="Times New Roman" w:eastAsia="Times New Roman" w:hAnsi="Times New Roman"/>
                <w:sz w:val="16"/>
                <w:szCs w:val="16"/>
                <w:color w:val="0000EE"/>
              </w:rPr>
              <w:t>4</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42"/>
        </w:trPr>
        <w:tc>
          <w:tcPr>
            <w:tcW w:w="692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6"/>
                <w:szCs w:val="16"/>
                <w:b w:val="1"/>
                <w:bCs w:val="1"/>
                <w:color w:val="auto"/>
              </w:rPr>
              <w:t>Consolidated Financial Statements of Digital Realty Trust, Inc. and Digital Realty Trust, L.P.</w:t>
            </w:r>
          </w:p>
        </w:tc>
        <w:tc>
          <w:tcPr>
            <w:tcW w:w="620" w:type="dxa"/>
            <w:vAlign w:val="bottom"/>
            <w:gridSpan w:val="2"/>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7540" w:type="dxa"/>
            <w:vAlign w:val="bottom"/>
            <w:gridSpan w:val="14"/>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Notes to Consolidated Financial Statements</w:t>
              </w:r>
            </w:hyperlink>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20"/>
        </w:trPr>
        <w:tc>
          <w:tcPr>
            <w:tcW w:w="2720" w:type="dxa"/>
            <w:vAlign w:val="bottom"/>
            <w:gridSpan w:val="3"/>
            <w:shd w:val="clear" w:color="auto" w:fill="0000EE"/>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540" w:type="dxa"/>
            <w:vAlign w:val="bottom"/>
            <w:gridSpan w:val="14"/>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Supplemental Schedule—Schedule III—Properties and Accumulated Depreciation</w:t>
              </w:r>
            </w:hyperlink>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208"/>
        </w:trPr>
        <w:tc>
          <w:tcPr>
            <w:tcW w:w="410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6"/>
                <w:szCs w:val="16"/>
                <w:color w:val="0000EE"/>
                <w:w w:val="97"/>
              </w:rPr>
            </w:pPr>
            <w:hyperlink w:anchor="page1">
              <w:r>
                <w:rPr>
                  <w:rFonts w:ascii="Times New Roman" w:cs="Times New Roman" w:eastAsia="Times New Roman" w:hAnsi="Times New Roman"/>
                  <w:sz w:val="16"/>
                  <w:szCs w:val="16"/>
                  <w:color w:val="0000EE"/>
                  <w:w w:val="97"/>
                </w:rPr>
                <w:t>Notes to Schedule III—Properties and Accumulated Depreciation</w:t>
              </w:r>
            </w:hyperlink>
          </w:p>
        </w:tc>
        <w:tc>
          <w:tcPr>
            <w:tcW w:w="1040" w:type="dxa"/>
            <w:vAlign w:val="bottom"/>
            <w:tcBorders>
              <w:top w:val="single" w:sz="8" w:color="0000EE"/>
            </w:tcBorders>
            <w:gridSpan w:val="2"/>
          </w:tcPr>
          <w:p>
            <w:pPr>
              <w:spacing w:after="0"/>
              <w:rPr>
                <w:sz w:val="18"/>
                <w:szCs w:val="18"/>
                <w:color w:val="auto"/>
              </w:rPr>
            </w:pPr>
          </w:p>
        </w:tc>
        <w:tc>
          <w:tcPr>
            <w:tcW w:w="2400" w:type="dxa"/>
            <w:vAlign w:val="bottom"/>
            <w:gridSpan w:val="6"/>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88" w:name="page89"/>
    <w:bookmarkEnd w:id="88"/>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Management’s Report on Internal Control over Financial Reporting</w:t>
      </w:r>
    </w:p>
    <w:p>
      <w:pPr>
        <w:spacing w:after="0" w:line="190" w:lineRule="exact"/>
        <w:rPr>
          <w:sz w:val="20"/>
          <w:szCs w:val="20"/>
          <w:color w:val="auto"/>
        </w:rPr>
      </w:pPr>
    </w:p>
    <w:p>
      <w:pPr>
        <w:ind w:left="320" w:right="340"/>
        <w:spacing w:after="0" w:line="243" w:lineRule="auto"/>
        <w:rPr>
          <w:sz w:val="20"/>
          <w:szCs w:val="20"/>
          <w:color w:val="auto"/>
        </w:rPr>
      </w:pPr>
      <w:r>
        <w:rPr>
          <w:rFonts w:ascii="Times New Roman" w:cs="Times New Roman" w:eastAsia="Times New Roman" w:hAnsi="Times New Roman"/>
          <w:sz w:val="16"/>
          <w:szCs w:val="16"/>
          <w:color w:val="auto"/>
        </w:rPr>
        <w:t>The management of Digital Realty Trust, Inc. (the Company) is responsible for establishing and maintaining adequate internal control over financial reporting, as such term is defined in Exchange Act Rules 13a-15(f) and 15(d)-15(f). Our internal control system was designed to provide reasonable assurance to the Company’s management and board of directors regarding the preparation and fair presentation of published financial statements.</w:t>
      </w:r>
    </w:p>
    <w:p>
      <w:pPr>
        <w:spacing w:after="0" w:line="167" w:lineRule="exact"/>
        <w:rPr>
          <w:sz w:val="20"/>
          <w:szCs w:val="20"/>
          <w:color w:val="auto"/>
        </w:rPr>
      </w:pPr>
    </w:p>
    <w:p>
      <w:pPr>
        <w:ind w:left="320" w:right="420"/>
        <w:spacing w:after="0" w:line="259" w:lineRule="auto"/>
        <w:rPr>
          <w:sz w:val="20"/>
          <w:szCs w:val="20"/>
          <w:color w:val="auto"/>
        </w:rPr>
      </w:pPr>
      <w:r>
        <w:rPr>
          <w:rFonts w:ascii="Times New Roman" w:cs="Times New Roman" w:eastAsia="Times New Roman" w:hAnsi="Times New Roman"/>
          <w:sz w:val="16"/>
          <w:szCs w:val="16"/>
          <w:color w:val="auto"/>
        </w:rPr>
        <w:t>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55" w:lineRule="exact"/>
        <w:rPr>
          <w:sz w:val="20"/>
          <w:szCs w:val="20"/>
          <w:color w:val="auto"/>
        </w:rPr>
      </w:pPr>
    </w:p>
    <w:p>
      <w:pPr>
        <w:ind w:left="320" w:right="440"/>
        <w:spacing w:after="0" w:line="241" w:lineRule="auto"/>
        <w:rPr>
          <w:sz w:val="20"/>
          <w:szCs w:val="20"/>
          <w:color w:val="auto"/>
        </w:rPr>
      </w:pPr>
      <w:r>
        <w:rPr>
          <w:rFonts w:ascii="Times New Roman" w:cs="Times New Roman" w:eastAsia="Times New Roman" w:hAnsi="Times New Roman"/>
          <w:sz w:val="16"/>
          <w:szCs w:val="16"/>
          <w:color w:val="auto"/>
        </w:rPr>
        <w:t xml:space="preserve">Under the supervision and with the participation of management, including our Chief Executive Officer and Chief Financial Officer, we assessed the effectiveness of the Company’s internal control over financial reporting as of December 31, 2024. In making this assessment, we used the criteria set forth by the Committee of Sponsoring Organizations of the Treadway Commission in </w:t>
      </w:r>
      <w:r>
        <w:rPr>
          <w:rFonts w:ascii="Times New Roman" w:cs="Times New Roman" w:eastAsia="Times New Roman" w:hAnsi="Times New Roman"/>
          <w:sz w:val="16"/>
          <w:szCs w:val="16"/>
          <w:i w:val="1"/>
          <w:iCs w:val="1"/>
          <w:color w:val="auto"/>
        </w:rPr>
        <w:t>Internal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Control—Integrated Framework (2013)</w:t>
      </w:r>
      <w:r>
        <w:rPr>
          <w:rFonts w:ascii="Times New Roman" w:cs="Times New Roman" w:eastAsia="Times New Roman" w:hAnsi="Times New Roman"/>
          <w:sz w:val="16"/>
          <w:szCs w:val="16"/>
          <w:color w:val="auto"/>
        </w:rPr>
        <w:t>. Based on our assessment, management concluded that as of December 31, 2024,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Company’s internal control over financial reporting was effective based on those criteria.</w:t>
      </w:r>
    </w:p>
    <w:p>
      <w:pPr>
        <w:spacing w:after="0" w:line="169" w:lineRule="exact"/>
        <w:rPr>
          <w:sz w:val="20"/>
          <w:szCs w:val="20"/>
          <w:color w:val="auto"/>
        </w:rPr>
      </w:pPr>
    </w:p>
    <w:p>
      <w:pPr>
        <w:ind w:left="320" w:right="840"/>
        <w:spacing w:after="0" w:line="259" w:lineRule="auto"/>
        <w:rPr>
          <w:sz w:val="20"/>
          <w:szCs w:val="20"/>
          <w:color w:val="auto"/>
        </w:rPr>
      </w:pPr>
      <w:r>
        <w:rPr>
          <w:rFonts w:ascii="Times New Roman" w:cs="Times New Roman" w:eastAsia="Times New Roman" w:hAnsi="Times New Roman"/>
          <w:sz w:val="16"/>
          <w:szCs w:val="16"/>
          <w:color w:val="auto"/>
        </w:rPr>
        <w:t>Our independent registered public accounting firm has issued an audit report on the Company’s internal control over financial reporting. This report appears on page 87.</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Management’s Report on Internal Control over Financial Reporting</w:t>
      </w:r>
    </w:p>
    <w:p>
      <w:pPr>
        <w:spacing w:after="0" w:line="190" w:lineRule="exact"/>
        <w:rPr>
          <w:sz w:val="20"/>
          <w:szCs w:val="20"/>
          <w:color w:val="auto"/>
        </w:rPr>
      </w:pPr>
    </w:p>
    <w:p>
      <w:pPr>
        <w:ind w:left="320" w:right="300"/>
        <w:spacing w:after="0" w:line="243" w:lineRule="auto"/>
        <w:rPr>
          <w:sz w:val="20"/>
          <w:szCs w:val="20"/>
          <w:color w:val="auto"/>
        </w:rPr>
      </w:pPr>
      <w:r>
        <w:rPr>
          <w:rFonts w:ascii="Times New Roman" w:cs="Times New Roman" w:eastAsia="Times New Roman" w:hAnsi="Times New Roman"/>
          <w:sz w:val="16"/>
          <w:szCs w:val="16"/>
          <w:color w:val="auto"/>
        </w:rPr>
        <w:t>The management of Digital Realty Trust, L.P. (the Operating Partnership) is responsible for establishing and maintaining adequate internal control over financial reporting, as such term is defined in Exchange Act Rules 13a-15(f) and 15(d)-15(f). Our internal control system was designed to provide reasonable assurance to the Operating Partnership’s management regarding the preparation and fair presentation of published financial statements.</w:t>
      </w:r>
    </w:p>
    <w:p>
      <w:pPr>
        <w:spacing w:after="0" w:line="167" w:lineRule="exact"/>
        <w:rPr>
          <w:sz w:val="20"/>
          <w:szCs w:val="20"/>
          <w:color w:val="auto"/>
        </w:rPr>
      </w:pPr>
    </w:p>
    <w:p>
      <w:pPr>
        <w:ind w:left="320" w:right="420"/>
        <w:spacing w:after="0" w:line="259" w:lineRule="auto"/>
        <w:rPr>
          <w:sz w:val="20"/>
          <w:szCs w:val="20"/>
          <w:color w:val="auto"/>
        </w:rPr>
      </w:pPr>
      <w:r>
        <w:rPr>
          <w:rFonts w:ascii="Times New Roman" w:cs="Times New Roman" w:eastAsia="Times New Roman" w:hAnsi="Times New Roman"/>
          <w:sz w:val="16"/>
          <w:szCs w:val="16"/>
          <w:color w:val="auto"/>
        </w:rPr>
        <w:t>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55" w:lineRule="exact"/>
        <w:rPr>
          <w:sz w:val="20"/>
          <w:szCs w:val="20"/>
          <w:color w:val="auto"/>
        </w:rPr>
      </w:pPr>
    </w:p>
    <w:p>
      <w:pPr>
        <w:ind w:left="320" w:right="340" w:firstLine="288"/>
        <w:spacing w:after="0" w:line="284" w:lineRule="auto"/>
        <w:rPr>
          <w:sz w:val="20"/>
          <w:szCs w:val="20"/>
          <w:color w:val="auto"/>
        </w:rPr>
      </w:pPr>
      <w:r>
        <w:rPr>
          <w:rFonts w:ascii="Times New Roman" w:cs="Times New Roman" w:eastAsia="Times New Roman" w:hAnsi="Times New Roman"/>
          <w:sz w:val="14"/>
          <w:szCs w:val="14"/>
          <w:color w:val="auto"/>
        </w:rPr>
        <w:t xml:space="preserve">Under the supervision and with the participation of management, including the Chief Executive Officer and Chief Financial Officer of our general partner, we assessed the effectiveness of the Operating Partnership’s internal control over financial reporting as of December 31, 2024. In making this assessment, we used the criteria set forth by the Committee of Sponsoring Organizations of the Treadway Commission in </w:t>
      </w:r>
      <w:r>
        <w:rPr>
          <w:rFonts w:ascii="Times New Roman" w:cs="Times New Roman" w:eastAsia="Times New Roman" w:hAnsi="Times New Roman"/>
          <w:sz w:val="14"/>
          <w:szCs w:val="14"/>
          <w:i w:val="1"/>
          <w:iCs w:val="1"/>
          <w:color w:val="auto"/>
        </w:rPr>
        <w:t>Internal Control—Integrated Framework (2013)</w:t>
      </w:r>
      <w:r>
        <w:rPr>
          <w:rFonts w:ascii="Times New Roman" w:cs="Times New Roman" w:eastAsia="Times New Roman" w:hAnsi="Times New Roman"/>
          <w:sz w:val="14"/>
          <w:szCs w:val="14"/>
          <w:color w:val="auto"/>
        </w:rPr>
        <w:t>. Based on our assessment, management concluded that as of December 31, 2024, the Operating Partnership’s internal control over financial reporting was effective based on those criteria.</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89" w:name="page90"/>
    <w:bookmarkEnd w:id="89"/>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To the Stockholders and Board of Directors</w:t>
      </w:r>
    </w:p>
    <w:p>
      <w:pPr>
        <w:spacing w:after="0" w:line="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Digital Realty Trust, Inc.:</w:t>
      </w:r>
    </w:p>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Opinion on the Consolidated Financial Statements</w:t>
      </w:r>
    </w:p>
    <w:p>
      <w:pPr>
        <w:spacing w:after="0" w:line="190" w:lineRule="exact"/>
        <w:rPr>
          <w:sz w:val="20"/>
          <w:szCs w:val="20"/>
          <w:color w:val="auto"/>
        </w:rPr>
      </w:pPr>
    </w:p>
    <w:p>
      <w:pPr>
        <w:ind w:left="320" w:right="360"/>
        <w:spacing w:after="0" w:line="239"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Digital Realty Trust, Inc. and subsidiaries (the Company) as of December 31, 2024 and December 31, 2023, the related consolidated income statements, and statements of comprehensive income, equity, and cash flows for each of the years in the three-year period ended December 31, 2024, and the related notes and financial statement schedule III, properties and accumulated depreciation (collectively, the consolidated financial statements). In our opinion, the consolidated financial statements present fairly, in all material respects, the financial position of the Company as of December 31, 2024 and December 31, 2023, and the results of its operations and its cash flows for each of the years in the three-year period ended December 31, 2024, in conformity with U.S. generally accepted accounting principles.</w:t>
      </w:r>
    </w:p>
    <w:p>
      <w:pPr>
        <w:spacing w:after="0" w:line="170" w:lineRule="exact"/>
        <w:rPr>
          <w:sz w:val="20"/>
          <w:szCs w:val="20"/>
          <w:color w:val="auto"/>
        </w:rPr>
      </w:pPr>
    </w:p>
    <w:p>
      <w:pPr>
        <w:ind w:left="320" w:right="340"/>
        <w:spacing w:after="0" w:line="241" w:lineRule="auto"/>
        <w:rPr>
          <w:sz w:val="20"/>
          <w:szCs w:val="20"/>
          <w:color w:val="auto"/>
        </w:rPr>
      </w:pPr>
      <w:r>
        <w:rPr>
          <w:rFonts w:ascii="Times New Roman" w:cs="Times New Roman" w:eastAsia="Times New Roman" w:hAnsi="Times New Roman"/>
          <w:sz w:val="16"/>
          <w:szCs w:val="16"/>
          <w:color w:val="auto"/>
        </w:rPr>
        <w:t>We also have audited, in accordance with the standards of the Public Company Accounting Oversight Board (United States) (PCAOB), the Company’s internal control over financial reporting as of December 31, 2024, based on criteria established in Internal Control – Integrated Framework (2013) issued by the Committee of Sponsoring Organizations of the Treadway Commission, and our report dated February 24, 2025 expressed an unqualified opinion on the effectiveness of the Company’s internal control over financial reporting.</w:t>
      </w:r>
    </w:p>
    <w:p>
      <w:pPr>
        <w:spacing w:after="0" w:line="1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Basis for Opinion</w:t>
      </w:r>
    </w:p>
    <w:p>
      <w:pPr>
        <w:spacing w:after="0" w:line="190" w:lineRule="exact"/>
        <w:rPr>
          <w:sz w:val="20"/>
          <w:szCs w:val="20"/>
          <w:color w:val="auto"/>
        </w:rPr>
      </w:pPr>
    </w:p>
    <w:p>
      <w:pPr>
        <w:ind w:left="320" w:right="340"/>
        <w:spacing w:after="0" w:line="243" w:lineRule="auto"/>
        <w:rPr>
          <w:sz w:val="20"/>
          <w:szCs w:val="20"/>
          <w:color w:val="auto"/>
        </w:rPr>
      </w:pPr>
      <w:r>
        <w:rPr>
          <w:rFonts w:ascii="Times New Roman" w:cs="Times New Roman" w:eastAsia="Times New Roman" w:hAnsi="Times New Roman"/>
          <w:sz w:val="16"/>
          <w:szCs w:val="16"/>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5" w:lineRule="exact"/>
        <w:rPr>
          <w:sz w:val="20"/>
          <w:szCs w:val="20"/>
          <w:color w:val="auto"/>
        </w:rPr>
      </w:pPr>
    </w:p>
    <w:p>
      <w:pPr>
        <w:ind w:left="320" w:right="360"/>
        <w:spacing w:after="0" w:line="278"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Critical Audit Matter</w:t>
      </w:r>
    </w:p>
    <w:p>
      <w:pPr>
        <w:spacing w:after="0" w:line="178" w:lineRule="exact"/>
        <w:rPr>
          <w:sz w:val="20"/>
          <w:szCs w:val="20"/>
          <w:color w:val="auto"/>
        </w:rPr>
      </w:pPr>
    </w:p>
    <w:p>
      <w:pPr>
        <w:ind w:left="320" w:right="320"/>
        <w:spacing w:after="0" w:line="239" w:lineRule="auto"/>
        <w:rPr>
          <w:sz w:val="20"/>
          <w:szCs w:val="20"/>
          <w:color w:val="auto"/>
        </w:rPr>
      </w:pPr>
      <w:r>
        <w:rPr>
          <w:rFonts w:ascii="Times New Roman" w:cs="Times New Roman" w:eastAsia="Times New Roman" w:hAnsi="Times New Roman"/>
          <w:sz w:val="16"/>
          <w:szCs w:val="16"/>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90" w:name="page91"/>
    <w:bookmarkEnd w:id="90"/>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Evaluation of Scale and Hyperscale lease revenue</w:t>
      </w:r>
    </w:p>
    <w:p>
      <w:pPr>
        <w:spacing w:after="0" w:line="178" w:lineRule="exact"/>
        <w:rPr>
          <w:sz w:val="20"/>
          <w:szCs w:val="20"/>
          <w:color w:val="auto"/>
        </w:rPr>
      </w:pPr>
    </w:p>
    <w:p>
      <w:pPr>
        <w:ind w:left="320" w:right="400"/>
        <w:spacing w:after="0" w:line="238" w:lineRule="auto"/>
        <w:rPr>
          <w:sz w:val="20"/>
          <w:szCs w:val="20"/>
          <w:color w:val="auto"/>
        </w:rPr>
      </w:pPr>
      <w:r>
        <w:rPr>
          <w:rFonts w:ascii="Times New Roman" w:cs="Times New Roman" w:eastAsia="Times New Roman" w:hAnsi="Times New Roman"/>
          <w:sz w:val="16"/>
          <w:szCs w:val="16"/>
          <w:color w:val="auto"/>
        </w:rPr>
        <w:t>As discussed in note 2 to the consolidated financial statements, the Company records rental revenue, which includes revenue related to Scale and Hyperscale leases, on a straight-line basis if the Company determines on a lease-by-lease basis it is probable that substantially all lease payments over the term of the lease will be collected. Whenever the results of that assessment indicate that it is not probable that the Company will be able to collect substantially all lease payments over the remaining term of the lease, the Company records a reduction to rental revenue equal to the balance of any deferred rent and rent receivable, and ceases recognizing rental revenue on a straight-line basis and commences recognizing rental revenue on a cash collected basis. Rental and other services revenue was $5.5 billion for the year ended December 31, 2024, and deferred rent, net and accounts receivable - trade, net was $642 million and $570 million, respectively, as of December 31, 2024. A portion of each of these balances included amounts related to Scale and Hyperscale leases.</w:t>
      </w:r>
    </w:p>
    <w:p>
      <w:pPr>
        <w:spacing w:after="0" w:line="158" w:lineRule="exact"/>
        <w:rPr>
          <w:sz w:val="20"/>
          <w:szCs w:val="20"/>
          <w:color w:val="auto"/>
        </w:rPr>
      </w:pPr>
    </w:p>
    <w:p>
      <w:pPr>
        <w:ind w:left="320" w:right="560"/>
        <w:spacing w:after="0" w:line="243" w:lineRule="auto"/>
        <w:rPr>
          <w:sz w:val="20"/>
          <w:szCs w:val="20"/>
          <w:color w:val="auto"/>
        </w:rPr>
      </w:pPr>
      <w:r>
        <w:rPr>
          <w:rFonts w:ascii="Times New Roman" w:cs="Times New Roman" w:eastAsia="Times New Roman" w:hAnsi="Times New Roman"/>
          <w:sz w:val="16"/>
          <w:szCs w:val="16"/>
          <w:color w:val="auto"/>
        </w:rPr>
        <w:t>We identified the evaluation of the probability of collection of Scale and Hyperscale lease payments as a critical audit matter. Evaluating the Company’s probability assessment of collection of substantially all the lease payments for its Scale and Hyperscale leases required significant auditor judgment because of the subjective nature of the evidence obtained. Specifically, evaluating the creditworthiness of the customers and any guarantors required significant auditor judgment.</w:t>
      </w:r>
    </w:p>
    <w:p>
      <w:pPr>
        <w:spacing w:after="0" w:line="155" w:lineRule="exact"/>
        <w:rPr>
          <w:sz w:val="20"/>
          <w:szCs w:val="20"/>
          <w:color w:val="auto"/>
        </w:rPr>
      </w:pPr>
    </w:p>
    <w:p>
      <w:pPr>
        <w:ind w:left="320" w:right="340"/>
        <w:spacing w:after="0" w:line="272" w:lineRule="auto"/>
        <w:rPr>
          <w:sz w:val="20"/>
          <w:szCs w:val="20"/>
          <w:color w:val="auto"/>
        </w:rPr>
      </w:pPr>
      <w:r>
        <w:rPr>
          <w:rFonts w:ascii="Times New Roman" w:cs="Times New Roman" w:eastAsia="Times New Roman" w:hAnsi="Times New Roman"/>
          <w:sz w:val="14"/>
          <w:szCs w:val="14"/>
          <w:color w:val="auto"/>
        </w:rPr>
        <w:t>The following are the primary procedures we performed to address the critical audit matter. We evaluated the design and tested the operating effectiveness of certain internal controls over the Company’s probability assessment of Scale and Hyperscale lease payment collection process, including controls related to the assessment of the creditworthiness of the customer and any guarantors. For a selection of the Company’s Scale and Hyperscale leases, we evaluated the Company’s determination of the collectability of substantially all of the lease payments by: (i) comparing the legal name of customer and any guarantor to the underlying lease agreements and third-party credit rating report, (ii) evaluating the creditworthiness of the customer by assessing their credit rating,</w:t>
      </w:r>
    </w:p>
    <w:p>
      <w:pPr>
        <w:spacing w:after="0" w:line="4" w:lineRule="exact"/>
        <w:rPr>
          <w:sz w:val="20"/>
          <w:szCs w:val="20"/>
          <w:color w:val="auto"/>
        </w:rPr>
      </w:pPr>
    </w:p>
    <w:p>
      <w:pPr>
        <w:ind w:left="600" w:hanging="282"/>
        <w:spacing w:after="0"/>
        <w:tabs>
          <w:tab w:leader="none" w:pos="6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reading publicly available information, including the customer’s financial statements, recent public filings, and news articles, and</w:t>
      </w:r>
    </w:p>
    <w:p>
      <w:pPr>
        <w:spacing w:after="0" w:line="19" w:lineRule="exact"/>
        <w:rPr>
          <w:rFonts w:ascii="Times New Roman" w:cs="Times New Roman" w:eastAsia="Times New Roman" w:hAnsi="Times New Roman"/>
          <w:sz w:val="14"/>
          <w:szCs w:val="14"/>
          <w:color w:val="auto"/>
        </w:rPr>
      </w:pPr>
    </w:p>
    <w:p>
      <w:pPr>
        <w:ind w:left="580" w:hanging="262"/>
        <w:spacing w:after="0"/>
        <w:tabs>
          <w:tab w:leader="none" w:pos="58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inquiring of the Company’s employees to obtain evidence regarding creditworthiness of the customers.</w:t>
      </w:r>
    </w:p>
    <w:p>
      <w:pPr>
        <w:spacing w:after="0" w:line="146" w:lineRule="exact"/>
        <w:rPr>
          <w:sz w:val="20"/>
          <w:szCs w:val="20"/>
          <w:color w:val="auto"/>
        </w:rPr>
      </w:pPr>
    </w:p>
    <w:p>
      <w:pPr>
        <w:ind w:left="5000"/>
        <w:spacing w:after="0"/>
        <w:tabs>
          <w:tab w:leader="none" w:pos="5280" w:val="left"/>
        </w:tabs>
        <w:rPr>
          <w:sz w:val="20"/>
          <w:szCs w:val="20"/>
          <w:color w:val="auto"/>
        </w:rPr>
      </w:pPr>
      <w:r>
        <w:rPr>
          <w:rFonts w:ascii="Times New Roman" w:cs="Times New Roman" w:eastAsia="Times New Roman" w:hAnsi="Times New Roman"/>
          <w:sz w:val="16"/>
          <w:szCs w:val="16"/>
          <w:color w:val="auto"/>
        </w:rPr>
        <w:t>/s/</w:t>
      </w:r>
      <w:r>
        <w:rPr>
          <w:sz w:val="20"/>
          <w:szCs w:val="20"/>
          <w:color w:val="auto"/>
        </w:rPr>
        <w:tab/>
      </w:r>
      <w:r>
        <w:rPr>
          <w:rFonts w:ascii="Times New Roman" w:cs="Times New Roman" w:eastAsia="Times New Roman" w:hAnsi="Times New Roman"/>
          <w:sz w:val="14"/>
          <w:szCs w:val="14"/>
          <w:color w:val="auto"/>
        </w:rPr>
        <w:t>KPMG LLP</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We have served as the Company’s auditor since 2004.</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Chicago, Illinois</w:t>
      </w:r>
    </w:p>
    <w:p>
      <w:pPr>
        <w:spacing w:after="0" w:line="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February 24, 2025</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91" w:name="page92"/>
    <w:bookmarkEnd w:id="91"/>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To the Stockholders and Board of Directors</w:t>
      </w:r>
    </w:p>
    <w:p>
      <w:pPr>
        <w:spacing w:after="0" w:line="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Digital Realty Trust, Inc.:</w:t>
      </w:r>
    </w:p>
    <w:p>
      <w:pPr>
        <w:spacing w:after="0" w:line="9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i w:val="1"/>
          <w:iCs w:val="1"/>
          <w:color w:val="auto"/>
        </w:rPr>
        <w:t>Opinion on Internal Control Over Financial Reporting</w:t>
      </w:r>
    </w:p>
    <w:p>
      <w:pPr>
        <w:spacing w:after="0" w:line="118" w:lineRule="exact"/>
        <w:rPr>
          <w:sz w:val="20"/>
          <w:szCs w:val="20"/>
          <w:color w:val="auto"/>
        </w:rPr>
      </w:pPr>
    </w:p>
    <w:p>
      <w:pPr>
        <w:ind w:left="600" w:right="400"/>
        <w:spacing w:after="0" w:line="284" w:lineRule="auto"/>
        <w:rPr>
          <w:sz w:val="20"/>
          <w:szCs w:val="20"/>
          <w:color w:val="auto"/>
        </w:rPr>
      </w:pPr>
      <w:r>
        <w:rPr>
          <w:rFonts w:ascii="Times New Roman" w:cs="Times New Roman" w:eastAsia="Times New Roman" w:hAnsi="Times New Roman"/>
          <w:sz w:val="14"/>
          <w:szCs w:val="14"/>
          <w:color w:val="auto"/>
        </w:rPr>
        <w:t>We have audited Digital Realty Trust, Inc. and subsidiaries' (the Company) internal control over financial reporting as of December 31, 2024,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2024, based on criteria established in Internal Control – Integrated Framework (2013) issued by the Committee of Sponsoring Organizations of the Treadway Commission.</w:t>
      </w:r>
    </w:p>
    <w:p>
      <w:pPr>
        <w:spacing w:after="0" w:line="140" w:lineRule="exact"/>
        <w:rPr>
          <w:sz w:val="20"/>
          <w:szCs w:val="20"/>
          <w:color w:val="auto"/>
        </w:rPr>
      </w:pPr>
    </w:p>
    <w:p>
      <w:pPr>
        <w:ind w:left="600" w:right="380"/>
        <w:spacing w:after="0" w:line="239" w:lineRule="auto"/>
        <w:rPr>
          <w:sz w:val="20"/>
          <w:szCs w:val="20"/>
          <w:color w:val="auto"/>
        </w:rPr>
      </w:pPr>
      <w:r>
        <w:rPr>
          <w:rFonts w:ascii="Times New Roman" w:cs="Times New Roman" w:eastAsia="Times New Roman" w:hAnsi="Times New Roman"/>
          <w:sz w:val="16"/>
          <w:szCs w:val="16"/>
          <w:color w:val="auto"/>
        </w:rPr>
        <w:t>We also have audited, in accordance with the standards of the Public Company Accounting Oversight Board (United States) (PCAOB), the consolidated balance sheets of the Company as of December 31, 2024 and December 31, 2023, the related consolidated income statements, and statements of comprehensive income, equity, and cash flows for each of the years in the three-year period ended December 31, 2024, and the related notes and financial statement schedule III, properties and accumulated depreciation (collectively, the consolidated financial statements), and our report dated February 24, 2025 expressed an unqualified opinion on those consolidated financial statements.</w:t>
      </w:r>
    </w:p>
    <w:p>
      <w:pPr>
        <w:spacing w:after="0" w:line="1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i w:val="1"/>
          <w:iCs w:val="1"/>
          <w:color w:val="auto"/>
        </w:rPr>
        <w:t>Basis for Opinion</w:t>
      </w:r>
    </w:p>
    <w:p>
      <w:pPr>
        <w:spacing w:after="0" w:line="178" w:lineRule="exact"/>
        <w:rPr>
          <w:sz w:val="20"/>
          <w:szCs w:val="20"/>
          <w:color w:val="auto"/>
        </w:rPr>
      </w:pPr>
    </w:p>
    <w:p>
      <w:pPr>
        <w:ind w:left="600" w:right="400"/>
        <w:spacing w:after="0" w:line="239" w:lineRule="auto"/>
        <w:rPr>
          <w:sz w:val="20"/>
          <w:szCs w:val="20"/>
          <w:color w:val="auto"/>
        </w:rPr>
      </w:pPr>
      <w:r>
        <w:rPr>
          <w:rFonts w:ascii="Times New Roman" w:cs="Times New Roman" w:eastAsia="Times New Roman" w:hAnsi="Times New Roman"/>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1" w:lineRule="exact"/>
        <w:rPr>
          <w:sz w:val="20"/>
          <w:szCs w:val="20"/>
          <w:color w:val="auto"/>
        </w:rPr>
      </w:pPr>
    </w:p>
    <w:p>
      <w:pPr>
        <w:ind w:left="600" w:right="480"/>
        <w:spacing w:after="0" w:line="280" w:lineRule="auto"/>
        <w:rPr>
          <w:sz w:val="20"/>
          <w:szCs w:val="20"/>
          <w:color w:val="auto"/>
        </w:rPr>
      </w:pPr>
      <w:r>
        <w:rPr>
          <w:rFonts w:ascii="Times New Roman" w:cs="Times New Roman" w:eastAsia="Times New Roman" w:hAnsi="Times New Roman"/>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i w:val="1"/>
          <w:iCs w:val="1"/>
          <w:color w:val="auto"/>
        </w:rPr>
        <w:t>Definition and Limitations of Internal Control Over Financial Reporting</w:t>
      </w:r>
    </w:p>
    <w:p>
      <w:pPr>
        <w:spacing w:after="0" w:line="178" w:lineRule="exact"/>
        <w:rPr>
          <w:sz w:val="20"/>
          <w:szCs w:val="20"/>
          <w:color w:val="auto"/>
        </w:rPr>
      </w:pPr>
    </w:p>
    <w:p>
      <w:pPr>
        <w:ind w:left="600" w:right="360"/>
        <w:spacing w:after="0" w:line="277"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w:t>
      </w:r>
    </w:p>
    <w:p>
      <w:pPr>
        <w:spacing w:after="0" w:line="1" w:lineRule="exact"/>
        <w:rPr>
          <w:sz w:val="20"/>
          <w:szCs w:val="20"/>
          <w:color w:val="auto"/>
        </w:rPr>
      </w:pPr>
    </w:p>
    <w:p>
      <w:pPr>
        <w:ind w:left="600" w:right="280" w:firstLine="6"/>
        <w:spacing w:after="0" w:line="235" w:lineRule="auto"/>
        <w:tabs>
          <w:tab w:leader="none" w:pos="821"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92" w:name="page93"/>
    <w:bookmarkEnd w:id="92"/>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6" w:lineRule="exact"/>
        <w:rPr>
          <w:sz w:val="20"/>
          <w:szCs w:val="20"/>
          <w:color w:val="auto"/>
        </w:rPr>
      </w:pPr>
    </w:p>
    <w:p>
      <w:pPr>
        <w:jc w:val="both"/>
        <w:ind w:left="600" w:right="760"/>
        <w:spacing w:after="0" w:line="299"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1" w:lineRule="exact"/>
        <w:rPr>
          <w:sz w:val="20"/>
          <w:szCs w:val="20"/>
          <w:color w:val="auto"/>
        </w:rPr>
      </w:pPr>
    </w:p>
    <w:p>
      <w:pPr>
        <w:ind w:left="5000"/>
        <w:spacing w:after="0"/>
        <w:tabs>
          <w:tab w:leader="none" w:pos="5280" w:val="left"/>
        </w:tabs>
        <w:rPr>
          <w:sz w:val="20"/>
          <w:szCs w:val="20"/>
          <w:color w:val="auto"/>
        </w:rPr>
      </w:pPr>
      <w:r>
        <w:rPr>
          <w:rFonts w:ascii="Times New Roman" w:cs="Times New Roman" w:eastAsia="Times New Roman" w:hAnsi="Times New Roman"/>
          <w:sz w:val="16"/>
          <w:szCs w:val="16"/>
          <w:color w:val="auto"/>
        </w:rPr>
        <w:t>/s/</w:t>
      </w:r>
      <w:r>
        <w:rPr>
          <w:sz w:val="20"/>
          <w:szCs w:val="20"/>
          <w:color w:val="auto"/>
        </w:rPr>
        <w:tab/>
      </w:r>
      <w:r>
        <w:rPr>
          <w:rFonts w:ascii="Times New Roman" w:cs="Times New Roman" w:eastAsia="Times New Roman" w:hAnsi="Times New Roman"/>
          <w:sz w:val="14"/>
          <w:szCs w:val="14"/>
          <w:color w:val="auto"/>
        </w:rPr>
        <w:t>KPMG LLP</w:t>
      </w:r>
    </w:p>
    <w:p>
      <w:pPr>
        <w:spacing w:after="0" w:line="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Chicago, Illinois</w:t>
      </w:r>
    </w:p>
    <w:p>
      <w:pPr>
        <w:ind w:left="600"/>
        <w:spacing w:after="0"/>
        <w:rPr>
          <w:sz w:val="20"/>
          <w:szCs w:val="20"/>
          <w:color w:val="auto"/>
        </w:rPr>
      </w:pPr>
      <w:r>
        <w:rPr>
          <w:rFonts w:ascii="Times New Roman" w:cs="Times New Roman" w:eastAsia="Times New Roman" w:hAnsi="Times New Roman"/>
          <w:sz w:val="16"/>
          <w:szCs w:val="16"/>
          <w:color w:val="auto"/>
        </w:rPr>
        <w:t>February 24, 2025</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93" w:name="page94"/>
    <w:bookmarkEnd w:id="93"/>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To the Partners of Digital Realty Trust, L.P. and the Board of Directors of Digital Realty Trust, Inc. and</w:t>
      </w:r>
    </w:p>
    <w:p>
      <w:pPr>
        <w:spacing w:after="0" w:line="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Digital Realty Trust, L.P.:</w:t>
      </w:r>
    </w:p>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Opinion on the Consolidated Financial Statements</w:t>
      </w:r>
    </w:p>
    <w:p>
      <w:pPr>
        <w:spacing w:after="0" w:line="178" w:lineRule="exact"/>
        <w:rPr>
          <w:sz w:val="20"/>
          <w:szCs w:val="20"/>
          <w:color w:val="auto"/>
        </w:rPr>
      </w:pPr>
    </w:p>
    <w:p>
      <w:pPr>
        <w:ind w:left="320" w:right="360"/>
        <w:spacing w:after="0" w:line="238"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Digital Realty Trust, L.P. and subsidiaries (the Operating Partnership) as of December 31, 2024 and December 31, 2023, the related consolidated income statements, the consolidated statements of comprehensive income, capital, and cash flows for each of the years in the three-year period ended December 31, 2024, and the related notes and financial statement schedule III, properties and accumulated depreciation (collectively, the consolidated financial statements). In our opinion, the consolidated financial statements present fairly, in all material respects, the financial position of the Operating Partnership as of December 31, 2024 and December 31, 2023, and the results of its operations and its cash flows for each of the years in the three-year period ended December 31, 2024, in conformity with U.S. generally accepted accounting principles.</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Basis for Opinion</w:t>
      </w:r>
    </w:p>
    <w:p>
      <w:pPr>
        <w:spacing w:after="0" w:line="190" w:lineRule="exact"/>
        <w:rPr>
          <w:sz w:val="20"/>
          <w:szCs w:val="20"/>
          <w:color w:val="auto"/>
        </w:rPr>
      </w:pPr>
    </w:p>
    <w:p>
      <w:pPr>
        <w:ind w:left="320" w:right="320"/>
        <w:spacing w:after="0" w:line="241" w:lineRule="auto"/>
        <w:rPr>
          <w:sz w:val="20"/>
          <w:szCs w:val="20"/>
          <w:color w:val="auto"/>
        </w:rPr>
      </w:pPr>
      <w:r>
        <w:rPr>
          <w:rFonts w:ascii="Times New Roman" w:cs="Times New Roman" w:eastAsia="Times New Roman" w:hAnsi="Times New Roman"/>
          <w:sz w:val="16"/>
          <w:szCs w:val="16"/>
          <w:color w:val="auto"/>
        </w:rPr>
        <w:t>These consolidated financial statements are the responsibility of the Operating Partnership’s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Operating Partnership in accordance with the U.S. federal securities laws and the applicable rules and regulations of the Securities and Exchange Commission and the PCAOB.</w:t>
      </w:r>
    </w:p>
    <w:p>
      <w:pPr>
        <w:spacing w:after="0" w:line="157" w:lineRule="exact"/>
        <w:rPr>
          <w:sz w:val="20"/>
          <w:szCs w:val="20"/>
          <w:color w:val="auto"/>
        </w:rPr>
      </w:pPr>
    </w:p>
    <w:p>
      <w:pPr>
        <w:ind w:left="320" w:right="340"/>
        <w:spacing w:after="0" w:line="239"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Operating Partnership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Operating Partnership’s internal control over financial reporting. Accordingly, we express no such opinion.</w:t>
      </w:r>
    </w:p>
    <w:p>
      <w:pPr>
        <w:spacing w:after="0" w:line="161" w:lineRule="exact"/>
        <w:rPr>
          <w:sz w:val="20"/>
          <w:szCs w:val="20"/>
          <w:color w:val="auto"/>
        </w:rPr>
      </w:pPr>
    </w:p>
    <w:p>
      <w:pPr>
        <w:ind w:left="320" w:right="320"/>
        <w:spacing w:after="0" w:line="241" w:lineRule="auto"/>
        <w:rPr>
          <w:sz w:val="20"/>
          <w:szCs w:val="20"/>
          <w:color w:val="auto"/>
        </w:rPr>
      </w:pPr>
      <w:r>
        <w:rPr>
          <w:rFonts w:ascii="Times New Roman" w:cs="Times New Roman" w:eastAsia="Times New Roman" w:hAnsi="Times New Roman"/>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Critical Audit Matter</w:t>
      </w:r>
    </w:p>
    <w:p>
      <w:pPr>
        <w:spacing w:after="0" w:line="190" w:lineRule="exact"/>
        <w:rPr>
          <w:sz w:val="20"/>
          <w:szCs w:val="20"/>
          <w:color w:val="auto"/>
        </w:rPr>
      </w:pPr>
    </w:p>
    <w:p>
      <w:pPr>
        <w:ind w:left="320" w:right="320"/>
        <w:spacing w:after="0" w:line="239" w:lineRule="auto"/>
        <w:rPr>
          <w:sz w:val="20"/>
          <w:szCs w:val="20"/>
          <w:color w:val="auto"/>
        </w:rPr>
      </w:pPr>
      <w:r>
        <w:rPr>
          <w:rFonts w:ascii="Times New Roman" w:cs="Times New Roman" w:eastAsia="Times New Roman" w:hAnsi="Times New Roman"/>
          <w:sz w:val="16"/>
          <w:szCs w:val="16"/>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Evaluation of Scale and Hyperscale lease revenue</w:t>
      </w:r>
    </w:p>
    <w:p>
      <w:pPr>
        <w:spacing w:after="0" w:line="178" w:lineRule="exact"/>
        <w:rPr>
          <w:sz w:val="20"/>
          <w:szCs w:val="20"/>
          <w:color w:val="auto"/>
        </w:rPr>
      </w:pPr>
    </w:p>
    <w:p>
      <w:pPr>
        <w:ind w:left="320" w:right="680"/>
        <w:spacing w:after="0" w:line="259" w:lineRule="auto"/>
        <w:rPr>
          <w:sz w:val="20"/>
          <w:szCs w:val="20"/>
          <w:color w:val="auto"/>
        </w:rPr>
      </w:pPr>
      <w:r>
        <w:rPr>
          <w:rFonts w:ascii="Times New Roman" w:cs="Times New Roman" w:eastAsia="Times New Roman" w:hAnsi="Times New Roman"/>
          <w:sz w:val="16"/>
          <w:szCs w:val="16"/>
          <w:color w:val="auto"/>
        </w:rPr>
        <w:t>As discussed in note 2 to the consolidated financial statements, the Operating Partnership records rental revenue, which includes revenue related to Scale and Hyperscale leases, on a straight-line basis if the Operating Partnership determines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94" w:name="page95"/>
    <w:bookmarkEnd w:id="94"/>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6" w:lineRule="exact"/>
        <w:rPr>
          <w:sz w:val="20"/>
          <w:szCs w:val="20"/>
          <w:color w:val="auto"/>
        </w:rPr>
      </w:pPr>
    </w:p>
    <w:p>
      <w:pPr>
        <w:ind w:left="320" w:right="360"/>
        <w:spacing w:after="0" w:line="278" w:lineRule="auto"/>
        <w:rPr>
          <w:sz w:val="20"/>
          <w:szCs w:val="20"/>
          <w:color w:val="auto"/>
        </w:rPr>
      </w:pPr>
      <w:r>
        <w:rPr>
          <w:rFonts w:ascii="Times New Roman" w:cs="Times New Roman" w:eastAsia="Times New Roman" w:hAnsi="Times New Roman"/>
          <w:sz w:val="14"/>
          <w:szCs w:val="14"/>
          <w:color w:val="auto"/>
        </w:rPr>
        <w:t>on a lease -by- lease basis it is probable that substantially all lease payments over the term of the lease will be collected. Whenever the results of that assessment indicate that it is not probable that the Operating Partnership will be able to collect substantially all lease payments over the remaining term of the lease, the Operating Partnership records a reduction to rental revenue equal to the balance of any deferred rent and rent receivable, and ceases recognizing rental revenue on a straight-line basis and commences recognizing rental revenue on a cash collected basis. Rental and other services revenue was $5.5 billion for the year ended December 31, 2024, and deferred rent, net and accounts receivable - trade, net was $ 642 million and $570 million, respectively, as of December 31, 2024. A portion of each of these balances included amounts related to Scale and Hyperscale leases.</w:t>
      </w:r>
    </w:p>
    <w:p>
      <w:pPr>
        <w:spacing w:after="0" w:line="135" w:lineRule="exact"/>
        <w:rPr>
          <w:sz w:val="20"/>
          <w:szCs w:val="20"/>
          <w:color w:val="auto"/>
        </w:rPr>
      </w:pPr>
    </w:p>
    <w:p>
      <w:pPr>
        <w:ind w:left="320" w:right="540"/>
        <w:spacing w:after="0" w:line="243" w:lineRule="auto"/>
        <w:rPr>
          <w:sz w:val="20"/>
          <w:szCs w:val="20"/>
          <w:color w:val="auto"/>
        </w:rPr>
      </w:pPr>
      <w:r>
        <w:rPr>
          <w:rFonts w:ascii="Times New Roman" w:cs="Times New Roman" w:eastAsia="Times New Roman" w:hAnsi="Times New Roman"/>
          <w:sz w:val="16"/>
          <w:szCs w:val="16"/>
          <w:color w:val="auto"/>
        </w:rPr>
        <w:t>We identified the evaluation of the probability of collection of Scale and Hyperscale lease payments as a critical audit matter. Evaluating the Operating Partnership’s probability assessment of collection of substantially all the lease payments for its Scale and Hyperscale leases required significant auditor judgment because of the subjective nature of the evidence obtained. Specifically, evaluating the creditworthiness of the customers and any guarantors required significant auditor judgment.</w:t>
      </w:r>
    </w:p>
    <w:p>
      <w:pPr>
        <w:spacing w:after="0" w:line="155" w:lineRule="exact"/>
        <w:rPr>
          <w:sz w:val="20"/>
          <w:szCs w:val="20"/>
          <w:color w:val="auto"/>
        </w:rPr>
      </w:pPr>
    </w:p>
    <w:p>
      <w:pPr>
        <w:ind w:left="320" w:right="460"/>
        <w:spacing w:after="0" w:line="238" w:lineRule="auto"/>
        <w:rPr>
          <w:sz w:val="20"/>
          <w:szCs w:val="20"/>
          <w:color w:val="auto"/>
        </w:rPr>
      </w:pPr>
      <w:r>
        <w:rPr>
          <w:rFonts w:ascii="Times New Roman" w:cs="Times New Roman" w:eastAsia="Times New Roman" w:hAnsi="Times New Roman"/>
          <w:sz w:val="16"/>
          <w:szCs w:val="16"/>
          <w:color w:val="auto"/>
        </w:rPr>
        <w:t>The following are the primary procedures we performed to address the critical audit matter. We evaluated the design and tested the operating effectiveness of certain internal controls over the Operating Partnership’s probability assessment of Scale and Hyperscale lease payment collection process, including controls related to the assessment of the creditworthiness of the customer and any guarantors. For a selection of the Operating Partnership’s Scale and Hyperscale leases, we evaluated the Operating Partnership’s determination of the collectability of substantially all of the lease payments by: (i) comparing the legal name of customer and any guarantor to the underlying lease agreements and third-party credit rating report, (ii) evaluating the creditworthiness of the customer by assessing their credit rating, (iii) reading publicly available information, including the customer’s financial statements, recent public filings, and news articles, and (iv) inquiring of the Operating Partnership’s employees to obtain evidence regarding creditworthiness of the customers.</w:t>
      </w:r>
    </w:p>
    <w:p>
      <w:pPr>
        <w:spacing w:after="0" w:line="146" w:lineRule="exact"/>
        <w:rPr>
          <w:sz w:val="20"/>
          <w:szCs w:val="20"/>
          <w:color w:val="auto"/>
        </w:rPr>
      </w:pPr>
    </w:p>
    <w:p>
      <w:pPr>
        <w:ind w:left="5100"/>
        <w:spacing w:after="0"/>
        <w:tabs>
          <w:tab w:leader="none" w:pos="5380" w:val="left"/>
        </w:tabs>
        <w:rPr>
          <w:sz w:val="20"/>
          <w:szCs w:val="20"/>
          <w:color w:val="auto"/>
        </w:rPr>
      </w:pPr>
      <w:r>
        <w:rPr>
          <w:rFonts w:ascii="Times New Roman" w:cs="Times New Roman" w:eastAsia="Times New Roman" w:hAnsi="Times New Roman"/>
          <w:sz w:val="16"/>
          <w:szCs w:val="16"/>
          <w:color w:val="auto"/>
        </w:rPr>
        <w:t>/s/</w:t>
      </w:r>
      <w:r>
        <w:rPr>
          <w:sz w:val="20"/>
          <w:szCs w:val="20"/>
          <w:color w:val="auto"/>
        </w:rPr>
        <w:tab/>
      </w:r>
      <w:r>
        <w:rPr>
          <w:rFonts w:ascii="Times New Roman" w:cs="Times New Roman" w:eastAsia="Times New Roman" w:hAnsi="Times New Roman"/>
          <w:sz w:val="14"/>
          <w:szCs w:val="14"/>
          <w:color w:val="auto"/>
        </w:rPr>
        <w:t>KPMG LLP</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We have served as the Operating Partnership’s auditor since 2004.</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Chicago, Illinois</w:t>
      </w:r>
    </w:p>
    <w:p>
      <w:pPr>
        <w:spacing w:after="0" w:line="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February 24, 2025</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95" w:name="page96"/>
    <w:bookmarkEnd w:id="95"/>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p>
      <w:pPr>
        <w:spacing w:after="0" w:line="169" w:lineRule="exact"/>
        <w:rPr>
          <w:sz w:val="20"/>
          <w:szCs w:val="20"/>
          <w:color w:val="auto"/>
        </w:rPr>
      </w:pPr>
    </w:p>
    <w:tbl>
      <w:tblPr>
        <w:tblLayout w:type="fixed"/>
        <w:tblInd w:w="320" w:type="dxa"/>
        <w:tblCellMar>
          <w:top w:w="0" w:type="dxa"/>
          <w:left w:w="0" w:type="dxa"/>
          <w:bottom w:w="0" w:type="dxa"/>
          <w:right w:w="0" w:type="dxa"/>
        </w:tblCellMar>
      </w:tblPr>
      <w:tr>
        <w:trPr>
          <w:trHeight w:val="168"/>
        </w:trPr>
        <w:tc>
          <w:tcPr>
            <w:tcW w:w="5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2"/>
        </w:trPr>
        <w:tc>
          <w:tcPr>
            <w:tcW w:w="50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2"/>
        </w:trPr>
        <w:tc>
          <w:tcPr>
            <w:tcW w:w="508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80"/>
        </w:trPr>
        <w:tc>
          <w:tcPr>
            <w:tcW w:w="50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Investments in real estate:</w:t>
            </w: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0"/>
        </w:trPr>
        <w:tc>
          <w:tcPr>
            <w:tcW w:w="50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Investments in properties, net</w:t>
            </w:r>
          </w:p>
        </w:tc>
        <w:tc>
          <w:tcPr>
            <w:tcW w:w="200" w:type="dxa"/>
            <w:vAlign w:val="bottom"/>
            <w:shd w:val="clear" w:color="auto" w:fill="CCEEFF"/>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24,120,782</w:t>
            </w:r>
          </w:p>
        </w:tc>
        <w:tc>
          <w:tcPr>
            <w:tcW w:w="480" w:type="dxa"/>
            <w:vAlign w:val="bottom"/>
            <w:gridSpan w:val="2"/>
            <w:shd w:val="clear" w:color="auto" w:fill="CCEEFF"/>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24,236,088</w:t>
            </w:r>
          </w:p>
        </w:tc>
      </w:tr>
      <w:tr>
        <w:trPr>
          <w:trHeight w:val="180"/>
        </w:trPr>
        <w:tc>
          <w:tcPr>
            <w:tcW w:w="508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Investments in unconsolidated entities</w:t>
            </w: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2,639,800</w:t>
            </w:r>
          </w:p>
        </w:tc>
        <w:tc>
          <w:tcPr>
            <w:tcW w:w="2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2,295,889</w:t>
            </w:r>
          </w:p>
        </w:tc>
      </w:tr>
      <w:tr>
        <w:trPr>
          <w:trHeight w:val="172"/>
        </w:trPr>
        <w:tc>
          <w:tcPr>
            <w:tcW w:w="5080" w:type="dxa"/>
            <w:vAlign w:val="bottom"/>
            <w:shd w:val="clear" w:color="auto" w:fill="CCEEFF"/>
          </w:tcPr>
          <w:p>
            <w:pPr>
              <w:ind w:left="200"/>
              <w:spacing w:after="0" w:line="172" w:lineRule="exact"/>
              <w:rPr>
                <w:sz w:val="20"/>
                <w:szCs w:val="20"/>
                <w:color w:val="auto"/>
              </w:rPr>
            </w:pPr>
            <w:r>
              <w:rPr>
                <w:rFonts w:ascii="Times New Roman" w:cs="Times New Roman" w:eastAsia="Times New Roman" w:hAnsi="Times New Roman"/>
                <w:sz w:val="16"/>
                <w:szCs w:val="16"/>
                <w:color w:val="auto"/>
              </w:rPr>
              <w:t>Net investments in real estate</w:t>
            </w:r>
          </w:p>
        </w:tc>
        <w:tc>
          <w:tcPr>
            <w:tcW w:w="2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26,760,582</w:t>
            </w: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26,531,977</w:t>
            </w:r>
          </w:p>
        </w:tc>
      </w:tr>
      <w:tr>
        <w:trPr>
          <w:trHeight w:val="180"/>
        </w:trPr>
        <w:tc>
          <w:tcPr>
            <w:tcW w:w="50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Operating lease right-of-use assets, net</w:t>
            </w:r>
          </w:p>
        </w:tc>
        <w:tc>
          <w:tcPr>
            <w:tcW w:w="200" w:type="dxa"/>
            <w:vAlign w:val="bottom"/>
          </w:tcPr>
          <w:p>
            <w:pPr>
              <w:spacing w:after="0"/>
              <w:rPr>
                <w:sz w:val="15"/>
                <w:szCs w:val="15"/>
                <w:color w:val="auto"/>
              </w:rPr>
            </w:pPr>
          </w:p>
        </w:tc>
        <w:tc>
          <w:tcPr>
            <w:tcW w:w="13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1,178,853</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1,414,256</w:t>
            </w:r>
          </w:p>
        </w:tc>
      </w:tr>
      <w:tr>
        <w:trPr>
          <w:trHeight w:val="180"/>
        </w:trPr>
        <w:tc>
          <w:tcPr>
            <w:tcW w:w="50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3,870,891</w:t>
            </w: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1,625,495</w:t>
            </w:r>
          </w:p>
        </w:tc>
      </w:tr>
      <w:tr>
        <w:trPr>
          <w:trHeight w:val="180"/>
        </w:trPr>
        <w:tc>
          <w:tcPr>
            <w:tcW w:w="50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Accounts and other receivables, net</w:t>
            </w:r>
          </w:p>
        </w:tc>
        <w:tc>
          <w:tcPr>
            <w:tcW w:w="200" w:type="dxa"/>
            <w:vAlign w:val="bottom"/>
          </w:tcPr>
          <w:p>
            <w:pPr>
              <w:spacing w:after="0"/>
              <w:rPr>
                <w:sz w:val="15"/>
                <w:szCs w:val="15"/>
                <w:color w:val="auto"/>
              </w:rPr>
            </w:pPr>
          </w:p>
        </w:tc>
        <w:tc>
          <w:tcPr>
            <w:tcW w:w="13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1,257,464</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1,278,110</w:t>
            </w:r>
          </w:p>
        </w:tc>
      </w:tr>
      <w:tr>
        <w:trPr>
          <w:trHeight w:val="180"/>
        </w:trPr>
        <w:tc>
          <w:tcPr>
            <w:tcW w:w="50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Deferred rent, net</w:t>
            </w: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642,456</w:t>
            </w: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624,427</w:t>
            </w:r>
          </w:p>
        </w:tc>
      </w:tr>
      <w:tr>
        <w:trPr>
          <w:trHeight w:val="180"/>
        </w:trPr>
        <w:tc>
          <w:tcPr>
            <w:tcW w:w="50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Pr>
          <w:p>
            <w:pPr>
              <w:spacing w:after="0"/>
              <w:rPr>
                <w:sz w:val="15"/>
                <w:szCs w:val="15"/>
                <w:color w:val="auto"/>
              </w:rPr>
            </w:pPr>
          </w:p>
        </w:tc>
        <w:tc>
          <w:tcPr>
            <w:tcW w:w="13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8,929,431</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9,239,871</w:t>
            </w:r>
          </w:p>
        </w:tc>
      </w:tr>
      <w:tr>
        <w:trPr>
          <w:trHeight w:val="167"/>
        </w:trPr>
        <w:tc>
          <w:tcPr>
            <w:tcW w:w="508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Customer relationship value, deferred leasing costs and other intangibles,</w:t>
            </w:r>
          </w:p>
        </w:tc>
        <w:tc>
          <w:tcPr>
            <w:tcW w:w="2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93"/>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w:t>
            </w: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2,178,054</w:t>
            </w: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2,500,237</w:t>
            </w:r>
          </w:p>
        </w:tc>
      </w:tr>
      <w:tr>
        <w:trPr>
          <w:trHeight w:val="180"/>
        </w:trPr>
        <w:tc>
          <w:tcPr>
            <w:tcW w:w="50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Assets held for sale</w:t>
            </w:r>
          </w:p>
        </w:tc>
        <w:tc>
          <w:tcPr>
            <w:tcW w:w="200" w:type="dxa"/>
            <w:vAlign w:val="bottom"/>
          </w:tcPr>
          <w:p>
            <w:pPr>
              <w:spacing w:after="0"/>
              <w:rPr>
                <w:sz w:val="15"/>
                <w:szCs w:val="15"/>
                <w:color w:val="auto"/>
              </w:rPr>
            </w:pPr>
          </w:p>
        </w:tc>
        <w:tc>
          <w:tcPr>
            <w:tcW w:w="13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478,503</w:t>
            </w:r>
          </w:p>
        </w:tc>
      </w:tr>
      <w:tr>
        <w:trPr>
          <w:trHeight w:val="180"/>
        </w:trPr>
        <w:tc>
          <w:tcPr>
            <w:tcW w:w="50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465,885</w:t>
            </w:r>
          </w:p>
        </w:tc>
        <w:tc>
          <w:tcPr>
            <w:tcW w:w="2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420,382</w:t>
            </w:r>
          </w:p>
        </w:tc>
      </w:tr>
      <w:tr>
        <w:trPr>
          <w:trHeight w:val="212"/>
        </w:trPr>
        <w:tc>
          <w:tcPr>
            <w:tcW w:w="5080" w:type="dxa"/>
            <w:vAlign w:val="bottom"/>
            <w:tcBorders>
              <w:bottom w:val="single" w:sz="8" w:color="CCEEFF"/>
            </w:tcBorders>
          </w:tcPr>
          <w:p>
            <w:pPr>
              <w:spacing w:after="0" w:line="172" w:lineRule="exact"/>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auto"/>
            </w:tcBorders>
          </w:tcPr>
          <w:p>
            <w:pPr>
              <w:jc w:val="right"/>
              <w:ind w:right="4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45,283,616</w:t>
            </w:r>
          </w:p>
        </w:tc>
        <w:tc>
          <w:tcPr>
            <w:tcW w:w="2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4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44,113,258</w:t>
            </w:r>
          </w:p>
        </w:tc>
      </w:tr>
      <w:tr>
        <w:trPr>
          <w:trHeight w:val="156"/>
        </w:trPr>
        <w:tc>
          <w:tcPr>
            <w:tcW w:w="508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r>
      <w:tr>
        <w:trPr>
          <w:trHeight w:val="180"/>
        </w:trPr>
        <w:tc>
          <w:tcPr>
            <w:tcW w:w="50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Global revolving credit facilities, net</w:t>
            </w:r>
          </w:p>
        </w:tc>
        <w:tc>
          <w:tcPr>
            <w:tcW w:w="2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1,611,308</w:t>
            </w:r>
          </w:p>
        </w:tc>
        <w:tc>
          <w:tcPr>
            <w:tcW w:w="480" w:type="dxa"/>
            <w:vAlign w:val="bottom"/>
            <w:gridSpan w:val="2"/>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1,812,287</w:t>
            </w:r>
          </w:p>
        </w:tc>
      </w:tr>
      <w:tr>
        <w:trPr>
          <w:trHeight w:val="180"/>
        </w:trPr>
        <w:tc>
          <w:tcPr>
            <w:tcW w:w="50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Unsecured term loans, net</w:t>
            </w: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386,903</w:t>
            </w: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1,560,305</w:t>
            </w:r>
          </w:p>
        </w:tc>
      </w:tr>
      <w:tr>
        <w:trPr>
          <w:trHeight w:val="180"/>
        </w:trPr>
        <w:tc>
          <w:tcPr>
            <w:tcW w:w="50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Unsecured senior notes, net of discount</w:t>
            </w:r>
          </w:p>
        </w:tc>
        <w:tc>
          <w:tcPr>
            <w:tcW w:w="200" w:type="dxa"/>
            <w:vAlign w:val="bottom"/>
          </w:tcPr>
          <w:p>
            <w:pPr>
              <w:spacing w:after="0"/>
              <w:rPr>
                <w:sz w:val="15"/>
                <w:szCs w:val="15"/>
                <w:color w:val="auto"/>
              </w:rPr>
            </w:pPr>
          </w:p>
        </w:tc>
        <w:tc>
          <w:tcPr>
            <w:tcW w:w="13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13,962,852</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13,422,342</w:t>
            </w:r>
          </w:p>
        </w:tc>
      </w:tr>
      <w:tr>
        <w:trPr>
          <w:trHeight w:val="180"/>
        </w:trPr>
        <w:tc>
          <w:tcPr>
            <w:tcW w:w="50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Secured and other debt, net of discount</w:t>
            </w: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753,314</w:t>
            </w: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630,973</w:t>
            </w:r>
          </w:p>
        </w:tc>
      </w:tr>
      <w:tr>
        <w:trPr>
          <w:trHeight w:val="180"/>
        </w:trPr>
        <w:tc>
          <w:tcPr>
            <w:tcW w:w="50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Operating lease liabilities</w:t>
            </w:r>
          </w:p>
        </w:tc>
        <w:tc>
          <w:tcPr>
            <w:tcW w:w="200" w:type="dxa"/>
            <w:vAlign w:val="bottom"/>
          </w:tcPr>
          <w:p>
            <w:pPr>
              <w:spacing w:after="0"/>
              <w:rPr>
                <w:sz w:val="15"/>
                <w:szCs w:val="15"/>
                <w:color w:val="auto"/>
              </w:rPr>
            </w:pPr>
          </w:p>
        </w:tc>
        <w:tc>
          <w:tcPr>
            <w:tcW w:w="13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1,294,219</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1,542,094</w:t>
            </w:r>
          </w:p>
        </w:tc>
      </w:tr>
      <w:tr>
        <w:trPr>
          <w:trHeight w:val="180"/>
        </w:trPr>
        <w:tc>
          <w:tcPr>
            <w:tcW w:w="50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Accounts payable and other accrued liabilities</w:t>
            </w: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2,056,215</w:t>
            </w: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2,168,984</w:t>
            </w:r>
          </w:p>
        </w:tc>
      </w:tr>
      <w:tr>
        <w:trPr>
          <w:trHeight w:val="180"/>
        </w:trPr>
        <w:tc>
          <w:tcPr>
            <w:tcW w:w="50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Deferred tax liabilities</w:t>
            </w:r>
          </w:p>
        </w:tc>
        <w:tc>
          <w:tcPr>
            <w:tcW w:w="200" w:type="dxa"/>
            <w:vAlign w:val="bottom"/>
          </w:tcPr>
          <w:p>
            <w:pPr>
              <w:spacing w:after="0"/>
              <w:rPr>
                <w:sz w:val="15"/>
                <w:szCs w:val="15"/>
                <w:color w:val="auto"/>
              </w:rPr>
            </w:pPr>
          </w:p>
        </w:tc>
        <w:tc>
          <w:tcPr>
            <w:tcW w:w="13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1,084,562</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1,151,096</w:t>
            </w:r>
          </w:p>
        </w:tc>
      </w:tr>
      <w:tr>
        <w:trPr>
          <w:trHeight w:val="180"/>
        </w:trPr>
        <w:tc>
          <w:tcPr>
            <w:tcW w:w="50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Accrued dividends and distributions</w:t>
            </w: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418,661</w:t>
            </w: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387,988</w:t>
            </w:r>
          </w:p>
        </w:tc>
      </w:tr>
      <w:tr>
        <w:trPr>
          <w:trHeight w:val="180"/>
        </w:trPr>
        <w:tc>
          <w:tcPr>
            <w:tcW w:w="50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Security deposits and prepaid rents</w:t>
            </w:r>
          </w:p>
        </w:tc>
        <w:tc>
          <w:tcPr>
            <w:tcW w:w="200" w:type="dxa"/>
            <w:vAlign w:val="bottom"/>
          </w:tcPr>
          <w:p>
            <w:pPr>
              <w:spacing w:after="0"/>
              <w:rPr>
                <w:sz w:val="15"/>
                <w:szCs w:val="15"/>
                <w:color w:val="auto"/>
              </w:rPr>
            </w:pPr>
          </w:p>
        </w:tc>
        <w:tc>
          <w:tcPr>
            <w:tcW w:w="13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539,802</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401,867</w:t>
            </w:r>
          </w:p>
        </w:tc>
      </w:tr>
      <w:tr>
        <w:trPr>
          <w:trHeight w:val="180"/>
        </w:trPr>
        <w:tc>
          <w:tcPr>
            <w:tcW w:w="50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Obligations associated with assets held for sale</w:t>
            </w:r>
          </w:p>
        </w:tc>
        <w:tc>
          <w:tcPr>
            <w:tcW w:w="2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39,001</w:t>
            </w:r>
          </w:p>
        </w:tc>
      </w:tr>
      <w:tr>
        <w:trPr>
          <w:trHeight w:val="172"/>
        </w:trPr>
        <w:tc>
          <w:tcPr>
            <w:tcW w:w="5080" w:type="dxa"/>
            <w:vAlign w:val="bottom"/>
            <w:tcBorders>
              <w:bottom w:val="single" w:sz="8" w:color="CCEEFF"/>
            </w:tcBorders>
          </w:tcPr>
          <w:p>
            <w:pPr>
              <w:spacing w:after="0" w:line="172" w:lineRule="exact"/>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22,107,836</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23,116,937</w:t>
            </w:r>
          </w:p>
        </w:tc>
      </w:tr>
      <w:tr>
        <w:trPr>
          <w:trHeight w:val="172"/>
        </w:trPr>
        <w:tc>
          <w:tcPr>
            <w:tcW w:w="50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80"/>
        </w:trPr>
        <w:tc>
          <w:tcPr>
            <w:tcW w:w="50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Redeemable noncontrolling interests</w:t>
            </w:r>
          </w:p>
        </w:tc>
        <w:tc>
          <w:tcPr>
            <w:tcW w:w="200" w:type="dxa"/>
            <w:vAlign w:val="bottom"/>
          </w:tcPr>
          <w:p>
            <w:pPr>
              <w:spacing w:after="0"/>
              <w:rPr>
                <w:sz w:val="15"/>
                <w:szCs w:val="15"/>
                <w:color w:val="auto"/>
              </w:rPr>
            </w:pPr>
          </w:p>
        </w:tc>
        <w:tc>
          <w:tcPr>
            <w:tcW w:w="13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1,433,185</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1,394,814</w:t>
            </w:r>
          </w:p>
        </w:tc>
      </w:tr>
      <w:tr>
        <w:trPr>
          <w:trHeight w:val="180"/>
        </w:trPr>
        <w:tc>
          <w:tcPr>
            <w:tcW w:w="50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Commitments and contingencies</w:t>
            </w: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180"/>
        </w:trPr>
        <w:tc>
          <w:tcPr>
            <w:tcW w:w="50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Equity:</w:t>
            </w: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0"/>
        </w:trPr>
        <w:tc>
          <w:tcPr>
            <w:tcW w:w="508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Stockholders’ Equity:</w:t>
            </w: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167"/>
        </w:trPr>
        <w:tc>
          <w:tcPr>
            <w:tcW w:w="5080" w:type="dxa"/>
            <w:vAlign w:val="bottom"/>
          </w:tcPr>
          <w:p>
            <w:pPr>
              <w:ind w:left="200"/>
              <w:spacing w:after="0" w:line="167" w:lineRule="exact"/>
              <w:rPr>
                <w:sz w:val="20"/>
                <w:szCs w:val="20"/>
                <w:color w:val="auto"/>
              </w:rPr>
            </w:pPr>
            <w:r>
              <w:rPr>
                <w:rFonts w:ascii="Times New Roman" w:cs="Times New Roman" w:eastAsia="Times New Roman" w:hAnsi="Times New Roman"/>
                <w:sz w:val="16"/>
                <w:szCs w:val="16"/>
                <w:color w:val="auto"/>
              </w:rPr>
              <w:t>Preferred Stock: $0.01 par value per share, 110,000 shares authorized;</w:t>
            </w: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80"/>
        </w:trPr>
        <w:tc>
          <w:tcPr>
            <w:tcW w:w="508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$755,000 liquidation preference ($25.00 per share), 30,200 shares issued</w:t>
            </w: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93"/>
        </w:trPr>
        <w:tc>
          <w:tcPr>
            <w:tcW w:w="5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and outstanding as of December 31, 2024 and December 31, 2023</w:t>
            </w: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731,690</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731,690</w:t>
            </w:r>
          </w:p>
        </w:tc>
      </w:tr>
      <w:tr>
        <w:trPr>
          <w:trHeight w:val="167"/>
        </w:trPr>
        <w:tc>
          <w:tcPr>
            <w:tcW w:w="5080" w:type="dxa"/>
            <w:vAlign w:val="bottom"/>
            <w:shd w:val="clear" w:color="auto" w:fill="CCEEFF"/>
          </w:tcPr>
          <w:p>
            <w:pPr>
              <w:ind w:left="200"/>
              <w:spacing w:after="0" w:line="167" w:lineRule="exact"/>
              <w:rPr>
                <w:sz w:val="20"/>
                <w:szCs w:val="20"/>
                <w:color w:val="auto"/>
              </w:rPr>
            </w:pPr>
            <w:r>
              <w:rPr>
                <w:rFonts w:ascii="Times New Roman" w:cs="Times New Roman" w:eastAsia="Times New Roman" w:hAnsi="Times New Roman"/>
                <w:sz w:val="16"/>
                <w:szCs w:val="16"/>
                <w:color w:val="auto"/>
              </w:rPr>
              <w:t>Common Stock: $0.01 par value per share, 502,000 and 392,000 shares</w:t>
            </w:r>
          </w:p>
        </w:tc>
        <w:tc>
          <w:tcPr>
            <w:tcW w:w="2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80"/>
        </w:trPr>
        <w:tc>
          <w:tcPr>
            <w:tcW w:w="5080" w:type="dxa"/>
            <w:vAlign w:val="bottom"/>
            <w:shd w:val="clear" w:color="auto" w:fill="CCEEFF"/>
          </w:tcPr>
          <w:p>
            <w:pPr>
              <w:ind w:left="200"/>
              <w:spacing w:after="0" w:line="180" w:lineRule="exact"/>
              <w:rPr>
                <w:sz w:val="20"/>
                <w:szCs w:val="20"/>
                <w:color w:val="auto"/>
              </w:rPr>
            </w:pPr>
            <w:r>
              <w:rPr>
                <w:rFonts w:ascii="Times New Roman" w:cs="Times New Roman" w:eastAsia="Times New Roman" w:hAnsi="Times New Roman"/>
                <w:sz w:val="16"/>
                <w:szCs w:val="16"/>
                <w:color w:val="auto"/>
              </w:rPr>
              <w:t>authorized as of December 31, 2024 and December 31, 2023,</w:t>
            </w: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180"/>
        </w:trPr>
        <w:tc>
          <w:tcPr>
            <w:tcW w:w="5080" w:type="dxa"/>
            <w:vAlign w:val="bottom"/>
            <w:shd w:val="clear" w:color="auto" w:fill="CCEEFF"/>
          </w:tcPr>
          <w:p>
            <w:pPr>
              <w:ind w:left="200"/>
              <w:spacing w:after="0" w:line="180" w:lineRule="exact"/>
              <w:rPr>
                <w:sz w:val="20"/>
                <w:szCs w:val="20"/>
                <w:color w:val="auto"/>
              </w:rPr>
            </w:pPr>
            <w:r>
              <w:rPr>
                <w:rFonts w:ascii="Times New Roman" w:cs="Times New Roman" w:eastAsia="Times New Roman" w:hAnsi="Times New Roman"/>
                <w:sz w:val="16"/>
                <w:szCs w:val="16"/>
                <w:color w:val="auto"/>
              </w:rPr>
              <w:t>respectively; and 336,637 and 311,608 issued and outstanding as of</w:t>
            </w: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193"/>
        </w:trPr>
        <w:tc>
          <w:tcPr>
            <w:tcW w:w="5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December 31, 2024 and December 31, 2023, respectively</w:t>
            </w: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3,337</w:t>
            </w: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3,088</w:t>
            </w:r>
          </w:p>
        </w:tc>
      </w:tr>
      <w:tr>
        <w:trPr>
          <w:trHeight w:val="180"/>
        </w:trPr>
        <w:tc>
          <w:tcPr>
            <w:tcW w:w="508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tcPr>
          <w:p>
            <w:pPr>
              <w:spacing w:after="0"/>
              <w:rPr>
                <w:sz w:val="15"/>
                <w:szCs w:val="15"/>
                <w:color w:val="auto"/>
              </w:rPr>
            </w:pPr>
          </w:p>
        </w:tc>
        <w:tc>
          <w:tcPr>
            <w:tcW w:w="13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28,079,738</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24,396,797</w:t>
            </w:r>
          </w:p>
        </w:tc>
      </w:tr>
      <w:tr>
        <w:trPr>
          <w:trHeight w:val="180"/>
        </w:trPr>
        <w:tc>
          <w:tcPr>
            <w:tcW w:w="5080" w:type="dxa"/>
            <w:vAlign w:val="bottom"/>
            <w:shd w:val="clear" w:color="auto" w:fill="CCEEFF"/>
          </w:tcPr>
          <w:p>
            <w:pPr>
              <w:ind w:left="200"/>
              <w:spacing w:after="0" w:line="180" w:lineRule="exact"/>
              <w:rPr>
                <w:sz w:val="20"/>
                <w:szCs w:val="20"/>
                <w:color w:val="auto"/>
              </w:rPr>
            </w:pPr>
            <w:r>
              <w:rPr>
                <w:rFonts w:ascii="Times New Roman" w:cs="Times New Roman" w:eastAsia="Times New Roman" w:hAnsi="Times New Roman"/>
                <w:sz w:val="16"/>
                <w:szCs w:val="16"/>
                <w:color w:val="auto"/>
              </w:rPr>
              <w:t>Accumulated dividends in excess of earnings</w:t>
            </w: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(6,292,085)</w:t>
            </w: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(5,262,648)</w:t>
            </w:r>
          </w:p>
        </w:tc>
      </w:tr>
      <w:tr>
        <w:trPr>
          <w:trHeight w:val="180"/>
        </w:trPr>
        <w:tc>
          <w:tcPr>
            <w:tcW w:w="5080" w:type="dxa"/>
            <w:vAlign w:val="bottom"/>
            <w:tcBorders>
              <w:bottom w:val="single" w:sz="8" w:color="CCEEFF"/>
            </w:tcBorders>
          </w:tcPr>
          <w:p>
            <w:pPr>
              <w:ind w:left="200"/>
              <w:spacing w:after="0" w:line="180" w:lineRule="exact"/>
              <w:rPr>
                <w:sz w:val="20"/>
                <w:szCs w:val="20"/>
                <w:color w:val="auto"/>
              </w:rPr>
            </w:pPr>
            <w:r>
              <w:rPr>
                <w:rFonts w:ascii="Times New Roman" w:cs="Times New Roman" w:eastAsia="Times New Roman" w:hAnsi="Times New Roman"/>
                <w:sz w:val="16"/>
                <w:szCs w:val="16"/>
                <w:color w:val="auto"/>
              </w:rPr>
              <w:t>Accumulated other comprehensive loss, net</w:t>
            </w: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(1,182,283)</w:t>
            </w:r>
          </w:p>
        </w:tc>
        <w:tc>
          <w:tcPr>
            <w:tcW w:w="2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(751,393)</w:t>
            </w:r>
          </w:p>
        </w:tc>
      </w:tr>
      <w:tr>
        <w:trPr>
          <w:trHeight w:val="172"/>
        </w:trPr>
        <w:tc>
          <w:tcPr>
            <w:tcW w:w="5080" w:type="dxa"/>
            <w:vAlign w:val="bottom"/>
            <w:shd w:val="clear" w:color="auto" w:fill="CCEEFF"/>
          </w:tcPr>
          <w:p>
            <w:pPr>
              <w:ind w:left="380"/>
              <w:spacing w:after="0" w:line="172" w:lineRule="exact"/>
              <w:rPr>
                <w:sz w:val="20"/>
                <w:szCs w:val="20"/>
                <w:color w:val="auto"/>
              </w:rPr>
            </w:pPr>
            <w:r>
              <w:rPr>
                <w:rFonts w:ascii="Times New Roman" w:cs="Times New Roman" w:eastAsia="Times New Roman" w:hAnsi="Times New Roman"/>
                <w:sz w:val="16"/>
                <w:szCs w:val="16"/>
                <w:color w:val="auto"/>
              </w:rPr>
              <w:t>Total stockholders’ equity</w:t>
            </w:r>
          </w:p>
        </w:tc>
        <w:tc>
          <w:tcPr>
            <w:tcW w:w="2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21,340,397</w:t>
            </w: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19,117,534</w:t>
            </w:r>
          </w:p>
        </w:tc>
      </w:tr>
      <w:tr>
        <w:trPr>
          <w:trHeight w:val="180"/>
        </w:trPr>
        <w:tc>
          <w:tcPr>
            <w:tcW w:w="5080" w:type="dxa"/>
            <w:vAlign w:val="bottom"/>
            <w:tcBorders>
              <w:bottom w:val="single" w:sz="8" w:color="CCEEFF"/>
            </w:tcBorders>
          </w:tcPr>
          <w:p>
            <w:pPr>
              <w:ind w:left="200"/>
              <w:spacing w:after="0" w:line="180" w:lineRule="exact"/>
              <w:rPr>
                <w:sz w:val="20"/>
                <w:szCs w:val="20"/>
                <w:color w:val="auto"/>
              </w:rPr>
            </w:pPr>
            <w:r>
              <w:rPr>
                <w:rFonts w:ascii="Times New Roman" w:cs="Times New Roman" w:eastAsia="Times New Roman" w:hAnsi="Times New Roman"/>
                <w:sz w:val="16"/>
                <w:szCs w:val="16"/>
                <w:color w:val="auto"/>
              </w:rPr>
              <w:t>Noncontrolling interests</w:t>
            </w: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402,198</w:t>
            </w:r>
          </w:p>
        </w:tc>
        <w:tc>
          <w:tcPr>
            <w:tcW w:w="2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483,973</w:t>
            </w:r>
          </w:p>
        </w:tc>
      </w:tr>
      <w:tr>
        <w:trPr>
          <w:trHeight w:val="172"/>
        </w:trPr>
        <w:tc>
          <w:tcPr>
            <w:tcW w:w="508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Total equity</w:t>
            </w:r>
          </w:p>
        </w:tc>
        <w:tc>
          <w:tcPr>
            <w:tcW w:w="20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21,742,595</w:t>
            </w:r>
          </w:p>
        </w:tc>
        <w:tc>
          <w:tcPr>
            <w:tcW w:w="2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19,601,507</w:t>
            </w:r>
          </w:p>
        </w:tc>
      </w:tr>
      <w:tr>
        <w:trPr>
          <w:trHeight w:val="172"/>
        </w:trPr>
        <w:tc>
          <w:tcPr>
            <w:tcW w:w="508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Total liabilities and equity</w:t>
            </w:r>
          </w:p>
        </w:tc>
        <w:tc>
          <w:tcPr>
            <w:tcW w:w="200" w:type="dxa"/>
            <w:vAlign w:val="bottom"/>
            <w:tcBorders>
              <w:bottom w:val="single" w:sz="8" w:color="auto"/>
            </w:tcBorders>
          </w:tcPr>
          <w:p>
            <w:pPr>
              <w:jc w:val="right"/>
              <w:ind w:right="4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45,283,616</w:t>
            </w:r>
          </w:p>
        </w:tc>
        <w:tc>
          <w:tcPr>
            <w:tcW w:w="280" w:type="dxa"/>
            <w:vAlign w:val="bottom"/>
          </w:tcPr>
          <w:p>
            <w:pPr>
              <w:spacing w:after="0"/>
              <w:rPr>
                <w:sz w:val="14"/>
                <w:szCs w:val="14"/>
                <w:color w:val="auto"/>
              </w:rPr>
            </w:pPr>
          </w:p>
        </w:tc>
        <w:tc>
          <w:tcPr>
            <w:tcW w:w="200" w:type="dxa"/>
            <w:vAlign w:val="bottom"/>
            <w:tcBorders>
              <w:bottom w:val="single" w:sz="8" w:color="auto"/>
            </w:tcBorders>
          </w:tcPr>
          <w:p>
            <w:pPr>
              <w:jc w:val="right"/>
              <w:ind w:right="4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44,113,258</w:t>
            </w:r>
          </w:p>
        </w:tc>
      </w:tr>
      <w:tr>
        <w:trPr>
          <w:trHeight w:val="20"/>
        </w:trPr>
        <w:tc>
          <w:tcPr>
            <w:tcW w:w="5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color w:val="auto"/>
        </w:rPr>
        <w:t>See accompanying notes to the consolidated financial statements.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96" w:name="page97"/>
    <w:bookmarkEnd w:id="96"/>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INCOME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p>
      <w:pPr>
        <w:spacing w:after="0" w:line="168" w:lineRule="exact"/>
        <w:rPr>
          <w:sz w:val="20"/>
          <w:szCs w:val="20"/>
          <w:color w:val="auto"/>
        </w:rPr>
      </w:pPr>
    </w:p>
    <w:tbl>
      <w:tblPr>
        <w:tblLayout w:type="fixed"/>
        <w:tblInd w:w="320" w:type="dxa"/>
        <w:tblCellMar>
          <w:top w:w="0" w:type="dxa"/>
          <w:left w:w="0" w:type="dxa"/>
          <w:bottom w:w="0" w:type="dxa"/>
          <w:right w:w="0" w:type="dxa"/>
        </w:tblCellMar>
      </w:tblPr>
      <w:tr>
        <w:trPr>
          <w:trHeight w:val="195"/>
        </w:trPr>
        <w:tc>
          <w:tcPr>
            <w:tcW w:w="3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7"/>
          </w:tcPr>
          <w:p>
            <w:pPr>
              <w:jc w:val="right"/>
              <w:ind w:right="224"/>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8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02"/>
              <w:spacing w:after="0" w:line="172" w:lineRule="exact"/>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02"/>
              <w:spacing w:after="0" w:line="172" w:lineRule="exact"/>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02"/>
              <w:spacing w:after="0" w:line="172" w:lineRule="exact"/>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72"/>
        </w:trPr>
        <w:tc>
          <w:tcPr>
            <w:tcW w:w="38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Operating Revenues:</w:t>
            </w: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Rental and other services</w:t>
            </w:r>
          </w:p>
        </w:tc>
        <w:tc>
          <w:tcPr>
            <w:tcW w:w="560" w:type="dxa"/>
            <w:vAlign w:val="bottom"/>
            <w:gridSpan w:val="2"/>
          </w:tcPr>
          <w:p>
            <w:pPr>
              <w:jc w:val="right"/>
              <w:ind w:right="164"/>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5,482,472</w:t>
            </w:r>
          </w:p>
        </w:tc>
        <w:tc>
          <w:tcPr>
            <w:tcW w:w="120" w:type="dxa"/>
            <w:vAlign w:val="bottom"/>
          </w:tcPr>
          <w:p>
            <w:pPr>
              <w:spacing w:after="0"/>
              <w:rPr>
                <w:sz w:val="15"/>
                <w:szCs w:val="15"/>
                <w:color w:val="auto"/>
              </w:rPr>
            </w:pPr>
          </w:p>
        </w:tc>
        <w:tc>
          <w:tcPr>
            <w:tcW w:w="400" w:type="dxa"/>
            <w:vAlign w:val="bottom"/>
            <w:gridSpan w:val="2"/>
          </w:tcPr>
          <w:p>
            <w:pPr>
              <w:jc w:val="right"/>
              <w:ind w:right="164"/>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5,430,173</w:t>
            </w:r>
          </w:p>
        </w:tc>
        <w:tc>
          <w:tcPr>
            <w:tcW w:w="240" w:type="dxa"/>
            <w:vAlign w:val="bottom"/>
          </w:tcPr>
          <w:p>
            <w:pPr>
              <w:spacing w:after="0"/>
              <w:rPr>
                <w:sz w:val="15"/>
                <w:szCs w:val="15"/>
                <w:color w:val="auto"/>
              </w:rPr>
            </w:pPr>
          </w:p>
        </w:tc>
        <w:tc>
          <w:tcPr>
            <w:tcW w:w="28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4,662,683</w:t>
            </w:r>
          </w:p>
        </w:tc>
        <w:tc>
          <w:tcPr>
            <w:tcW w:w="0" w:type="dxa"/>
            <w:vAlign w:val="bottom"/>
          </w:tcPr>
          <w:p>
            <w:pPr>
              <w:spacing w:after="0"/>
              <w:rPr>
                <w:sz w:val="1"/>
                <w:szCs w:val="1"/>
                <w:color w:val="auto"/>
              </w:rPr>
            </w:pPr>
          </w:p>
        </w:tc>
      </w:tr>
      <w:tr>
        <w:trPr>
          <w:trHeight w:val="180"/>
        </w:trPr>
        <w:tc>
          <w:tcPr>
            <w:tcW w:w="38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Fee income and other</w:t>
            </w:r>
          </w:p>
        </w:tc>
        <w:tc>
          <w:tcPr>
            <w:tcW w:w="2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72,496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46,888</w:t>
            </w:r>
          </w:p>
        </w:tc>
        <w:tc>
          <w:tcPr>
            <w:tcW w:w="2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29,151</w:t>
            </w:r>
          </w:p>
        </w:tc>
        <w:tc>
          <w:tcPr>
            <w:tcW w:w="0" w:type="dxa"/>
            <w:vAlign w:val="bottom"/>
          </w:tcPr>
          <w:p>
            <w:pPr>
              <w:spacing w:after="0"/>
              <w:rPr>
                <w:sz w:val="1"/>
                <w:szCs w:val="1"/>
                <w:color w:val="auto"/>
              </w:rPr>
            </w:pPr>
          </w:p>
        </w:tc>
      </w:tr>
      <w:tr>
        <w:trPr>
          <w:trHeight w:val="172"/>
        </w:trPr>
        <w:tc>
          <w:tcPr>
            <w:tcW w:w="3820" w:type="dxa"/>
            <w:vAlign w:val="bottom"/>
            <w:tcBorders>
              <w:bottom w:val="single" w:sz="8" w:color="CCEEFF"/>
            </w:tcBorders>
          </w:tcPr>
          <w:p>
            <w:pPr>
              <w:spacing w:after="0" w:line="172" w:lineRule="exact"/>
              <w:rPr>
                <w:sz w:val="20"/>
                <w:szCs w:val="20"/>
                <w:color w:val="auto"/>
              </w:rPr>
            </w:pPr>
            <w:r>
              <w:rPr>
                <w:rFonts w:ascii="Times New Roman" w:cs="Times New Roman" w:eastAsia="Times New Roman" w:hAnsi="Times New Roman"/>
                <w:sz w:val="16"/>
                <w:szCs w:val="16"/>
                <w:color w:val="auto"/>
              </w:rPr>
              <w:t>Total operating revenues</w:t>
            </w:r>
          </w:p>
        </w:tc>
        <w:tc>
          <w:tcPr>
            <w:tcW w:w="2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5,554,968</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5,477,061</w:t>
            </w:r>
          </w:p>
        </w:tc>
        <w:tc>
          <w:tcPr>
            <w:tcW w:w="2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4,691,834</w:t>
            </w:r>
          </w:p>
        </w:tc>
        <w:tc>
          <w:tcPr>
            <w:tcW w:w="0" w:type="dxa"/>
            <w:vAlign w:val="bottom"/>
          </w:tcPr>
          <w:p>
            <w:pPr>
              <w:spacing w:after="0"/>
              <w:rPr>
                <w:sz w:val="1"/>
                <w:szCs w:val="1"/>
                <w:color w:val="auto"/>
              </w:rPr>
            </w:pPr>
          </w:p>
        </w:tc>
      </w:tr>
      <w:tr>
        <w:trPr>
          <w:trHeight w:val="172"/>
        </w:trPr>
        <w:tc>
          <w:tcPr>
            <w:tcW w:w="38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Operating Expenses:</w:t>
            </w: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Rental property operating and maintenance</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2,318,337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2,381,666</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1,825,817</w:t>
            </w:r>
          </w:p>
        </w:tc>
        <w:tc>
          <w:tcPr>
            <w:tcW w:w="0" w:type="dxa"/>
            <w:vAlign w:val="bottom"/>
          </w:tcPr>
          <w:p>
            <w:pPr>
              <w:spacing w:after="0"/>
              <w:rPr>
                <w:sz w:val="1"/>
                <w:szCs w:val="1"/>
                <w:color w:val="auto"/>
              </w:rPr>
            </w:pPr>
          </w:p>
        </w:tc>
      </w:tr>
      <w:tr>
        <w:trPr>
          <w:trHeight w:val="180"/>
        </w:trPr>
        <w:tc>
          <w:tcPr>
            <w:tcW w:w="38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Property taxes and insurance</w:t>
            </w: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200,778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216,405</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191,745</w:t>
            </w:r>
          </w:p>
        </w:tc>
        <w:tc>
          <w:tcPr>
            <w:tcW w:w="0" w:type="dxa"/>
            <w:vAlign w:val="bottom"/>
          </w:tcPr>
          <w:p>
            <w:pPr>
              <w:spacing w:after="0"/>
              <w:rPr>
                <w:sz w:val="1"/>
                <w:szCs w:val="1"/>
                <w:color w:val="auto"/>
              </w:rPr>
            </w:pPr>
          </w:p>
        </w:tc>
      </w:tr>
      <w:tr>
        <w:trPr>
          <w:trHeight w:val="180"/>
        </w:trPr>
        <w:tc>
          <w:tcPr>
            <w:tcW w:w="3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1,771,797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1,694,859</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1,577,933</w:t>
            </w:r>
          </w:p>
        </w:tc>
        <w:tc>
          <w:tcPr>
            <w:tcW w:w="0" w:type="dxa"/>
            <w:vAlign w:val="bottom"/>
          </w:tcPr>
          <w:p>
            <w:pPr>
              <w:spacing w:after="0"/>
              <w:rPr>
                <w:sz w:val="1"/>
                <w:szCs w:val="1"/>
                <w:color w:val="auto"/>
              </w:rPr>
            </w:pPr>
          </w:p>
        </w:tc>
      </w:tr>
      <w:tr>
        <w:trPr>
          <w:trHeight w:val="180"/>
        </w:trPr>
        <w:tc>
          <w:tcPr>
            <w:tcW w:w="38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General and administrative</w:t>
            </w: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480,023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449,056</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422,167</w:t>
            </w:r>
          </w:p>
        </w:tc>
        <w:tc>
          <w:tcPr>
            <w:tcW w:w="0" w:type="dxa"/>
            <w:vAlign w:val="bottom"/>
          </w:tcPr>
          <w:p>
            <w:pPr>
              <w:spacing w:after="0"/>
              <w:rPr>
                <w:sz w:val="1"/>
                <w:szCs w:val="1"/>
                <w:color w:val="auto"/>
              </w:rPr>
            </w:pPr>
          </w:p>
        </w:tc>
      </w:tr>
      <w:tr>
        <w:trPr>
          <w:trHeight w:val="180"/>
        </w:trPr>
        <w:tc>
          <w:tcPr>
            <w:tcW w:w="3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Transactions and integration</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93,902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84,722</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68,766</w:t>
            </w:r>
          </w:p>
        </w:tc>
        <w:tc>
          <w:tcPr>
            <w:tcW w:w="0" w:type="dxa"/>
            <w:vAlign w:val="bottom"/>
          </w:tcPr>
          <w:p>
            <w:pPr>
              <w:spacing w:after="0"/>
              <w:rPr>
                <w:sz w:val="1"/>
                <w:szCs w:val="1"/>
                <w:color w:val="auto"/>
              </w:rPr>
            </w:pPr>
          </w:p>
        </w:tc>
      </w:tr>
      <w:tr>
        <w:trPr>
          <w:trHeight w:val="180"/>
        </w:trPr>
        <w:tc>
          <w:tcPr>
            <w:tcW w:w="38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Provision for impairment</w:t>
            </w: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191,184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118,363</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0" w:type="dxa"/>
            <w:vAlign w:val="bottom"/>
          </w:tcPr>
          <w:p>
            <w:pPr>
              <w:spacing w:after="0"/>
              <w:rPr>
                <w:sz w:val="1"/>
                <w:szCs w:val="1"/>
                <w:color w:val="auto"/>
              </w:rPr>
            </w:pPr>
          </w:p>
        </w:tc>
      </w:tr>
      <w:tr>
        <w:trPr>
          <w:trHeight w:val="180"/>
        </w:trPr>
        <w:tc>
          <w:tcPr>
            <w:tcW w:w="382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Other</w:t>
            </w:r>
          </w:p>
        </w:tc>
        <w:tc>
          <w:tcPr>
            <w:tcW w:w="2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27,083</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7,529</w:t>
            </w:r>
          </w:p>
        </w:tc>
        <w:tc>
          <w:tcPr>
            <w:tcW w:w="2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12,438</w:t>
            </w:r>
          </w:p>
        </w:tc>
        <w:tc>
          <w:tcPr>
            <w:tcW w:w="0" w:type="dxa"/>
            <w:vAlign w:val="bottom"/>
          </w:tcPr>
          <w:p>
            <w:pPr>
              <w:spacing w:after="0"/>
              <w:rPr>
                <w:sz w:val="1"/>
                <w:szCs w:val="1"/>
                <w:color w:val="auto"/>
              </w:rPr>
            </w:pPr>
          </w:p>
        </w:tc>
      </w:tr>
      <w:tr>
        <w:trPr>
          <w:trHeight w:val="172"/>
        </w:trPr>
        <w:tc>
          <w:tcPr>
            <w:tcW w:w="38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Total operating expenses</w:t>
            </w:r>
          </w:p>
        </w:tc>
        <w:tc>
          <w:tcPr>
            <w:tcW w:w="2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5,083,104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4,952,600</w:t>
            </w:r>
          </w:p>
        </w:tc>
        <w:tc>
          <w:tcPr>
            <w:tcW w:w="24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4,101,866</w:t>
            </w:r>
          </w:p>
        </w:tc>
        <w:tc>
          <w:tcPr>
            <w:tcW w:w="0" w:type="dxa"/>
            <w:vAlign w:val="bottom"/>
          </w:tcPr>
          <w:p>
            <w:pPr>
              <w:spacing w:after="0"/>
              <w:rPr>
                <w:sz w:val="1"/>
                <w:szCs w:val="1"/>
                <w:color w:val="auto"/>
              </w:rPr>
            </w:pPr>
          </w:p>
        </w:tc>
      </w:tr>
      <w:tr>
        <w:trPr>
          <w:trHeight w:val="172"/>
        </w:trPr>
        <w:tc>
          <w:tcPr>
            <w:tcW w:w="382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Operating income</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471,864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524,461</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589,968</w:t>
            </w:r>
          </w:p>
        </w:tc>
        <w:tc>
          <w:tcPr>
            <w:tcW w:w="0" w:type="dxa"/>
            <w:vAlign w:val="bottom"/>
          </w:tcPr>
          <w:p>
            <w:pPr>
              <w:spacing w:after="0"/>
              <w:rPr>
                <w:sz w:val="1"/>
                <w:szCs w:val="1"/>
                <w:color w:val="auto"/>
              </w:rPr>
            </w:pPr>
          </w:p>
        </w:tc>
      </w:tr>
      <w:tr>
        <w:trPr>
          <w:trHeight w:val="180"/>
        </w:trPr>
        <w:tc>
          <w:tcPr>
            <w:tcW w:w="38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Other Income (Expenses):</w:t>
            </w: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Equity in loss of unconsolidated entities</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(120,138)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(29,791)</w:t>
            </w:r>
          </w:p>
        </w:tc>
        <w:tc>
          <w:tcPr>
            <w:tcW w:w="28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(13,497)</w:t>
            </w:r>
          </w:p>
        </w:tc>
        <w:tc>
          <w:tcPr>
            <w:tcW w:w="0" w:type="dxa"/>
            <w:vAlign w:val="bottom"/>
          </w:tcPr>
          <w:p>
            <w:pPr>
              <w:spacing w:after="0"/>
              <w:rPr>
                <w:sz w:val="1"/>
                <w:szCs w:val="1"/>
                <w:color w:val="auto"/>
              </w:rPr>
            </w:pPr>
          </w:p>
        </w:tc>
      </w:tr>
      <w:tr>
        <w:trPr>
          <w:trHeight w:val="180"/>
        </w:trPr>
        <w:tc>
          <w:tcPr>
            <w:tcW w:w="38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Gain on disposition of properties, net</w:t>
            </w: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595,825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900,531</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176,754</w:t>
            </w:r>
          </w:p>
        </w:tc>
        <w:tc>
          <w:tcPr>
            <w:tcW w:w="0" w:type="dxa"/>
            <w:vAlign w:val="bottom"/>
          </w:tcPr>
          <w:p>
            <w:pPr>
              <w:spacing w:after="0"/>
              <w:rPr>
                <w:sz w:val="1"/>
                <w:szCs w:val="1"/>
                <w:color w:val="auto"/>
              </w:rPr>
            </w:pPr>
          </w:p>
        </w:tc>
      </w:tr>
      <w:tr>
        <w:trPr>
          <w:trHeight w:val="180"/>
        </w:trPr>
        <w:tc>
          <w:tcPr>
            <w:tcW w:w="3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income, net</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154,243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68,431</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8,917</w:t>
            </w:r>
          </w:p>
        </w:tc>
        <w:tc>
          <w:tcPr>
            <w:tcW w:w="0" w:type="dxa"/>
            <w:vAlign w:val="bottom"/>
          </w:tcPr>
          <w:p>
            <w:pPr>
              <w:spacing w:after="0"/>
              <w:rPr>
                <w:sz w:val="1"/>
                <w:szCs w:val="1"/>
                <w:color w:val="auto"/>
              </w:rPr>
            </w:pPr>
          </w:p>
        </w:tc>
      </w:tr>
      <w:tr>
        <w:trPr>
          <w:trHeight w:val="180"/>
        </w:trPr>
        <w:tc>
          <w:tcPr>
            <w:tcW w:w="38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(452,836)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(437,741)</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(299,132)</w:t>
            </w:r>
          </w:p>
        </w:tc>
        <w:tc>
          <w:tcPr>
            <w:tcW w:w="0" w:type="dxa"/>
            <w:vAlign w:val="bottom"/>
          </w:tcPr>
          <w:p>
            <w:pPr>
              <w:spacing w:after="0"/>
              <w:rPr>
                <w:sz w:val="1"/>
                <w:szCs w:val="1"/>
                <w:color w:val="auto"/>
              </w:rPr>
            </w:pPr>
          </w:p>
        </w:tc>
      </w:tr>
      <w:tr>
        <w:trPr>
          <w:trHeight w:val="180"/>
        </w:trPr>
        <w:tc>
          <w:tcPr>
            <w:tcW w:w="3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Loss on debt extinguishment and modifications</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(5,871)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(51,135)</w:t>
            </w:r>
          </w:p>
        </w:tc>
        <w:tc>
          <w:tcPr>
            <w:tcW w:w="0" w:type="dxa"/>
            <w:vAlign w:val="bottom"/>
          </w:tcPr>
          <w:p>
            <w:pPr>
              <w:spacing w:after="0"/>
              <w:rPr>
                <w:sz w:val="1"/>
                <w:szCs w:val="1"/>
                <w:color w:val="auto"/>
              </w:rPr>
            </w:pPr>
          </w:p>
        </w:tc>
      </w:tr>
      <w:tr>
        <w:trPr>
          <w:trHeight w:val="180"/>
        </w:trPr>
        <w:tc>
          <w:tcPr>
            <w:tcW w:w="38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Income tax expense</w:t>
            </w: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(54,760)</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(75,579)</w:t>
            </w: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(31,550)</w:t>
            </w:r>
          </w:p>
        </w:tc>
        <w:tc>
          <w:tcPr>
            <w:tcW w:w="0" w:type="dxa"/>
            <w:vAlign w:val="bottom"/>
          </w:tcPr>
          <w:p>
            <w:pPr>
              <w:spacing w:after="0"/>
              <w:rPr>
                <w:sz w:val="1"/>
                <w:szCs w:val="1"/>
                <w:color w:val="auto"/>
              </w:rPr>
            </w:pPr>
          </w:p>
        </w:tc>
      </w:tr>
      <w:tr>
        <w:trPr>
          <w:trHeight w:val="172"/>
        </w:trPr>
        <w:tc>
          <w:tcPr>
            <w:tcW w:w="382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588,327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950,312</w:t>
            </w:r>
          </w:p>
        </w:tc>
        <w:tc>
          <w:tcPr>
            <w:tcW w:w="2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380,325</w:t>
            </w:r>
          </w:p>
        </w:tc>
        <w:tc>
          <w:tcPr>
            <w:tcW w:w="0" w:type="dxa"/>
            <w:vAlign w:val="bottom"/>
          </w:tcPr>
          <w:p>
            <w:pPr>
              <w:spacing w:after="0"/>
              <w:rPr>
                <w:sz w:val="1"/>
                <w:szCs w:val="1"/>
                <w:color w:val="auto"/>
              </w:rPr>
            </w:pPr>
          </w:p>
        </w:tc>
      </w:tr>
      <w:tr>
        <w:trPr>
          <w:trHeight w:val="180"/>
        </w:trPr>
        <w:tc>
          <w:tcPr>
            <w:tcW w:w="38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Net loss (income) attributable to noncontrolling interests</w:t>
            </w:r>
          </w:p>
        </w:tc>
        <w:tc>
          <w:tcPr>
            <w:tcW w:w="2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14,163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(1,474)</w:t>
            </w:r>
          </w:p>
        </w:tc>
        <w:tc>
          <w:tcPr>
            <w:tcW w:w="2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(2,641)</w:t>
            </w:r>
          </w:p>
        </w:tc>
        <w:tc>
          <w:tcPr>
            <w:tcW w:w="0" w:type="dxa"/>
            <w:vAlign w:val="bottom"/>
          </w:tcPr>
          <w:p>
            <w:pPr>
              <w:spacing w:after="0"/>
              <w:rPr>
                <w:sz w:val="1"/>
                <w:szCs w:val="1"/>
                <w:color w:val="auto"/>
              </w:rPr>
            </w:pPr>
          </w:p>
        </w:tc>
      </w:tr>
      <w:tr>
        <w:trPr>
          <w:trHeight w:val="172"/>
        </w:trPr>
        <w:tc>
          <w:tcPr>
            <w:tcW w:w="382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Net income attributable to Digital Realty Trust, Inc.</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602,490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948,838</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377,684</w:t>
            </w:r>
          </w:p>
        </w:tc>
        <w:tc>
          <w:tcPr>
            <w:tcW w:w="0" w:type="dxa"/>
            <w:vAlign w:val="bottom"/>
          </w:tcPr>
          <w:p>
            <w:pPr>
              <w:spacing w:after="0"/>
              <w:rPr>
                <w:sz w:val="1"/>
                <w:szCs w:val="1"/>
                <w:color w:val="auto"/>
              </w:rPr>
            </w:pPr>
          </w:p>
        </w:tc>
      </w:tr>
      <w:tr>
        <w:trPr>
          <w:trHeight w:val="180"/>
        </w:trPr>
        <w:tc>
          <w:tcPr>
            <w:tcW w:w="38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Preferred stock dividends</w:t>
            </w: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(40,724)</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(40,724)</w:t>
            </w: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(40,724)</w:t>
            </w:r>
          </w:p>
        </w:tc>
        <w:tc>
          <w:tcPr>
            <w:tcW w:w="0" w:type="dxa"/>
            <w:vAlign w:val="bottom"/>
          </w:tcPr>
          <w:p>
            <w:pPr>
              <w:spacing w:after="0"/>
              <w:rPr>
                <w:sz w:val="1"/>
                <w:szCs w:val="1"/>
                <w:color w:val="auto"/>
              </w:rPr>
            </w:pPr>
          </w:p>
        </w:tc>
      </w:tr>
      <w:tr>
        <w:trPr>
          <w:trHeight w:val="212"/>
        </w:trPr>
        <w:tc>
          <w:tcPr>
            <w:tcW w:w="3820" w:type="dxa"/>
            <w:vAlign w:val="bottom"/>
            <w:tcBorders>
              <w:bottom w:val="single" w:sz="8" w:color="CCEEFF"/>
            </w:tcBorders>
          </w:tcPr>
          <w:p>
            <w:pPr>
              <w:spacing w:after="0" w:line="172" w:lineRule="exact"/>
              <w:rPr>
                <w:sz w:val="20"/>
                <w:szCs w:val="20"/>
                <w:color w:val="auto"/>
              </w:rPr>
            </w:pPr>
            <w:r>
              <w:rPr>
                <w:rFonts w:ascii="Times New Roman" w:cs="Times New Roman" w:eastAsia="Times New Roman" w:hAnsi="Times New Roman"/>
                <w:sz w:val="16"/>
                <w:szCs w:val="16"/>
                <w:color w:val="auto"/>
              </w:rPr>
              <w:t>Net income available to common stockholders</w:t>
            </w:r>
          </w:p>
        </w:tc>
        <w:tc>
          <w:tcPr>
            <w:tcW w:w="2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561,766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908,114</w:t>
            </w:r>
          </w:p>
        </w:tc>
        <w:tc>
          <w:tcPr>
            <w:tcW w:w="2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336,960</w:t>
            </w:r>
          </w:p>
        </w:tc>
        <w:tc>
          <w:tcPr>
            <w:tcW w:w="0" w:type="dxa"/>
            <w:vAlign w:val="bottom"/>
          </w:tcPr>
          <w:p>
            <w:pPr>
              <w:spacing w:after="0"/>
              <w:rPr>
                <w:sz w:val="1"/>
                <w:szCs w:val="1"/>
                <w:color w:val="auto"/>
              </w:rPr>
            </w:pPr>
          </w:p>
        </w:tc>
      </w:tr>
      <w:tr>
        <w:trPr>
          <w:trHeight w:val="156"/>
        </w:trPr>
        <w:tc>
          <w:tcPr>
            <w:tcW w:w="382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auto"/>
              </w:rPr>
              <w:t>Net income per share available to common stockholders:</w:t>
            </w:r>
          </w:p>
        </w:tc>
        <w:tc>
          <w:tcPr>
            <w:tcW w:w="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Basic</w:t>
            </w:r>
          </w:p>
        </w:tc>
        <w:tc>
          <w:tcPr>
            <w:tcW w:w="560" w:type="dxa"/>
            <w:vAlign w:val="bottom"/>
            <w:gridSpan w:val="2"/>
          </w:tcPr>
          <w:p>
            <w:pPr>
              <w:jc w:val="right"/>
              <w:ind w:right="164"/>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1.74</w:t>
            </w:r>
          </w:p>
        </w:tc>
        <w:tc>
          <w:tcPr>
            <w:tcW w:w="120" w:type="dxa"/>
            <w:vAlign w:val="bottom"/>
          </w:tcPr>
          <w:p>
            <w:pPr>
              <w:spacing w:after="0"/>
              <w:rPr>
                <w:sz w:val="15"/>
                <w:szCs w:val="15"/>
                <w:color w:val="auto"/>
              </w:rPr>
            </w:pPr>
          </w:p>
        </w:tc>
        <w:tc>
          <w:tcPr>
            <w:tcW w:w="400" w:type="dxa"/>
            <w:vAlign w:val="bottom"/>
            <w:gridSpan w:val="2"/>
          </w:tcPr>
          <w:p>
            <w:pPr>
              <w:jc w:val="right"/>
              <w:ind w:right="164"/>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3.04</w:t>
            </w:r>
          </w:p>
        </w:tc>
        <w:tc>
          <w:tcPr>
            <w:tcW w:w="240" w:type="dxa"/>
            <w:vAlign w:val="bottom"/>
          </w:tcPr>
          <w:p>
            <w:pPr>
              <w:spacing w:after="0"/>
              <w:rPr>
                <w:sz w:val="15"/>
                <w:szCs w:val="15"/>
                <w:color w:val="auto"/>
              </w:rPr>
            </w:pPr>
          </w:p>
        </w:tc>
        <w:tc>
          <w:tcPr>
            <w:tcW w:w="28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180"/>
        </w:trPr>
        <w:tc>
          <w:tcPr>
            <w:tcW w:w="38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Diluted</w:t>
            </w:r>
          </w:p>
        </w:tc>
        <w:tc>
          <w:tcPr>
            <w:tcW w:w="560" w:type="dxa"/>
            <w:vAlign w:val="bottom"/>
            <w:gridSpan w:val="2"/>
            <w:shd w:val="clear" w:color="auto" w:fill="CCEEFF"/>
          </w:tcPr>
          <w:p>
            <w:pPr>
              <w:jc w:val="right"/>
              <w:ind w:right="164"/>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1.61</w:t>
            </w:r>
          </w:p>
        </w:tc>
        <w:tc>
          <w:tcPr>
            <w:tcW w:w="12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64"/>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2.88</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8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8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Basic</w:t>
            </w: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323,336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298,603</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286,334</w:t>
            </w:r>
          </w:p>
        </w:tc>
        <w:tc>
          <w:tcPr>
            <w:tcW w:w="0" w:type="dxa"/>
            <w:vAlign w:val="bottom"/>
          </w:tcPr>
          <w:p>
            <w:pPr>
              <w:spacing w:after="0"/>
              <w:rPr>
                <w:sz w:val="1"/>
                <w:szCs w:val="1"/>
                <w:color w:val="auto"/>
              </w:rPr>
            </w:pPr>
          </w:p>
        </w:tc>
      </w:tr>
      <w:tr>
        <w:trPr>
          <w:trHeight w:val="203"/>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331,547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309,065</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297,919</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color w:val="auto"/>
        </w:rPr>
        <w:t>See accompanying notes to the consolidated financial statements.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97" w:name="page98"/>
    <w:bookmarkEnd w:id="97"/>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jc w:val="center"/>
        <w:ind w:left="1780" w:right="1800"/>
        <w:spacing w:after="0" w:line="248" w:lineRule="auto"/>
        <w:rPr>
          <w:sz w:val="20"/>
          <w:szCs w:val="20"/>
          <w:color w:val="auto"/>
        </w:rPr>
      </w:pPr>
      <w:r>
        <w:rPr>
          <w:rFonts w:ascii="Times New Roman" w:cs="Times New Roman" w:eastAsia="Times New Roman" w:hAnsi="Times New Roman"/>
          <w:sz w:val="16"/>
          <w:szCs w:val="16"/>
          <w:b w:val="1"/>
          <w:bCs w:val="1"/>
          <w:color w:val="auto"/>
        </w:rPr>
        <w:t>DIGITAL REALTY TRUST, INC. AND SUBSIDIARIES CONSOLIDATED STATEMENTS OF COMPREHENSIVE INCOME (in thousands)</w:t>
      </w:r>
    </w:p>
    <w:p>
      <w:pPr>
        <w:spacing w:after="0" w:line="163" w:lineRule="exact"/>
        <w:rPr>
          <w:sz w:val="20"/>
          <w:szCs w:val="20"/>
          <w:color w:val="auto"/>
        </w:rPr>
      </w:pPr>
    </w:p>
    <w:tbl>
      <w:tblPr>
        <w:tblLayout w:type="fixed"/>
        <w:tblInd w:w="320" w:type="dxa"/>
        <w:tblCellMar>
          <w:top w:w="0" w:type="dxa"/>
          <w:left w:w="0" w:type="dxa"/>
          <w:bottom w:w="0" w:type="dxa"/>
          <w:right w:w="0" w:type="dxa"/>
        </w:tblCellMar>
      </w:tblPr>
      <w:tr>
        <w:trPr>
          <w:trHeight w:val="182"/>
        </w:trPr>
        <w:tc>
          <w:tcPr>
            <w:tcW w:w="4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6"/>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Borders>
              <w:bottom w:val="single" w:sz="8" w:color="auto"/>
            </w:tcBorders>
          </w:tcPr>
          <w:p>
            <w:pPr>
              <w:spacing w:after="0"/>
              <w:rPr>
                <w:sz w:val="15"/>
                <w:szCs w:val="15"/>
                <w:color w:val="auto"/>
              </w:rPr>
            </w:pPr>
          </w:p>
        </w:tc>
      </w:tr>
      <w:tr>
        <w:trPr>
          <w:trHeight w:val="160"/>
        </w:trPr>
        <w:tc>
          <w:tcPr>
            <w:tcW w:w="438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6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588,327</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950,312</w:t>
            </w: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380,325</w:t>
            </w:r>
          </w:p>
        </w:tc>
      </w:tr>
      <w:tr>
        <w:trPr>
          <w:trHeight w:val="168"/>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(605,636)</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(209,973)</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(377,873)</w:t>
            </w:r>
          </w:p>
        </w:tc>
      </w:tr>
      <w:tr>
        <w:trPr>
          <w:trHeight w:val="168"/>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Increase (decrease) in fair value of derivatives</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162,721</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(21,406)</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(93,803)</w:t>
            </w:r>
          </w:p>
        </w:tc>
      </w:tr>
      <w:tr>
        <w:trPr>
          <w:trHeight w:val="168"/>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Reclassification to interest expense from derivatives</w:t>
            </w:r>
          </w:p>
        </w:tc>
        <w:tc>
          <w:tcPr>
            <w:tcW w:w="34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(40,072)</w:t>
            </w:r>
          </w:p>
        </w:tc>
        <w:tc>
          <w:tcPr>
            <w:tcW w:w="2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(32,789)</w:t>
            </w:r>
          </w:p>
        </w:tc>
        <w:tc>
          <w:tcPr>
            <w:tcW w:w="2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(7,044)</w:t>
            </w:r>
          </w:p>
        </w:tc>
      </w:tr>
      <w:tr>
        <w:trPr>
          <w:trHeight w:val="160"/>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(482,987)</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(264,168)</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(478,720)</w:t>
            </w:r>
          </w:p>
        </w:tc>
      </w:tr>
      <w:tr>
        <w:trPr>
          <w:trHeight w:val="168"/>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Comprehensive income (loss)</w:t>
            </w: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105,340</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686,144</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(98,395)</w:t>
            </w:r>
          </w:p>
        </w:tc>
      </w:tr>
      <w:tr>
        <w:trPr>
          <w:trHeight w:val="168"/>
        </w:trPr>
        <w:tc>
          <w:tcPr>
            <w:tcW w:w="4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Comprehensive loss attributable to noncontrolling interests</w:t>
            </w:r>
          </w:p>
        </w:tc>
        <w:tc>
          <w:tcPr>
            <w:tcW w:w="3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68,353</w:t>
            </w: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105,911</w:t>
            </w: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54,161</w:t>
            </w:r>
          </w:p>
        </w:tc>
      </w:tr>
      <w:tr>
        <w:trPr>
          <w:trHeight w:val="160"/>
        </w:trPr>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Comprehensive income (loss) attributable to Digital Realty Trust, Inc.</w:t>
            </w:r>
          </w:p>
        </w:tc>
        <w:tc>
          <w:tcPr>
            <w:tcW w:w="34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173,693</w:t>
            </w:r>
          </w:p>
        </w:tc>
        <w:tc>
          <w:tcPr>
            <w:tcW w:w="2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792,055</w:t>
            </w:r>
          </w:p>
        </w:tc>
        <w:tc>
          <w:tcPr>
            <w:tcW w:w="2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(44,234)</w:t>
            </w:r>
          </w:p>
        </w:tc>
      </w:tr>
      <w:tr>
        <w:trPr>
          <w:trHeight w:val="20"/>
        </w:trPr>
        <w:tc>
          <w:tcPr>
            <w:tcW w:w="4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color w:val="auto"/>
        </w:rPr>
        <w:t>See accompanying notes to the consolidated financial statements.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98" w:name="page99"/>
    <w:bookmarkEnd w:id="98"/>
    <w:p>
      <w:pPr>
        <w:ind w:left="6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6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EQUITY</w:t>
      </w: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p>
      <w:pPr>
        <w:spacing w:after="0" w:line="181" w:lineRule="exact"/>
        <w:rPr>
          <w:sz w:val="20"/>
          <w:szCs w:val="20"/>
          <w:color w:val="auto"/>
        </w:rPr>
      </w:pPr>
    </w:p>
    <w:tbl>
      <w:tblPr>
        <w:tblLayout w:type="fixed"/>
        <w:tblInd w:w="6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40" w:type="dxa"/>
            <w:vAlign w:val="bottom"/>
          </w:tcPr>
          <w:p>
            <w:pPr>
              <w:spacing w:after="0"/>
              <w:rPr>
                <w:sz w:val="11"/>
                <w:szCs w:val="11"/>
                <w:color w:val="auto"/>
              </w:rPr>
            </w:pPr>
          </w:p>
        </w:tc>
        <w:tc>
          <w:tcPr>
            <w:tcW w:w="880" w:type="dxa"/>
            <w:vAlign w:val="bottom"/>
            <w:gridSpan w:val="3"/>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Redeemable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40" w:type="dxa"/>
            <w:vAlign w:val="bottom"/>
          </w:tcPr>
          <w:p>
            <w:pPr>
              <w:spacing w:after="0"/>
              <w:rPr>
                <w:sz w:val="11"/>
                <w:szCs w:val="11"/>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Dividends in</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2"/>
              </w:rPr>
              <w:t>Other</w:t>
            </w:r>
          </w:p>
        </w:tc>
        <w:tc>
          <w:tcPr>
            <w:tcW w:w="120" w:type="dxa"/>
            <w:vAlign w:val="bottom"/>
          </w:tcPr>
          <w:p>
            <w:pPr>
              <w:spacing w:after="0"/>
              <w:rPr>
                <w:sz w:val="11"/>
                <w:szCs w:val="11"/>
                <w:color w:val="auto"/>
              </w:rPr>
            </w:pPr>
          </w:p>
        </w:tc>
        <w:tc>
          <w:tcPr>
            <w:tcW w:w="7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w w:val="95"/>
              </w:rPr>
              <w:t>Noncontrolling</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95"/>
              </w:rPr>
              <w:t>Preferred</w:t>
            </w:r>
          </w:p>
        </w:tc>
        <w:tc>
          <w:tcPr>
            <w:tcW w:w="140" w:type="dxa"/>
            <w:vAlign w:val="bottom"/>
          </w:tcPr>
          <w:p>
            <w:pPr>
              <w:spacing w:after="0"/>
              <w:rPr>
                <w:sz w:val="11"/>
                <w:szCs w:val="1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Common</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96"/>
              </w:rPr>
              <w:t>Common</w:t>
            </w:r>
          </w:p>
        </w:tc>
        <w:tc>
          <w:tcPr>
            <w:tcW w:w="14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Paid-in</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7"/>
              </w:rPr>
              <w:t>Excess of</w:t>
            </w:r>
          </w:p>
        </w:tc>
        <w:tc>
          <w:tcPr>
            <w:tcW w:w="1020" w:type="dxa"/>
            <w:vAlign w:val="bottom"/>
            <w:gridSpan w:val="4"/>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840" w:type="dxa"/>
            <w:vAlign w:val="bottom"/>
            <w:gridSpan w:val="3"/>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5"/>
              </w:rPr>
              <w:t>Noncontrolling</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Interests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Stock</w:t>
            </w:r>
          </w:p>
        </w:tc>
        <w:tc>
          <w:tcPr>
            <w:tcW w:w="140" w:type="dxa"/>
            <w:vAlign w:val="bottom"/>
          </w:tcPr>
          <w:p>
            <w:pPr>
              <w:spacing w:after="0"/>
              <w:rPr>
                <w:sz w:val="11"/>
                <w:szCs w:val="1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Stock</w:t>
            </w:r>
          </w:p>
        </w:tc>
        <w:tc>
          <w:tcPr>
            <w:tcW w:w="14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8"/>
              </w:rPr>
              <w:t>Earnings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6"/>
              </w:rPr>
              <w:t>Loss, Net</w:t>
            </w:r>
          </w:p>
        </w:tc>
        <w:tc>
          <w:tcPr>
            <w:tcW w:w="120" w:type="dxa"/>
            <w:vAlign w:val="bottom"/>
          </w:tcPr>
          <w:p>
            <w:pPr>
              <w:spacing w:after="0"/>
              <w:rPr>
                <w:sz w:val="11"/>
                <w:szCs w:val="11"/>
                <w:color w:val="auto"/>
              </w:rPr>
            </w:pPr>
          </w:p>
        </w:tc>
        <w:tc>
          <w:tcPr>
            <w:tcW w:w="7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7"/>
              </w:rPr>
              <w:t>Interests</w:t>
            </w: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Total Equity</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8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Balance as of December 31, 2021</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46,995</w:t>
            </w:r>
          </w:p>
        </w:tc>
        <w:tc>
          <w:tcPr>
            <w:tcW w:w="60" w:type="dxa"/>
            <w:vAlign w:val="bottom"/>
            <w:shd w:val="clear" w:color="auto" w:fill="CCEEFF"/>
          </w:tcPr>
          <w:p>
            <w:pPr>
              <w:spacing w:after="0"/>
              <w:rPr>
                <w:sz w:val="11"/>
                <w:szCs w:val="11"/>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731,690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284,415,013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2,824</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$ 21,075,863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(3,631,929)</w:t>
            </w:r>
          </w:p>
        </w:tc>
        <w:tc>
          <w:tcPr>
            <w:tcW w:w="26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b w:val="1"/>
                <w:bCs w:val="1"/>
                <w:color w:val="auto"/>
              </w:rPr>
              <w:t>(173,880)</w:t>
            </w:r>
          </w:p>
        </w:tc>
        <w:tc>
          <w:tcPr>
            <w:tcW w:w="1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472,219</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$ 18,476,787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1"/>
                <w:szCs w:val="11"/>
                <w:color w:val="auto"/>
              </w:rPr>
              <w:t>Conversion of common units to</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common stock</w:t>
            </w:r>
          </w:p>
        </w:tc>
        <w:tc>
          <w:tcPr>
            <w:tcW w:w="120" w:type="dxa"/>
            <w:vAlign w:val="bottom"/>
          </w:tcPr>
          <w:p>
            <w:pPr>
              <w:spacing w:after="0"/>
              <w:rPr>
                <w:sz w:val="11"/>
                <w:szCs w:val="11"/>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36,284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2,942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(2,942)</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Vesting of restricted stock, net</w:t>
            </w: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340,874</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1"/>
                <w:szCs w:val="11"/>
                <w:color w:val="auto"/>
              </w:rPr>
              <w:t>Partial settlement of forward sale</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agreements, net of costs</w:t>
            </w:r>
          </w:p>
        </w:tc>
        <w:tc>
          <w:tcPr>
            <w:tcW w:w="120" w:type="dxa"/>
            <w:vAlign w:val="bottom"/>
          </w:tcPr>
          <w:p>
            <w:pPr>
              <w:spacing w:after="0"/>
              <w:rPr>
                <w:sz w:val="11"/>
                <w:szCs w:val="11"/>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6,250,000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923,400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923,463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Shares issued under equity plans, net of</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share settlement to satisfy tax</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withholding upon vesting</w:t>
            </w: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106,051</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1,496</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1,496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1"/>
                <w:szCs w:val="11"/>
                <w:color w:val="auto"/>
              </w:rPr>
              <w:t>Amortization of unearned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compensation regarding share-based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awards</w:t>
            </w:r>
          </w:p>
        </w:tc>
        <w:tc>
          <w:tcPr>
            <w:tcW w:w="120" w:type="dxa"/>
            <w:vAlign w:val="bottom"/>
          </w:tcPr>
          <w:p>
            <w:pPr>
              <w:spacing w:after="0"/>
              <w:rPr>
                <w:sz w:val="11"/>
                <w:szCs w:val="11"/>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92,461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92,461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Reclassification of vested share-based</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awards</w:t>
            </w: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(29,864)</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29,864</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1"/>
                <w:szCs w:val="11"/>
                <w:color w:val="auto"/>
              </w:rPr>
              <w:t>Adjustment to redeemable</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noncontrolling interests</w:t>
            </w: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(11,954)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11,954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11,954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Dividends declared on preferred stock</w:t>
            </w: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(40,724)</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(40,724)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1"/>
                <w:szCs w:val="11"/>
                <w:color w:val="auto"/>
              </w:rPr>
              <w:t>Dividends and distributions on common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stock and common and incentive units</w:t>
            </w:r>
          </w:p>
        </w:tc>
        <w:tc>
          <w:tcPr>
            <w:tcW w:w="12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(760)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(1,403,344)</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(30,796)</w:t>
            </w: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(1,434,140)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Redeemable noncontrolling interests</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associated with acquisition of Teraco</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1,530,090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1"/>
                <w:szCs w:val="11"/>
                <w:color w:val="auto"/>
              </w:rPr>
              <w:t>Contributions from (distributions to)</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noncontrolling interests</w:t>
            </w: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46,277</w:t>
            </w: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46,277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Sale of noncontrolling interest in</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property to DCRU</w:t>
            </w: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64,616</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12,275</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76,891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1"/>
                <w:szCs w:val="11"/>
                <w:color w:val="auto"/>
              </w:rPr>
              <w:t>Net income (loss)</w:t>
            </w:r>
          </w:p>
        </w:tc>
        <w:tc>
          <w:tcPr>
            <w:tcW w:w="12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(4,653)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377,684</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7,294</w:t>
            </w: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384,978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comprehensive income (loss)</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(46,742)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(421,918)</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(10,060)</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(431,978)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880" w:type="dxa"/>
            <w:vAlign w:val="bottom"/>
            <w:gridSpan w:val="2"/>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Balance as of December 31, 2022</w:t>
            </w:r>
          </w:p>
        </w:tc>
        <w:tc>
          <w:tcPr>
            <w:tcW w:w="120" w:type="dxa"/>
            <w:vAlign w:val="bottom"/>
            <w:tcBorders>
              <w:top w:val="single" w:sz="8" w:color="auto"/>
              <w:bottom w:val="single" w:sz="8" w:color="auto"/>
            </w:tcBorders>
          </w:tcPr>
          <w:p>
            <w:pPr>
              <w:jc w:val="right"/>
              <w:ind w:right="6"/>
              <w:spacing w:after="0" w:line="124"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1,514,679</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731,690</w:t>
            </w:r>
          </w:p>
        </w:tc>
        <w:tc>
          <w:tcPr>
            <w:tcW w:w="140" w:type="dxa"/>
            <w:vAlign w:val="bottom"/>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w w:val="94"/>
              </w:rPr>
              <w:t>291,148,222</w:t>
            </w:r>
          </w:p>
        </w:tc>
        <w:tc>
          <w:tcPr>
            <w:tcW w:w="14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2,887</w:t>
            </w:r>
          </w:p>
        </w:tc>
        <w:tc>
          <w:tcPr>
            <w:tcW w:w="14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$ 22,142,868</w:t>
            </w:r>
          </w:p>
        </w:tc>
        <w:tc>
          <w:tcPr>
            <w:tcW w:w="14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(4,698,313)</w:t>
            </w:r>
          </w:p>
        </w:tc>
        <w:tc>
          <w:tcPr>
            <w:tcW w:w="14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tcBorders>
              <w:top w:val="single" w:sz="8" w:color="auto"/>
              <w:bottom w:val="single" w:sz="8" w:color="auto"/>
            </w:tcBorders>
          </w:tcPr>
          <w:p>
            <w:pPr>
              <w:ind w:left="180"/>
              <w:spacing w:after="0" w:line="124" w:lineRule="exact"/>
              <w:rPr>
                <w:sz w:val="20"/>
                <w:szCs w:val="20"/>
                <w:color w:val="auto"/>
              </w:rPr>
            </w:pPr>
            <w:r>
              <w:rPr>
                <w:rFonts w:ascii="Times New Roman" w:cs="Times New Roman" w:eastAsia="Times New Roman" w:hAnsi="Times New Roman"/>
                <w:sz w:val="11"/>
                <w:szCs w:val="11"/>
                <w:b w:val="1"/>
                <w:bCs w:val="1"/>
                <w:color w:val="auto"/>
                <w:w w:val="92"/>
              </w:rPr>
              <w:t>(595,798)</w:t>
            </w:r>
          </w:p>
        </w:tc>
        <w:tc>
          <w:tcPr>
            <w:tcW w:w="16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524,131</w:t>
            </w:r>
          </w:p>
        </w:tc>
        <w:tc>
          <w:tcPr>
            <w:tcW w:w="160" w:type="dxa"/>
            <w:vAlign w:val="bottom"/>
          </w:tcPr>
          <w:p>
            <w:pPr>
              <w:spacing w:after="0"/>
              <w:rPr>
                <w:sz w:val="10"/>
                <w:szCs w:val="10"/>
                <w:color w:val="auto"/>
              </w:rPr>
            </w:pPr>
          </w:p>
        </w:tc>
        <w:tc>
          <w:tcPr>
            <w:tcW w:w="62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$ 18,107,465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310515</wp:posOffset>
            </wp:positionV>
            <wp:extent cx="5632450" cy="152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3245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99" w:name="page100"/>
    <w:bookmarkEnd w:id="99"/>
    <w:p>
      <w:pPr>
        <w:ind w:left="6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6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EQUITY (continued)</w:t>
      </w: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p>
      <w:pPr>
        <w:spacing w:after="0" w:line="313" w:lineRule="exact"/>
        <w:rPr>
          <w:sz w:val="20"/>
          <w:szCs w:val="20"/>
          <w:color w:val="auto"/>
        </w:rPr>
      </w:pPr>
    </w:p>
    <w:tbl>
      <w:tblPr>
        <w:tblLayout w:type="fixed"/>
        <w:tblInd w:w="6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40" w:type="dxa"/>
            <w:vAlign w:val="bottom"/>
          </w:tcPr>
          <w:p>
            <w:pPr>
              <w:spacing w:after="0"/>
              <w:rPr>
                <w:sz w:val="11"/>
                <w:szCs w:val="11"/>
                <w:color w:val="auto"/>
              </w:rPr>
            </w:pPr>
          </w:p>
        </w:tc>
        <w:tc>
          <w:tcPr>
            <w:tcW w:w="880" w:type="dxa"/>
            <w:vAlign w:val="bottom"/>
            <w:gridSpan w:val="3"/>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76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Redeemable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60" w:type="dxa"/>
            <w:vAlign w:val="bottom"/>
          </w:tcPr>
          <w:p>
            <w:pPr>
              <w:spacing w:after="0"/>
              <w:rPr>
                <w:sz w:val="11"/>
                <w:szCs w:val="11"/>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Dividends in</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2"/>
              </w:rPr>
              <w:t>Other</w:t>
            </w:r>
          </w:p>
        </w:tc>
        <w:tc>
          <w:tcPr>
            <w:tcW w:w="120" w:type="dxa"/>
            <w:vAlign w:val="bottom"/>
          </w:tcPr>
          <w:p>
            <w:pPr>
              <w:spacing w:after="0"/>
              <w:rPr>
                <w:sz w:val="11"/>
                <w:szCs w:val="11"/>
                <w:color w:val="auto"/>
              </w:rPr>
            </w:pPr>
          </w:p>
        </w:tc>
        <w:tc>
          <w:tcPr>
            <w:tcW w:w="7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Noncontrolling</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95"/>
              </w:rPr>
              <w:t>Preferred</w:t>
            </w:r>
          </w:p>
        </w:tc>
        <w:tc>
          <w:tcPr>
            <w:tcW w:w="140" w:type="dxa"/>
            <w:vAlign w:val="bottom"/>
          </w:tcPr>
          <w:p>
            <w:pPr>
              <w:spacing w:after="0"/>
              <w:rPr>
                <w:sz w:val="11"/>
                <w:szCs w:val="1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Common</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96"/>
              </w:rPr>
              <w:t>Common</w:t>
            </w:r>
          </w:p>
        </w:tc>
        <w:tc>
          <w:tcPr>
            <w:tcW w:w="140" w:type="dxa"/>
            <w:vAlign w:val="bottom"/>
          </w:tcPr>
          <w:p>
            <w:pPr>
              <w:spacing w:after="0"/>
              <w:rPr>
                <w:sz w:val="11"/>
                <w:szCs w:val="11"/>
                <w:color w:val="auto"/>
              </w:rPr>
            </w:pP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9"/>
              </w:rPr>
              <w:t>Paid-in</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7"/>
              </w:rPr>
              <w:t>Excess of</w:t>
            </w:r>
          </w:p>
        </w:tc>
        <w:tc>
          <w:tcPr>
            <w:tcW w:w="1020" w:type="dxa"/>
            <w:vAlign w:val="bottom"/>
            <w:gridSpan w:val="4"/>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840" w:type="dxa"/>
            <w:vAlign w:val="bottom"/>
            <w:gridSpan w:val="3"/>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5"/>
              </w:rPr>
              <w:t>Noncontrolling</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Interests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Stock</w:t>
            </w:r>
          </w:p>
        </w:tc>
        <w:tc>
          <w:tcPr>
            <w:tcW w:w="140" w:type="dxa"/>
            <w:vAlign w:val="bottom"/>
          </w:tcPr>
          <w:p>
            <w:pPr>
              <w:spacing w:after="0"/>
              <w:rPr>
                <w:sz w:val="11"/>
                <w:szCs w:val="1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Stock</w:t>
            </w:r>
          </w:p>
        </w:tc>
        <w:tc>
          <w:tcPr>
            <w:tcW w:w="140" w:type="dxa"/>
            <w:vAlign w:val="bottom"/>
          </w:tcPr>
          <w:p>
            <w:pPr>
              <w:spacing w:after="0"/>
              <w:rPr>
                <w:sz w:val="11"/>
                <w:szCs w:val="11"/>
                <w:color w:val="auto"/>
              </w:rPr>
            </w:pP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8"/>
              </w:rPr>
              <w:t>Earnings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6"/>
              </w:rPr>
              <w:t>Loss, Net</w:t>
            </w:r>
          </w:p>
        </w:tc>
        <w:tc>
          <w:tcPr>
            <w:tcW w:w="120" w:type="dxa"/>
            <w:vAlign w:val="bottom"/>
          </w:tcPr>
          <w:p>
            <w:pPr>
              <w:spacing w:after="0"/>
              <w:rPr>
                <w:sz w:val="11"/>
                <w:szCs w:val="11"/>
                <w:color w:val="auto"/>
              </w:rPr>
            </w:pPr>
          </w:p>
        </w:tc>
        <w:tc>
          <w:tcPr>
            <w:tcW w:w="7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7"/>
              </w:rPr>
              <w:t>Interests</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w w:val="97"/>
              </w:rPr>
              <w:t>Total Equity</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8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Balance as of December 31, 2022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1,514,679</w:t>
            </w:r>
          </w:p>
        </w:tc>
        <w:tc>
          <w:tcPr>
            <w:tcW w:w="60" w:type="dxa"/>
            <w:vAlign w:val="bottom"/>
            <w:shd w:val="clear" w:color="auto" w:fill="CCEEFF"/>
          </w:tcPr>
          <w:p>
            <w:pPr>
              <w:spacing w:after="0"/>
              <w:rPr>
                <w:sz w:val="11"/>
                <w:szCs w:val="11"/>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731,690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291,148,222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2,887</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$ 22,142,868</w:t>
            </w:r>
          </w:p>
        </w:tc>
        <w:tc>
          <w:tcPr>
            <w:tcW w:w="80" w:type="dxa"/>
            <w:vAlign w:val="bottom"/>
            <w:shd w:val="clear" w:color="auto" w:fill="CCEEFF"/>
          </w:tcPr>
          <w:p>
            <w:pPr>
              <w:spacing w:after="0"/>
              <w:rPr>
                <w:sz w:val="11"/>
                <w:szCs w:val="11"/>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(4,698,313)</w:t>
            </w:r>
          </w:p>
        </w:tc>
        <w:tc>
          <w:tcPr>
            <w:tcW w:w="26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b w:val="1"/>
                <w:bCs w:val="1"/>
                <w:color w:val="auto"/>
              </w:rPr>
              <w:t>(595,798)</w:t>
            </w:r>
          </w:p>
        </w:tc>
        <w:tc>
          <w:tcPr>
            <w:tcW w:w="1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524,131</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$ 18,107,465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1"/>
                <w:szCs w:val="11"/>
                <w:color w:val="auto"/>
              </w:rPr>
              <w:t>Conversion of common units to</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common stock</w:t>
            </w:r>
          </w:p>
        </w:tc>
        <w:tc>
          <w:tcPr>
            <w:tcW w:w="120" w:type="dxa"/>
            <w:vAlign w:val="bottom"/>
          </w:tcPr>
          <w:p>
            <w:pPr>
              <w:spacing w:after="0"/>
              <w:rPr>
                <w:sz w:val="11"/>
                <w:szCs w:val="11"/>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112,607</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8,232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(8,234)</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Vesting of restricted stock, net</w:t>
            </w: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265,671</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1"/>
                <w:szCs w:val="11"/>
                <w:color w:val="auto"/>
              </w:rPr>
              <w:t>Issuance of common stock, net of costs</w:t>
            </w:r>
          </w:p>
        </w:tc>
        <w:tc>
          <w:tcPr>
            <w:tcW w:w="120" w:type="dxa"/>
            <w:vAlign w:val="bottom"/>
          </w:tcPr>
          <w:p>
            <w:pPr>
              <w:spacing w:after="0"/>
              <w:rPr>
                <w:sz w:val="11"/>
                <w:szCs w:val="11"/>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19,957,541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2,207,061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2,207,259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Shares issued under equity plans, net of</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share settlement to satisfy tax</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withholding upon vesting</w:t>
            </w: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123,539</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(1,945)</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(1,944)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1"/>
                <w:szCs w:val="11"/>
                <w:color w:val="auto"/>
              </w:rPr>
              <w:t>Amortization of unearned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compensation regarding share-based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awards</w:t>
            </w:r>
          </w:p>
        </w:tc>
        <w:tc>
          <w:tcPr>
            <w:tcW w:w="120" w:type="dxa"/>
            <w:vAlign w:val="bottom"/>
          </w:tcPr>
          <w:p>
            <w:pPr>
              <w:spacing w:after="0"/>
              <w:rPr>
                <w:sz w:val="11"/>
                <w:szCs w:val="11"/>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88,518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88,518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Reclassification of vested share-based</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awards</w:t>
            </w: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(41,396)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41,396</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1"/>
                <w:szCs w:val="11"/>
                <w:color w:val="auto"/>
              </w:rPr>
              <w:t>Adjustment to redeemable</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noncontrolling interests</w:t>
            </w: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5,354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color w:val="auto"/>
              </w:rPr>
              <w:t>(5,354)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(5,354)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Dividends declared on preferred stock</w:t>
            </w: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(40,724)</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(40,724)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1"/>
                <w:szCs w:val="11"/>
                <w:color w:val="auto"/>
              </w:rPr>
              <w:t>Dividends and distributions on common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stock and common and incentive units</w:t>
            </w:r>
          </w:p>
        </w:tc>
        <w:tc>
          <w:tcPr>
            <w:tcW w:w="12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(760)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(1,472,449)</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(30,983)</w:t>
            </w: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(1,503,432)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Contributions from (distributions to)</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noncontrolling interests</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129</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4,345</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4,345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1"/>
                <w:szCs w:val="11"/>
                <w:color w:val="auto"/>
              </w:rPr>
              <w:t>Deconsolidation of noncontrolling</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interests in consolidated entities</w:t>
            </w:r>
          </w:p>
        </w:tc>
        <w:tc>
          <w:tcPr>
            <w:tcW w:w="120" w:type="dxa"/>
            <w:vAlign w:val="bottom"/>
          </w:tcPr>
          <w:p>
            <w:pPr>
              <w:spacing w:after="0"/>
              <w:rPr>
                <w:sz w:val="11"/>
                <w:szCs w:val="11"/>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(65,358)</w:t>
            </w: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(65,358)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 (loss)</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(17,618)</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948,838</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19,092</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967,930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1"/>
                <w:szCs w:val="11"/>
                <w:color w:val="auto"/>
              </w:rPr>
              <w:t>Other comprehensive income (loss)</w:t>
            </w:r>
          </w:p>
        </w:tc>
        <w:tc>
          <w:tcPr>
            <w:tcW w:w="12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(106,970)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color w:val="auto"/>
              </w:rPr>
              <w:t>(1,187)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(155,595)</w:t>
            </w:r>
          </w:p>
        </w:tc>
        <w:tc>
          <w:tcPr>
            <w:tcW w:w="12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(416)</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(157,198)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860" w:type="dxa"/>
            <w:vAlign w:val="bottom"/>
            <w:tcBorders>
              <w:top w:val="single" w:sz="8" w:color="CCEEFF"/>
              <w:bottom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Balance as of December 31, 2023</w:t>
            </w:r>
          </w:p>
        </w:tc>
        <w:tc>
          <w:tcPr>
            <w:tcW w:w="120" w:type="dxa"/>
            <w:vAlign w:val="bottom"/>
            <w:tcBorders>
              <w:top w:val="single" w:sz="8" w:color="auto"/>
              <w:bottom w:val="single" w:sz="8" w:color="auto"/>
            </w:tcBorders>
            <w:shd w:val="clear" w:color="auto" w:fill="CCEEFF"/>
          </w:tcPr>
          <w:p>
            <w:pPr>
              <w:ind w:left="20"/>
              <w:spacing w:after="0" w:line="124" w:lineRule="exact"/>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1,394,814</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731,690</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w w:val="94"/>
              </w:rPr>
              <w:t>311,607,580</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3,088</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$ 24,396,797</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(5,262,648)</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tcBorders>
              <w:top w:val="single" w:sz="8" w:color="auto"/>
              <w:bottom w:val="single" w:sz="8" w:color="auto"/>
            </w:tcBorders>
            <w:shd w:val="clear" w:color="auto" w:fill="CCEEFF"/>
          </w:tcPr>
          <w:p>
            <w:pPr>
              <w:ind w:left="180"/>
              <w:spacing w:after="0" w:line="124" w:lineRule="exact"/>
              <w:rPr>
                <w:sz w:val="20"/>
                <w:szCs w:val="20"/>
                <w:color w:val="auto"/>
              </w:rPr>
            </w:pPr>
            <w:r>
              <w:rPr>
                <w:rFonts w:ascii="Times New Roman" w:cs="Times New Roman" w:eastAsia="Times New Roman" w:hAnsi="Times New Roman"/>
                <w:sz w:val="11"/>
                <w:szCs w:val="11"/>
                <w:b w:val="1"/>
                <w:bCs w:val="1"/>
                <w:color w:val="auto"/>
                <w:w w:val="92"/>
              </w:rPr>
              <w:t>(751,393)</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483,973</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62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$ 19,601,507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the consolidated financial statements.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310515</wp:posOffset>
            </wp:positionV>
            <wp:extent cx="5632450" cy="152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3245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00" w:name="page101"/>
    <w:bookmarkEnd w:id="100"/>
    <w:p>
      <w:pPr>
        <w:ind w:left="6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6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EQUITY (continued)</w:t>
      </w: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p>
      <w:pPr>
        <w:spacing w:after="0" w:line="181" w:lineRule="exact"/>
        <w:rPr>
          <w:sz w:val="20"/>
          <w:szCs w:val="20"/>
          <w:color w:val="auto"/>
        </w:rPr>
      </w:pPr>
    </w:p>
    <w:tbl>
      <w:tblPr>
        <w:tblLayout w:type="fixed"/>
        <w:tblInd w:w="6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40" w:type="dxa"/>
            <w:vAlign w:val="bottom"/>
          </w:tcPr>
          <w:p>
            <w:pPr>
              <w:spacing w:after="0"/>
              <w:rPr>
                <w:sz w:val="11"/>
                <w:szCs w:val="11"/>
                <w:color w:val="auto"/>
              </w:rPr>
            </w:pPr>
          </w:p>
        </w:tc>
        <w:tc>
          <w:tcPr>
            <w:tcW w:w="880" w:type="dxa"/>
            <w:vAlign w:val="bottom"/>
            <w:gridSpan w:val="3"/>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Redeemable</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140" w:type="dxa"/>
            <w:vAlign w:val="bottom"/>
          </w:tcPr>
          <w:p>
            <w:pPr>
              <w:spacing w:after="0"/>
              <w:rPr>
                <w:sz w:val="11"/>
                <w:szCs w:val="11"/>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Dividends in</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2"/>
              </w:rPr>
              <w:t>Other</w:t>
            </w:r>
          </w:p>
        </w:tc>
        <w:tc>
          <w:tcPr>
            <w:tcW w:w="120" w:type="dxa"/>
            <w:vAlign w:val="bottom"/>
          </w:tcPr>
          <w:p>
            <w:pPr>
              <w:spacing w:after="0"/>
              <w:rPr>
                <w:sz w:val="11"/>
                <w:szCs w:val="11"/>
                <w:color w:val="auto"/>
              </w:rPr>
            </w:pPr>
          </w:p>
        </w:tc>
        <w:tc>
          <w:tcPr>
            <w:tcW w:w="56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w w:val="95"/>
              </w:rPr>
              <w:t>Noncontrolling</w:t>
            </w:r>
          </w:p>
        </w:tc>
        <w:tc>
          <w:tcPr>
            <w:tcW w:w="80" w:type="dxa"/>
            <w:vAlign w:val="bottom"/>
          </w:tcPr>
          <w:p>
            <w:pPr>
              <w:spacing w:after="0"/>
              <w:rPr>
                <w:sz w:val="11"/>
                <w:szCs w:val="1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95"/>
              </w:rPr>
              <w:t>Preferred</w:t>
            </w:r>
          </w:p>
        </w:tc>
        <w:tc>
          <w:tcPr>
            <w:tcW w:w="140" w:type="dxa"/>
            <w:vAlign w:val="bottom"/>
          </w:tcPr>
          <w:p>
            <w:pPr>
              <w:spacing w:after="0"/>
              <w:rPr>
                <w:sz w:val="11"/>
                <w:szCs w:val="1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Common</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96"/>
              </w:rPr>
              <w:t>Common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7"/>
              </w:rPr>
              <w:t>Excess of</w:t>
            </w:r>
          </w:p>
        </w:tc>
        <w:tc>
          <w:tcPr>
            <w:tcW w:w="1020" w:type="dxa"/>
            <w:vAlign w:val="bottom"/>
            <w:gridSpan w:val="4"/>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w w:val="93"/>
              </w:rPr>
              <w:t>Noncontrolling</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Interests</w:t>
            </w:r>
          </w:p>
        </w:tc>
        <w:tc>
          <w:tcPr>
            <w:tcW w:w="80" w:type="dxa"/>
            <w:vAlign w:val="bottom"/>
          </w:tcPr>
          <w:p>
            <w:pPr>
              <w:spacing w:after="0"/>
              <w:rPr>
                <w:sz w:val="11"/>
                <w:szCs w:val="11"/>
                <w:color w:val="auto"/>
              </w:rPr>
            </w:pPr>
          </w:p>
        </w:tc>
        <w:tc>
          <w:tcPr>
            <w:tcW w:w="56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Stock</w:t>
            </w:r>
          </w:p>
        </w:tc>
        <w:tc>
          <w:tcPr>
            <w:tcW w:w="140" w:type="dxa"/>
            <w:vAlign w:val="bottom"/>
          </w:tcPr>
          <w:p>
            <w:pPr>
              <w:spacing w:after="0"/>
              <w:rPr>
                <w:sz w:val="11"/>
                <w:szCs w:val="1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Stock</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8"/>
              </w:rPr>
              <w:t>Earnings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6"/>
              </w:rPr>
              <w:t>Loss, Net</w:t>
            </w:r>
          </w:p>
        </w:tc>
        <w:tc>
          <w:tcPr>
            <w:tcW w:w="120" w:type="dxa"/>
            <w:vAlign w:val="bottom"/>
          </w:tcPr>
          <w:p>
            <w:pPr>
              <w:spacing w:after="0"/>
              <w:rPr>
                <w:sz w:val="11"/>
                <w:szCs w:val="11"/>
                <w:color w:val="auto"/>
              </w:rPr>
            </w:pPr>
          </w:p>
        </w:tc>
        <w:tc>
          <w:tcPr>
            <w:tcW w:w="56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97"/>
              </w:rPr>
              <w:t>Interests</w:t>
            </w:r>
          </w:p>
        </w:tc>
        <w:tc>
          <w:tcPr>
            <w:tcW w:w="160" w:type="dxa"/>
            <w:vAlign w:val="bottom"/>
          </w:tcPr>
          <w:p>
            <w:pPr>
              <w:spacing w:after="0"/>
              <w:rPr>
                <w:sz w:val="11"/>
                <w:szCs w:val="11"/>
                <w:color w:val="auto"/>
              </w:rPr>
            </w:pP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Total Equity</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8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Balance as of December 31, 2023</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1,394,814</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731,690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311,607,580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3,088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24,396,797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(5,262,648)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(751,393)</w:t>
            </w:r>
          </w:p>
        </w:tc>
        <w:tc>
          <w:tcPr>
            <w:tcW w:w="1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483,973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19,601,507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1"/>
                <w:szCs w:val="11"/>
                <w:color w:val="auto"/>
              </w:rPr>
              <w:t>Conversion of common units to</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common stock</w:t>
            </w:r>
          </w:p>
        </w:tc>
        <w:tc>
          <w:tcPr>
            <w:tcW w:w="120" w:type="dxa"/>
            <w:vAlign w:val="bottom"/>
          </w:tcPr>
          <w:p>
            <w:pPr>
              <w:spacing w:after="0"/>
              <w:rPr>
                <w:sz w:val="11"/>
                <w:szCs w:val="11"/>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552,869</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39,573</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(39,573)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Vesting of restricted stock, net</w:t>
            </w: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217,478</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1"/>
                <w:szCs w:val="11"/>
                <w:color w:val="auto"/>
              </w:rPr>
              <w:t>Common stock offering costs</w:t>
            </w:r>
          </w:p>
        </w:tc>
        <w:tc>
          <w:tcPr>
            <w:tcW w:w="120" w:type="dxa"/>
            <w:vAlign w:val="bottom"/>
          </w:tcPr>
          <w:p>
            <w:pPr>
              <w:spacing w:after="0"/>
              <w:rPr>
                <w:sz w:val="11"/>
                <w:szCs w:val="11"/>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Issuance of common stock, net of costs</w:t>
            </w: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24,138,787</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249</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3,650,421</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3,650,771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1"/>
                <w:szCs w:val="11"/>
                <w:color w:val="auto"/>
              </w:rPr>
              <w:t>Shares issued under equity plans, net 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share settlement to satisfy tax</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withholding upon vesting</w:t>
            </w:r>
          </w:p>
        </w:tc>
        <w:tc>
          <w:tcPr>
            <w:tcW w:w="120" w:type="dxa"/>
            <w:vAlign w:val="bottom"/>
          </w:tcPr>
          <w:p>
            <w:pPr>
              <w:spacing w:after="0"/>
              <w:rPr>
                <w:sz w:val="11"/>
                <w:szCs w:val="11"/>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120,028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2,757</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2,757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Reclassification of vested share-based</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awards</w:t>
            </w: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(27,424)</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27,424</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1"/>
                <w:szCs w:val="11"/>
                <w:color w:val="auto"/>
              </w:rPr>
              <w:t>Amortization of unearned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compensation regarding share-based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awards</w:t>
            </w:r>
          </w:p>
        </w:tc>
        <w:tc>
          <w:tcPr>
            <w:tcW w:w="120" w:type="dxa"/>
            <w:vAlign w:val="bottom"/>
          </w:tcPr>
          <w:p>
            <w:pPr>
              <w:spacing w:after="0"/>
              <w:rPr>
                <w:sz w:val="11"/>
                <w:szCs w:val="11"/>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81,803</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81,803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Adjustment to redeemable</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noncontrolling interests</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98,601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(98,601)</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(98,601)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1"/>
                <w:szCs w:val="11"/>
                <w:color w:val="auto"/>
              </w:rPr>
              <w:t>Dividends declared on preferred stock</w:t>
            </w:r>
          </w:p>
        </w:tc>
        <w:tc>
          <w:tcPr>
            <w:tcW w:w="120" w:type="dxa"/>
            <w:vAlign w:val="bottom"/>
          </w:tcPr>
          <w:p>
            <w:pPr>
              <w:spacing w:after="0"/>
              <w:rPr>
                <w:sz w:val="11"/>
                <w:szCs w:val="11"/>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(40,724)</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(40,724)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Dividends and distributions on common</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stock and common and incentive units</w:t>
            </w: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(760)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(1,591,304)</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(31,132)</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(1,622,436)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1"/>
                <w:szCs w:val="11"/>
                <w:color w:val="auto"/>
              </w:rPr>
              <w:t>Sale of noncontrolling interest in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property to DCRU</w:t>
            </w:r>
          </w:p>
        </w:tc>
        <w:tc>
          <w:tcPr>
            <w:tcW w:w="120" w:type="dxa"/>
            <w:vAlign w:val="bottom"/>
          </w:tcPr>
          <w:p>
            <w:pPr>
              <w:spacing w:after="0"/>
              <w:rPr>
                <w:sz w:val="11"/>
                <w:szCs w:val="11"/>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32,319</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12,115</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44,434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Contributions from (distributions to)</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noncontrolling interests</w:t>
            </w: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(21,418)</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(21,418)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1"/>
                <w:szCs w:val="11"/>
                <w:color w:val="auto"/>
              </w:rPr>
              <w:t>Deconsolidation of consolidated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entities</w:t>
            </w:r>
          </w:p>
        </w:tc>
        <w:tc>
          <w:tcPr>
            <w:tcW w:w="120" w:type="dxa"/>
            <w:vAlign w:val="bottom"/>
          </w:tcPr>
          <w:p>
            <w:pPr>
              <w:spacing w:after="0"/>
              <w:rPr>
                <w:sz w:val="11"/>
                <w:szCs w:val="11"/>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(20,308)</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(20,308)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 (loss)</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(26,769)</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602,490</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12,606</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615,096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1"/>
                <w:szCs w:val="11"/>
                <w:color w:val="auto"/>
              </w:rPr>
              <w:t>Other comprehensive income (loss)</w:t>
            </w: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(32,701)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2,093</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(430,890)</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(21,489)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(450,286)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860" w:type="dxa"/>
            <w:vAlign w:val="bottom"/>
            <w:tcBorders>
              <w:top w:val="single" w:sz="8" w:color="CCEEFF"/>
              <w:bottom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Balance as of December 31, 2024</w:t>
            </w:r>
          </w:p>
        </w:tc>
        <w:tc>
          <w:tcPr>
            <w:tcW w:w="120" w:type="dxa"/>
            <w:vAlign w:val="bottom"/>
            <w:tcBorders>
              <w:top w:val="single" w:sz="8" w:color="auto"/>
              <w:bottom w:val="single" w:sz="8" w:color="auto"/>
            </w:tcBorders>
            <w:shd w:val="clear" w:color="auto" w:fill="CCEEFF"/>
          </w:tcPr>
          <w:p>
            <w:pPr>
              <w:jc w:val="right"/>
              <w:ind w:right="6"/>
              <w:spacing w:after="0" w:line="124"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1,433,185</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731,690</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w w:val="94"/>
              </w:rPr>
              <w:t>336,636,742</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3,337</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28,079,738</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(6,292,085)</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(1,182,283)</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402,198</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21,742,595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310515</wp:posOffset>
            </wp:positionV>
            <wp:extent cx="5632450" cy="152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3245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01" w:name="page102"/>
    <w:bookmarkEnd w:id="101"/>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68" w:lineRule="exact"/>
        <w:rPr>
          <w:sz w:val="20"/>
          <w:szCs w:val="20"/>
          <w:color w:val="auto"/>
        </w:rPr>
      </w:pPr>
    </w:p>
    <w:tbl>
      <w:tblPr>
        <w:tblLayout w:type="fixed"/>
        <w:tblInd w:w="320" w:type="dxa"/>
        <w:tblCellMar>
          <w:top w:w="0" w:type="dxa"/>
          <w:left w:w="0" w:type="dxa"/>
          <w:bottom w:w="0" w:type="dxa"/>
          <w:right w:w="0" w:type="dxa"/>
        </w:tblCellMar>
      </w:tblPr>
      <w:tr>
        <w:trPr>
          <w:trHeight w:val="195"/>
        </w:trPr>
        <w:tc>
          <w:tcPr>
            <w:tcW w:w="43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6"/>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00" w:type="dxa"/>
            <w:vAlign w:val="bottom"/>
            <w:tcBorders>
              <w:bottom w:val="single" w:sz="8" w:color="auto"/>
            </w:tcBorders>
          </w:tcPr>
          <w:p>
            <w:pPr>
              <w:spacing w:after="0"/>
              <w:rPr>
                <w:sz w:val="16"/>
                <w:szCs w:val="16"/>
                <w:color w:val="auto"/>
              </w:rPr>
            </w:pPr>
          </w:p>
        </w:tc>
      </w:tr>
      <w:tr>
        <w:trPr>
          <w:trHeight w:val="172"/>
        </w:trPr>
        <w:tc>
          <w:tcPr>
            <w:tcW w:w="43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22"/>
              <w:spacing w:after="0" w:line="172" w:lineRule="exact"/>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22"/>
              <w:spacing w:after="0" w:line="172" w:lineRule="exact"/>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42"/>
              <w:spacing w:after="0" w:line="172" w:lineRule="exact"/>
              <w:rPr>
                <w:sz w:val="20"/>
                <w:szCs w:val="20"/>
                <w:color w:val="auto"/>
              </w:rPr>
            </w:pPr>
            <w:r>
              <w:rPr>
                <w:rFonts w:ascii="Times New Roman" w:cs="Times New Roman" w:eastAsia="Times New Roman" w:hAnsi="Times New Roman"/>
                <w:sz w:val="16"/>
                <w:szCs w:val="16"/>
                <w:b w:val="1"/>
                <w:bCs w:val="1"/>
                <w:color w:val="auto"/>
              </w:rPr>
              <w:t>2022</w:t>
            </w:r>
          </w:p>
        </w:tc>
      </w:tr>
      <w:tr>
        <w:trPr>
          <w:trHeight w:val="172"/>
        </w:trPr>
        <w:tc>
          <w:tcPr>
            <w:tcW w:w="438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80"/>
        </w:trPr>
        <w:tc>
          <w:tcPr>
            <w:tcW w:w="43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588,327</w:t>
            </w:r>
          </w:p>
        </w:tc>
        <w:tc>
          <w:tcPr>
            <w:tcW w:w="220" w:type="dxa"/>
            <w:vAlign w:val="bottom"/>
          </w:tcPr>
          <w:p>
            <w:pPr>
              <w:spacing w:after="0"/>
              <w:rPr>
                <w:sz w:val="15"/>
                <w:szCs w:val="15"/>
                <w:color w:val="auto"/>
              </w:rPr>
            </w:pP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950,312</w:t>
            </w:r>
          </w:p>
        </w:tc>
        <w:tc>
          <w:tcPr>
            <w:tcW w:w="220" w:type="dxa"/>
            <w:vAlign w:val="bottom"/>
          </w:tcPr>
          <w:p>
            <w:pPr>
              <w:spacing w:after="0"/>
              <w:rPr>
                <w:sz w:val="15"/>
                <w:szCs w:val="15"/>
                <w:color w:val="auto"/>
              </w:rPr>
            </w:pPr>
          </w:p>
        </w:tc>
        <w:tc>
          <w:tcPr>
            <w:tcW w:w="2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380,325</w:t>
            </w:r>
          </w:p>
        </w:tc>
      </w:tr>
      <w:tr>
        <w:trPr>
          <w:trHeight w:val="165"/>
        </w:trPr>
        <w:tc>
          <w:tcPr>
            <w:tcW w:w="438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Adjustments to reconcile net income to net cash provided by</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95"/>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80"/>
        </w:trPr>
        <w:tc>
          <w:tcPr>
            <w:tcW w:w="43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Gain on disposition of properties, net</w:t>
            </w:r>
          </w:p>
        </w:tc>
        <w:tc>
          <w:tcPr>
            <w:tcW w:w="28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(595,825)</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(900,531)</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(176,754)</w:t>
            </w:r>
          </w:p>
        </w:tc>
      </w:tr>
      <w:tr>
        <w:trPr>
          <w:trHeight w:val="180"/>
        </w:trPr>
        <w:tc>
          <w:tcPr>
            <w:tcW w:w="43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Provision for impairment</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191,184</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118,363</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3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Equity in loss of unconsolidated entities</w:t>
            </w:r>
          </w:p>
        </w:tc>
        <w:tc>
          <w:tcPr>
            <w:tcW w:w="28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120,138</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29,791</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13,497</w:t>
            </w:r>
          </w:p>
        </w:tc>
      </w:tr>
      <w:tr>
        <w:trPr>
          <w:trHeight w:val="180"/>
        </w:trPr>
        <w:tc>
          <w:tcPr>
            <w:tcW w:w="43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Distributions from unconsolidated entities</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78,269</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73,518</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42,376</w:t>
            </w:r>
          </w:p>
        </w:tc>
      </w:tr>
      <w:tr>
        <w:trPr>
          <w:trHeight w:val="180"/>
        </w:trPr>
        <w:tc>
          <w:tcPr>
            <w:tcW w:w="43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1,771,797</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1,694,859</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1,577,933</w:t>
            </w:r>
          </w:p>
        </w:tc>
      </w:tr>
      <w:tr>
        <w:trPr>
          <w:trHeight w:val="180"/>
        </w:trPr>
        <w:tc>
          <w:tcPr>
            <w:tcW w:w="43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Amortization of share-based compensation</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75,606</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80,532</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92,461</w:t>
            </w:r>
          </w:p>
        </w:tc>
      </w:tr>
      <w:tr>
        <w:trPr>
          <w:trHeight w:val="180"/>
        </w:trPr>
        <w:tc>
          <w:tcPr>
            <w:tcW w:w="43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Loss on debt extinguishment and modifications</w:t>
            </w:r>
          </w:p>
        </w:tc>
        <w:tc>
          <w:tcPr>
            <w:tcW w:w="28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5,871</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51,135</w:t>
            </w:r>
          </w:p>
        </w:tc>
      </w:tr>
      <w:tr>
        <w:trPr>
          <w:trHeight w:val="167"/>
        </w:trPr>
        <w:tc>
          <w:tcPr>
            <w:tcW w:w="438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Straight-lined rents and amortization of above and below market</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93"/>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leases</w:t>
            </w:r>
          </w:p>
        </w:tc>
        <w:tc>
          <w:tcPr>
            <w:tcW w:w="2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(56,465)</w:t>
            </w: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(50,931)</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(64,954)</w:t>
            </w:r>
          </w:p>
        </w:tc>
      </w:tr>
      <w:tr>
        <w:trPr>
          <w:trHeight w:val="167"/>
        </w:trPr>
        <w:tc>
          <w:tcPr>
            <w:tcW w:w="438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Amortization of deferred financing costs and debt discount /</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93"/>
        </w:trPr>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premium</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28,666</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26,834</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18,848</w:t>
            </w:r>
          </w:p>
        </w:tc>
      </w:tr>
      <w:tr>
        <w:trPr>
          <w:trHeight w:val="180"/>
        </w:trPr>
        <w:tc>
          <w:tcPr>
            <w:tcW w:w="43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Other operating activities, net</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29,237</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(8,216)</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(45,141)</w:t>
            </w:r>
          </w:p>
        </w:tc>
      </w:tr>
      <w:tr>
        <w:trPr>
          <w:trHeight w:val="180"/>
        </w:trPr>
        <w:tc>
          <w:tcPr>
            <w:tcW w:w="438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Changes in assets and liabilities:</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0"/>
        </w:trPr>
        <w:tc>
          <w:tcPr>
            <w:tcW w:w="43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Increase in accounts receivable and other assets</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(342,061)</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(155,317)</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(272,452)</w:t>
            </w:r>
          </w:p>
        </w:tc>
      </w:tr>
      <w:tr>
        <w:trPr>
          <w:trHeight w:val="180"/>
        </w:trPr>
        <w:tc>
          <w:tcPr>
            <w:tcW w:w="438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Increase (decrease) in accounts payable and other liabilities</w:t>
            </w: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366,733</w:t>
            </w:r>
          </w:p>
        </w:tc>
        <w:tc>
          <w:tcPr>
            <w:tcW w:w="2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(224,434)</w:t>
            </w:r>
          </w:p>
        </w:tc>
        <w:tc>
          <w:tcPr>
            <w:tcW w:w="2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42,114</w:t>
            </w:r>
          </w:p>
        </w:tc>
      </w:tr>
      <w:tr>
        <w:trPr>
          <w:trHeight w:val="172"/>
        </w:trPr>
        <w:tc>
          <w:tcPr>
            <w:tcW w:w="438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2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2,261,477</w:t>
            </w:r>
          </w:p>
        </w:tc>
        <w:tc>
          <w:tcPr>
            <w:tcW w:w="2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1,634,780</w:t>
            </w:r>
          </w:p>
        </w:tc>
        <w:tc>
          <w:tcPr>
            <w:tcW w:w="2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1,659,388</w:t>
            </w:r>
          </w:p>
        </w:tc>
      </w:tr>
      <w:tr>
        <w:trPr>
          <w:trHeight w:val="172"/>
        </w:trPr>
        <w:tc>
          <w:tcPr>
            <w:tcW w:w="4380" w:type="dxa"/>
            <w:vAlign w:val="bottom"/>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80"/>
        </w:trPr>
        <w:tc>
          <w:tcPr>
            <w:tcW w:w="43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Improvements to investments in real estate</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(2,831,740)</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(3,525,598)</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(2,643,097)</w:t>
            </w:r>
          </w:p>
        </w:tc>
      </w:tr>
      <w:tr>
        <w:trPr>
          <w:trHeight w:val="167"/>
        </w:trPr>
        <w:tc>
          <w:tcPr>
            <w:tcW w:w="438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Cash paid for business combination / asset acquisitions, net of</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93"/>
        </w:trPr>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cash acquired</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(508,001)</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(52,297)</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(1,930,178)</w:t>
            </w:r>
          </w:p>
        </w:tc>
      </w:tr>
      <w:tr>
        <w:trPr>
          <w:trHeight w:val="180"/>
        </w:trPr>
        <w:tc>
          <w:tcPr>
            <w:tcW w:w="43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Investments in and advances to unconsolidated entities</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(315,623)</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(336,456)</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(299,427)</w:t>
            </w:r>
          </w:p>
        </w:tc>
      </w:tr>
      <w:tr>
        <w:trPr>
          <w:trHeight w:val="180"/>
        </w:trPr>
        <w:tc>
          <w:tcPr>
            <w:tcW w:w="43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Return of investment from unconsolidated entities</w:t>
            </w:r>
          </w:p>
        </w:tc>
        <w:tc>
          <w:tcPr>
            <w:tcW w:w="28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99,864</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241,984</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3,332</w:t>
            </w:r>
          </w:p>
        </w:tc>
      </w:tr>
      <w:tr>
        <w:trPr>
          <w:trHeight w:val="180"/>
        </w:trPr>
        <w:tc>
          <w:tcPr>
            <w:tcW w:w="43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Proceeds from sale of assets</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1,764,835</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2,619,778</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271,567</w:t>
            </w:r>
          </w:p>
        </w:tc>
      </w:tr>
      <w:tr>
        <w:trPr>
          <w:trHeight w:val="180"/>
        </w:trPr>
        <w:tc>
          <w:tcPr>
            <w:tcW w:w="43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investing activities, net</w:t>
            </w:r>
          </w:p>
        </w:tc>
        <w:tc>
          <w:tcPr>
            <w:tcW w:w="28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(115,492)</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(62,522)</w:t>
            </w:r>
          </w:p>
        </w:tc>
        <w:tc>
          <w:tcPr>
            <w:tcW w:w="24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(101,600)</w:t>
            </w:r>
          </w:p>
        </w:tc>
      </w:tr>
      <w:tr>
        <w:trPr>
          <w:trHeight w:val="172"/>
        </w:trPr>
        <w:tc>
          <w:tcPr>
            <w:tcW w:w="4380" w:type="dxa"/>
            <w:vAlign w:val="bottom"/>
            <w:tcBorders>
              <w:top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(1,906,157)</w:t>
            </w:r>
          </w:p>
        </w:tc>
        <w:tc>
          <w:tcPr>
            <w:tcW w:w="2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(1,115,111)</w:t>
            </w:r>
          </w:p>
        </w:tc>
        <w:tc>
          <w:tcPr>
            <w:tcW w:w="2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(4,699,403)</w:t>
            </w:r>
          </w:p>
        </w:tc>
      </w:tr>
      <w:tr>
        <w:trPr>
          <w:trHeight w:val="172"/>
        </w:trPr>
        <w:tc>
          <w:tcPr>
            <w:tcW w:w="4380" w:type="dxa"/>
            <w:vAlign w:val="bottom"/>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80"/>
        </w:trPr>
        <w:tc>
          <w:tcPr>
            <w:tcW w:w="43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Proceeds from credit facilities</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1,636,351</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2,870,841</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5,510,267</w:t>
            </w:r>
          </w:p>
        </w:tc>
      </w:tr>
      <w:tr>
        <w:trPr>
          <w:trHeight w:val="180"/>
        </w:trPr>
        <w:tc>
          <w:tcPr>
            <w:tcW w:w="43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Payments on credit facilities</w:t>
            </w:r>
          </w:p>
        </w:tc>
        <w:tc>
          <w:tcPr>
            <w:tcW w:w="28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(1,715,044)</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(3,293,644)</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(3,820,086)</w:t>
            </w:r>
          </w:p>
        </w:tc>
      </w:tr>
      <w:tr>
        <w:trPr>
          <w:trHeight w:val="180"/>
        </w:trPr>
        <w:tc>
          <w:tcPr>
            <w:tcW w:w="43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Borrowings on secured / unsecured debt</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2,234,999</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869,132</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2,791,027</w:t>
            </w:r>
          </w:p>
        </w:tc>
      </w:tr>
      <w:tr>
        <w:trPr>
          <w:trHeight w:val="180"/>
        </w:trPr>
        <w:tc>
          <w:tcPr>
            <w:tcW w:w="43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Repayments on secured / unsecured debt</w:t>
            </w:r>
          </w:p>
        </w:tc>
        <w:tc>
          <w:tcPr>
            <w:tcW w:w="28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(2,119,007)</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(111,979)</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(1,036,577)</w:t>
            </w:r>
          </w:p>
        </w:tc>
      </w:tr>
      <w:tr>
        <w:trPr>
          <w:trHeight w:val="167"/>
        </w:trPr>
        <w:tc>
          <w:tcPr>
            <w:tcW w:w="438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Capital (distribution to) contributions from noncontrolling</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93"/>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interests, net</w:t>
            </w:r>
          </w:p>
        </w:tc>
        <w:tc>
          <w:tcPr>
            <w:tcW w:w="2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(21,418)</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4,474</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44,312</w:t>
            </w:r>
          </w:p>
        </w:tc>
      </w:tr>
      <w:tr>
        <w:trPr>
          <w:trHeight w:val="180"/>
        </w:trPr>
        <w:tc>
          <w:tcPr>
            <w:tcW w:w="43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Proceeds from issuance of common stock, net</w:t>
            </w:r>
          </w:p>
        </w:tc>
        <w:tc>
          <w:tcPr>
            <w:tcW w:w="28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3,650,771</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2,207,259</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928,432</w:t>
            </w:r>
          </w:p>
        </w:tc>
      </w:tr>
      <w:tr>
        <w:trPr>
          <w:trHeight w:val="180"/>
        </w:trPr>
        <w:tc>
          <w:tcPr>
            <w:tcW w:w="43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Payments of dividends and distributions</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(1,633,247)</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(1,520,644)</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(1,450,637)</w:t>
            </w:r>
          </w:p>
        </w:tc>
      </w:tr>
      <w:tr>
        <w:trPr>
          <w:trHeight w:val="180"/>
        </w:trPr>
        <w:tc>
          <w:tcPr>
            <w:tcW w:w="43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financing activities, net</w:t>
            </w:r>
          </w:p>
        </w:tc>
        <w:tc>
          <w:tcPr>
            <w:tcW w:w="28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30,028</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(61,965)</w:t>
            </w:r>
          </w:p>
        </w:tc>
        <w:tc>
          <w:tcPr>
            <w:tcW w:w="24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52,073</w:t>
            </w:r>
          </w:p>
        </w:tc>
      </w:tr>
      <w:tr>
        <w:trPr>
          <w:trHeight w:val="172"/>
        </w:trPr>
        <w:tc>
          <w:tcPr>
            <w:tcW w:w="4380" w:type="dxa"/>
            <w:vAlign w:val="bottom"/>
            <w:tcBorders>
              <w:top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2,063,433</w:t>
            </w:r>
          </w:p>
        </w:tc>
        <w:tc>
          <w:tcPr>
            <w:tcW w:w="2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963,474</w:t>
            </w:r>
          </w:p>
        </w:tc>
        <w:tc>
          <w:tcPr>
            <w:tcW w:w="2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2,969,149</w:t>
            </w:r>
          </w:p>
        </w:tc>
      </w:tr>
      <w:tr>
        <w:trPr>
          <w:trHeight w:val="172"/>
        </w:trPr>
        <w:tc>
          <w:tcPr>
            <w:tcW w:w="438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280" w:type="dxa"/>
            <w:vAlign w:val="bottom"/>
          </w:tcPr>
          <w:p>
            <w:pPr>
              <w:spacing w:after="0"/>
              <w:rPr>
                <w:sz w:val="14"/>
                <w:szCs w:val="14"/>
                <w:color w:val="auto"/>
              </w:rPr>
            </w:pPr>
          </w:p>
        </w:tc>
        <w:tc>
          <w:tcPr>
            <w:tcW w:w="102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2,418,753</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1,483,143</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(70,866)</w:t>
            </w:r>
          </w:p>
        </w:tc>
      </w:tr>
      <w:tr>
        <w:trPr>
          <w:trHeight w:val="167"/>
        </w:trPr>
        <w:tc>
          <w:tcPr>
            <w:tcW w:w="438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Effect of exchange rate changes on cash, cash equivalents and</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93"/>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(178,523)</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2,631</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70,077</w:t>
            </w:r>
          </w:p>
        </w:tc>
      </w:tr>
      <w:tr>
        <w:trPr>
          <w:trHeight w:val="180"/>
        </w:trPr>
        <w:tc>
          <w:tcPr>
            <w:tcW w:w="438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1,636,470</w:t>
            </w:r>
          </w:p>
        </w:tc>
        <w:tc>
          <w:tcPr>
            <w:tcW w:w="2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150,696</w:t>
            </w:r>
          </w:p>
        </w:tc>
        <w:tc>
          <w:tcPr>
            <w:tcW w:w="2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151,485</w:t>
            </w:r>
          </w:p>
        </w:tc>
      </w:tr>
      <w:tr>
        <w:trPr>
          <w:trHeight w:val="172"/>
        </w:trPr>
        <w:tc>
          <w:tcPr>
            <w:tcW w:w="4380" w:type="dxa"/>
            <w:vAlign w:val="bottom"/>
            <w:tcBorders>
              <w:bottom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280" w:type="dxa"/>
            <w:vAlign w:val="bottom"/>
            <w:tcBorders>
              <w:bottom w:val="single" w:sz="8" w:color="auto"/>
            </w:tcBorders>
            <w:shd w:val="clear" w:color="auto" w:fill="CCEEFF"/>
          </w:tcPr>
          <w:p>
            <w:pPr>
              <w:jc w:val="right"/>
              <w:ind w:right="12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3,876,700</w:t>
            </w:r>
          </w:p>
        </w:tc>
        <w:tc>
          <w:tcPr>
            <w:tcW w:w="2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1,636,470</w:t>
            </w:r>
          </w:p>
        </w:tc>
        <w:tc>
          <w:tcPr>
            <w:tcW w:w="2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8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150,696</w:t>
            </w:r>
          </w:p>
        </w:tc>
      </w:tr>
      <w:tr>
        <w:trPr>
          <w:trHeight w:val="20"/>
        </w:trPr>
        <w:tc>
          <w:tcPr>
            <w:tcW w:w="4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color w:val="auto"/>
        </w:rPr>
        <w:t>See accompanying notes to the consolidated financial statements.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02" w:name="page103"/>
    <w:bookmarkEnd w:id="102"/>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per unit data)</w:t>
      </w:r>
    </w:p>
    <w:p>
      <w:pPr>
        <w:spacing w:after="0" w:line="164"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5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195"/>
        </w:trPr>
        <w:tc>
          <w:tcPr>
            <w:tcW w:w="50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72"/>
        </w:trPr>
        <w:tc>
          <w:tcPr>
            <w:tcW w:w="508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180"/>
        </w:trPr>
        <w:tc>
          <w:tcPr>
            <w:tcW w:w="50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Investments in real estate:</w:t>
            </w: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0"/>
        </w:trPr>
        <w:tc>
          <w:tcPr>
            <w:tcW w:w="50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Investments in properties, net</w:t>
            </w:r>
          </w:p>
        </w:tc>
        <w:tc>
          <w:tcPr>
            <w:tcW w:w="180" w:type="dxa"/>
            <w:vAlign w:val="bottom"/>
            <w:shd w:val="clear" w:color="auto" w:fill="CCEEFF"/>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24,120,782</w:t>
            </w:r>
          </w:p>
        </w:tc>
        <w:tc>
          <w:tcPr>
            <w:tcW w:w="460" w:type="dxa"/>
            <w:vAlign w:val="bottom"/>
            <w:gridSpan w:val="2"/>
            <w:shd w:val="clear" w:color="auto" w:fill="CCEEFF"/>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24,236,088</w:t>
            </w:r>
          </w:p>
        </w:tc>
      </w:tr>
      <w:tr>
        <w:trPr>
          <w:trHeight w:val="180"/>
        </w:trPr>
        <w:tc>
          <w:tcPr>
            <w:tcW w:w="508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Investments in unconsolidated entities</w:t>
            </w: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2,639,800</w:t>
            </w:r>
          </w:p>
        </w:tc>
        <w:tc>
          <w:tcPr>
            <w:tcW w:w="2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2,295,889</w:t>
            </w:r>
          </w:p>
        </w:tc>
      </w:tr>
      <w:tr>
        <w:trPr>
          <w:trHeight w:val="172"/>
        </w:trPr>
        <w:tc>
          <w:tcPr>
            <w:tcW w:w="5080" w:type="dxa"/>
            <w:vAlign w:val="bottom"/>
            <w:shd w:val="clear" w:color="auto" w:fill="CCEEFF"/>
          </w:tcPr>
          <w:p>
            <w:pPr>
              <w:ind w:left="200"/>
              <w:spacing w:after="0" w:line="172" w:lineRule="exact"/>
              <w:rPr>
                <w:sz w:val="20"/>
                <w:szCs w:val="20"/>
                <w:color w:val="auto"/>
              </w:rPr>
            </w:pPr>
            <w:r>
              <w:rPr>
                <w:rFonts w:ascii="Times New Roman" w:cs="Times New Roman" w:eastAsia="Times New Roman" w:hAnsi="Times New Roman"/>
                <w:sz w:val="16"/>
                <w:szCs w:val="16"/>
                <w:color w:val="auto"/>
              </w:rPr>
              <w:t>Net investments in real estate</w:t>
            </w: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26,760,582</w:t>
            </w: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26,531,977</w:t>
            </w:r>
          </w:p>
        </w:tc>
      </w:tr>
      <w:tr>
        <w:trPr>
          <w:trHeight w:val="180"/>
        </w:trPr>
        <w:tc>
          <w:tcPr>
            <w:tcW w:w="50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Operating lease right-of-use assets, net</w:t>
            </w:r>
          </w:p>
        </w:tc>
        <w:tc>
          <w:tcPr>
            <w:tcW w:w="18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1,178,853</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1,414,256</w:t>
            </w:r>
          </w:p>
        </w:tc>
      </w:tr>
      <w:tr>
        <w:trPr>
          <w:trHeight w:val="180"/>
        </w:trPr>
        <w:tc>
          <w:tcPr>
            <w:tcW w:w="50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3,870,891</w:t>
            </w: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1,625,495</w:t>
            </w:r>
          </w:p>
        </w:tc>
      </w:tr>
      <w:tr>
        <w:trPr>
          <w:trHeight w:val="180"/>
        </w:trPr>
        <w:tc>
          <w:tcPr>
            <w:tcW w:w="50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Accounts and other receivables, net</w:t>
            </w:r>
          </w:p>
        </w:tc>
        <w:tc>
          <w:tcPr>
            <w:tcW w:w="18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1,257,464</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1,278,110</w:t>
            </w:r>
          </w:p>
        </w:tc>
      </w:tr>
      <w:tr>
        <w:trPr>
          <w:trHeight w:val="180"/>
        </w:trPr>
        <w:tc>
          <w:tcPr>
            <w:tcW w:w="50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Deferred rent, net</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642,456</w:t>
            </w: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624,427</w:t>
            </w:r>
          </w:p>
        </w:tc>
      </w:tr>
      <w:tr>
        <w:trPr>
          <w:trHeight w:val="180"/>
        </w:trPr>
        <w:tc>
          <w:tcPr>
            <w:tcW w:w="50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Goodwill</w:t>
            </w:r>
          </w:p>
        </w:tc>
        <w:tc>
          <w:tcPr>
            <w:tcW w:w="18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8,929,431</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9,239,871</w:t>
            </w:r>
          </w:p>
        </w:tc>
      </w:tr>
      <w:tr>
        <w:trPr>
          <w:trHeight w:val="167"/>
        </w:trPr>
        <w:tc>
          <w:tcPr>
            <w:tcW w:w="508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Customer relationship value, deferred leasing costs and other intangibles,</w:t>
            </w: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193"/>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w:t>
            </w: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2,178,054</w:t>
            </w: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2,500,237</w:t>
            </w:r>
          </w:p>
        </w:tc>
      </w:tr>
      <w:tr>
        <w:trPr>
          <w:trHeight w:val="180"/>
        </w:trPr>
        <w:tc>
          <w:tcPr>
            <w:tcW w:w="50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Assets held for sale</w:t>
            </w:r>
          </w:p>
        </w:tc>
        <w:tc>
          <w:tcPr>
            <w:tcW w:w="18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478,503</w:t>
            </w:r>
          </w:p>
        </w:tc>
      </w:tr>
      <w:tr>
        <w:trPr>
          <w:trHeight w:val="180"/>
        </w:trPr>
        <w:tc>
          <w:tcPr>
            <w:tcW w:w="50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465,885</w:t>
            </w:r>
          </w:p>
        </w:tc>
        <w:tc>
          <w:tcPr>
            <w:tcW w:w="2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420,382</w:t>
            </w:r>
          </w:p>
        </w:tc>
      </w:tr>
      <w:tr>
        <w:trPr>
          <w:trHeight w:val="212"/>
        </w:trPr>
        <w:tc>
          <w:tcPr>
            <w:tcW w:w="5080" w:type="dxa"/>
            <w:vAlign w:val="bottom"/>
            <w:tcBorders>
              <w:bottom w:val="single" w:sz="8" w:color="CCEEFF"/>
            </w:tcBorders>
          </w:tcPr>
          <w:p>
            <w:pPr>
              <w:spacing w:after="0" w:line="172" w:lineRule="exact"/>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tcPr>
          <w:p>
            <w:pPr>
              <w:jc w:val="right"/>
              <w:ind w:right="2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45,283,616</w:t>
            </w:r>
          </w:p>
        </w:tc>
        <w:tc>
          <w:tcPr>
            <w:tcW w:w="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2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44,113,258</w:t>
            </w:r>
          </w:p>
        </w:tc>
      </w:tr>
      <w:tr>
        <w:trPr>
          <w:trHeight w:val="156"/>
        </w:trPr>
        <w:tc>
          <w:tcPr>
            <w:tcW w:w="508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LIABILITIES AND CAPITAL</w:t>
            </w:r>
          </w:p>
        </w:tc>
        <w:tc>
          <w:tcPr>
            <w:tcW w:w="1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r>
      <w:tr>
        <w:trPr>
          <w:trHeight w:val="180"/>
        </w:trPr>
        <w:tc>
          <w:tcPr>
            <w:tcW w:w="50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Global revolving credit facilities, net</w:t>
            </w:r>
          </w:p>
        </w:tc>
        <w:tc>
          <w:tcPr>
            <w:tcW w:w="1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1,611,308</w:t>
            </w:r>
          </w:p>
        </w:tc>
        <w:tc>
          <w:tcPr>
            <w:tcW w:w="460" w:type="dxa"/>
            <w:vAlign w:val="bottom"/>
            <w:gridSpan w:val="2"/>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1,812,287</w:t>
            </w:r>
          </w:p>
        </w:tc>
      </w:tr>
      <w:tr>
        <w:trPr>
          <w:trHeight w:val="180"/>
        </w:trPr>
        <w:tc>
          <w:tcPr>
            <w:tcW w:w="50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Unsecured term loans, net</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386,903</w:t>
            </w: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1,560,305</w:t>
            </w:r>
          </w:p>
        </w:tc>
      </w:tr>
      <w:tr>
        <w:trPr>
          <w:trHeight w:val="180"/>
        </w:trPr>
        <w:tc>
          <w:tcPr>
            <w:tcW w:w="50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Unsecured senior notes, net of discount</w:t>
            </w:r>
          </w:p>
        </w:tc>
        <w:tc>
          <w:tcPr>
            <w:tcW w:w="18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13,962,852</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13,422,342</w:t>
            </w:r>
          </w:p>
        </w:tc>
      </w:tr>
      <w:tr>
        <w:trPr>
          <w:trHeight w:val="180"/>
        </w:trPr>
        <w:tc>
          <w:tcPr>
            <w:tcW w:w="50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Secured and other debt, net of discount</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753,314</w:t>
            </w: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630,973</w:t>
            </w:r>
          </w:p>
        </w:tc>
      </w:tr>
      <w:tr>
        <w:trPr>
          <w:trHeight w:val="180"/>
        </w:trPr>
        <w:tc>
          <w:tcPr>
            <w:tcW w:w="50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Operating lease liabilities</w:t>
            </w:r>
          </w:p>
        </w:tc>
        <w:tc>
          <w:tcPr>
            <w:tcW w:w="18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1,294,219</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1,542,094</w:t>
            </w:r>
          </w:p>
        </w:tc>
      </w:tr>
      <w:tr>
        <w:trPr>
          <w:trHeight w:val="180"/>
        </w:trPr>
        <w:tc>
          <w:tcPr>
            <w:tcW w:w="50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Accounts payable and other accrued liabilities</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2,056,215</w:t>
            </w: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2,168,984</w:t>
            </w:r>
          </w:p>
        </w:tc>
      </w:tr>
      <w:tr>
        <w:trPr>
          <w:trHeight w:val="180"/>
        </w:trPr>
        <w:tc>
          <w:tcPr>
            <w:tcW w:w="50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Deferred tax liabilities</w:t>
            </w:r>
          </w:p>
        </w:tc>
        <w:tc>
          <w:tcPr>
            <w:tcW w:w="18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1,084,562</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1,151,096</w:t>
            </w:r>
          </w:p>
        </w:tc>
      </w:tr>
      <w:tr>
        <w:trPr>
          <w:trHeight w:val="180"/>
        </w:trPr>
        <w:tc>
          <w:tcPr>
            <w:tcW w:w="50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Accrued dividends and distributions</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418,661</w:t>
            </w: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387,988</w:t>
            </w:r>
          </w:p>
        </w:tc>
      </w:tr>
      <w:tr>
        <w:trPr>
          <w:trHeight w:val="180"/>
        </w:trPr>
        <w:tc>
          <w:tcPr>
            <w:tcW w:w="50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Security deposits and prepaid rents</w:t>
            </w:r>
          </w:p>
        </w:tc>
        <w:tc>
          <w:tcPr>
            <w:tcW w:w="18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539,802</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401,867</w:t>
            </w:r>
          </w:p>
        </w:tc>
      </w:tr>
      <w:tr>
        <w:trPr>
          <w:trHeight w:val="180"/>
        </w:trPr>
        <w:tc>
          <w:tcPr>
            <w:tcW w:w="50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Obligations associated with assets held for sale</w:t>
            </w:r>
          </w:p>
        </w:tc>
        <w:tc>
          <w:tcPr>
            <w:tcW w:w="18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39,001</w:t>
            </w:r>
          </w:p>
        </w:tc>
      </w:tr>
      <w:tr>
        <w:trPr>
          <w:trHeight w:val="172"/>
        </w:trPr>
        <w:tc>
          <w:tcPr>
            <w:tcW w:w="5080" w:type="dxa"/>
            <w:vAlign w:val="bottom"/>
            <w:tcBorders>
              <w:bottom w:val="single" w:sz="8" w:color="CCEEFF"/>
            </w:tcBorders>
          </w:tcPr>
          <w:p>
            <w:pPr>
              <w:spacing w:after="0" w:line="172" w:lineRule="exact"/>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22,107,836</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23,116,937</w:t>
            </w:r>
          </w:p>
        </w:tc>
      </w:tr>
      <w:tr>
        <w:trPr>
          <w:trHeight w:val="172"/>
        </w:trPr>
        <w:tc>
          <w:tcPr>
            <w:tcW w:w="50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180"/>
        </w:trPr>
        <w:tc>
          <w:tcPr>
            <w:tcW w:w="50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Redeemable noncontrolling interests</w:t>
            </w:r>
          </w:p>
        </w:tc>
        <w:tc>
          <w:tcPr>
            <w:tcW w:w="18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1,433,185</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1,394,814</w:t>
            </w:r>
          </w:p>
        </w:tc>
      </w:tr>
      <w:tr>
        <w:trPr>
          <w:trHeight w:val="180"/>
        </w:trPr>
        <w:tc>
          <w:tcPr>
            <w:tcW w:w="50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Commitments and contingencies</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80"/>
        </w:trPr>
        <w:tc>
          <w:tcPr>
            <w:tcW w:w="50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Capital:</w:t>
            </w: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0"/>
        </w:trPr>
        <w:tc>
          <w:tcPr>
            <w:tcW w:w="508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Partners’ capital:</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80"/>
        </w:trPr>
        <w:tc>
          <w:tcPr>
            <w:tcW w:w="508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General Partner:</w:t>
            </w: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67"/>
        </w:trPr>
        <w:tc>
          <w:tcPr>
            <w:tcW w:w="5080" w:type="dxa"/>
            <w:vAlign w:val="bottom"/>
            <w:shd w:val="clear" w:color="auto" w:fill="CCEEFF"/>
          </w:tcPr>
          <w:p>
            <w:pPr>
              <w:ind w:left="200"/>
              <w:spacing w:after="0" w:line="167" w:lineRule="exact"/>
              <w:rPr>
                <w:sz w:val="20"/>
                <w:szCs w:val="20"/>
                <w:color w:val="auto"/>
              </w:rPr>
            </w:pPr>
            <w:r>
              <w:rPr>
                <w:rFonts w:ascii="Times New Roman" w:cs="Times New Roman" w:eastAsia="Times New Roman" w:hAnsi="Times New Roman"/>
                <w:sz w:val="16"/>
                <w:szCs w:val="16"/>
                <w:color w:val="auto"/>
              </w:rPr>
              <w:t>Preferred units, $755,000 liquidation preference ($25.00 per unit), 30,200</w:t>
            </w: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180"/>
        </w:trPr>
        <w:tc>
          <w:tcPr>
            <w:tcW w:w="5080" w:type="dxa"/>
            <w:vAlign w:val="bottom"/>
            <w:shd w:val="clear" w:color="auto" w:fill="CCEEFF"/>
          </w:tcPr>
          <w:p>
            <w:pPr>
              <w:ind w:left="200"/>
              <w:spacing w:after="0" w:line="180" w:lineRule="exact"/>
              <w:rPr>
                <w:sz w:val="20"/>
                <w:szCs w:val="20"/>
                <w:color w:val="auto"/>
              </w:rPr>
            </w:pPr>
            <w:r>
              <w:rPr>
                <w:rFonts w:ascii="Times New Roman" w:cs="Times New Roman" w:eastAsia="Times New Roman" w:hAnsi="Times New Roman"/>
                <w:sz w:val="16"/>
                <w:szCs w:val="16"/>
                <w:color w:val="auto"/>
              </w:rPr>
              <w:t>units issued and outstanding as of December 31, 2024 and</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93"/>
        </w:trPr>
        <w:tc>
          <w:tcPr>
            <w:tcW w:w="5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December 31, 2023</w:t>
            </w: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731,690</w:t>
            </w: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731,690</w:t>
            </w:r>
          </w:p>
        </w:tc>
      </w:tr>
      <w:tr>
        <w:trPr>
          <w:trHeight w:val="167"/>
        </w:trPr>
        <w:tc>
          <w:tcPr>
            <w:tcW w:w="5080" w:type="dxa"/>
            <w:vAlign w:val="bottom"/>
          </w:tcPr>
          <w:p>
            <w:pPr>
              <w:ind w:left="200"/>
              <w:spacing w:after="0" w:line="167" w:lineRule="exact"/>
              <w:rPr>
                <w:sz w:val="20"/>
                <w:szCs w:val="20"/>
                <w:color w:val="auto"/>
              </w:rPr>
            </w:pPr>
            <w:r>
              <w:rPr>
                <w:rFonts w:ascii="Times New Roman" w:cs="Times New Roman" w:eastAsia="Times New Roman" w:hAnsi="Times New Roman"/>
                <w:sz w:val="16"/>
                <w:szCs w:val="16"/>
                <w:color w:val="auto"/>
              </w:rPr>
              <w:t>Common units, 336,637 and 311,608 issued and outstanding as of</w:t>
            </w: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93"/>
        </w:trPr>
        <w:tc>
          <w:tcPr>
            <w:tcW w:w="5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December 31, 2024 and December 31, 2023, respectively</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21,790,990</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19,137,237</w:t>
            </w:r>
          </w:p>
        </w:tc>
      </w:tr>
      <w:tr>
        <w:trPr>
          <w:trHeight w:val="167"/>
        </w:trPr>
        <w:tc>
          <w:tcPr>
            <w:tcW w:w="5080" w:type="dxa"/>
            <w:vAlign w:val="bottom"/>
            <w:shd w:val="clear" w:color="auto" w:fill="CCEEFF"/>
          </w:tcPr>
          <w:p>
            <w:pPr>
              <w:ind w:left="200"/>
              <w:spacing w:after="0" w:line="167" w:lineRule="exact"/>
              <w:rPr>
                <w:sz w:val="20"/>
                <w:szCs w:val="20"/>
                <w:color w:val="auto"/>
              </w:rPr>
            </w:pPr>
            <w:r>
              <w:rPr>
                <w:rFonts w:ascii="Times New Roman" w:cs="Times New Roman" w:eastAsia="Times New Roman" w:hAnsi="Times New Roman"/>
                <w:sz w:val="16"/>
                <w:szCs w:val="16"/>
                <w:color w:val="auto"/>
              </w:rPr>
              <w:t>Limited Partners, 6,135 and 6,449 units issued and outstanding as of</w:t>
            </w: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229"/>
        </w:trPr>
        <w:tc>
          <w:tcPr>
            <w:tcW w:w="5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December 31, 2024 and December 31, 2023, respectively</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426,183</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459,356</w:t>
            </w:r>
          </w:p>
        </w:tc>
      </w:tr>
      <w:tr>
        <w:trPr>
          <w:trHeight w:val="180"/>
        </w:trPr>
        <w:tc>
          <w:tcPr>
            <w:tcW w:w="5080" w:type="dxa"/>
            <w:vAlign w:val="bottom"/>
            <w:tcBorders>
              <w:bottom w:val="single" w:sz="8" w:color="CCEEFF"/>
            </w:tcBorders>
          </w:tcPr>
          <w:p>
            <w:pPr>
              <w:ind w:left="200"/>
              <w:spacing w:after="0" w:line="180" w:lineRule="exact"/>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(1,212,367)</w:t>
            </w:r>
          </w:p>
        </w:tc>
        <w:tc>
          <w:tcPr>
            <w:tcW w:w="2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(772,668)</w:t>
            </w:r>
          </w:p>
        </w:tc>
      </w:tr>
      <w:tr>
        <w:trPr>
          <w:trHeight w:val="172"/>
        </w:trPr>
        <w:tc>
          <w:tcPr>
            <w:tcW w:w="5080" w:type="dxa"/>
            <w:vAlign w:val="bottom"/>
            <w:shd w:val="clear" w:color="auto" w:fill="CCEEFF"/>
          </w:tcPr>
          <w:p>
            <w:pPr>
              <w:ind w:left="380"/>
              <w:spacing w:after="0" w:line="172" w:lineRule="exact"/>
              <w:rPr>
                <w:sz w:val="20"/>
                <w:szCs w:val="20"/>
                <w:color w:val="auto"/>
              </w:rPr>
            </w:pPr>
            <w:r>
              <w:rPr>
                <w:rFonts w:ascii="Times New Roman" w:cs="Times New Roman" w:eastAsia="Times New Roman" w:hAnsi="Times New Roman"/>
                <w:sz w:val="16"/>
                <w:szCs w:val="16"/>
                <w:color w:val="auto"/>
              </w:rPr>
              <w:t>Total partners’ capital</w:t>
            </w: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21,736,496</w:t>
            </w: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19,555,615</w:t>
            </w:r>
          </w:p>
        </w:tc>
      </w:tr>
      <w:tr>
        <w:trPr>
          <w:trHeight w:val="180"/>
        </w:trPr>
        <w:tc>
          <w:tcPr>
            <w:tcW w:w="5080" w:type="dxa"/>
            <w:vAlign w:val="bottom"/>
            <w:tcBorders>
              <w:bottom w:val="single" w:sz="8" w:color="CCEEFF"/>
            </w:tcBorders>
          </w:tcPr>
          <w:p>
            <w:pPr>
              <w:ind w:left="200"/>
              <w:spacing w:after="0" w:line="180" w:lineRule="exact"/>
              <w:rPr>
                <w:sz w:val="20"/>
                <w:szCs w:val="20"/>
                <w:color w:val="auto"/>
              </w:rPr>
            </w:pPr>
            <w:r>
              <w:rPr>
                <w:rFonts w:ascii="Times New Roman" w:cs="Times New Roman" w:eastAsia="Times New Roman" w:hAnsi="Times New Roman"/>
                <w:sz w:val="16"/>
                <w:szCs w:val="16"/>
                <w:color w:val="auto"/>
              </w:rPr>
              <w:t>Noncontrolling interests in consolidated entities</w:t>
            </w: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6,099</w:t>
            </w:r>
          </w:p>
        </w:tc>
        <w:tc>
          <w:tcPr>
            <w:tcW w:w="2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45,892</w:t>
            </w:r>
          </w:p>
        </w:tc>
      </w:tr>
      <w:tr>
        <w:trPr>
          <w:trHeight w:val="172"/>
        </w:trPr>
        <w:tc>
          <w:tcPr>
            <w:tcW w:w="5080" w:type="dxa"/>
            <w:vAlign w:val="bottom"/>
            <w:shd w:val="clear" w:color="auto" w:fill="CCEEFF"/>
          </w:tcPr>
          <w:p>
            <w:pPr>
              <w:ind w:left="280"/>
              <w:spacing w:after="0" w:line="172" w:lineRule="exact"/>
              <w:rPr>
                <w:sz w:val="20"/>
                <w:szCs w:val="20"/>
                <w:color w:val="auto"/>
              </w:rPr>
            </w:pPr>
            <w:r>
              <w:rPr>
                <w:rFonts w:ascii="Times New Roman" w:cs="Times New Roman" w:eastAsia="Times New Roman" w:hAnsi="Times New Roman"/>
                <w:sz w:val="16"/>
                <w:szCs w:val="16"/>
                <w:color w:val="auto"/>
              </w:rPr>
              <w:t>Total capital</w:t>
            </w:r>
          </w:p>
        </w:tc>
        <w:tc>
          <w:tcPr>
            <w:tcW w:w="18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21,742,595</w:t>
            </w:r>
          </w:p>
        </w:tc>
        <w:tc>
          <w:tcPr>
            <w:tcW w:w="2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19,601,507</w:t>
            </w:r>
          </w:p>
        </w:tc>
      </w:tr>
      <w:tr>
        <w:trPr>
          <w:trHeight w:val="172"/>
        </w:trPr>
        <w:tc>
          <w:tcPr>
            <w:tcW w:w="5080" w:type="dxa"/>
            <w:vAlign w:val="bottom"/>
          </w:tcPr>
          <w:p>
            <w:pPr>
              <w:ind w:left="280"/>
              <w:spacing w:after="0" w:line="172" w:lineRule="exact"/>
              <w:rPr>
                <w:sz w:val="20"/>
                <w:szCs w:val="20"/>
                <w:color w:val="auto"/>
              </w:rPr>
            </w:pPr>
            <w:r>
              <w:rPr>
                <w:rFonts w:ascii="Times New Roman" w:cs="Times New Roman" w:eastAsia="Times New Roman" w:hAnsi="Times New Roman"/>
                <w:sz w:val="16"/>
                <w:szCs w:val="16"/>
                <w:color w:val="auto"/>
              </w:rPr>
              <w:t>Total liabilities and capital</w:t>
            </w:r>
          </w:p>
        </w:tc>
        <w:tc>
          <w:tcPr>
            <w:tcW w:w="180" w:type="dxa"/>
            <w:vAlign w:val="bottom"/>
            <w:tcBorders>
              <w:bottom w:val="single" w:sz="8" w:color="auto"/>
            </w:tcBorders>
          </w:tcPr>
          <w:p>
            <w:pPr>
              <w:jc w:val="right"/>
              <w:ind w:right="2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45,283,616</w:t>
            </w:r>
          </w:p>
        </w:tc>
        <w:tc>
          <w:tcPr>
            <w:tcW w:w="280" w:type="dxa"/>
            <w:vAlign w:val="bottom"/>
          </w:tcPr>
          <w:p>
            <w:pPr>
              <w:spacing w:after="0"/>
              <w:rPr>
                <w:sz w:val="14"/>
                <w:szCs w:val="14"/>
                <w:color w:val="auto"/>
              </w:rPr>
            </w:pPr>
          </w:p>
        </w:tc>
        <w:tc>
          <w:tcPr>
            <w:tcW w:w="180" w:type="dxa"/>
            <w:vAlign w:val="bottom"/>
            <w:tcBorders>
              <w:bottom w:val="single" w:sz="8" w:color="auto"/>
            </w:tcBorders>
          </w:tcPr>
          <w:p>
            <w:pPr>
              <w:jc w:val="right"/>
              <w:ind w:right="2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44,113,258</w:t>
            </w:r>
          </w:p>
        </w:tc>
      </w:tr>
      <w:tr>
        <w:trPr>
          <w:trHeight w:val="20"/>
        </w:trPr>
        <w:tc>
          <w:tcPr>
            <w:tcW w:w="5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03" w:name="page104"/>
    <w:bookmarkEnd w:id="103"/>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INCOME STATEMENTS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per unit data)</w:t>
      </w:r>
    </w:p>
    <w:p>
      <w:pPr>
        <w:spacing w:after="0" w:line="168" w:lineRule="exact"/>
        <w:rPr>
          <w:sz w:val="20"/>
          <w:szCs w:val="20"/>
          <w:color w:val="auto"/>
        </w:rPr>
      </w:pPr>
    </w:p>
    <w:tbl>
      <w:tblPr>
        <w:tblLayout w:type="fixed"/>
        <w:tblInd w:w="320" w:type="dxa"/>
        <w:tblCellMar>
          <w:top w:w="0" w:type="dxa"/>
          <w:left w:w="0" w:type="dxa"/>
          <w:bottom w:w="0" w:type="dxa"/>
          <w:right w:w="0" w:type="dxa"/>
        </w:tblCellMar>
      </w:tblPr>
      <w:tr>
        <w:trPr>
          <w:trHeight w:val="195"/>
        </w:trPr>
        <w:tc>
          <w:tcPr>
            <w:tcW w:w="3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6"/>
          </w:tcPr>
          <w:p>
            <w:pPr>
              <w:ind w:left="10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6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02"/>
              <w:spacing w:after="0" w:line="172" w:lineRule="exact"/>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22"/>
              <w:spacing w:after="0" w:line="172" w:lineRule="exact"/>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22"/>
              <w:spacing w:after="0" w:line="172" w:lineRule="exact"/>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72"/>
        </w:trPr>
        <w:tc>
          <w:tcPr>
            <w:tcW w:w="36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Operating Revenues:</w:t>
            </w: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6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Rental and other services</w:t>
            </w:r>
          </w:p>
        </w:tc>
        <w:tc>
          <w:tcPr>
            <w:tcW w:w="580" w:type="dxa"/>
            <w:vAlign w:val="bottom"/>
            <w:gridSpan w:val="2"/>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5,482,472</w:t>
            </w:r>
          </w:p>
        </w:tc>
        <w:tc>
          <w:tcPr>
            <w:tcW w:w="120" w:type="dxa"/>
            <w:vAlign w:val="bottom"/>
          </w:tcPr>
          <w:p>
            <w:pPr>
              <w:spacing w:after="0"/>
              <w:rPr>
                <w:sz w:val="15"/>
                <w:szCs w:val="15"/>
                <w:color w:val="auto"/>
              </w:rPr>
            </w:pPr>
          </w:p>
        </w:tc>
        <w:tc>
          <w:tcPr>
            <w:tcW w:w="380" w:type="dxa"/>
            <w:vAlign w:val="bottom"/>
            <w:gridSpan w:val="2"/>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5,430,173</w:t>
            </w:r>
          </w:p>
        </w:tc>
        <w:tc>
          <w:tcPr>
            <w:tcW w:w="200" w:type="dxa"/>
            <w:vAlign w:val="bottom"/>
          </w:tcPr>
          <w:p>
            <w:pPr>
              <w:spacing w:after="0"/>
              <w:rPr>
                <w:sz w:val="15"/>
                <w:szCs w:val="15"/>
                <w:color w:val="auto"/>
              </w:rPr>
            </w:pPr>
          </w:p>
        </w:tc>
        <w:tc>
          <w:tcPr>
            <w:tcW w:w="30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4,662,683</w:t>
            </w:r>
          </w:p>
        </w:tc>
        <w:tc>
          <w:tcPr>
            <w:tcW w:w="0" w:type="dxa"/>
            <w:vAlign w:val="bottom"/>
          </w:tcPr>
          <w:p>
            <w:pPr>
              <w:spacing w:after="0"/>
              <w:rPr>
                <w:sz w:val="1"/>
                <w:szCs w:val="1"/>
                <w:color w:val="auto"/>
              </w:rPr>
            </w:pPr>
          </w:p>
        </w:tc>
      </w:tr>
      <w:tr>
        <w:trPr>
          <w:trHeight w:val="180"/>
        </w:trPr>
        <w:tc>
          <w:tcPr>
            <w:tcW w:w="36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Fee income and other</w:t>
            </w:r>
          </w:p>
        </w:tc>
        <w:tc>
          <w:tcPr>
            <w:tcW w:w="24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72,496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46,888</w:t>
            </w:r>
          </w:p>
        </w:tc>
        <w:tc>
          <w:tcPr>
            <w:tcW w:w="2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29,151</w:t>
            </w:r>
          </w:p>
        </w:tc>
        <w:tc>
          <w:tcPr>
            <w:tcW w:w="0" w:type="dxa"/>
            <w:vAlign w:val="bottom"/>
          </w:tcPr>
          <w:p>
            <w:pPr>
              <w:spacing w:after="0"/>
              <w:rPr>
                <w:sz w:val="1"/>
                <w:szCs w:val="1"/>
                <w:color w:val="auto"/>
              </w:rPr>
            </w:pPr>
          </w:p>
        </w:tc>
      </w:tr>
      <w:tr>
        <w:trPr>
          <w:trHeight w:val="172"/>
        </w:trPr>
        <w:tc>
          <w:tcPr>
            <w:tcW w:w="3620" w:type="dxa"/>
            <w:vAlign w:val="bottom"/>
            <w:tcBorders>
              <w:bottom w:val="single" w:sz="8" w:color="CCEEFF"/>
            </w:tcBorders>
          </w:tcPr>
          <w:p>
            <w:pPr>
              <w:spacing w:after="0" w:line="172" w:lineRule="exact"/>
              <w:rPr>
                <w:sz w:val="20"/>
                <w:szCs w:val="20"/>
                <w:color w:val="auto"/>
              </w:rPr>
            </w:pPr>
            <w:r>
              <w:rPr>
                <w:rFonts w:ascii="Times New Roman" w:cs="Times New Roman" w:eastAsia="Times New Roman" w:hAnsi="Times New Roman"/>
                <w:sz w:val="16"/>
                <w:szCs w:val="16"/>
                <w:color w:val="auto"/>
              </w:rPr>
              <w:t>Total operating revenues</w:t>
            </w:r>
          </w:p>
        </w:tc>
        <w:tc>
          <w:tcPr>
            <w:tcW w:w="24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5,554,968</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5,477,061</w:t>
            </w:r>
          </w:p>
        </w:tc>
        <w:tc>
          <w:tcPr>
            <w:tcW w:w="2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4,691,834</w:t>
            </w:r>
          </w:p>
        </w:tc>
        <w:tc>
          <w:tcPr>
            <w:tcW w:w="0" w:type="dxa"/>
            <w:vAlign w:val="bottom"/>
          </w:tcPr>
          <w:p>
            <w:pPr>
              <w:spacing w:after="0"/>
              <w:rPr>
                <w:sz w:val="1"/>
                <w:szCs w:val="1"/>
                <w:color w:val="auto"/>
              </w:rPr>
            </w:pPr>
          </w:p>
        </w:tc>
      </w:tr>
      <w:tr>
        <w:trPr>
          <w:trHeight w:val="172"/>
        </w:trPr>
        <w:tc>
          <w:tcPr>
            <w:tcW w:w="36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Operating Expenses:</w:t>
            </w: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6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Rental property operating and maintenance</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2,318,337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2,381,666</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1,825,817</w:t>
            </w:r>
          </w:p>
        </w:tc>
        <w:tc>
          <w:tcPr>
            <w:tcW w:w="0" w:type="dxa"/>
            <w:vAlign w:val="bottom"/>
          </w:tcPr>
          <w:p>
            <w:pPr>
              <w:spacing w:after="0"/>
              <w:rPr>
                <w:sz w:val="1"/>
                <w:szCs w:val="1"/>
                <w:color w:val="auto"/>
              </w:rPr>
            </w:pPr>
          </w:p>
        </w:tc>
      </w:tr>
      <w:tr>
        <w:trPr>
          <w:trHeight w:val="180"/>
        </w:trPr>
        <w:tc>
          <w:tcPr>
            <w:tcW w:w="36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Property taxes and insurance</w:t>
            </w:r>
          </w:p>
        </w:tc>
        <w:tc>
          <w:tcPr>
            <w:tcW w:w="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200,778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216,405</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191,745</w:t>
            </w:r>
          </w:p>
        </w:tc>
        <w:tc>
          <w:tcPr>
            <w:tcW w:w="0" w:type="dxa"/>
            <w:vAlign w:val="bottom"/>
          </w:tcPr>
          <w:p>
            <w:pPr>
              <w:spacing w:after="0"/>
              <w:rPr>
                <w:sz w:val="1"/>
                <w:szCs w:val="1"/>
                <w:color w:val="auto"/>
              </w:rPr>
            </w:pPr>
          </w:p>
        </w:tc>
      </w:tr>
      <w:tr>
        <w:trPr>
          <w:trHeight w:val="180"/>
        </w:trPr>
        <w:tc>
          <w:tcPr>
            <w:tcW w:w="36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1,771,797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1,694,859</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1,577,933</w:t>
            </w:r>
          </w:p>
        </w:tc>
        <w:tc>
          <w:tcPr>
            <w:tcW w:w="0" w:type="dxa"/>
            <w:vAlign w:val="bottom"/>
          </w:tcPr>
          <w:p>
            <w:pPr>
              <w:spacing w:after="0"/>
              <w:rPr>
                <w:sz w:val="1"/>
                <w:szCs w:val="1"/>
                <w:color w:val="auto"/>
              </w:rPr>
            </w:pPr>
          </w:p>
        </w:tc>
      </w:tr>
      <w:tr>
        <w:trPr>
          <w:trHeight w:val="180"/>
        </w:trPr>
        <w:tc>
          <w:tcPr>
            <w:tcW w:w="36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General and administrative</w:t>
            </w:r>
          </w:p>
        </w:tc>
        <w:tc>
          <w:tcPr>
            <w:tcW w:w="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480,023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449,056</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422,167</w:t>
            </w:r>
          </w:p>
        </w:tc>
        <w:tc>
          <w:tcPr>
            <w:tcW w:w="0" w:type="dxa"/>
            <w:vAlign w:val="bottom"/>
          </w:tcPr>
          <w:p>
            <w:pPr>
              <w:spacing w:after="0"/>
              <w:rPr>
                <w:sz w:val="1"/>
                <w:szCs w:val="1"/>
                <w:color w:val="auto"/>
              </w:rPr>
            </w:pPr>
          </w:p>
        </w:tc>
      </w:tr>
      <w:tr>
        <w:trPr>
          <w:trHeight w:val="180"/>
        </w:trPr>
        <w:tc>
          <w:tcPr>
            <w:tcW w:w="36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Transactions and integration</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93,902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84,722</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68,766</w:t>
            </w:r>
          </w:p>
        </w:tc>
        <w:tc>
          <w:tcPr>
            <w:tcW w:w="0" w:type="dxa"/>
            <w:vAlign w:val="bottom"/>
          </w:tcPr>
          <w:p>
            <w:pPr>
              <w:spacing w:after="0"/>
              <w:rPr>
                <w:sz w:val="1"/>
                <w:szCs w:val="1"/>
                <w:color w:val="auto"/>
              </w:rPr>
            </w:pPr>
          </w:p>
        </w:tc>
      </w:tr>
      <w:tr>
        <w:trPr>
          <w:trHeight w:val="180"/>
        </w:trPr>
        <w:tc>
          <w:tcPr>
            <w:tcW w:w="36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Provision for impairment</w:t>
            </w:r>
          </w:p>
        </w:tc>
        <w:tc>
          <w:tcPr>
            <w:tcW w:w="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191,184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118,363</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0" w:type="dxa"/>
            <w:vAlign w:val="bottom"/>
          </w:tcPr>
          <w:p>
            <w:pPr>
              <w:spacing w:after="0"/>
              <w:rPr>
                <w:sz w:val="1"/>
                <w:szCs w:val="1"/>
                <w:color w:val="auto"/>
              </w:rPr>
            </w:pPr>
          </w:p>
        </w:tc>
      </w:tr>
      <w:tr>
        <w:trPr>
          <w:trHeight w:val="180"/>
        </w:trPr>
        <w:tc>
          <w:tcPr>
            <w:tcW w:w="362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27,083</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7,529</w:t>
            </w:r>
          </w:p>
        </w:tc>
        <w:tc>
          <w:tcPr>
            <w:tcW w:w="2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12,438</w:t>
            </w:r>
          </w:p>
        </w:tc>
        <w:tc>
          <w:tcPr>
            <w:tcW w:w="0" w:type="dxa"/>
            <w:vAlign w:val="bottom"/>
          </w:tcPr>
          <w:p>
            <w:pPr>
              <w:spacing w:after="0"/>
              <w:rPr>
                <w:sz w:val="1"/>
                <w:szCs w:val="1"/>
                <w:color w:val="auto"/>
              </w:rPr>
            </w:pPr>
          </w:p>
        </w:tc>
      </w:tr>
      <w:tr>
        <w:trPr>
          <w:trHeight w:val="172"/>
        </w:trPr>
        <w:tc>
          <w:tcPr>
            <w:tcW w:w="36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Total operating expenses</w:t>
            </w:r>
          </w:p>
        </w:tc>
        <w:tc>
          <w:tcPr>
            <w:tcW w:w="24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5,083,104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4,952,600</w:t>
            </w:r>
          </w:p>
        </w:tc>
        <w:tc>
          <w:tcPr>
            <w:tcW w:w="2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4,101,866</w:t>
            </w:r>
          </w:p>
        </w:tc>
        <w:tc>
          <w:tcPr>
            <w:tcW w:w="0" w:type="dxa"/>
            <w:vAlign w:val="bottom"/>
          </w:tcPr>
          <w:p>
            <w:pPr>
              <w:spacing w:after="0"/>
              <w:rPr>
                <w:sz w:val="1"/>
                <w:szCs w:val="1"/>
                <w:color w:val="auto"/>
              </w:rPr>
            </w:pPr>
          </w:p>
        </w:tc>
      </w:tr>
      <w:tr>
        <w:trPr>
          <w:trHeight w:val="172"/>
        </w:trPr>
        <w:tc>
          <w:tcPr>
            <w:tcW w:w="362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Operating income</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471,864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524,461</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589,968</w:t>
            </w:r>
          </w:p>
        </w:tc>
        <w:tc>
          <w:tcPr>
            <w:tcW w:w="0" w:type="dxa"/>
            <w:vAlign w:val="bottom"/>
          </w:tcPr>
          <w:p>
            <w:pPr>
              <w:spacing w:after="0"/>
              <w:rPr>
                <w:sz w:val="1"/>
                <w:szCs w:val="1"/>
                <w:color w:val="auto"/>
              </w:rPr>
            </w:pPr>
          </w:p>
        </w:tc>
      </w:tr>
      <w:tr>
        <w:trPr>
          <w:trHeight w:val="180"/>
        </w:trPr>
        <w:tc>
          <w:tcPr>
            <w:tcW w:w="36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Other Income (Expenses):</w:t>
            </w:r>
          </w:p>
        </w:tc>
        <w:tc>
          <w:tcPr>
            <w:tcW w:w="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Equity in loss of unconsolidated entities</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(120,138)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(29,791)</w:t>
            </w:r>
          </w:p>
        </w:tc>
        <w:tc>
          <w:tcPr>
            <w:tcW w:w="30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(13,497)</w:t>
            </w:r>
          </w:p>
        </w:tc>
        <w:tc>
          <w:tcPr>
            <w:tcW w:w="0" w:type="dxa"/>
            <w:vAlign w:val="bottom"/>
          </w:tcPr>
          <w:p>
            <w:pPr>
              <w:spacing w:after="0"/>
              <w:rPr>
                <w:sz w:val="1"/>
                <w:szCs w:val="1"/>
                <w:color w:val="auto"/>
              </w:rPr>
            </w:pPr>
          </w:p>
        </w:tc>
      </w:tr>
      <w:tr>
        <w:trPr>
          <w:trHeight w:val="180"/>
        </w:trPr>
        <w:tc>
          <w:tcPr>
            <w:tcW w:w="36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Gain on disposition of properties, net</w:t>
            </w:r>
          </w:p>
        </w:tc>
        <w:tc>
          <w:tcPr>
            <w:tcW w:w="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595,825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900,531</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176,754</w:t>
            </w:r>
          </w:p>
        </w:tc>
        <w:tc>
          <w:tcPr>
            <w:tcW w:w="0" w:type="dxa"/>
            <w:vAlign w:val="bottom"/>
          </w:tcPr>
          <w:p>
            <w:pPr>
              <w:spacing w:after="0"/>
              <w:rPr>
                <w:sz w:val="1"/>
                <w:szCs w:val="1"/>
                <w:color w:val="auto"/>
              </w:rPr>
            </w:pPr>
          </w:p>
        </w:tc>
      </w:tr>
      <w:tr>
        <w:trPr>
          <w:trHeight w:val="180"/>
        </w:trPr>
        <w:tc>
          <w:tcPr>
            <w:tcW w:w="36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income, net</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154,243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68,431</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8,917</w:t>
            </w:r>
          </w:p>
        </w:tc>
        <w:tc>
          <w:tcPr>
            <w:tcW w:w="0" w:type="dxa"/>
            <w:vAlign w:val="bottom"/>
          </w:tcPr>
          <w:p>
            <w:pPr>
              <w:spacing w:after="0"/>
              <w:rPr>
                <w:sz w:val="1"/>
                <w:szCs w:val="1"/>
                <w:color w:val="auto"/>
              </w:rPr>
            </w:pPr>
          </w:p>
        </w:tc>
      </w:tr>
      <w:tr>
        <w:trPr>
          <w:trHeight w:val="180"/>
        </w:trPr>
        <w:tc>
          <w:tcPr>
            <w:tcW w:w="36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(452,836)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(437,741)</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(299,132)</w:t>
            </w:r>
          </w:p>
        </w:tc>
        <w:tc>
          <w:tcPr>
            <w:tcW w:w="0" w:type="dxa"/>
            <w:vAlign w:val="bottom"/>
          </w:tcPr>
          <w:p>
            <w:pPr>
              <w:spacing w:after="0"/>
              <w:rPr>
                <w:sz w:val="1"/>
                <w:szCs w:val="1"/>
                <w:color w:val="auto"/>
              </w:rPr>
            </w:pPr>
          </w:p>
        </w:tc>
      </w:tr>
      <w:tr>
        <w:trPr>
          <w:trHeight w:val="180"/>
        </w:trPr>
        <w:tc>
          <w:tcPr>
            <w:tcW w:w="36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Loss on debt extinguishment and modifications</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(5,871)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(51,135)</w:t>
            </w:r>
          </w:p>
        </w:tc>
        <w:tc>
          <w:tcPr>
            <w:tcW w:w="0" w:type="dxa"/>
            <w:vAlign w:val="bottom"/>
          </w:tcPr>
          <w:p>
            <w:pPr>
              <w:spacing w:after="0"/>
              <w:rPr>
                <w:sz w:val="1"/>
                <w:szCs w:val="1"/>
                <w:color w:val="auto"/>
              </w:rPr>
            </w:pPr>
          </w:p>
        </w:tc>
      </w:tr>
      <w:tr>
        <w:trPr>
          <w:trHeight w:val="180"/>
        </w:trPr>
        <w:tc>
          <w:tcPr>
            <w:tcW w:w="36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Income tax expense</w:t>
            </w:r>
          </w:p>
        </w:tc>
        <w:tc>
          <w:tcPr>
            <w:tcW w:w="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(54,760)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(75,579)</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(31,550)</w:t>
            </w:r>
          </w:p>
        </w:tc>
        <w:tc>
          <w:tcPr>
            <w:tcW w:w="0" w:type="dxa"/>
            <w:vAlign w:val="bottom"/>
          </w:tcPr>
          <w:p>
            <w:pPr>
              <w:spacing w:after="0"/>
              <w:rPr>
                <w:sz w:val="1"/>
                <w:szCs w:val="1"/>
                <w:color w:val="auto"/>
              </w:rPr>
            </w:pPr>
          </w:p>
        </w:tc>
      </w:tr>
      <w:tr>
        <w:trPr>
          <w:trHeight w:val="172"/>
        </w:trPr>
        <w:tc>
          <w:tcPr>
            <w:tcW w:w="362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588,327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950,312</w:t>
            </w:r>
          </w:p>
        </w:tc>
        <w:tc>
          <w:tcPr>
            <w:tcW w:w="2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380,325</w:t>
            </w:r>
          </w:p>
        </w:tc>
        <w:tc>
          <w:tcPr>
            <w:tcW w:w="0" w:type="dxa"/>
            <w:vAlign w:val="bottom"/>
          </w:tcPr>
          <w:p>
            <w:pPr>
              <w:spacing w:after="0"/>
              <w:rPr>
                <w:sz w:val="1"/>
                <w:szCs w:val="1"/>
                <w:color w:val="auto"/>
              </w:rPr>
            </w:pPr>
          </w:p>
        </w:tc>
      </w:tr>
      <w:tr>
        <w:trPr>
          <w:trHeight w:val="180"/>
        </w:trPr>
        <w:tc>
          <w:tcPr>
            <w:tcW w:w="36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Net loss attributable to noncontrolling interests</w:t>
            </w:r>
          </w:p>
        </w:tc>
        <w:tc>
          <w:tcPr>
            <w:tcW w:w="24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26,863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19,236</w:t>
            </w:r>
          </w:p>
        </w:tc>
        <w:tc>
          <w:tcPr>
            <w:tcW w:w="2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5,459</w:t>
            </w:r>
          </w:p>
        </w:tc>
        <w:tc>
          <w:tcPr>
            <w:tcW w:w="0" w:type="dxa"/>
            <w:vAlign w:val="bottom"/>
          </w:tcPr>
          <w:p>
            <w:pPr>
              <w:spacing w:after="0"/>
              <w:rPr>
                <w:sz w:val="1"/>
                <w:szCs w:val="1"/>
                <w:color w:val="auto"/>
              </w:rPr>
            </w:pPr>
          </w:p>
        </w:tc>
      </w:tr>
      <w:tr>
        <w:trPr>
          <w:trHeight w:val="172"/>
        </w:trPr>
        <w:tc>
          <w:tcPr>
            <w:tcW w:w="362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Net income attributable to Digital Realty Trust, L.P.</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615,190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969,548</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385,784</w:t>
            </w:r>
          </w:p>
        </w:tc>
        <w:tc>
          <w:tcPr>
            <w:tcW w:w="0" w:type="dxa"/>
            <w:vAlign w:val="bottom"/>
          </w:tcPr>
          <w:p>
            <w:pPr>
              <w:spacing w:after="0"/>
              <w:rPr>
                <w:sz w:val="1"/>
                <w:szCs w:val="1"/>
                <w:color w:val="auto"/>
              </w:rPr>
            </w:pPr>
          </w:p>
        </w:tc>
      </w:tr>
      <w:tr>
        <w:trPr>
          <w:trHeight w:val="180"/>
        </w:trPr>
        <w:tc>
          <w:tcPr>
            <w:tcW w:w="36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Preferred units distributions</w:t>
            </w:r>
          </w:p>
        </w:tc>
        <w:tc>
          <w:tcPr>
            <w:tcW w:w="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(40,724)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(40,724)</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(40,724)</w:t>
            </w:r>
          </w:p>
        </w:tc>
        <w:tc>
          <w:tcPr>
            <w:tcW w:w="0" w:type="dxa"/>
            <w:vAlign w:val="bottom"/>
          </w:tcPr>
          <w:p>
            <w:pPr>
              <w:spacing w:after="0"/>
              <w:rPr>
                <w:sz w:val="1"/>
                <w:szCs w:val="1"/>
                <w:color w:val="auto"/>
              </w:rPr>
            </w:pPr>
          </w:p>
        </w:tc>
      </w:tr>
      <w:tr>
        <w:trPr>
          <w:trHeight w:val="212"/>
        </w:trPr>
        <w:tc>
          <w:tcPr>
            <w:tcW w:w="3620" w:type="dxa"/>
            <w:vAlign w:val="bottom"/>
            <w:tcBorders>
              <w:bottom w:val="single" w:sz="8" w:color="CCEEFF"/>
            </w:tcBorders>
          </w:tcPr>
          <w:p>
            <w:pPr>
              <w:spacing w:after="0" w:line="172" w:lineRule="exact"/>
              <w:rPr>
                <w:sz w:val="20"/>
                <w:szCs w:val="20"/>
                <w:color w:val="auto"/>
              </w:rPr>
            </w:pPr>
            <w:r>
              <w:rPr>
                <w:rFonts w:ascii="Times New Roman" w:cs="Times New Roman" w:eastAsia="Times New Roman" w:hAnsi="Times New Roman"/>
                <w:sz w:val="16"/>
                <w:szCs w:val="16"/>
                <w:color w:val="auto"/>
              </w:rPr>
              <w:t>Net income available to common unitholders</w:t>
            </w:r>
          </w:p>
        </w:tc>
        <w:tc>
          <w:tcPr>
            <w:tcW w:w="2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8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574,466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2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928,824</w:t>
            </w:r>
          </w:p>
        </w:tc>
        <w:tc>
          <w:tcPr>
            <w:tcW w:w="2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345,060</w:t>
            </w:r>
          </w:p>
        </w:tc>
        <w:tc>
          <w:tcPr>
            <w:tcW w:w="0" w:type="dxa"/>
            <w:vAlign w:val="bottom"/>
          </w:tcPr>
          <w:p>
            <w:pPr>
              <w:spacing w:after="0"/>
              <w:rPr>
                <w:sz w:val="1"/>
                <w:szCs w:val="1"/>
                <w:color w:val="auto"/>
              </w:rPr>
            </w:pPr>
          </w:p>
        </w:tc>
      </w:tr>
      <w:tr>
        <w:trPr>
          <w:trHeight w:val="156"/>
        </w:trPr>
        <w:tc>
          <w:tcPr>
            <w:tcW w:w="362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auto"/>
              </w:rPr>
              <w:t>Net income per unit available to common unitholders:</w:t>
            </w:r>
          </w:p>
        </w:tc>
        <w:tc>
          <w:tcPr>
            <w:tcW w:w="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6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Basic</w:t>
            </w:r>
          </w:p>
        </w:tc>
        <w:tc>
          <w:tcPr>
            <w:tcW w:w="580" w:type="dxa"/>
            <w:vAlign w:val="bottom"/>
            <w:gridSpan w:val="2"/>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1.74</w:t>
            </w:r>
          </w:p>
        </w:tc>
        <w:tc>
          <w:tcPr>
            <w:tcW w:w="120" w:type="dxa"/>
            <w:vAlign w:val="bottom"/>
          </w:tcPr>
          <w:p>
            <w:pPr>
              <w:spacing w:after="0"/>
              <w:rPr>
                <w:sz w:val="15"/>
                <w:szCs w:val="15"/>
                <w:color w:val="auto"/>
              </w:rPr>
            </w:pPr>
          </w:p>
        </w:tc>
        <w:tc>
          <w:tcPr>
            <w:tcW w:w="380" w:type="dxa"/>
            <w:vAlign w:val="bottom"/>
            <w:gridSpan w:val="2"/>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3.05</w:t>
            </w:r>
          </w:p>
        </w:tc>
        <w:tc>
          <w:tcPr>
            <w:tcW w:w="200" w:type="dxa"/>
            <w:vAlign w:val="bottom"/>
          </w:tcPr>
          <w:p>
            <w:pPr>
              <w:spacing w:after="0"/>
              <w:rPr>
                <w:sz w:val="15"/>
                <w:szCs w:val="15"/>
                <w:color w:val="auto"/>
              </w:rPr>
            </w:pPr>
          </w:p>
        </w:tc>
        <w:tc>
          <w:tcPr>
            <w:tcW w:w="30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180"/>
        </w:trPr>
        <w:tc>
          <w:tcPr>
            <w:tcW w:w="36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Diluted</w:t>
            </w:r>
          </w:p>
        </w:tc>
        <w:tc>
          <w:tcPr>
            <w:tcW w:w="580" w:type="dxa"/>
            <w:vAlign w:val="bottom"/>
            <w:gridSpan w:val="2"/>
            <w:shd w:val="clear" w:color="auto" w:fill="CCEEFF"/>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1.62</w:t>
            </w:r>
          </w:p>
        </w:tc>
        <w:tc>
          <w:tcPr>
            <w:tcW w:w="12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2.89</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Weighted average common units outstanding:</w:t>
            </w: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6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Basic</w:t>
            </w:r>
          </w:p>
        </w:tc>
        <w:tc>
          <w:tcPr>
            <w:tcW w:w="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329,485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304,651</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292,123</w:t>
            </w:r>
          </w:p>
        </w:tc>
        <w:tc>
          <w:tcPr>
            <w:tcW w:w="0" w:type="dxa"/>
            <w:vAlign w:val="bottom"/>
          </w:tcPr>
          <w:p>
            <w:pPr>
              <w:spacing w:after="0"/>
              <w:rPr>
                <w:sz w:val="1"/>
                <w:szCs w:val="1"/>
                <w:color w:val="auto"/>
              </w:rPr>
            </w:pPr>
          </w:p>
        </w:tc>
      </w:tr>
      <w:tr>
        <w:trPr>
          <w:trHeight w:val="203"/>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Diluted</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337,696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315,113</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303,708</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color w:val="auto"/>
        </w:rPr>
        <w:t>See accompanying notes to the consolidated financial statements.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04" w:name="page105"/>
    <w:bookmarkEnd w:id="104"/>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jc w:val="center"/>
        <w:ind w:left="1780" w:right="1800"/>
        <w:spacing w:after="0" w:line="248" w:lineRule="auto"/>
        <w:rPr>
          <w:sz w:val="20"/>
          <w:szCs w:val="20"/>
          <w:color w:val="auto"/>
        </w:rPr>
      </w:pPr>
      <w:r>
        <w:rPr>
          <w:rFonts w:ascii="Times New Roman" w:cs="Times New Roman" w:eastAsia="Times New Roman" w:hAnsi="Times New Roman"/>
          <w:sz w:val="16"/>
          <w:szCs w:val="16"/>
          <w:b w:val="1"/>
          <w:bCs w:val="1"/>
          <w:color w:val="auto"/>
        </w:rPr>
        <w:t>DIGITAL REALTY TRUST, L.P. AND SUBSIDIARIES CONSOLIDATED STATEMENTS OF COMPREHENSIVE INCOME (in thousands)</w:t>
      </w:r>
    </w:p>
    <w:p>
      <w:pPr>
        <w:spacing w:after="0" w:line="163" w:lineRule="exact"/>
        <w:rPr>
          <w:sz w:val="20"/>
          <w:szCs w:val="20"/>
          <w:color w:val="auto"/>
        </w:rPr>
      </w:pPr>
    </w:p>
    <w:tbl>
      <w:tblPr>
        <w:tblLayout w:type="fixed"/>
        <w:tblInd w:w="320" w:type="dxa"/>
        <w:tblCellMar>
          <w:top w:w="0" w:type="dxa"/>
          <w:left w:w="0" w:type="dxa"/>
          <w:bottom w:w="0" w:type="dxa"/>
          <w:right w:w="0" w:type="dxa"/>
        </w:tblCellMar>
      </w:tblPr>
      <w:tr>
        <w:trPr>
          <w:trHeight w:val="182"/>
        </w:trPr>
        <w:tc>
          <w:tcPr>
            <w:tcW w:w="4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6"/>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Borders>
              <w:bottom w:val="single" w:sz="8" w:color="auto"/>
            </w:tcBorders>
          </w:tcPr>
          <w:p>
            <w:pPr>
              <w:spacing w:after="0"/>
              <w:rPr>
                <w:sz w:val="15"/>
                <w:szCs w:val="15"/>
                <w:color w:val="auto"/>
              </w:rPr>
            </w:pPr>
          </w:p>
        </w:tc>
      </w:tr>
      <w:tr>
        <w:trPr>
          <w:trHeight w:val="160"/>
        </w:trPr>
        <w:tc>
          <w:tcPr>
            <w:tcW w:w="438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6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588,327</w:t>
            </w: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950,312</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380,325</w:t>
            </w:r>
          </w:p>
        </w:tc>
      </w:tr>
      <w:tr>
        <w:trPr>
          <w:trHeight w:val="168"/>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(605,636)</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(209,973)</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(377,873)</w:t>
            </w:r>
          </w:p>
        </w:tc>
      </w:tr>
      <w:tr>
        <w:trPr>
          <w:trHeight w:val="168"/>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Increase (decrease) in fair value of derivatives</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162,721</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(21,406)</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(93,803)</w:t>
            </w:r>
          </w:p>
        </w:tc>
      </w:tr>
      <w:tr>
        <w:trPr>
          <w:trHeight w:val="168"/>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Reclassification to interest expense from derivatives</w:t>
            </w:r>
          </w:p>
        </w:tc>
        <w:tc>
          <w:tcPr>
            <w:tcW w:w="3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(40,072)</w:t>
            </w:r>
          </w:p>
        </w:tc>
        <w:tc>
          <w:tcPr>
            <w:tcW w:w="2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(32,789)</w:t>
            </w:r>
          </w:p>
        </w:tc>
        <w:tc>
          <w:tcPr>
            <w:tcW w:w="2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(7,044)</w:t>
            </w:r>
          </w:p>
        </w:tc>
      </w:tr>
      <w:tr>
        <w:trPr>
          <w:trHeight w:val="160"/>
        </w:trPr>
        <w:tc>
          <w:tcPr>
            <w:tcW w:w="4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3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(482,987)</w:t>
            </w:r>
          </w:p>
        </w:tc>
        <w:tc>
          <w:tcPr>
            <w:tcW w:w="2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(264,168)</w:t>
            </w:r>
          </w:p>
        </w:tc>
        <w:tc>
          <w:tcPr>
            <w:tcW w:w="2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(478,720)</w:t>
            </w:r>
          </w:p>
        </w:tc>
      </w:tr>
      <w:tr>
        <w:trPr>
          <w:trHeight w:val="16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Comprehensive income (loss)</w:t>
            </w: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105,340</w:t>
            </w: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686,144</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(98,395)</w:t>
            </w:r>
          </w:p>
        </w:tc>
      </w:tr>
      <w:tr>
        <w:trPr>
          <w:trHeight w:val="168"/>
        </w:trPr>
        <w:tc>
          <w:tcPr>
            <w:tcW w:w="4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Comprehensive loss attributable to noncontrolling interests</w:t>
            </w:r>
          </w:p>
        </w:tc>
        <w:tc>
          <w:tcPr>
            <w:tcW w:w="3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69,942</w:t>
            </w: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122,972</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52,202</w:t>
            </w:r>
          </w:p>
        </w:tc>
      </w:tr>
      <w:tr>
        <w:trPr>
          <w:trHeight w:val="160"/>
        </w:trPr>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Comprehensive income (loss) attributable to Digital Realty Trust, L.P.</w:t>
            </w:r>
          </w:p>
        </w:tc>
        <w:tc>
          <w:tcPr>
            <w:tcW w:w="3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175,282</w:t>
            </w:r>
          </w:p>
        </w:tc>
        <w:tc>
          <w:tcPr>
            <w:tcW w:w="2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809,116</w:t>
            </w:r>
          </w:p>
        </w:tc>
        <w:tc>
          <w:tcPr>
            <w:tcW w:w="2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(46,193)</w:t>
            </w:r>
          </w:p>
        </w:tc>
      </w:tr>
      <w:tr>
        <w:trPr>
          <w:trHeight w:val="20"/>
        </w:trPr>
        <w:tc>
          <w:tcPr>
            <w:tcW w:w="4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color w:val="auto"/>
        </w:rPr>
        <w:t>See accompanying notes to the consolidated financial statements.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05" w:name="page106"/>
    <w:bookmarkEnd w:id="105"/>
    <w:p>
      <w:pPr>
        <w:ind w:left="6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6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CAPITAL</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unit data)</w:t>
      </w:r>
    </w:p>
    <w:p>
      <w:pPr>
        <w:spacing w:after="0" w:line="181" w:lineRule="exact"/>
        <w:rPr>
          <w:sz w:val="20"/>
          <w:szCs w:val="20"/>
          <w:color w:val="auto"/>
        </w:rPr>
      </w:pPr>
    </w:p>
    <w:tbl>
      <w:tblPr>
        <w:tblLayout w:type="fixed"/>
        <w:tblInd w:w="6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4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Redeemable</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3"/>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General Partner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5"/>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Limited Partners</w:t>
            </w:r>
          </w:p>
        </w:tc>
        <w:tc>
          <w:tcPr>
            <w:tcW w:w="160" w:type="dxa"/>
            <w:vAlign w:val="bottom"/>
          </w:tcPr>
          <w:p>
            <w:pPr>
              <w:spacing w:after="0"/>
              <w:rPr>
                <w:sz w:val="11"/>
                <w:szCs w:val="11"/>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Other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40" w:type="dxa"/>
            <w:vAlign w:val="bottom"/>
            <w:gridSpan w:val="3"/>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Noncontrolling</w:t>
            </w:r>
          </w:p>
        </w:tc>
        <w:tc>
          <w:tcPr>
            <w:tcW w:w="1200" w:type="dxa"/>
            <w:vAlign w:val="bottom"/>
            <w:tcBorders>
              <w:top w:val="single" w:sz="8" w:color="auto"/>
              <w:bottom w:val="single" w:sz="8" w:color="auto"/>
            </w:tcBorders>
            <w:gridSpan w:val="4"/>
          </w:tcPr>
          <w:p>
            <w:pPr>
              <w:jc w:val="right"/>
              <w:ind w:right="186"/>
              <w:spacing w:after="0" w:line="124" w:lineRule="exact"/>
              <w:rPr>
                <w:sz w:val="20"/>
                <w:szCs w:val="20"/>
                <w:color w:val="auto"/>
              </w:rPr>
            </w:pPr>
            <w:r>
              <w:rPr>
                <w:rFonts w:ascii="Times New Roman" w:cs="Times New Roman" w:eastAsia="Times New Roman" w:hAnsi="Times New Roman"/>
                <w:sz w:val="11"/>
                <w:szCs w:val="11"/>
                <w:b w:val="1"/>
                <w:bCs w:val="1"/>
                <w:color w:val="auto"/>
              </w:rPr>
              <w:t>Preferred Units</w:t>
            </w:r>
          </w:p>
        </w:tc>
        <w:tc>
          <w:tcPr>
            <w:tcW w:w="140" w:type="dxa"/>
            <w:vAlign w:val="bottom"/>
            <w:tcBorders>
              <w:top w:val="single" w:sz="8" w:color="auto"/>
            </w:tcBorders>
          </w:tcPr>
          <w:p>
            <w:pPr>
              <w:spacing w:after="0"/>
              <w:rPr>
                <w:sz w:val="10"/>
                <w:szCs w:val="10"/>
                <w:color w:val="auto"/>
              </w:rPr>
            </w:pPr>
          </w:p>
        </w:tc>
        <w:tc>
          <w:tcPr>
            <w:tcW w:w="1320" w:type="dxa"/>
            <w:vAlign w:val="bottom"/>
            <w:tcBorders>
              <w:top w:val="single" w:sz="8" w:color="auto"/>
              <w:bottom w:val="single" w:sz="8" w:color="auto"/>
            </w:tcBorders>
            <w:gridSpan w:val="3"/>
          </w:tcPr>
          <w:p>
            <w:pPr>
              <w:jc w:val="right"/>
              <w:ind w:right="246"/>
              <w:spacing w:after="0" w:line="124" w:lineRule="exact"/>
              <w:rPr>
                <w:sz w:val="20"/>
                <w:szCs w:val="20"/>
                <w:color w:val="auto"/>
              </w:rPr>
            </w:pPr>
            <w:r>
              <w:rPr>
                <w:rFonts w:ascii="Times New Roman" w:cs="Times New Roman" w:eastAsia="Times New Roman" w:hAnsi="Times New Roman"/>
                <w:sz w:val="11"/>
                <w:szCs w:val="11"/>
                <w:b w:val="1"/>
                <w:bCs w:val="1"/>
                <w:color w:val="auto"/>
              </w:rPr>
              <w:t>Common Units</w:t>
            </w:r>
          </w:p>
        </w:tc>
        <w:tc>
          <w:tcPr>
            <w:tcW w:w="140" w:type="dxa"/>
            <w:vAlign w:val="bottom"/>
          </w:tcPr>
          <w:p>
            <w:pPr>
              <w:spacing w:after="0"/>
              <w:rPr>
                <w:sz w:val="10"/>
                <w:szCs w:val="10"/>
                <w:color w:val="auto"/>
              </w:rPr>
            </w:pPr>
          </w:p>
        </w:tc>
        <w:tc>
          <w:tcPr>
            <w:tcW w:w="1160" w:type="dxa"/>
            <w:vAlign w:val="bottom"/>
            <w:tcBorders>
              <w:top w:val="single" w:sz="8" w:color="auto"/>
              <w:bottom w:val="single" w:sz="8" w:color="auto"/>
            </w:tcBorders>
            <w:gridSpan w:val="4"/>
          </w:tcPr>
          <w:p>
            <w:pPr>
              <w:jc w:val="right"/>
              <w:ind w:right="166"/>
              <w:spacing w:after="0" w:line="124" w:lineRule="exact"/>
              <w:rPr>
                <w:sz w:val="20"/>
                <w:szCs w:val="20"/>
                <w:color w:val="auto"/>
              </w:rPr>
            </w:pPr>
            <w:r>
              <w:rPr>
                <w:rFonts w:ascii="Times New Roman" w:cs="Times New Roman" w:eastAsia="Times New Roman" w:hAnsi="Times New Roman"/>
                <w:sz w:val="11"/>
                <w:szCs w:val="11"/>
                <w:b w:val="1"/>
                <w:bCs w:val="1"/>
                <w:color w:val="auto"/>
              </w:rPr>
              <w:t>Common Units</w:t>
            </w:r>
          </w:p>
        </w:tc>
        <w:tc>
          <w:tcPr>
            <w:tcW w:w="140" w:type="dxa"/>
            <w:vAlign w:val="bottom"/>
          </w:tcPr>
          <w:p>
            <w:pPr>
              <w:spacing w:after="0"/>
              <w:rPr>
                <w:sz w:val="10"/>
                <w:szCs w:val="10"/>
                <w:color w:val="auto"/>
              </w:rPr>
            </w:pPr>
          </w:p>
        </w:tc>
        <w:tc>
          <w:tcPr>
            <w:tcW w:w="880" w:type="dxa"/>
            <w:vAlign w:val="bottom"/>
            <w:gridSpan w:val="3"/>
          </w:tcPr>
          <w:p>
            <w:pPr>
              <w:jc w:val="right"/>
              <w:ind w:right="160"/>
              <w:spacing w:after="0" w:line="124" w:lineRule="exact"/>
              <w:rPr>
                <w:sz w:val="20"/>
                <w:szCs w:val="20"/>
                <w:color w:val="auto"/>
              </w:rPr>
            </w:pPr>
            <w:r>
              <w:rPr>
                <w:rFonts w:ascii="Times New Roman" w:cs="Times New Roman" w:eastAsia="Times New Roman" w:hAnsi="Times New Roman"/>
                <w:sz w:val="11"/>
                <w:szCs w:val="11"/>
                <w:b w:val="1"/>
                <w:bCs w:val="1"/>
                <w:color w:val="auto"/>
                <w:w w:val="95"/>
              </w:rPr>
              <w:t>Comprehensive</w:t>
            </w:r>
          </w:p>
        </w:tc>
        <w:tc>
          <w:tcPr>
            <w:tcW w:w="840" w:type="dxa"/>
            <w:vAlign w:val="bottom"/>
            <w:gridSpan w:val="3"/>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Noncontrolling</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right"/>
              <w:ind w:right="300"/>
              <w:spacing w:after="0" w:line="124" w:lineRule="exact"/>
              <w:rPr>
                <w:sz w:val="20"/>
                <w:szCs w:val="20"/>
                <w:color w:val="auto"/>
              </w:rPr>
            </w:pPr>
            <w:r>
              <w:rPr>
                <w:rFonts w:ascii="Times New Roman" w:cs="Times New Roman" w:eastAsia="Times New Roman" w:hAnsi="Times New Roman"/>
                <w:sz w:val="11"/>
                <w:szCs w:val="11"/>
                <w:b w:val="1"/>
                <w:bCs w:val="1"/>
                <w:color w:val="auto"/>
              </w:rPr>
              <w:t>Interests</w:t>
            </w:r>
          </w:p>
        </w:tc>
        <w:tc>
          <w:tcPr>
            <w:tcW w:w="520" w:type="dxa"/>
            <w:vAlign w:val="bottom"/>
          </w:tcPr>
          <w:p>
            <w:pPr>
              <w:jc w:val="right"/>
              <w:ind w:right="86"/>
              <w:spacing w:after="0" w:line="124" w:lineRule="exact"/>
              <w:rPr>
                <w:sz w:val="20"/>
                <w:szCs w:val="20"/>
                <w:color w:val="auto"/>
              </w:rPr>
            </w:pPr>
            <w:r>
              <w:rPr>
                <w:rFonts w:ascii="Times New Roman" w:cs="Times New Roman" w:eastAsia="Times New Roman" w:hAnsi="Times New Roman"/>
                <w:sz w:val="11"/>
                <w:szCs w:val="11"/>
                <w:b w:val="1"/>
                <w:bCs w:val="1"/>
                <w:color w:val="auto"/>
              </w:rPr>
              <w:t>Units</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ind w:right="26"/>
              <w:spacing w:after="0" w:line="124" w:lineRule="exact"/>
              <w:rPr>
                <w:sz w:val="20"/>
                <w:szCs w:val="20"/>
                <w:color w:val="auto"/>
              </w:rPr>
            </w:pPr>
            <w:r>
              <w:rPr>
                <w:rFonts w:ascii="Times New Roman" w:cs="Times New Roman" w:eastAsia="Times New Roman" w:hAnsi="Times New Roman"/>
                <w:sz w:val="11"/>
                <w:szCs w:val="11"/>
                <w:b w:val="1"/>
                <w:bCs w:val="1"/>
                <w:color w:val="auto"/>
                <w:w w:val="93"/>
              </w:rPr>
              <w:t>Amount</w:t>
            </w:r>
          </w:p>
        </w:tc>
        <w:tc>
          <w:tcPr>
            <w:tcW w:w="140" w:type="dxa"/>
            <w:vAlign w:val="bottom"/>
          </w:tcPr>
          <w:p>
            <w:pPr>
              <w:spacing w:after="0"/>
              <w:rPr>
                <w:sz w:val="10"/>
                <w:szCs w:val="10"/>
                <w:color w:val="auto"/>
              </w:rPr>
            </w:pPr>
          </w:p>
        </w:tc>
        <w:tc>
          <w:tcPr>
            <w:tcW w:w="580" w:type="dxa"/>
            <w:vAlign w:val="bottom"/>
          </w:tcPr>
          <w:p>
            <w:pPr>
              <w:jc w:val="right"/>
              <w:ind w:right="106"/>
              <w:spacing w:after="0" w:line="124" w:lineRule="exact"/>
              <w:rPr>
                <w:sz w:val="20"/>
                <w:szCs w:val="20"/>
                <w:color w:val="auto"/>
              </w:rPr>
            </w:pPr>
            <w:r>
              <w:rPr>
                <w:rFonts w:ascii="Times New Roman" w:cs="Times New Roman" w:eastAsia="Times New Roman" w:hAnsi="Times New Roman"/>
                <w:sz w:val="11"/>
                <w:szCs w:val="11"/>
                <w:b w:val="1"/>
                <w:bCs w:val="1"/>
                <w:color w:val="auto"/>
              </w:rPr>
              <w:t>Units</w:t>
            </w:r>
          </w:p>
        </w:tc>
        <w:tc>
          <w:tcPr>
            <w:tcW w:w="140" w:type="dxa"/>
            <w:vAlign w:val="bottom"/>
          </w:tcPr>
          <w:p>
            <w:pPr>
              <w:spacing w:after="0"/>
              <w:rPr>
                <w:sz w:val="10"/>
                <w:szCs w:val="10"/>
                <w:color w:val="auto"/>
              </w:rPr>
            </w:pPr>
          </w:p>
        </w:tc>
        <w:tc>
          <w:tcPr>
            <w:tcW w:w="600" w:type="dxa"/>
            <w:vAlign w:val="bottom"/>
          </w:tcPr>
          <w:p>
            <w:pPr>
              <w:jc w:val="right"/>
              <w:ind w:right="66"/>
              <w:spacing w:after="0" w:line="124" w:lineRule="exact"/>
              <w:rPr>
                <w:sz w:val="20"/>
                <w:szCs w:val="20"/>
                <w:color w:val="auto"/>
              </w:rPr>
            </w:pPr>
            <w:r>
              <w:rPr>
                <w:rFonts w:ascii="Times New Roman" w:cs="Times New Roman" w:eastAsia="Times New Roman" w:hAnsi="Times New Roman"/>
                <w:sz w:val="11"/>
                <w:szCs w:val="11"/>
                <w:b w:val="1"/>
                <w:bCs w:val="1"/>
                <w:color w:val="auto"/>
              </w:rPr>
              <w:t>Amount</w:t>
            </w:r>
          </w:p>
        </w:tc>
        <w:tc>
          <w:tcPr>
            <w:tcW w:w="140" w:type="dxa"/>
            <w:vAlign w:val="bottom"/>
          </w:tcPr>
          <w:p>
            <w:pPr>
              <w:spacing w:after="0"/>
              <w:rPr>
                <w:sz w:val="10"/>
                <w:szCs w:val="10"/>
                <w:color w:val="auto"/>
              </w:rPr>
            </w:pPr>
          </w:p>
        </w:tc>
        <w:tc>
          <w:tcPr>
            <w:tcW w:w="480" w:type="dxa"/>
            <w:vAlign w:val="bottom"/>
          </w:tcPr>
          <w:p>
            <w:pPr>
              <w:jc w:val="right"/>
              <w:ind w:right="66"/>
              <w:spacing w:after="0" w:line="124" w:lineRule="exact"/>
              <w:rPr>
                <w:sz w:val="20"/>
                <w:szCs w:val="20"/>
                <w:color w:val="auto"/>
              </w:rPr>
            </w:pPr>
            <w:r>
              <w:rPr>
                <w:rFonts w:ascii="Times New Roman" w:cs="Times New Roman" w:eastAsia="Times New Roman" w:hAnsi="Times New Roman"/>
                <w:sz w:val="11"/>
                <w:szCs w:val="11"/>
                <w:b w:val="1"/>
                <w:bCs w:val="1"/>
                <w:color w:val="auto"/>
              </w:rPr>
              <w:t>Units</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ind w:right="26"/>
              <w:spacing w:after="0" w:line="124" w:lineRule="exact"/>
              <w:rPr>
                <w:sz w:val="20"/>
                <w:szCs w:val="20"/>
                <w:color w:val="auto"/>
              </w:rPr>
            </w:pPr>
            <w:r>
              <w:rPr>
                <w:rFonts w:ascii="Times New Roman" w:cs="Times New Roman" w:eastAsia="Times New Roman" w:hAnsi="Times New Roman"/>
                <w:sz w:val="11"/>
                <w:szCs w:val="11"/>
                <w:b w:val="1"/>
                <w:bCs w:val="1"/>
                <w:color w:val="auto"/>
                <w:w w:val="93"/>
              </w:rPr>
              <w:t>Amount</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2"/>
          </w:tcPr>
          <w:p>
            <w:pPr>
              <w:ind w:left="80"/>
              <w:spacing w:after="0" w:line="124" w:lineRule="exact"/>
              <w:rPr>
                <w:sz w:val="20"/>
                <w:szCs w:val="20"/>
                <w:color w:val="auto"/>
              </w:rPr>
            </w:pPr>
            <w:r>
              <w:rPr>
                <w:rFonts w:ascii="Times New Roman" w:cs="Times New Roman" w:eastAsia="Times New Roman" w:hAnsi="Times New Roman"/>
                <w:sz w:val="11"/>
                <w:szCs w:val="11"/>
                <w:b w:val="1"/>
                <w:bCs w:val="1"/>
                <w:color w:val="auto"/>
              </w:rPr>
              <w:t>(Loss)</w:t>
            </w:r>
          </w:p>
        </w:tc>
        <w:tc>
          <w:tcPr>
            <w:tcW w:w="120" w:type="dxa"/>
            <w:vAlign w:val="bottom"/>
          </w:tcPr>
          <w:p>
            <w:pPr>
              <w:spacing w:after="0"/>
              <w:rPr>
                <w:sz w:val="10"/>
                <w:szCs w:val="10"/>
                <w:color w:val="auto"/>
              </w:rPr>
            </w:pPr>
          </w:p>
        </w:tc>
        <w:tc>
          <w:tcPr>
            <w:tcW w:w="720" w:type="dxa"/>
            <w:vAlign w:val="bottom"/>
            <w:gridSpan w:val="2"/>
          </w:tcPr>
          <w:p>
            <w:pPr>
              <w:jc w:val="right"/>
              <w:ind w:right="300"/>
              <w:spacing w:after="0" w:line="124" w:lineRule="exact"/>
              <w:rPr>
                <w:sz w:val="20"/>
                <w:szCs w:val="20"/>
                <w:color w:val="auto"/>
              </w:rPr>
            </w:pPr>
            <w:r>
              <w:rPr>
                <w:rFonts w:ascii="Times New Roman" w:cs="Times New Roman" w:eastAsia="Times New Roman" w:hAnsi="Times New Roman"/>
                <w:sz w:val="11"/>
                <w:szCs w:val="11"/>
                <w:b w:val="1"/>
                <w:bCs w:val="1"/>
                <w:color w:val="auto"/>
                <w:w w:val="97"/>
              </w:rPr>
              <w:t>Interests</w:t>
            </w:r>
          </w:p>
        </w:tc>
        <w:tc>
          <w:tcPr>
            <w:tcW w:w="64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1"/>
                <w:szCs w:val="11"/>
                <w:b w:val="1"/>
                <w:bCs w:val="1"/>
                <w:color w:val="auto"/>
                <w:w w:val="95"/>
              </w:rPr>
              <w:t>Total Capital</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Balance as of</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December 31, 2021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46,995</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92"/>
              </w:rPr>
              <w:t>30,200,000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731,690</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284,415,013</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$ 17,446,758</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99"/>
              </w:rPr>
              <w:t>5,931,771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432,902</w:t>
            </w:r>
          </w:p>
        </w:tc>
        <w:tc>
          <w:tcPr>
            <w:tcW w:w="14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(181,445)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46,882</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$ 18,476,787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1"/>
                <w:szCs w:val="11"/>
                <w:color w:val="auto"/>
              </w:rPr>
              <w:t>Conversion of limited partner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6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common units to general partner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6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common units</w:t>
            </w:r>
          </w:p>
        </w:tc>
        <w:tc>
          <w:tcPr>
            <w:tcW w:w="10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36,284</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2,942</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(36,284)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(2,942)</w:t>
            </w:r>
          </w:p>
        </w:tc>
        <w:tc>
          <w:tcPr>
            <w:tcW w:w="160" w:type="dxa"/>
            <w:vAlign w:val="bottom"/>
          </w:tcPr>
          <w:p>
            <w:pPr>
              <w:spacing w:after="0"/>
              <w:rPr>
                <w:sz w:val="11"/>
                <w:szCs w:val="11"/>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Vesting of restricted common</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units, net</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340,874</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1"/>
                <w:szCs w:val="11"/>
                <w:color w:val="auto"/>
              </w:rPr>
              <w:t>Partial settlement of forward sale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6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agreements, net of costs</w:t>
            </w:r>
          </w:p>
        </w:tc>
        <w:tc>
          <w:tcPr>
            <w:tcW w:w="10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6,250,000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923,463</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923,463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Issuance of limited partner</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common units, net</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393,182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1"/>
                <w:szCs w:val="11"/>
                <w:color w:val="auto"/>
              </w:rPr>
              <w:t>Units issued under equity plans,</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6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net of unit settlement to satisfy</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6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tax withholding upon vesting</w:t>
            </w:r>
          </w:p>
        </w:tc>
        <w:tc>
          <w:tcPr>
            <w:tcW w:w="10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106,051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8,639</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8,639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Units repurchased and retired to</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satisfy tax withholding upon</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vesting</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(7,143)</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(7,143)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1"/>
                <w:szCs w:val="11"/>
                <w:color w:val="auto"/>
              </w:rPr>
              <w:t>Amortization of share-based</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6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compensation</w:t>
            </w:r>
          </w:p>
        </w:tc>
        <w:tc>
          <w:tcPr>
            <w:tcW w:w="10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92,461</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92,461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Reclassification of vested share-</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based awards</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(29,864)</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29,864</w:t>
            </w:r>
          </w:p>
        </w:tc>
        <w:tc>
          <w:tcPr>
            <w:tcW w:w="14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1"/>
                <w:szCs w:val="11"/>
                <w:color w:val="auto"/>
              </w:rPr>
              <w:t>Adjustment to redeemable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6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partnership units</w:t>
            </w: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(11,954)</w:t>
            </w: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11,954</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11,954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Distributions</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(760)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(40,724)</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(1,403,344)</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(30,796)</w:t>
            </w:r>
          </w:p>
        </w:tc>
        <w:tc>
          <w:tcPr>
            <w:tcW w:w="14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(1,474,864)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1"/>
                <w:szCs w:val="11"/>
                <w:color w:val="auto"/>
              </w:rPr>
              <w:t>Redeemable noncontrolling</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6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interests associated with</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6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acquisition of Teraco</w:t>
            </w: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1,530,090</w:t>
            </w: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Contributions from</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noncontrolling interests in</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consolidated entities</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1,703</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46,277</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46,277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1"/>
                <w:szCs w:val="11"/>
                <w:color w:val="auto"/>
              </w:rPr>
              <w:t>Sale of noncontrolling interest in</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6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property to DCRU</w:t>
            </w:r>
          </w:p>
        </w:tc>
        <w:tc>
          <w:tcPr>
            <w:tcW w:w="10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64,616</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12,275</w:t>
            </w: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76,891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 (loss)</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(4,653)</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40,724</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336,960</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7,914</w:t>
            </w:r>
          </w:p>
        </w:tc>
        <w:tc>
          <w:tcPr>
            <w:tcW w:w="14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(620)</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384,978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1"/>
                <w:szCs w:val="11"/>
                <w:color w:val="auto"/>
              </w:rPr>
              <w:t>Other comprehensive income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6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(loss)</w:t>
            </w: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(46,742)</w:t>
            </w: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(431,978)</w:t>
            </w:r>
          </w:p>
        </w:tc>
        <w:tc>
          <w:tcPr>
            <w:tcW w:w="120" w:type="dxa"/>
            <w:vAlign w:val="bottom"/>
          </w:tcPr>
          <w:p>
            <w:pPr>
              <w:spacing w:after="0"/>
              <w:rPr>
                <w:sz w:val="11"/>
                <w:szCs w:val="11"/>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(431,978)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Balance as of</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20" w:type="dxa"/>
            <w:vAlign w:val="bottom"/>
          </w:tcPr>
          <w:p>
            <w:pPr>
              <w:spacing w:after="0"/>
              <w:rPr>
                <w:sz w:val="9"/>
                <w:szCs w:val="9"/>
                <w:color w:val="auto"/>
              </w:rPr>
            </w:pPr>
          </w:p>
        </w:tc>
        <w:tc>
          <w:tcPr>
            <w:tcW w:w="1580" w:type="dxa"/>
            <w:vAlign w:val="bottom"/>
            <w:vMerge w:val="continue"/>
            <w:shd w:val="clear" w:color="auto" w:fill="CCEEFF"/>
          </w:tcPr>
          <w:p>
            <w:pPr>
              <w:spacing w:after="0"/>
              <w:rPr>
                <w:sz w:val="9"/>
                <w:szCs w:val="9"/>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1,514,679</w:t>
            </w:r>
          </w:p>
        </w:tc>
        <w:tc>
          <w:tcPr>
            <w:tcW w:w="14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92"/>
              </w:rPr>
              <w:t>30,200,000</w:t>
            </w:r>
          </w:p>
        </w:tc>
        <w:tc>
          <w:tcPr>
            <w:tcW w:w="140" w:type="dxa"/>
            <w:vAlign w:val="bottom"/>
            <w:vMerge w:val="restart"/>
            <w:shd w:val="clear" w:color="auto" w:fill="CCEEFF"/>
          </w:tcPr>
          <w:p>
            <w:pPr>
              <w:spacing w:after="0"/>
              <w:rPr>
                <w:sz w:val="9"/>
                <w:szCs w:val="9"/>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731,690</w:t>
            </w:r>
          </w:p>
        </w:tc>
        <w:tc>
          <w:tcPr>
            <w:tcW w:w="140" w:type="dxa"/>
            <w:vAlign w:val="bottom"/>
            <w:vMerge w:val="restart"/>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94"/>
              </w:rPr>
              <w:t>291,148,222</w:t>
            </w:r>
          </w:p>
        </w:tc>
        <w:tc>
          <w:tcPr>
            <w:tcW w:w="140" w:type="dxa"/>
            <w:vAlign w:val="bottom"/>
            <w:vMerge w:val="restart"/>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98"/>
              </w:rPr>
              <w:t>$</w:t>
            </w:r>
            <w:r>
              <w:rPr>
                <w:rFonts w:ascii="Times New Roman" w:cs="Times New Roman" w:eastAsia="Times New Roman" w:hAnsi="Times New Roman"/>
                <w:sz w:val="11"/>
                <w:szCs w:val="11"/>
                <w:b w:val="1"/>
                <w:bCs w:val="1"/>
                <w:color w:val="auto"/>
                <w:w w:val="98"/>
              </w:rPr>
              <w:t>17,447,442</w:t>
            </w:r>
          </w:p>
        </w:tc>
        <w:tc>
          <w:tcPr>
            <w:tcW w:w="14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99"/>
              </w:rPr>
              <w:t>6,288,669</w:t>
            </w:r>
          </w:p>
        </w:tc>
        <w:tc>
          <w:tcPr>
            <w:tcW w:w="140" w:type="dxa"/>
            <w:vAlign w:val="bottom"/>
            <w:vMerge w:val="restart"/>
            <w:shd w:val="clear" w:color="auto" w:fill="CCEEFF"/>
          </w:tcPr>
          <w:p>
            <w:pPr>
              <w:spacing w:after="0"/>
              <w:rPr>
                <w:sz w:val="9"/>
                <w:szCs w:val="9"/>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436,942</w:t>
            </w:r>
          </w:p>
        </w:tc>
        <w:tc>
          <w:tcPr>
            <w:tcW w:w="140" w:type="dxa"/>
            <w:vAlign w:val="bottom"/>
            <w:tcBorders>
              <w:right w:val="single" w:sz="8" w:color="CCEEFF"/>
            </w:tcBorders>
            <w:shd w:val="clear" w:color="auto" w:fill="CCEEFF"/>
          </w:tcPr>
          <w:p>
            <w:pPr>
              <w:spacing w:after="0"/>
              <w:rPr>
                <w:sz w:val="9"/>
                <w:szCs w:val="9"/>
                <w:color w:val="auto"/>
              </w:rPr>
            </w:pPr>
          </w:p>
        </w:tc>
        <w:tc>
          <w:tcPr>
            <w:tcW w:w="16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(613,423)</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104,814</w:t>
            </w:r>
          </w:p>
        </w:tc>
        <w:tc>
          <w:tcPr>
            <w:tcW w:w="16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$ 18,107,465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December 31, 2022</w:t>
            </w:r>
          </w:p>
        </w:tc>
        <w:tc>
          <w:tcPr>
            <w:tcW w:w="100" w:type="dxa"/>
            <w:vAlign w:val="bottom"/>
            <w:vMerge w:val="continue"/>
            <w:shd w:val="clear" w:color="auto" w:fill="CCEEFF"/>
          </w:tcPr>
          <w:p>
            <w:pPr>
              <w:spacing w:after="0"/>
              <w:rPr>
                <w:sz w:val="10"/>
                <w:szCs w:val="10"/>
                <w:color w:val="auto"/>
              </w:rPr>
            </w:pPr>
          </w:p>
        </w:tc>
        <w:tc>
          <w:tcPr>
            <w:tcW w:w="600" w:type="dxa"/>
            <w:vAlign w:val="bottom"/>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vMerge w:val="continue"/>
            <w:shd w:val="clear" w:color="auto" w:fill="CCEEFF"/>
          </w:tcPr>
          <w:p>
            <w:pPr>
              <w:spacing w:after="0"/>
              <w:rPr>
                <w:sz w:val="10"/>
                <w:szCs w:val="10"/>
                <w:color w:val="auto"/>
              </w:rPr>
            </w:pPr>
          </w:p>
        </w:tc>
        <w:tc>
          <w:tcPr>
            <w:tcW w:w="140" w:type="dxa"/>
            <w:vAlign w:val="bottom"/>
            <w:vMerge w:val="continue"/>
            <w:shd w:val="clear" w:color="auto" w:fill="CCEEFF"/>
          </w:tcPr>
          <w:p>
            <w:pPr>
              <w:spacing w:after="0"/>
              <w:rPr>
                <w:sz w:val="10"/>
                <w:szCs w:val="10"/>
                <w:color w:val="auto"/>
              </w:rPr>
            </w:pPr>
          </w:p>
        </w:tc>
        <w:tc>
          <w:tcPr>
            <w:tcW w:w="80" w:type="dxa"/>
            <w:vAlign w:val="bottom"/>
            <w:vMerge w:val="continue"/>
            <w:shd w:val="clear" w:color="auto" w:fill="CCEEFF"/>
          </w:tcPr>
          <w:p>
            <w:pPr>
              <w:spacing w:after="0"/>
              <w:rPr>
                <w:sz w:val="10"/>
                <w:szCs w:val="10"/>
                <w:color w:val="auto"/>
              </w:rPr>
            </w:pPr>
          </w:p>
        </w:tc>
        <w:tc>
          <w:tcPr>
            <w:tcW w:w="460" w:type="dxa"/>
            <w:vAlign w:val="bottom"/>
            <w:vMerge w:val="continue"/>
            <w:shd w:val="clear" w:color="auto" w:fill="CCEEFF"/>
          </w:tcPr>
          <w:p>
            <w:pPr>
              <w:spacing w:after="0"/>
              <w:rPr>
                <w:sz w:val="10"/>
                <w:szCs w:val="10"/>
                <w:color w:val="auto"/>
              </w:rPr>
            </w:pPr>
          </w:p>
        </w:tc>
        <w:tc>
          <w:tcPr>
            <w:tcW w:w="140" w:type="dxa"/>
            <w:vAlign w:val="bottom"/>
            <w:vMerge w:val="continue"/>
            <w:shd w:val="clear" w:color="auto" w:fill="CCEEFF"/>
          </w:tcPr>
          <w:p>
            <w:pPr>
              <w:spacing w:after="0"/>
              <w:rPr>
                <w:sz w:val="10"/>
                <w:szCs w:val="10"/>
                <w:color w:val="auto"/>
              </w:rPr>
            </w:pPr>
          </w:p>
        </w:tc>
        <w:tc>
          <w:tcPr>
            <w:tcW w:w="580" w:type="dxa"/>
            <w:vAlign w:val="bottom"/>
            <w:vMerge w:val="continue"/>
            <w:shd w:val="clear" w:color="auto" w:fill="CCEEFF"/>
          </w:tcPr>
          <w:p>
            <w:pPr>
              <w:spacing w:after="0"/>
              <w:rPr>
                <w:sz w:val="10"/>
                <w:szCs w:val="10"/>
                <w:color w:val="auto"/>
              </w:rPr>
            </w:pPr>
          </w:p>
        </w:tc>
        <w:tc>
          <w:tcPr>
            <w:tcW w:w="140" w:type="dxa"/>
            <w:vAlign w:val="bottom"/>
            <w:vMerge w:val="continue"/>
            <w:shd w:val="clear" w:color="auto" w:fill="CCEEFF"/>
          </w:tcPr>
          <w:p>
            <w:pPr>
              <w:spacing w:after="0"/>
              <w:rPr>
                <w:sz w:val="10"/>
                <w:szCs w:val="10"/>
                <w:color w:val="auto"/>
              </w:rPr>
            </w:pPr>
          </w:p>
        </w:tc>
        <w:tc>
          <w:tcPr>
            <w:tcW w:w="600" w:type="dxa"/>
            <w:vAlign w:val="bottom"/>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vMerge w:val="continue"/>
            <w:shd w:val="clear" w:color="auto" w:fill="CCEEFF"/>
          </w:tcPr>
          <w:p>
            <w:pPr>
              <w:spacing w:after="0"/>
              <w:rPr>
                <w:sz w:val="10"/>
                <w:szCs w:val="10"/>
                <w:color w:val="auto"/>
              </w:rPr>
            </w:pPr>
          </w:p>
        </w:tc>
        <w:tc>
          <w:tcPr>
            <w:tcW w:w="140" w:type="dxa"/>
            <w:vAlign w:val="bottom"/>
            <w:vMerge w:val="continue"/>
            <w:shd w:val="clear" w:color="auto" w:fill="CCEEFF"/>
          </w:tcPr>
          <w:p>
            <w:pPr>
              <w:spacing w:after="0"/>
              <w:rPr>
                <w:sz w:val="10"/>
                <w:szCs w:val="10"/>
                <w:color w:val="auto"/>
              </w:rPr>
            </w:pPr>
          </w:p>
        </w:tc>
        <w:tc>
          <w:tcPr>
            <w:tcW w:w="80" w:type="dxa"/>
            <w:vAlign w:val="bottom"/>
            <w:vMerge w:val="continue"/>
            <w:shd w:val="clear" w:color="auto" w:fill="CCEEFF"/>
          </w:tcPr>
          <w:p>
            <w:pPr>
              <w:spacing w:after="0"/>
              <w:rPr>
                <w:sz w:val="10"/>
                <w:szCs w:val="10"/>
                <w:color w:val="auto"/>
              </w:rPr>
            </w:pPr>
          </w:p>
        </w:tc>
        <w:tc>
          <w:tcPr>
            <w:tcW w:w="460" w:type="dxa"/>
            <w:vAlign w:val="bottom"/>
            <w:vMerge w:val="continue"/>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160" w:type="dxa"/>
            <w:vAlign w:val="bottom"/>
            <w:vMerge w:val="continue"/>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120" w:type="dxa"/>
            <w:vAlign w:val="bottom"/>
            <w:vMerge w:val="continue"/>
            <w:shd w:val="clear" w:color="auto" w:fill="CCEEFF"/>
          </w:tcPr>
          <w:p>
            <w:pPr>
              <w:spacing w:after="0"/>
              <w:rPr>
                <w:sz w:val="10"/>
                <w:szCs w:val="10"/>
                <w:color w:val="auto"/>
              </w:rPr>
            </w:pPr>
          </w:p>
        </w:tc>
        <w:tc>
          <w:tcPr>
            <w:tcW w:w="560" w:type="dxa"/>
            <w:vAlign w:val="bottom"/>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vMerge w:val="continue"/>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the consolidated financial statements.</w:t>
      </w: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310515</wp:posOffset>
            </wp:positionV>
            <wp:extent cx="5632450" cy="152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3245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06" w:name="page107"/>
    <w:bookmarkEnd w:id="106"/>
    <w:p>
      <w:pPr>
        <w:ind w:left="6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6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CAPITAL (continued)</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unit data)</w:t>
      </w:r>
    </w:p>
    <w:p>
      <w:pPr>
        <w:spacing w:after="0" w:line="361" w:lineRule="exact"/>
        <w:rPr>
          <w:sz w:val="20"/>
          <w:szCs w:val="20"/>
          <w:color w:val="auto"/>
        </w:rPr>
      </w:pPr>
    </w:p>
    <w:tbl>
      <w:tblPr>
        <w:tblLayout w:type="fixed"/>
        <w:tblInd w:w="6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4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Redeemable</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3"/>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General Partner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5"/>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Limited Partners</w:t>
            </w:r>
          </w:p>
        </w:tc>
        <w:tc>
          <w:tcPr>
            <w:tcW w:w="160" w:type="dxa"/>
            <w:vAlign w:val="bottom"/>
          </w:tcPr>
          <w:p>
            <w:pPr>
              <w:spacing w:after="0"/>
              <w:rPr>
                <w:sz w:val="11"/>
                <w:szCs w:val="11"/>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Other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40" w:type="dxa"/>
            <w:vAlign w:val="bottom"/>
            <w:gridSpan w:val="3"/>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Noncontrolling</w:t>
            </w:r>
          </w:p>
        </w:tc>
        <w:tc>
          <w:tcPr>
            <w:tcW w:w="1200" w:type="dxa"/>
            <w:vAlign w:val="bottom"/>
            <w:tcBorders>
              <w:top w:val="single" w:sz="8" w:color="auto"/>
              <w:bottom w:val="single" w:sz="8" w:color="auto"/>
            </w:tcBorders>
            <w:gridSpan w:val="4"/>
          </w:tcPr>
          <w:p>
            <w:pPr>
              <w:jc w:val="right"/>
              <w:ind w:right="186"/>
              <w:spacing w:after="0" w:line="124" w:lineRule="exact"/>
              <w:rPr>
                <w:sz w:val="20"/>
                <w:szCs w:val="20"/>
                <w:color w:val="auto"/>
              </w:rPr>
            </w:pPr>
            <w:r>
              <w:rPr>
                <w:rFonts w:ascii="Times New Roman" w:cs="Times New Roman" w:eastAsia="Times New Roman" w:hAnsi="Times New Roman"/>
                <w:sz w:val="11"/>
                <w:szCs w:val="11"/>
                <w:b w:val="1"/>
                <w:bCs w:val="1"/>
                <w:color w:val="auto"/>
              </w:rPr>
              <w:t>Preferred Units</w:t>
            </w:r>
          </w:p>
        </w:tc>
        <w:tc>
          <w:tcPr>
            <w:tcW w:w="140" w:type="dxa"/>
            <w:vAlign w:val="bottom"/>
            <w:tcBorders>
              <w:top w:val="single" w:sz="8" w:color="auto"/>
            </w:tcBorders>
          </w:tcPr>
          <w:p>
            <w:pPr>
              <w:spacing w:after="0"/>
              <w:rPr>
                <w:sz w:val="10"/>
                <w:szCs w:val="10"/>
                <w:color w:val="auto"/>
              </w:rPr>
            </w:pPr>
          </w:p>
        </w:tc>
        <w:tc>
          <w:tcPr>
            <w:tcW w:w="1320" w:type="dxa"/>
            <w:vAlign w:val="bottom"/>
            <w:tcBorders>
              <w:top w:val="single" w:sz="8" w:color="auto"/>
              <w:bottom w:val="single" w:sz="8" w:color="auto"/>
            </w:tcBorders>
            <w:gridSpan w:val="3"/>
          </w:tcPr>
          <w:p>
            <w:pPr>
              <w:jc w:val="right"/>
              <w:ind w:right="246"/>
              <w:spacing w:after="0" w:line="124" w:lineRule="exact"/>
              <w:rPr>
                <w:sz w:val="20"/>
                <w:szCs w:val="20"/>
                <w:color w:val="auto"/>
              </w:rPr>
            </w:pPr>
            <w:r>
              <w:rPr>
                <w:rFonts w:ascii="Times New Roman" w:cs="Times New Roman" w:eastAsia="Times New Roman" w:hAnsi="Times New Roman"/>
                <w:sz w:val="11"/>
                <w:szCs w:val="11"/>
                <w:b w:val="1"/>
                <w:bCs w:val="1"/>
                <w:color w:val="auto"/>
              </w:rPr>
              <w:t>Common Units</w:t>
            </w:r>
          </w:p>
        </w:tc>
        <w:tc>
          <w:tcPr>
            <w:tcW w:w="140" w:type="dxa"/>
            <w:vAlign w:val="bottom"/>
          </w:tcPr>
          <w:p>
            <w:pPr>
              <w:spacing w:after="0"/>
              <w:rPr>
                <w:sz w:val="10"/>
                <w:szCs w:val="10"/>
                <w:color w:val="auto"/>
              </w:rPr>
            </w:pPr>
          </w:p>
        </w:tc>
        <w:tc>
          <w:tcPr>
            <w:tcW w:w="1160" w:type="dxa"/>
            <w:vAlign w:val="bottom"/>
            <w:tcBorders>
              <w:top w:val="single" w:sz="8" w:color="auto"/>
              <w:bottom w:val="single" w:sz="8" w:color="auto"/>
            </w:tcBorders>
            <w:gridSpan w:val="4"/>
          </w:tcPr>
          <w:p>
            <w:pPr>
              <w:jc w:val="right"/>
              <w:ind w:right="166"/>
              <w:spacing w:after="0" w:line="124" w:lineRule="exact"/>
              <w:rPr>
                <w:sz w:val="20"/>
                <w:szCs w:val="20"/>
                <w:color w:val="auto"/>
              </w:rPr>
            </w:pPr>
            <w:r>
              <w:rPr>
                <w:rFonts w:ascii="Times New Roman" w:cs="Times New Roman" w:eastAsia="Times New Roman" w:hAnsi="Times New Roman"/>
                <w:sz w:val="11"/>
                <w:szCs w:val="11"/>
                <w:b w:val="1"/>
                <w:bCs w:val="1"/>
                <w:color w:val="auto"/>
              </w:rPr>
              <w:t>Common Units</w:t>
            </w:r>
          </w:p>
        </w:tc>
        <w:tc>
          <w:tcPr>
            <w:tcW w:w="140" w:type="dxa"/>
            <w:vAlign w:val="bottom"/>
          </w:tcPr>
          <w:p>
            <w:pPr>
              <w:spacing w:after="0"/>
              <w:rPr>
                <w:sz w:val="10"/>
                <w:szCs w:val="10"/>
                <w:color w:val="auto"/>
              </w:rPr>
            </w:pPr>
          </w:p>
        </w:tc>
        <w:tc>
          <w:tcPr>
            <w:tcW w:w="880" w:type="dxa"/>
            <w:vAlign w:val="bottom"/>
            <w:gridSpan w:val="3"/>
          </w:tcPr>
          <w:p>
            <w:pPr>
              <w:jc w:val="right"/>
              <w:ind w:right="160"/>
              <w:spacing w:after="0" w:line="124" w:lineRule="exact"/>
              <w:rPr>
                <w:sz w:val="20"/>
                <w:szCs w:val="20"/>
                <w:color w:val="auto"/>
              </w:rPr>
            </w:pPr>
            <w:r>
              <w:rPr>
                <w:rFonts w:ascii="Times New Roman" w:cs="Times New Roman" w:eastAsia="Times New Roman" w:hAnsi="Times New Roman"/>
                <w:sz w:val="11"/>
                <w:szCs w:val="11"/>
                <w:b w:val="1"/>
                <w:bCs w:val="1"/>
                <w:color w:val="auto"/>
                <w:w w:val="95"/>
              </w:rPr>
              <w:t>Comprehensive</w:t>
            </w:r>
          </w:p>
        </w:tc>
        <w:tc>
          <w:tcPr>
            <w:tcW w:w="840" w:type="dxa"/>
            <w:vAlign w:val="bottom"/>
            <w:gridSpan w:val="3"/>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Noncontrolling</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right"/>
              <w:ind w:right="300"/>
              <w:spacing w:after="0" w:line="124" w:lineRule="exact"/>
              <w:rPr>
                <w:sz w:val="20"/>
                <w:szCs w:val="20"/>
                <w:color w:val="auto"/>
              </w:rPr>
            </w:pPr>
            <w:r>
              <w:rPr>
                <w:rFonts w:ascii="Times New Roman" w:cs="Times New Roman" w:eastAsia="Times New Roman" w:hAnsi="Times New Roman"/>
                <w:sz w:val="11"/>
                <w:szCs w:val="11"/>
                <w:b w:val="1"/>
                <w:bCs w:val="1"/>
                <w:color w:val="auto"/>
              </w:rPr>
              <w:t>Interests</w:t>
            </w:r>
          </w:p>
        </w:tc>
        <w:tc>
          <w:tcPr>
            <w:tcW w:w="520" w:type="dxa"/>
            <w:vAlign w:val="bottom"/>
          </w:tcPr>
          <w:p>
            <w:pPr>
              <w:jc w:val="right"/>
              <w:ind w:right="86"/>
              <w:spacing w:after="0" w:line="124" w:lineRule="exact"/>
              <w:rPr>
                <w:sz w:val="20"/>
                <w:szCs w:val="20"/>
                <w:color w:val="auto"/>
              </w:rPr>
            </w:pPr>
            <w:r>
              <w:rPr>
                <w:rFonts w:ascii="Times New Roman" w:cs="Times New Roman" w:eastAsia="Times New Roman" w:hAnsi="Times New Roman"/>
                <w:sz w:val="11"/>
                <w:szCs w:val="11"/>
                <w:b w:val="1"/>
                <w:bCs w:val="1"/>
                <w:color w:val="auto"/>
              </w:rPr>
              <w:t>Units</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ind w:right="26"/>
              <w:spacing w:after="0" w:line="124" w:lineRule="exact"/>
              <w:rPr>
                <w:sz w:val="20"/>
                <w:szCs w:val="20"/>
                <w:color w:val="auto"/>
              </w:rPr>
            </w:pPr>
            <w:r>
              <w:rPr>
                <w:rFonts w:ascii="Times New Roman" w:cs="Times New Roman" w:eastAsia="Times New Roman" w:hAnsi="Times New Roman"/>
                <w:sz w:val="11"/>
                <w:szCs w:val="11"/>
                <w:b w:val="1"/>
                <w:bCs w:val="1"/>
                <w:color w:val="auto"/>
                <w:w w:val="93"/>
              </w:rPr>
              <w:t>Amount</w:t>
            </w:r>
          </w:p>
        </w:tc>
        <w:tc>
          <w:tcPr>
            <w:tcW w:w="140" w:type="dxa"/>
            <w:vAlign w:val="bottom"/>
          </w:tcPr>
          <w:p>
            <w:pPr>
              <w:spacing w:after="0"/>
              <w:rPr>
                <w:sz w:val="10"/>
                <w:szCs w:val="10"/>
                <w:color w:val="auto"/>
              </w:rPr>
            </w:pPr>
          </w:p>
        </w:tc>
        <w:tc>
          <w:tcPr>
            <w:tcW w:w="580" w:type="dxa"/>
            <w:vAlign w:val="bottom"/>
          </w:tcPr>
          <w:p>
            <w:pPr>
              <w:jc w:val="right"/>
              <w:ind w:right="106"/>
              <w:spacing w:after="0" w:line="124" w:lineRule="exact"/>
              <w:rPr>
                <w:sz w:val="20"/>
                <w:szCs w:val="20"/>
                <w:color w:val="auto"/>
              </w:rPr>
            </w:pPr>
            <w:r>
              <w:rPr>
                <w:rFonts w:ascii="Times New Roman" w:cs="Times New Roman" w:eastAsia="Times New Roman" w:hAnsi="Times New Roman"/>
                <w:sz w:val="11"/>
                <w:szCs w:val="11"/>
                <w:b w:val="1"/>
                <w:bCs w:val="1"/>
                <w:color w:val="auto"/>
              </w:rPr>
              <w:t>Units</w:t>
            </w:r>
          </w:p>
        </w:tc>
        <w:tc>
          <w:tcPr>
            <w:tcW w:w="140" w:type="dxa"/>
            <w:vAlign w:val="bottom"/>
          </w:tcPr>
          <w:p>
            <w:pPr>
              <w:spacing w:after="0"/>
              <w:rPr>
                <w:sz w:val="10"/>
                <w:szCs w:val="10"/>
                <w:color w:val="auto"/>
              </w:rPr>
            </w:pPr>
          </w:p>
        </w:tc>
        <w:tc>
          <w:tcPr>
            <w:tcW w:w="600" w:type="dxa"/>
            <w:vAlign w:val="bottom"/>
          </w:tcPr>
          <w:p>
            <w:pPr>
              <w:jc w:val="right"/>
              <w:ind w:right="66"/>
              <w:spacing w:after="0" w:line="124" w:lineRule="exact"/>
              <w:rPr>
                <w:sz w:val="20"/>
                <w:szCs w:val="20"/>
                <w:color w:val="auto"/>
              </w:rPr>
            </w:pPr>
            <w:r>
              <w:rPr>
                <w:rFonts w:ascii="Times New Roman" w:cs="Times New Roman" w:eastAsia="Times New Roman" w:hAnsi="Times New Roman"/>
                <w:sz w:val="11"/>
                <w:szCs w:val="11"/>
                <w:b w:val="1"/>
                <w:bCs w:val="1"/>
                <w:color w:val="auto"/>
              </w:rPr>
              <w:t>Amount</w:t>
            </w:r>
          </w:p>
        </w:tc>
        <w:tc>
          <w:tcPr>
            <w:tcW w:w="140" w:type="dxa"/>
            <w:vAlign w:val="bottom"/>
          </w:tcPr>
          <w:p>
            <w:pPr>
              <w:spacing w:after="0"/>
              <w:rPr>
                <w:sz w:val="10"/>
                <w:szCs w:val="10"/>
                <w:color w:val="auto"/>
              </w:rPr>
            </w:pPr>
          </w:p>
        </w:tc>
        <w:tc>
          <w:tcPr>
            <w:tcW w:w="620" w:type="dxa"/>
            <w:vAlign w:val="bottom"/>
            <w:gridSpan w:val="2"/>
          </w:tcPr>
          <w:p>
            <w:pPr>
              <w:jc w:val="right"/>
              <w:ind w:right="260"/>
              <w:spacing w:after="0" w:line="124" w:lineRule="exact"/>
              <w:rPr>
                <w:sz w:val="20"/>
                <w:szCs w:val="20"/>
                <w:color w:val="auto"/>
              </w:rPr>
            </w:pPr>
            <w:r>
              <w:rPr>
                <w:rFonts w:ascii="Times New Roman" w:cs="Times New Roman" w:eastAsia="Times New Roman" w:hAnsi="Times New Roman"/>
                <w:sz w:val="11"/>
                <w:szCs w:val="11"/>
                <w:b w:val="1"/>
                <w:bCs w:val="1"/>
                <w:color w:val="auto"/>
              </w:rPr>
              <w:t>Units</w:t>
            </w:r>
          </w:p>
        </w:tc>
        <w:tc>
          <w:tcPr>
            <w:tcW w:w="80" w:type="dxa"/>
            <w:vAlign w:val="bottom"/>
          </w:tcPr>
          <w:p>
            <w:pPr>
              <w:spacing w:after="0"/>
              <w:rPr>
                <w:sz w:val="10"/>
                <w:szCs w:val="10"/>
                <w:color w:val="auto"/>
              </w:rPr>
            </w:pPr>
          </w:p>
        </w:tc>
        <w:tc>
          <w:tcPr>
            <w:tcW w:w="460" w:type="dxa"/>
            <w:vAlign w:val="bottom"/>
          </w:tcPr>
          <w:p>
            <w:pPr>
              <w:jc w:val="right"/>
              <w:ind w:right="26"/>
              <w:spacing w:after="0" w:line="124" w:lineRule="exact"/>
              <w:rPr>
                <w:sz w:val="20"/>
                <w:szCs w:val="20"/>
                <w:color w:val="auto"/>
              </w:rPr>
            </w:pPr>
            <w:r>
              <w:rPr>
                <w:rFonts w:ascii="Times New Roman" w:cs="Times New Roman" w:eastAsia="Times New Roman" w:hAnsi="Times New Roman"/>
                <w:sz w:val="11"/>
                <w:szCs w:val="11"/>
                <w:b w:val="1"/>
                <w:bCs w:val="1"/>
                <w:color w:val="auto"/>
                <w:w w:val="93"/>
              </w:rPr>
              <w:t>Amount</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2"/>
          </w:tcPr>
          <w:p>
            <w:pPr>
              <w:ind w:left="80"/>
              <w:spacing w:after="0" w:line="124" w:lineRule="exact"/>
              <w:rPr>
                <w:sz w:val="20"/>
                <w:szCs w:val="20"/>
                <w:color w:val="auto"/>
              </w:rPr>
            </w:pPr>
            <w:r>
              <w:rPr>
                <w:rFonts w:ascii="Times New Roman" w:cs="Times New Roman" w:eastAsia="Times New Roman" w:hAnsi="Times New Roman"/>
                <w:sz w:val="11"/>
                <w:szCs w:val="11"/>
                <w:b w:val="1"/>
                <w:bCs w:val="1"/>
                <w:color w:val="auto"/>
              </w:rPr>
              <w:t>(Loss)</w:t>
            </w:r>
          </w:p>
        </w:tc>
        <w:tc>
          <w:tcPr>
            <w:tcW w:w="120" w:type="dxa"/>
            <w:vAlign w:val="bottom"/>
          </w:tcPr>
          <w:p>
            <w:pPr>
              <w:spacing w:after="0"/>
              <w:rPr>
                <w:sz w:val="10"/>
                <w:szCs w:val="10"/>
                <w:color w:val="auto"/>
              </w:rPr>
            </w:pPr>
          </w:p>
        </w:tc>
        <w:tc>
          <w:tcPr>
            <w:tcW w:w="720" w:type="dxa"/>
            <w:vAlign w:val="bottom"/>
            <w:gridSpan w:val="2"/>
          </w:tcPr>
          <w:p>
            <w:pPr>
              <w:jc w:val="right"/>
              <w:ind w:right="300"/>
              <w:spacing w:after="0" w:line="124" w:lineRule="exact"/>
              <w:rPr>
                <w:sz w:val="20"/>
                <w:szCs w:val="20"/>
                <w:color w:val="auto"/>
              </w:rPr>
            </w:pPr>
            <w:r>
              <w:rPr>
                <w:rFonts w:ascii="Times New Roman" w:cs="Times New Roman" w:eastAsia="Times New Roman" w:hAnsi="Times New Roman"/>
                <w:sz w:val="11"/>
                <w:szCs w:val="11"/>
                <w:b w:val="1"/>
                <w:bCs w:val="1"/>
                <w:color w:val="auto"/>
                <w:w w:val="97"/>
              </w:rPr>
              <w:t>Interests</w:t>
            </w:r>
          </w:p>
        </w:tc>
        <w:tc>
          <w:tcPr>
            <w:tcW w:w="64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1"/>
                <w:szCs w:val="11"/>
                <w:b w:val="1"/>
                <w:bCs w:val="1"/>
                <w:color w:val="auto"/>
                <w:w w:val="95"/>
              </w:rPr>
              <w:t>Total Capital</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Balance as of</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1,514,679</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92"/>
              </w:rPr>
              <w:t>30,200,000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731,690</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291,148,222</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$ 17,447,442</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99"/>
              </w:rPr>
              <w:t>6,288,669</w:t>
            </w:r>
          </w:p>
        </w:tc>
        <w:tc>
          <w:tcPr>
            <w:tcW w:w="1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436,942</w:t>
            </w:r>
          </w:p>
        </w:tc>
        <w:tc>
          <w:tcPr>
            <w:tcW w:w="14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(613,423)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104,814</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$ 18,107,465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1"/>
                <w:szCs w:val="11"/>
                <w:color w:val="auto"/>
              </w:rPr>
              <w:t>Conversion of limited partner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6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common units to general partner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6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common units</w:t>
            </w:r>
          </w:p>
        </w:tc>
        <w:tc>
          <w:tcPr>
            <w:tcW w:w="10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112,607</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8,234</w:t>
            </w:r>
          </w:p>
        </w:tc>
        <w:tc>
          <w:tcPr>
            <w:tcW w:w="14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(112,607)</w:t>
            </w:r>
          </w:p>
        </w:tc>
        <w:tc>
          <w:tcPr>
            <w:tcW w:w="80" w:type="dxa"/>
            <w:vAlign w:val="bottom"/>
          </w:tcPr>
          <w:p>
            <w:pPr>
              <w:spacing w:after="0"/>
              <w:rPr>
                <w:sz w:val="11"/>
                <w:szCs w:val="11"/>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(8,234)</w:t>
            </w:r>
          </w:p>
        </w:tc>
        <w:tc>
          <w:tcPr>
            <w:tcW w:w="160" w:type="dxa"/>
            <w:vAlign w:val="bottom"/>
          </w:tcPr>
          <w:p>
            <w:pPr>
              <w:spacing w:after="0"/>
              <w:rPr>
                <w:sz w:val="11"/>
                <w:szCs w:val="11"/>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Vesting of restricted common</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units, net</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265,671</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6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1"/>
                <w:szCs w:val="11"/>
                <w:color w:val="auto"/>
              </w:rPr>
              <w:t>Issuance of common units, net 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6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costs</w:t>
            </w:r>
          </w:p>
        </w:tc>
        <w:tc>
          <w:tcPr>
            <w:tcW w:w="10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19,957,541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2,207,260</w:t>
            </w:r>
          </w:p>
        </w:tc>
        <w:tc>
          <w:tcPr>
            <w:tcW w:w="140" w:type="dxa"/>
            <w:vAlign w:val="bottom"/>
          </w:tcPr>
          <w:p>
            <w:pPr>
              <w:spacing w:after="0"/>
              <w:rPr>
                <w:sz w:val="11"/>
                <w:szCs w:val="11"/>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2,207,260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Issuance of limited partner</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common units, net</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272,925</w:t>
            </w:r>
          </w:p>
        </w:tc>
        <w:tc>
          <w:tcPr>
            <w:tcW w:w="1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1"/>
                <w:szCs w:val="11"/>
                <w:color w:val="auto"/>
              </w:rPr>
              <w:t>Units issued under equity plans,</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6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net of unit settlement to satisfy</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6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tax withholding upon vesting</w:t>
            </w:r>
          </w:p>
        </w:tc>
        <w:tc>
          <w:tcPr>
            <w:tcW w:w="10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123,539</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(1,945)</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(1,945)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Amortization of share-based</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compensation</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88,518</w:t>
            </w:r>
          </w:p>
        </w:tc>
        <w:tc>
          <w:tcPr>
            <w:tcW w:w="140" w:type="dxa"/>
            <w:vAlign w:val="bottom"/>
            <w:shd w:val="clear" w:color="auto" w:fill="CCEEFF"/>
          </w:tcPr>
          <w:p>
            <w:pPr>
              <w:spacing w:after="0"/>
              <w:rPr>
                <w:sz w:val="11"/>
                <w:szCs w:val="11"/>
                <w:color w:val="auto"/>
              </w:rPr>
            </w:pPr>
          </w:p>
        </w:tc>
        <w:tc>
          <w:tcPr>
            <w:tcW w:w="6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6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88,518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1"/>
                <w:szCs w:val="11"/>
                <w:color w:val="auto"/>
              </w:rPr>
              <w:t>Reclassification of vested share-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6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based awards</w:t>
            </w:r>
          </w:p>
        </w:tc>
        <w:tc>
          <w:tcPr>
            <w:tcW w:w="10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(41,396)</w:t>
            </w:r>
          </w:p>
        </w:tc>
        <w:tc>
          <w:tcPr>
            <w:tcW w:w="140" w:type="dxa"/>
            <w:vAlign w:val="bottom"/>
          </w:tcPr>
          <w:p>
            <w:pPr>
              <w:spacing w:after="0"/>
              <w:rPr>
                <w:sz w:val="11"/>
                <w:szCs w:val="11"/>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41,396</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Adjustment to redeemable</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partnership units</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5,354</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(5,354)</w:t>
            </w:r>
          </w:p>
        </w:tc>
        <w:tc>
          <w:tcPr>
            <w:tcW w:w="6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6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(5,354)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1"/>
                <w:szCs w:val="11"/>
                <w:color w:val="auto"/>
              </w:rPr>
              <w:t>Distributions</w:t>
            </w:r>
          </w:p>
        </w:tc>
        <w:tc>
          <w:tcPr>
            <w:tcW w:w="10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(760)</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(40,724)</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(1,472,449)</w:t>
            </w:r>
          </w:p>
        </w:tc>
        <w:tc>
          <w:tcPr>
            <w:tcW w:w="140" w:type="dxa"/>
            <w:vAlign w:val="bottom"/>
          </w:tcPr>
          <w:p>
            <w:pPr>
              <w:spacing w:after="0"/>
              <w:rPr>
                <w:sz w:val="11"/>
                <w:szCs w:val="11"/>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(30,983)</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(1,544,156)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Contributions from</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noncontrolling interests in</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consolidated entities</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129</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6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4,345</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4,345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1"/>
                <w:szCs w:val="11"/>
                <w:color w:val="auto"/>
              </w:rPr>
              <w:t>Deconsolidation 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6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noncontrolling interest in</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6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consolidated entities</w:t>
            </w:r>
          </w:p>
        </w:tc>
        <w:tc>
          <w:tcPr>
            <w:tcW w:w="10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(65,358)</w:t>
            </w: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(65,358)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 (loss)</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(17,618)</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40,724</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908,114</w:t>
            </w:r>
          </w:p>
        </w:tc>
        <w:tc>
          <w:tcPr>
            <w:tcW w:w="140" w:type="dxa"/>
            <w:vAlign w:val="bottom"/>
            <w:shd w:val="clear" w:color="auto" w:fill="CCEEFF"/>
          </w:tcPr>
          <w:p>
            <w:pPr>
              <w:spacing w:after="0"/>
              <w:rPr>
                <w:sz w:val="11"/>
                <w:szCs w:val="11"/>
                <w:color w:val="auto"/>
              </w:rPr>
            </w:pPr>
          </w:p>
        </w:tc>
        <w:tc>
          <w:tcPr>
            <w:tcW w:w="6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20,235</w:t>
            </w:r>
          </w:p>
        </w:tc>
        <w:tc>
          <w:tcPr>
            <w:tcW w:w="14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(1,143)</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967,930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1"/>
                <w:szCs w:val="11"/>
                <w:color w:val="auto"/>
              </w:rPr>
              <w:t>Other comprehensive income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6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(loss)</w:t>
            </w:r>
          </w:p>
        </w:tc>
        <w:tc>
          <w:tcPr>
            <w:tcW w:w="10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(106,970)</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(1,187)</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(159,245)</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3,234</w:t>
            </w:r>
          </w:p>
        </w:tc>
        <w:tc>
          <w:tcPr>
            <w:tcW w:w="160" w:type="dxa"/>
            <w:vAlign w:val="bottom"/>
          </w:tcPr>
          <w:p>
            <w:pPr>
              <w:spacing w:after="0"/>
              <w:rPr>
                <w:sz w:val="11"/>
                <w:szCs w:val="11"/>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(157,198)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Balance as of</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20" w:type="dxa"/>
            <w:vAlign w:val="bottom"/>
          </w:tcPr>
          <w:p>
            <w:pPr>
              <w:spacing w:after="0"/>
              <w:rPr>
                <w:sz w:val="9"/>
                <w:szCs w:val="9"/>
                <w:color w:val="auto"/>
              </w:rPr>
            </w:pPr>
          </w:p>
        </w:tc>
        <w:tc>
          <w:tcPr>
            <w:tcW w:w="1580" w:type="dxa"/>
            <w:vAlign w:val="bottom"/>
            <w:vMerge w:val="continue"/>
            <w:shd w:val="clear" w:color="auto" w:fill="CCEEFF"/>
          </w:tcPr>
          <w:p>
            <w:pPr>
              <w:spacing w:after="0"/>
              <w:rPr>
                <w:sz w:val="9"/>
                <w:szCs w:val="9"/>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1,394,814</w:t>
            </w:r>
          </w:p>
        </w:tc>
        <w:tc>
          <w:tcPr>
            <w:tcW w:w="14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92"/>
              </w:rPr>
              <w:t>30,200,000</w:t>
            </w:r>
          </w:p>
        </w:tc>
        <w:tc>
          <w:tcPr>
            <w:tcW w:w="140" w:type="dxa"/>
            <w:vAlign w:val="bottom"/>
            <w:vMerge w:val="restart"/>
            <w:shd w:val="clear" w:color="auto" w:fill="CCEEFF"/>
          </w:tcPr>
          <w:p>
            <w:pPr>
              <w:spacing w:after="0"/>
              <w:rPr>
                <w:sz w:val="9"/>
                <w:szCs w:val="9"/>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731,690</w:t>
            </w:r>
          </w:p>
        </w:tc>
        <w:tc>
          <w:tcPr>
            <w:tcW w:w="140" w:type="dxa"/>
            <w:vAlign w:val="bottom"/>
            <w:vMerge w:val="restart"/>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94"/>
              </w:rPr>
              <w:t>311,607,580</w:t>
            </w:r>
          </w:p>
        </w:tc>
        <w:tc>
          <w:tcPr>
            <w:tcW w:w="140" w:type="dxa"/>
            <w:vAlign w:val="bottom"/>
            <w:vMerge w:val="restart"/>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98"/>
              </w:rPr>
              <w:t>$</w:t>
            </w:r>
            <w:r>
              <w:rPr>
                <w:rFonts w:ascii="Times New Roman" w:cs="Times New Roman" w:eastAsia="Times New Roman" w:hAnsi="Times New Roman"/>
                <w:sz w:val="11"/>
                <w:szCs w:val="11"/>
                <w:b w:val="1"/>
                <w:bCs w:val="1"/>
                <w:color w:val="auto"/>
                <w:w w:val="98"/>
              </w:rPr>
              <w:t>19,137,237</w:t>
            </w:r>
          </w:p>
        </w:tc>
        <w:tc>
          <w:tcPr>
            <w:tcW w:w="14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99"/>
              </w:rPr>
              <w:t>6,448,987</w:t>
            </w:r>
          </w:p>
        </w:tc>
        <w:tc>
          <w:tcPr>
            <w:tcW w:w="140" w:type="dxa"/>
            <w:vAlign w:val="bottom"/>
            <w:tcBorders>
              <w:right w:val="single" w:sz="8" w:color="CCEEFF"/>
            </w:tcBorders>
            <w:shd w:val="clear" w:color="auto" w:fill="CCEEFF"/>
          </w:tcPr>
          <w:p>
            <w:pPr>
              <w:spacing w:after="0"/>
              <w:rPr>
                <w:sz w:val="9"/>
                <w:szCs w:val="9"/>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459,356</w:t>
            </w:r>
          </w:p>
        </w:tc>
        <w:tc>
          <w:tcPr>
            <w:tcW w:w="140" w:type="dxa"/>
            <w:vAlign w:val="bottom"/>
            <w:tcBorders>
              <w:right w:val="single" w:sz="8" w:color="CCEEFF"/>
            </w:tcBorders>
            <w:shd w:val="clear" w:color="auto" w:fill="CCEEFF"/>
          </w:tcPr>
          <w:p>
            <w:pPr>
              <w:spacing w:after="0"/>
              <w:rPr>
                <w:sz w:val="9"/>
                <w:szCs w:val="9"/>
                <w:color w:val="auto"/>
              </w:rPr>
            </w:pPr>
          </w:p>
        </w:tc>
        <w:tc>
          <w:tcPr>
            <w:tcW w:w="16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(772,668)</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45,892</w:t>
            </w:r>
          </w:p>
        </w:tc>
        <w:tc>
          <w:tcPr>
            <w:tcW w:w="16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$ 19,601,507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December 31, 2023</w:t>
            </w:r>
          </w:p>
        </w:tc>
        <w:tc>
          <w:tcPr>
            <w:tcW w:w="100" w:type="dxa"/>
            <w:vAlign w:val="bottom"/>
            <w:vMerge w:val="continue"/>
            <w:shd w:val="clear" w:color="auto" w:fill="CCEEFF"/>
          </w:tcPr>
          <w:p>
            <w:pPr>
              <w:spacing w:after="0"/>
              <w:rPr>
                <w:sz w:val="10"/>
                <w:szCs w:val="10"/>
                <w:color w:val="auto"/>
              </w:rPr>
            </w:pPr>
          </w:p>
        </w:tc>
        <w:tc>
          <w:tcPr>
            <w:tcW w:w="600" w:type="dxa"/>
            <w:vAlign w:val="bottom"/>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vMerge w:val="continue"/>
            <w:shd w:val="clear" w:color="auto" w:fill="CCEEFF"/>
          </w:tcPr>
          <w:p>
            <w:pPr>
              <w:spacing w:after="0"/>
              <w:rPr>
                <w:sz w:val="10"/>
                <w:szCs w:val="10"/>
                <w:color w:val="auto"/>
              </w:rPr>
            </w:pPr>
          </w:p>
        </w:tc>
        <w:tc>
          <w:tcPr>
            <w:tcW w:w="140" w:type="dxa"/>
            <w:vAlign w:val="bottom"/>
            <w:vMerge w:val="continue"/>
            <w:shd w:val="clear" w:color="auto" w:fill="CCEEFF"/>
          </w:tcPr>
          <w:p>
            <w:pPr>
              <w:spacing w:after="0"/>
              <w:rPr>
                <w:sz w:val="10"/>
                <w:szCs w:val="10"/>
                <w:color w:val="auto"/>
              </w:rPr>
            </w:pPr>
          </w:p>
        </w:tc>
        <w:tc>
          <w:tcPr>
            <w:tcW w:w="80" w:type="dxa"/>
            <w:vAlign w:val="bottom"/>
            <w:vMerge w:val="continue"/>
            <w:shd w:val="clear" w:color="auto" w:fill="CCEEFF"/>
          </w:tcPr>
          <w:p>
            <w:pPr>
              <w:spacing w:after="0"/>
              <w:rPr>
                <w:sz w:val="10"/>
                <w:szCs w:val="10"/>
                <w:color w:val="auto"/>
              </w:rPr>
            </w:pPr>
          </w:p>
        </w:tc>
        <w:tc>
          <w:tcPr>
            <w:tcW w:w="460" w:type="dxa"/>
            <w:vAlign w:val="bottom"/>
            <w:vMerge w:val="continue"/>
            <w:shd w:val="clear" w:color="auto" w:fill="CCEEFF"/>
          </w:tcPr>
          <w:p>
            <w:pPr>
              <w:spacing w:after="0"/>
              <w:rPr>
                <w:sz w:val="10"/>
                <w:szCs w:val="10"/>
                <w:color w:val="auto"/>
              </w:rPr>
            </w:pPr>
          </w:p>
        </w:tc>
        <w:tc>
          <w:tcPr>
            <w:tcW w:w="140" w:type="dxa"/>
            <w:vAlign w:val="bottom"/>
            <w:vMerge w:val="continue"/>
            <w:shd w:val="clear" w:color="auto" w:fill="CCEEFF"/>
          </w:tcPr>
          <w:p>
            <w:pPr>
              <w:spacing w:after="0"/>
              <w:rPr>
                <w:sz w:val="10"/>
                <w:szCs w:val="10"/>
                <w:color w:val="auto"/>
              </w:rPr>
            </w:pPr>
          </w:p>
        </w:tc>
        <w:tc>
          <w:tcPr>
            <w:tcW w:w="580" w:type="dxa"/>
            <w:vAlign w:val="bottom"/>
            <w:vMerge w:val="continue"/>
            <w:shd w:val="clear" w:color="auto" w:fill="CCEEFF"/>
          </w:tcPr>
          <w:p>
            <w:pPr>
              <w:spacing w:after="0"/>
              <w:rPr>
                <w:sz w:val="10"/>
                <w:szCs w:val="10"/>
                <w:color w:val="auto"/>
              </w:rPr>
            </w:pPr>
          </w:p>
        </w:tc>
        <w:tc>
          <w:tcPr>
            <w:tcW w:w="140" w:type="dxa"/>
            <w:vAlign w:val="bottom"/>
            <w:vMerge w:val="continue"/>
            <w:shd w:val="clear" w:color="auto" w:fill="CCEEFF"/>
          </w:tcPr>
          <w:p>
            <w:pPr>
              <w:spacing w:after="0"/>
              <w:rPr>
                <w:sz w:val="10"/>
                <w:szCs w:val="10"/>
                <w:color w:val="auto"/>
              </w:rPr>
            </w:pPr>
          </w:p>
        </w:tc>
        <w:tc>
          <w:tcPr>
            <w:tcW w:w="600" w:type="dxa"/>
            <w:vAlign w:val="bottom"/>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vMerge w:val="continue"/>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80" w:type="dxa"/>
            <w:vAlign w:val="bottom"/>
            <w:vMerge w:val="continue"/>
            <w:shd w:val="clear" w:color="auto" w:fill="CCEEFF"/>
          </w:tcPr>
          <w:p>
            <w:pPr>
              <w:spacing w:after="0"/>
              <w:rPr>
                <w:sz w:val="10"/>
                <w:szCs w:val="10"/>
                <w:color w:val="auto"/>
              </w:rPr>
            </w:pPr>
          </w:p>
        </w:tc>
        <w:tc>
          <w:tcPr>
            <w:tcW w:w="460" w:type="dxa"/>
            <w:vAlign w:val="bottom"/>
            <w:vMerge w:val="continue"/>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160" w:type="dxa"/>
            <w:vAlign w:val="bottom"/>
            <w:vMerge w:val="continue"/>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120" w:type="dxa"/>
            <w:vAlign w:val="bottom"/>
            <w:vMerge w:val="continue"/>
            <w:shd w:val="clear" w:color="auto" w:fill="CCEEFF"/>
          </w:tcPr>
          <w:p>
            <w:pPr>
              <w:spacing w:after="0"/>
              <w:rPr>
                <w:sz w:val="10"/>
                <w:szCs w:val="10"/>
                <w:color w:val="auto"/>
              </w:rPr>
            </w:pPr>
          </w:p>
        </w:tc>
        <w:tc>
          <w:tcPr>
            <w:tcW w:w="560" w:type="dxa"/>
            <w:vAlign w:val="bottom"/>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vMerge w:val="continue"/>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310515</wp:posOffset>
            </wp:positionV>
            <wp:extent cx="5632450" cy="152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3245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07" w:name="page108"/>
    <w:bookmarkEnd w:id="107"/>
    <w:p>
      <w:pPr>
        <w:ind w:left="6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6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CAPITAL (continued)</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unit data)</w:t>
      </w:r>
    </w:p>
    <w:p>
      <w:pPr>
        <w:spacing w:after="0" w:line="181" w:lineRule="exact"/>
        <w:rPr>
          <w:sz w:val="20"/>
          <w:szCs w:val="20"/>
          <w:color w:val="auto"/>
        </w:rPr>
      </w:pPr>
    </w:p>
    <w:tbl>
      <w:tblPr>
        <w:tblLayout w:type="fixed"/>
        <w:tblInd w:w="6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3"/>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Redeemable</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3"/>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General Partner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6"/>
          </w:tcPr>
          <w:p>
            <w:pPr>
              <w:ind w:left="200"/>
              <w:spacing w:after="0"/>
              <w:rPr>
                <w:sz w:val="20"/>
                <w:szCs w:val="20"/>
                <w:color w:val="auto"/>
              </w:rPr>
            </w:pPr>
            <w:r>
              <w:rPr>
                <w:rFonts w:ascii="Times New Roman" w:cs="Times New Roman" w:eastAsia="Times New Roman" w:hAnsi="Times New Roman"/>
                <w:sz w:val="11"/>
                <w:szCs w:val="11"/>
                <w:b w:val="1"/>
                <w:bCs w:val="1"/>
                <w:color w:val="auto"/>
              </w:rPr>
              <w:t>Limited Partners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9"/>
              </w:rPr>
              <w:t>Other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860" w:type="dxa"/>
            <w:vAlign w:val="bottom"/>
            <w:gridSpan w:val="3"/>
          </w:tcPr>
          <w:p>
            <w:pPr>
              <w:jc w:val="right"/>
              <w:ind w:right="160"/>
              <w:spacing w:after="0" w:line="124" w:lineRule="exact"/>
              <w:rPr>
                <w:sz w:val="20"/>
                <w:szCs w:val="20"/>
                <w:color w:val="auto"/>
              </w:rPr>
            </w:pPr>
            <w:r>
              <w:rPr>
                <w:rFonts w:ascii="Times New Roman" w:cs="Times New Roman" w:eastAsia="Times New Roman" w:hAnsi="Times New Roman"/>
                <w:sz w:val="11"/>
                <w:szCs w:val="11"/>
                <w:b w:val="1"/>
                <w:bCs w:val="1"/>
                <w:color w:val="auto"/>
                <w:w w:val="95"/>
              </w:rPr>
              <w:t>Noncontrolling</w:t>
            </w:r>
          </w:p>
        </w:tc>
        <w:tc>
          <w:tcPr>
            <w:tcW w:w="1200" w:type="dxa"/>
            <w:vAlign w:val="bottom"/>
            <w:tcBorders>
              <w:top w:val="single" w:sz="8" w:color="auto"/>
              <w:bottom w:val="single" w:sz="8" w:color="auto"/>
            </w:tcBorders>
            <w:gridSpan w:val="4"/>
          </w:tcPr>
          <w:p>
            <w:pPr>
              <w:jc w:val="right"/>
              <w:ind w:right="186"/>
              <w:spacing w:after="0" w:line="124" w:lineRule="exact"/>
              <w:rPr>
                <w:sz w:val="20"/>
                <w:szCs w:val="20"/>
                <w:color w:val="auto"/>
              </w:rPr>
            </w:pPr>
            <w:r>
              <w:rPr>
                <w:rFonts w:ascii="Times New Roman" w:cs="Times New Roman" w:eastAsia="Times New Roman" w:hAnsi="Times New Roman"/>
                <w:sz w:val="11"/>
                <w:szCs w:val="11"/>
                <w:b w:val="1"/>
                <w:bCs w:val="1"/>
                <w:color w:val="auto"/>
              </w:rPr>
              <w:t>Preferred Units</w:t>
            </w:r>
          </w:p>
        </w:tc>
        <w:tc>
          <w:tcPr>
            <w:tcW w:w="140" w:type="dxa"/>
            <w:vAlign w:val="bottom"/>
            <w:tcBorders>
              <w:top w:val="single" w:sz="8" w:color="auto"/>
            </w:tcBorders>
          </w:tcPr>
          <w:p>
            <w:pPr>
              <w:spacing w:after="0"/>
              <w:rPr>
                <w:sz w:val="10"/>
                <w:szCs w:val="10"/>
                <w:color w:val="auto"/>
              </w:rPr>
            </w:pPr>
          </w:p>
        </w:tc>
        <w:tc>
          <w:tcPr>
            <w:tcW w:w="1300" w:type="dxa"/>
            <w:vAlign w:val="bottom"/>
            <w:tcBorders>
              <w:top w:val="single" w:sz="8" w:color="auto"/>
              <w:bottom w:val="single" w:sz="8" w:color="auto"/>
            </w:tcBorders>
            <w:gridSpan w:val="3"/>
          </w:tcPr>
          <w:p>
            <w:pPr>
              <w:jc w:val="right"/>
              <w:ind w:right="246"/>
              <w:spacing w:after="0" w:line="124" w:lineRule="exact"/>
              <w:rPr>
                <w:sz w:val="20"/>
                <w:szCs w:val="20"/>
                <w:color w:val="auto"/>
              </w:rPr>
            </w:pPr>
            <w:r>
              <w:rPr>
                <w:rFonts w:ascii="Times New Roman" w:cs="Times New Roman" w:eastAsia="Times New Roman" w:hAnsi="Times New Roman"/>
                <w:sz w:val="11"/>
                <w:szCs w:val="11"/>
                <w:b w:val="1"/>
                <w:bCs w:val="1"/>
                <w:color w:val="auto"/>
              </w:rPr>
              <w:t>Common Units</w:t>
            </w:r>
          </w:p>
        </w:tc>
        <w:tc>
          <w:tcPr>
            <w:tcW w:w="140" w:type="dxa"/>
            <w:vAlign w:val="bottom"/>
          </w:tcPr>
          <w:p>
            <w:pPr>
              <w:spacing w:after="0"/>
              <w:rPr>
                <w:sz w:val="10"/>
                <w:szCs w:val="10"/>
                <w:color w:val="auto"/>
              </w:rPr>
            </w:pPr>
          </w:p>
        </w:tc>
        <w:tc>
          <w:tcPr>
            <w:tcW w:w="1180" w:type="dxa"/>
            <w:vAlign w:val="bottom"/>
            <w:tcBorders>
              <w:top w:val="single" w:sz="8" w:color="auto"/>
              <w:bottom w:val="single" w:sz="8" w:color="auto"/>
            </w:tcBorders>
            <w:gridSpan w:val="5"/>
          </w:tcPr>
          <w:p>
            <w:pPr>
              <w:jc w:val="right"/>
              <w:ind w:right="186"/>
              <w:spacing w:after="0" w:line="124" w:lineRule="exact"/>
              <w:rPr>
                <w:sz w:val="20"/>
                <w:szCs w:val="20"/>
                <w:color w:val="auto"/>
              </w:rPr>
            </w:pPr>
            <w:r>
              <w:rPr>
                <w:rFonts w:ascii="Times New Roman" w:cs="Times New Roman" w:eastAsia="Times New Roman" w:hAnsi="Times New Roman"/>
                <w:sz w:val="11"/>
                <w:szCs w:val="11"/>
                <w:b w:val="1"/>
                <w:bCs w:val="1"/>
                <w:color w:val="auto"/>
              </w:rPr>
              <w:t>Common Units</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3"/>
          </w:tcPr>
          <w:p>
            <w:pPr>
              <w:jc w:val="center"/>
              <w:ind w:right="160"/>
              <w:spacing w:after="0" w:line="124"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68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w w:val="93"/>
              </w:rPr>
              <w:t>Noncontrolling</w:t>
            </w: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right"/>
              <w:ind w:right="300"/>
              <w:spacing w:after="0" w:line="124" w:lineRule="exact"/>
              <w:rPr>
                <w:sz w:val="20"/>
                <w:szCs w:val="20"/>
                <w:color w:val="auto"/>
              </w:rPr>
            </w:pPr>
            <w:r>
              <w:rPr>
                <w:rFonts w:ascii="Times New Roman" w:cs="Times New Roman" w:eastAsia="Times New Roman" w:hAnsi="Times New Roman"/>
                <w:sz w:val="11"/>
                <w:szCs w:val="11"/>
                <w:b w:val="1"/>
                <w:bCs w:val="1"/>
                <w:color w:val="auto"/>
              </w:rPr>
              <w:t>Interests</w:t>
            </w:r>
          </w:p>
        </w:tc>
        <w:tc>
          <w:tcPr>
            <w:tcW w:w="500" w:type="dxa"/>
            <w:vAlign w:val="bottom"/>
          </w:tcPr>
          <w:p>
            <w:pPr>
              <w:jc w:val="right"/>
              <w:ind w:right="66"/>
              <w:spacing w:after="0" w:line="124" w:lineRule="exact"/>
              <w:rPr>
                <w:sz w:val="20"/>
                <w:szCs w:val="20"/>
                <w:color w:val="auto"/>
              </w:rPr>
            </w:pPr>
            <w:r>
              <w:rPr>
                <w:rFonts w:ascii="Times New Roman" w:cs="Times New Roman" w:eastAsia="Times New Roman" w:hAnsi="Times New Roman"/>
                <w:sz w:val="11"/>
                <w:szCs w:val="11"/>
                <w:b w:val="1"/>
                <w:bCs w:val="1"/>
                <w:color w:val="auto"/>
              </w:rPr>
              <w:t>Units</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ind w:right="26"/>
              <w:spacing w:after="0" w:line="124" w:lineRule="exact"/>
              <w:rPr>
                <w:sz w:val="20"/>
                <w:szCs w:val="20"/>
                <w:color w:val="auto"/>
              </w:rPr>
            </w:pPr>
            <w:r>
              <w:rPr>
                <w:rFonts w:ascii="Times New Roman" w:cs="Times New Roman" w:eastAsia="Times New Roman" w:hAnsi="Times New Roman"/>
                <w:sz w:val="11"/>
                <w:szCs w:val="11"/>
                <w:b w:val="1"/>
                <w:bCs w:val="1"/>
                <w:color w:val="auto"/>
                <w:w w:val="93"/>
              </w:rPr>
              <w:t>Amount</w:t>
            </w:r>
          </w:p>
        </w:tc>
        <w:tc>
          <w:tcPr>
            <w:tcW w:w="140" w:type="dxa"/>
            <w:vAlign w:val="bottom"/>
          </w:tcPr>
          <w:p>
            <w:pPr>
              <w:spacing w:after="0"/>
              <w:rPr>
                <w:sz w:val="10"/>
                <w:szCs w:val="10"/>
                <w:color w:val="auto"/>
              </w:rPr>
            </w:pPr>
          </w:p>
        </w:tc>
        <w:tc>
          <w:tcPr>
            <w:tcW w:w="560" w:type="dxa"/>
            <w:vAlign w:val="bottom"/>
          </w:tcPr>
          <w:p>
            <w:pPr>
              <w:jc w:val="right"/>
              <w:ind w:right="106"/>
              <w:spacing w:after="0" w:line="124" w:lineRule="exact"/>
              <w:rPr>
                <w:sz w:val="20"/>
                <w:szCs w:val="20"/>
                <w:color w:val="auto"/>
              </w:rPr>
            </w:pPr>
            <w:r>
              <w:rPr>
                <w:rFonts w:ascii="Times New Roman" w:cs="Times New Roman" w:eastAsia="Times New Roman" w:hAnsi="Times New Roman"/>
                <w:sz w:val="11"/>
                <w:szCs w:val="11"/>
                <w:b w:val="1"/>
                <w:bCs w:val="1"/>
                <w:color w:val="auto"/>
              </w:rPr>
              <w:t>Units</w:t>
            </w:r>
          </w:p>
        </w:tc>
        <w:tc>
          <w:tcPr>
            <w:tcW w:w="140" w:type="dxa"/>
            <w:vAlign w:val="bottom"/>
          </w:tcPr>
          <w:p>
            <w:pPr>
              <w:spacing w:after="0"/>
              <w:rPr>
                <w:sz w:val="10"/>
                <w:szCs w:val="10"/>
                <w:color w:val="auto"/>
              </w:rPr>
            </w:pPr>
          </w:p>
        </w:tc>
        <w:tc>
          <w:tcPr>
            <w:tcW w:w="600" w:type="dxa"/>
            <w:vAlign w:val="bottom"/>
          </w:tcPr>
          <w:p>
            <w:pPr>
              <w:jc w:val="right"/>
              <w:ind w:right="46"/>
              <w:spacing w:after="0" w:line="124" w:lineRule="exact"/>
              <w:rPr>
                <w:sz w:val="20"/>
                <w:szCs w:val="20"/>
                <w:color w:val="auto"/>
              </w:rPr>
            </w:pPr>
            <w:r>
              <w:rPr>
                <w:rFonts w:ascii="Times New Roman" w:cs="Times New Roman" w:eastAsia="Times New Roman" w:hAnsi="Times New Roman"/>
                <w:sz w:val="11"/>
                <w:szCs w:val="11"/>
                <w:b w:val="1"/>
                <w:bCs w:val="1"/>
                <w:color w:val="auto"/>
              </w:rPr>
              <w:t>Amount</w:t>
            </w:r>
          </w:p>
        </w:tc>
        <w:tc>
          <w:tcPr>
            <w:tcW w:w="140" w:type="dxa"/>
            <w:vAlign w:val="bottom"/>
          </w:tcPr>
          <w:p>
            <w:pPr>
              <w:spacing w:after="0"/>
              <w:rPr>
                <w:sz w:val="10"/>
                <w:szCs w:val="10"/>
                <w:color w:val="auto"/>
              </w:rPr>
            </w:pPr>
          </w:p>
        </w:tc>
        <w:tc>
          <w:tcPr>
            <w:tcW w:w="560" w:type="dxa"/>
            <w:vAlign w:val="bottom"/>
            <w:gridSpan w:val="2"/>
          </w:tcPr>
          <w:p>
            <w:pPr>
              <w:jc w:val="right"/>
              <w:ind w:right="180"/>
              <w:spacing w:after="0" w:line="124" w:lineRule="exact"/>
              <w:rPr>
                <w:sz w:val="20"/>
                <w:szCs w:val="20"/>
                <w:color w:val="auto"/>
              </w:rPr>
            </w:pPr>
            <w:r>
              <w:rPr>
                <w:rFonts w:ascii="Times New Roman" w:cs="Times New Roman" w:eastAsia="Times New Roman" w:hAnsi="Times New Roman"/>
                <w:sz w:val="11"/>
                <w:szCs w:val="11"/>
                <w:b w:val="1"/>
                <w:bCs w:val="1"/>
                <w:color w:val="auto"/>
              </w:rPr>
              <w:t>Units</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ind w:right="26"/>
              <w:spacing w:after="0" w:line="124" w:lineRule="exact"/>
              <w:rPr>
                <w:sz w:val="20"/>
                <w:szCs w:val="20"/>
                <w:color w:val="auto"/>
              </w:rPr>
            </w:pPr>
            <w:r>
              <w:rPr>
                <w:rFonts w:ascii="Times New Roman" w:cs="Times New Roman" w:eastAsia="Times New Roman" w:hAnsi="Times New Roman"/>
                <w:sz w:val="11"/>
                <w:szCs w:val="11"/>
                <w:b w:val="1"/>
                <w:bCs w:val="1"/>
                <w:color w:val="auto"/>
                <w:w w:val="93"/>
              </w:rPr>
              <w:t>Amount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tcPr>
          <w:p>
            <w:pPr>
              <w:jc w:val="center"/>
              <w:ind w:right="300"/>
              <w:spacing w:after="0" w:line="124" w:lineRule="exact"/>
              <w:rPr>
                <w:sz w:val="20"/>
                <w:szCs w:val="20"/>
                <w:color w:val="auto"/>
              </w:rPr>
            </w:pPr>
            <w:r>
              <w:rPr>
                <w:rFonts w:ascii="Times New Roman" w:cs="Times New Roman" w:eastAsia="Times New Roman" w:hAnsi="Times New Roman"/>
                <w:sz w:val="11"/>
                <w:szCs w:val="11"/>
                <w:b w:val="1"/>
                <w:bCs w:val="1"/>
                <w:color w:val="auto"/>
                <w:w w:val="97"/>
              </w:rPr>
              <w:t>(Loss)</w:t>
            </w:r>
          </w:p>
        </w:tc>
        <w:tc>
          <w:tcPr>
            <w:tcW w:w="120" w:type="dxa"/>
            <w:vAlign w:val="bottom"/>
          </w:tcPr>
          <w:p>
            <w:pPr>
              <w:spacing w:after="0"/>
              <w:rPr>
                <w:sz w:val="10"/>
                <w:szCs w:val="10"/>
                <w:color w:val="auto"/>
              </w:rPr>
            </w:pPr>
          </w:p>
        </w:tc>
        <w:tc>
          <w:tcPr>
            <w:tcW w:w="560" w:type="dxa"/>
            <w:vAlign w:val="bottom"/>
          </w:tcPr>
          <w:p>
            <w:pPr>
              <w:jc w:val="right"/>
              <w:ind w:right="86"/>
              <w:spacing w:after="0" w:line="124" w:lineRule="exact"/>
              <w:rPr>
                <w:sz w:val="20"/>
                <w:szCs w:val="20"/>
                <w:color w:val="auto"/>
              </w:rPr>
            </w:pPr>
            <w:r>
              <w:rPr>
                <w:rFonts w:ascii="Times New Roman" w:cs="Times New Roman" w:eastAsia="Times New Roman" w:hAnsi="Times New Roman"/>
                <w:sz w:val="11"/>
                <w:szCs w:val="11"/>
                <w:b w:val="1"/>
                <w:bCs w:val="1"/>
                <w:color w:val="auto"/>
                <w:w w:val="97"/>
              </w:rPr>
              <w:t>Interests</w:t>
            </w:r>
          </w:p>
        </w:tc>
        <w:tc>
          <w:tcPr>
            <w:tcW w:w="160" w:type="dxa"/>
            <w:vAlign w:val="bottom"/>
          </w:tcPr>
          <w:p>
            <w:pPr>
              <w:spacing w:after="0"/>
              <w:rPr>
                <w:sz w:val="10"/>
                <w:szCs w:val="10"/>
                <w:color w:val="auto"/>
              </w:rPr>
            </w:pPr>
          </w:p>
        </w:tc>
        <w:tc>
          <w:tcPr>
            <w:tcW w:w="640" w:type="dxa"/>
            <w:vAlign w:val="bottom"/>
            <w:gridSpan w:val="2"/>
          </w:tcPr>
          <w:p>
            <w:pPr>
              <w:spacing w:after="0" w:line="124" w:lineRule="exact"/>
              <w:rPr>
                <w:sz w:val="20"/>
                <w:szCs w:val="20"/>
                <w:color w:val="auto"/>
              </w:rPr>
            </w:pPr>
            <w:r>
              <w:rPr>
                <w:rFonts w:ascii="Times New Roman" w:cs="Times New Roman" w:eastAsia="Times New Roman" w:hAnsi="Times New Roman"/>
                <w:sz w:val="11"/>
                <w:szCs w:val="11"/>
                <w:b w:val="1"/>
                <w:bCs w:val="1"/>
                <w:color w:val="auto"/>
                <w:w w:val="98"/>
              </w:rPr>
              <w:t>Total Capital</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5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Balance as of</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1,394,814</w:t>
            </w: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92"/>
              </w:rPr>
              <w:t>30,200,000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731,690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311,607,580</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$ 19,137,237</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6,448,987</w:t>
            </w:r>
          </w:p>
        </w:tc>
        <w:tc>
          <w:tcPr>
            <w:tcW w:w="80" w:type="dxa"/>
            <w:vAlign w:val="bottom"/>
            <w:shd w:val="clear" w:color="auto" w:fill="CCEEFF"/>
          </w:tcPr>
          <w:p>
            <w:pPr>
              <w:spacing w:after="0"/>
              <w:rPr>
                <w:sz w:val="11"/>
                <w:szCs w:val="11"/>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459,356</w:t>
            </w:r>
          </w:p>
        </w:tc>
        <w:tc>
          <w:tcPr>
            <w:tcW w:w="6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(772,668)</w:t>
            </w:r>
          </w:p>
        </w:tc>
        <w:tc>
          <w:tcPr>
            <w:tcW w:w="1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45,892</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$ 19,601,507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1"/>
                <w:szCs w:val="11"/>
                <w:color w:val="auto"/>
              </w:rPr>
              <w:t>Conversion of limited partner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5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common units to general partner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5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common units</w:t>
            </w:r>
          </w:p>
        </w:tc>
        <w:tc>
          <w:tcPr>
            <w:tcW w:w="120" w:type="dxa"/>
            <w:vAlign w:val="bottom"/>
          </w:tcPr>
          <w:p>
            <w:pPr>
              <w:spacing w:after="0"/>
              <w:rPr>
                <w:sz w:val="11"/>
                <w:szCs w:val="11"/>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552,869</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39,573</w:t>
            </w: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(552,869)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(39,573)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Vesting of restricted common</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units, net</w:t>
            </w: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217,478</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1"/>
                <w:szCs w:val="11"/>
                <w:color w:val="auto"/>
              </w:rPr>
              <w:t>Issuance of common units, net 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5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costs</w:t>
            </w:r>
          </w:p>
        </w:tc>
        <w:tc>
          <w:tcPr>
            <w:tcW w:w="120" w:type="dxa"/>
            <w:vAlign w:val="bottom"/>
          </w:tcPr>
          <w:p>
            <w:pPr>
              <w:spacing w:after="0"/>
              <w:rPr>
                <w:sz w:val="11"/>
                <w:szCs w:val="11"/>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24,138,787</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3,650,771</w:t>
            </w:r>
          </w:p>
        </w:tc>
        <w:tc>
          <w:tcPr>
            <w:tcW w:w="14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3,650,771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Issuance of limited partner</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common units, net</w:t>
            </w: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238,694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1"/>
                <w:szCs w:val="11"/>
                <w:color w:val="auto"/>
              </w:rPr>
              <w:t>Units issued under equity plans,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5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net of unit settlement to satisfy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5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tax withholding upon vesting</w:t>
            </w:r>
          </w:p>
        </w:tc>
        <w:tc>
          <w:tcPr>
            <w:tcW w:w="120" w:type="dxa"/>
            <w:vAlign w:val="bottom"/>
          </w:tcPr>
          <w:p>
            <w:pPr>
              <w:spacing w:after="0"/>
              <w:rPr>
                <w:sz w:val="11"/>
                <w:szCs w:val="11"/>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120,028</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2,757</w:t>
            </w:r>
          </w:p>
        </w:tc>
        <w:tc>
          <w:tcPr>
            <w:tcW w:w="14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2,757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Amortization of share-based</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compensation</w:t>
            </w: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81,803</w:t>
            </w:r>
          </w:p>
        </w:tc>
        <w:tc>
          <w:tcPr>
            <w:tcW w:w="1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81,803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1"/>
                <w:szCs w:val="11"/>
                <w:color w:val="auto"/>
              </w:rPr>
              <w:t>Reclassification of vested share-</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5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based awards</w:t>
            </w:r>
          </w:p>
        </w:tc>
        <w:tc>
          <w:tcPr>
            <w:tcW w:w="120" w:type="dxa"/>
            <w:vAlign w:val="bottom"/>
          </w:tcPr>
          <w:p>
            <w:pPr>
              <w:spacing w:after="0"/>
              <w:rPr>
                <w:sz w:val="11"/>
                <w:szCs w:val="11"/>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(27,424)</w:t>
            </w:r>
          </w:p>
        </w:tc>
        <w:tc>
          <w:tcPr>
            <w:tcW w:w="14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27,424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Adjustment to redeemable</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partnership units</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98,601</w:t>
            </w: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(98,601)</w:t>
            </w:r>
          </w:p>
        </w:tc>
        <w:tc>
          <w:tcPr>
            <w:tcW w:w="1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(98,601)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1"/>
                <w:szCs w:val="11"/>
                <w:color w:val="auto"/>
              </w:rPr>
              <w:t>Distributions</w:t>
            </w:r>
          </w:p>
        </w:tc>
        <w:tc>
          <w:tcPr>
            <w:tcW w:w="12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(760)</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(40,724)</w:t>
            </w: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(1,591,304)</w:t>
            </w:r>
          </w:p>
        </w:tc>
        <w:tc>
          <w:tcPr>
            <w:tcW w:w="14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(31,132)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(1,663,160)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Sale of noncontrolling interest in</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property to DCRU</w:t>
            </w: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32,319</w:t>
            </w:r>
          </w:p>
        </w:tc>
        <w:tc>
          <w:tcPr>
            <w:tcW w:w="1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12,115</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44,434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1"/>
                <w:szCs w:val="11"/>
                <w:color w:val="auto"/>
              </w:rPr>
              <w:t>Contributions from (distributions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5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to) noncontrolling interests in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5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consolidated entities</w:t>
            </w:r>
          </w:p>
        </w:tc>
        <w:tc>
          <w:tcPr>
            <w:tcW w:w="120" w:type="dxa"/>
            <w:vAlign w:val="bottom"/>
          </w:tcPr>
          <w:p>
            <w:pPr>
              <w:spacing w:after="0"/>
              <w:rPr>
                <w:sz w:val="11"/>
                <w:szCs w:val="11"/>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(21,418)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(21,418)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Deconsolidation of consolidated</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entities</w:t>
            </w: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(20,308)</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(20,308)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1"/>
                <w:szCs w:val="11"/>
                <w:color w:val="auto"/>
              </w:rPr>
              <w:t>Net income (loss)</w:t>
            </w: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(26,769)</w:t>
            </w:r>
          </w:p>
        </w:tc>
        <w:tc>
          <w:tcPr>
            <w:tcW w:w="1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40,724</w:t>
            </w: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561,766</w:t>
            </w:r>
          </w:p>
        </w:tc>
        <w:tc>
          <w:tcPr>
            <w:tcW w:w="14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12,410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615,096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comprehensive income</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(loss)</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(32,701)</w:t>
            </w: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2,093</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(2,302)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(439,699)</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(10,378)</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(450,286)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Balance as of</w:t>
            </w: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2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1,433,185</w:t>
            </w:r>
          </w:p>
        </w:tc>
        <w:tc>
          <w:tcPr>
            <w:tcW w:w="16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92"/>
              </w:rPr>
              <w:t>30,200,000</w:t>
            </w:r>
          </w:p>
        </w:tc>
        <w:tc>
          <w:tcPr>
            <w:tcW w:w="160" w:type="dxa"/>
            <w:vAlign w:val="bottom"/>
            <w:vMerge w:val="restart"/>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731,690</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336,636,742</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rPr>
              <w:t>$</w:t>
            </w:r>
            <w:r>
              <w:rPr>
                <w:rFonts w:ascii="Times New Roman" w:cs="Times New Roman" w:eastAsia="Times New Roman" w:hAnsi="Times New Roman"/>
                <w:sz w:val="11"/>
                <w:szCs w:val="11"/>
                <w:b w:val="1"/>
                <w:bCs w:val="1"/>
                <w:color w:val="auto"/>
              </w:rPr>
              <w:t>21,790,990</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6,134,812</w:t>
            </w:r>
          </w:p>
        </w:tc>
        <w:tc>
          <w:tcPr>
            <w:tcW w:w="80" w:type="dxa"/>
            <w:vAlign w:val="bottom"/>
          </w:tcPr>
          <w:p>
            <w:pPr>
              <w:spacing w:after="0"/>
              <w:rPr>
                <w:sz w:val="9"/>
                <w:szCs w:val="9"/>
                <w:color w:val="auto"/>
              </w:rPr>
            </w:pPr>
          </w:p>
        </w:tc>
        <w:tc>
          <w:tcPr>
            <w:tcW w:w="1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426,183</w:t>
            </w:r>
          </w:p>
        </w:tc>
        <w:tc>
          <w:tcPr>
            <w:tcW w:w="60" w:type="dxa"/>
            <w:vAlign w:val="bottom"/>
          </w:tcPr>
          <w:p>
            <w:pPr>
              <w:spacing w:after="0"/>
              <w:rPr>
                <w:sz w:val="9"/>
                <w:szCs w:val="9"/>
                <w:color w:val="auto"/>
              </w:rPr>
            </w:pPr>
          </w:p>
        </w:tc>
        <w:tc>
          <w:tcPr>
            <w:tcW w:w="220" w:type="dxa"/>
            <w:vAlign w:val="bottom"/>
            <w:gridSpan w:val="2"/>
            <w:vMerge w:val="restart"/>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(1,212,367)</w:t>
            </w:r>
          </w:p>
        </w:tc>
        <w:tc>
          <w:tcPr>
            <w:tcW w:w="16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6,099</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$ 21,742,595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58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December 31, 2024</w:t>
            </w:r>
          </w:p>
        </w:tc>
        <w:tc>
          <w:tcPr>
            <w:tcW w:w="12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gridSpan w:val="2"/>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gridSpan w:val="2"/>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color w:val="auto"/>
        </w:rPr>
        <w:t>See accompanying notes to the consolidated financial statements.</w:t>
      </w: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310515</wp:posOffset>
            </wp:positionV>
            <wp:extent cx="5632450" cy="152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3245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08" w:name="page109"/>
    <w:bookmarkEnd w:id="108"/>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68" w:lineRule="exact"/>
        <w:rPr>
          <w:sz w:val="20"/>
          <w:szCs w:val="20"/>
          <w:color w:val="auto"/>
        </w:rPr>
      </w:pPr>
    </w:p>
    <w:tbl>
      <w:tblPr>
        <w:tblLayout w:type="fixed"/>
        <w:tblInd w:w="320" w:type="dxa"/>
        <w:tblCellMar>
          <w:top w:w="0" w:type="dxa"/>
          <w:left w:w="0" w:type="dxa"/>
          <w:bottom w:w="0" w:type="dxa"/>
          <w:right w:w="0" w:type="dxa"/>
        </w:tblCellMar>
      </w:tblPr>
      <w:tr>
        <w:trPr>
          <w:trHeight w:val="195"/>
        </w:trPr>
        <w:tc>
          <w:tcPr>
            <w:tcW w:w="4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20" w:type="dxa"/>
            <w:vAlign w:val="bottom"/>
            <w:tcBorders>
              <w:bottom w:val="single" w:sz="8" w:color="auto"/>
            </w:tcBorders>
          </w:tcPr>
          <w:p>
            <w:pPr>
              <w:spacing w:after="0"/>
              <w:rPr>
                <w:sz w:val="16"/>
                <w:szCs w:val="16"/>
                <w:color w:val="auto"/>
              </w:rPr>
            </w:pPr>
          </w:p>
        </w:tc>
      </w:tr>
      <w:tr>
        <w:trPr>
          <w:trHeight w:val="172"/>
        </w:trPr>
        <w:tc>
          <w:tcPr>
            <w:tcW w:w="45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42"/>
              <w:spacing w:after="0" w:line="172" w:lineRule="exact"/>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42"/>
              <w:spacing w:after="0" w:line="172" w:lineRule="exact"/>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62"/>
              <w:spacing w:after="0" w:line="172" w:lineRule="exact"/>
              <w:rPr>
                <w:sz w:val="20"/>
                <w:szCs w:val="20"/>
                <w:color w:val="auto"/>
              </w:rPr>
            </w:pPr>
            <w:r>
              <w:rPr>
                <w:rFonts w:ascii="Times New Roman" w:cs="Times New Roman" w:eastAsia="Times New Roman" w:hAnsi="Times New Roman"/>
                <w:sz w:val="16"/>
                <w:szCs w:val="16"/>
                <w:b w:val="1"/>
                <w:bCs w:val="1"/>
                <w:color w:val="auto"/>
              </w:rPr>
              <w:t>2022</w:t>
            </w:r>
          </w:p>
        </w:tc>
      </w:tr>
      <w:tr>
        <w:trPr>
          <w:trHeight w:val="172"/>
        </w:trPr>
        <w:tc>
          <w:tcPr>
            <w:tcW w:w="45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80"/>
        </w:trPr>
        <w:tc>
          <w:tcPr>
            <w:tcW w:w="45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588,327</w:t>
            </w:r>
          </w:p>
        </w:tc>
        <w:tc>
          <w:tcPr>
            <w:tcW w:w="220" w:type="dxa"/>
            <w:vAlign w:val="bottom"/>
          </w:tcPr>
          <w:p>
            <w:pPr>
              <w:spacing w:after="0"/>
              <w:rPr>
                <w:sz w:val="15"/>
                <w:szCs w:val="15"/>
                <w:color w:val="auto"/>
              </w:rPr>
            </w:pPr>
          </w:p>
        </w:tc>
        <w:tc>
          <w:tcPr>
            <w:tcW w:w="2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950,312</w:t>
            </w:r>
          </w:p>
        </w:tc>
        <w:tc>
          <w:tcPr>
            <w:tcW w:w="200" w:type="dxa"/>
            <w:vAlign w:val="bottom"/>
          </w:tcPr>
          <w:p>
            <w:pPr>
              <w:spacing w:after="0"/>
              <w:rPr>
                <w:sz w:val="15"/>
                <w:szCs w:val="15"/>
                <w:color w:val="auto"/>
              </w:rPr>
            </w:pPr>
          </w:p>
        </w:tc>
        <w:tc>
          <w:tcPr>
            <w:tcW w:w="26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380,325</w:t>
            </w:r>
          </w:p>
        </w:tc>
      </w:tr>
      <w:tr>
        <w:trPr>
          <w:trHeight w:val="165"/>
        </w:trPr>
        <w:tc>
          <w:tcPr>
            <w:tcW w:w="452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Adjustments to reconcile net income to net cash provided by</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95"/>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80"/>
        </w:trPr>
        <w:tc>
          <w:tcPr>
            <w:tcW w:w="45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Gain on disposition of properties, net</w:t>
            </w:r>
          </w:p>
        </w:tc>
        <w:tc>
          <w:tcPr>
            <w:tcW w:w="24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(595,825)</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(900,531)</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(176,754)</w:t>
            </w:r>
          </w:p>
        </w:tc>
      </w:tr>
      <w:tr>
        <w:trPr>
          <w:trHeight w:val="180"/>
        </w:trPr>
        <w:tc>
          <w:tcPr>
            <w:tcW w:w="45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Provision for impairment</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191,184</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118,363</w:t>
            </w: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5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Equity in loss of unconsolidated entities</w:t>
            </w:r>
          </w:p>
        </w:tc>
        <w:tc>
          <w:tcPr>
            <w:tcW w:w="24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120,138</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29,791</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13,497</w:t>
            </w:r>
          </w:p>
        </w:tc>
      </w:tr>
      <w:tr>
        <w:trPr>
          <w:trHeight w:val="180"/>
        </w:trPr>
        <w:tc>
          <w:tcPr>
            <w:tcW w:w="45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Distributions from unconsolidated entities</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78,269</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73,518</w:t>
            </w: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42,376</w:t>
            </w:r>
          </w:p>
        </w:tc>
      </w:tr>
      <w:tr>
        <w:trPr>
          <w:trHeight w:val="180"/>
        </w:trPr>
        <w:tc>
          <w:tcPr>
            <w:tcW w:w="45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1,771,797</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1,694,859</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1,577,933</w:t>
            </w:r>
          </w:p>
        </w:tc>
      </w:tr>
      <w:tr>
        <w:trPr>
          <w:trHeight w:val="180"/>
        </w:trPr>
        <w:tc>
          <w:tcPr>
            <w:tcW w:w="45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Amortization of share-based compensation</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75,606</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80,532</w:t>
            </w: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92,461</w:t>
            </w:r>
          </w:p>
        </w:tc>
      </w:tr>
      <w:tr>
        <w:trPr>
          <w:trHeight w:val="180"/>
        </w:trPr>
        <w:tc>
          <w:tcPr>
            <w:tcW w:w="45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Loss on debt extinguishment and modifications</w:t>
            </w:r>
          </w:p>
        </w:tc>
        <w:tc>
          <w:tcPr>
            <w:tcW w:w="24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5,871</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51,135</w:t>
            </w:r>
          </w:p>
        </w:tc>
      </w:tr>
      <w:tr>
        <w:trPr>
          <w:trHeight w:val="167"/>
        </w:trPr>
        <w:tc>
          <w:tcPr>
            <w:tcW w:w="45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Straight-lined rents and amortization of above and below market</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93"/>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(56,465)</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(50,931)</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(64,954)</w:t>
            </w:r>
          </w:p>
        </w:tc>
      </w:tr>
      <w:tr>
        <w:trPr>
          <w:trHeight w:val="167"/>
        </w:trPr>
        <w:tc>
          <w:tcPr>
            <w:tcW w:w="452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Amortization of deferred financing costs and debt discount /</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93"/>
        </w:trPr>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premium</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28,666</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26,834</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18,848</w:t>
            </w:r>
          </w:p>
        </w:tc>
      </w:tr>
      <w:tr>
        <w:trPr>
          <w:trHeight w:val="180"/>
        </w:trPr>
        <w:tc>
          <w:tcPr>
            <w:tcW w:w="45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Other operating activities, net</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29,237</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(8,216)</w:t>
            </w: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(45,141)</w:t>
            </w:r>
          </w:p>
        </w:tc>
      </w:tr>
      <w:tr>
        <w:trPr>
          <w:trHeight w:val="180"/>
        </w:trPr>
        <w:tc>
          <w:tcPr>
            <w:tcW w:w="452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Changes in assets and liabilities:</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0"/>
        </w:trPr>
        <w:tc>
          <w:tcPr>
            <w:tcW w:w="45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Increase in accounts receivable and other assets</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(342,061)</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(155,317)</w:t>
            </w: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(272,452)</w:t>
            </w:r>
          </w:p>
        </w:tc>
      </w:tr>
      <w:tr>
        <w:trPr>
          <w:trHeight w:val="180"/>
        </w:trPr>
        <w:tc>
          <w:tcPr>
            <w:tcW w:w="452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Increase (decrease) in accounts payable and other liabilities</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366,733</w:t>
            </w:r>
          </w:p>
        </w:tc>
        <w:tc>
          <w:tcPr>
            <w:tcW w:w="2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(224,434)</w:t>
            </w:r>
          </w:p>
        </w:tc>
        <w:tc>
          <w:tcPr>
            <w:tcW w:w="2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42,114</w:t>
            </w:r>
          </w:p>
        </w:tc>
      </w:tr>
      <w:tr>
        <w:trPr>
          <w:trHeight w:val="172"/>
        </w:trPr>
        <w:tc>
          <w:tcPr>
            <w:tcW w:w="45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2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2,261,477</w:t>
            </w:r>
          </w:p>
        </w:tc>
        <w:tc>
          <w:tcPr>
            <w:tcW w:w="2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1,634,780</w:t>
            </w:r>
          </w:p>
        </w:tc>
        <w:tc>
          <w:tcPr>
            <w:tcW w:w="2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1,659,388</w:t>
            </w:r>
          </w:p>
        </w:tc>
      </w:tr>
      <w:tr>
        <w:trPr>
          <w:trHeight w:val="172"/>
        </w:trPr>
        <w:tc>
          <w:tcPr>
            <w:tcW w:w="4520" w:type="dxa"/>
            <w:vAlign w:val="bottom"/>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0"/>
        </w:trPr>
        <w:tc>
          <w:tcPr>
            <w:tcW w:w="45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Improvements to investments in real estate</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(2,831,740)</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(3,525,598)</w:t>
            </w: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(2,643,097)</w:t>
            </w:r>
          </w:p>
        </w:tc>
      </w:tr>
      <w:tr>
        <w:trPr>
          <w:trHeight w:val="167"/>
        </w:trPr>
        <w:tc>
          <w:tcPr>
            <w:tcW w:w="452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Cash paid for business combination / asset acquisitions, net of cash</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93"/>
        </w:trPr>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acquired</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(508,001)</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(52,297)</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(1,930,178)</w:t>
            </w:r>
          </w:p>
        </w:tc>
      </w:tr>
      <w:tr>
        <w:trPr>
          <w:trHeight w:val="180"/>
        </w:trPr>
        <w:tc>
          <w:tcPr>
            <w:tcW w:w="45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Investments in and advances to unconsolidated entities</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(315,623)</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(336,456)</w:t>
            </w: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(299,427)</w:t>
            </w:r>
          </w:p>
        </w:tc>
      </w:tr>
      <w:tr>
        <w:trPr>
          <w:trHeight w:val="180"/>
        </w:trPr>
        <w:tc>
          <w:tcPr>
            <w:tcW w:w="45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Return of investment from unconsolidated entities</w:t>
            </w:r>
          </w:p>
        </w:tc>
        <w:tc>
          <w:tcPr>
            <w:tcW w:w="24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99,864</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241,984</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3,332</w:t>
            </w:r>
          </w:p>
        </w:tc>
      </w:tr>
      <w:tr>
        <w:trPr>
          <w:trHeight w:val="180"/>
        </w:trPr>
        <w:tc>
          <w:tcPr>
            <w:tcW w:w="45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Proceeds from sale of assets</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1,764,835</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2,619,778</w:t>
            </w: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271,567</w:t>
            </w:r>
          </w:p>
        </w:tc>
      </w:tr>
      <w:tr>
        <w:trPr>
          <w:trHeight w:val="180"/>
        </w:trPr>
        <w:tc>
          <w:tcPr>
            <w:tcW w:w="45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investing activities, net</w:t>
            </w:r>
          </w:p>
        </w:tc>
        <w:tc>
          <w:tcPr>
            <w:tcW w:w="24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(115,492)</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(62,522)</w:t>
            </w:r>
          </w:p>
        </w:tc>
        <w:tc>
          <w:tcPr>
            <w:tcW w:w="26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(101,600)</w:t>
            </w:r>
          </w:p>
        </w:tc>
      </w:tr>
      <w:tr>
        <w:trPr>
          <w:trHeight w:val="172"/>
        </w:trPr>
        <w:tc>
          <w:tcPr>
            <w:tcW w:w="4520" w:type="dxa"/>
            <w:vAlign w:val="bottom"/>
            <w:tcBorders>
              <w:top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(1,906,157)</w:t>
            </w:r>
          </w:p>
        </w:tc>
        <w:tc>
          <w:tcPr>
            <w:tcW w:w="2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(1,115,111)</w:t>
            </w:r>
          </w:p>
        </w:tc>
        <w:tc>
          <w:tcPr>
            <w:tcW w:w="2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(4,699,403)</w:t>
            </w:r>
          </w:p>
        </w:tc>
      </w:tr>
      <w:tr>
        <w:trPr>
          <w:trHeight w:val="172"/>
        </w:trPr>
        <w:tc>
          <w:tcPr>
            <w:tcW w:w="4520" w:type="dxa"/>
            <w:vAlign w:val="bottom"/>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0"/>
        </w:trPr>
        <w:tc>
          <w:tcPr>
            <w:tcW w:w="45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Proceeds from credit facilities</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1,636,351</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2,870,841</w:t>
            </w: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5,510,267</w:t>
            </w:r>
          </w:p>
        </w:tc>
      </w:tr>
      <w:tr>
        <w:trPr>
          <w:trHeight w:val="180"/>
        </w:trPr>
        <w:tc>
          <w:tcPr>
            <w:tcW w:w="45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Payments on credit facilities</w:t>
            </w:r>
          </w:p>
        </w:tc>
        <w:tc>
          <w:tcPr>
            <w:tcW w:w="24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(1,715,044)</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(3,293,644)</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(3,820,086)</w:t>
            </w:r>
          </w:p>
        </w:tc>
      </w:tr>
      <w:tr>
        <w:trPr>
          <w:trHeight w:val="180"/>
        </w:trPr>
        <w:tc>
          <w:tcPr>
            <w:tcW w:w="45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Borrowings on secured / unsecured debt</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2,234,999</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869,132</w:t>
            </w: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2,791,027</w:t>
            </w:r>
          </w:p>
        </w:tc>
      </w:tr>
      <w:tr>
        <w:trPr>
          <w:trHeight w:val="180"/>
        </w:trPr>
        <w:tc>
          <w:tcPr>
            <w:tcW w:w="45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Repayments on secured / unsecured debt</w:t>
            </w:r>
          </w:p>
        </w:tc>
        <w:tc>
          <w:tcPr>
            <w:tcW w:w="24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(2,119,007)</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(111,979)</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(1,036,577)</w:t>
            </w:r>
          </w:p>
        </w:tc>
      </w:tr>
      <w:tr>
        <w:trPr>
          <w:trHeight w:val="167"/>
        </w:trPr>
        <w:tc>
          <w:tcPr>
            <w:tcW w:w="45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Capital (distribution to) contributions from noncontrolling interests,</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93"/>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(21,418)</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4,474</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44,312</w:t>
            </w:r>
          </w:p>
        </w:tc>
      </w:tr>
      <w:tr>
        <w:trPr>
          <w:trHeight w:val="180"/>
        </w:trPr>
        <w:tc>
          <w:tcPr>
            <w:tcW w:w="45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General partner contributions</w:t>
            </w:r>
          </w:p>
        </w:tc>
        <w:tc>
          <w:tcPr>
            <w:tcW w:w="24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3,650,771</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2,207,259</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928,432</w:t>
            </w:r>
          </w:p>
        </w:tc>
      </w:tr>
      <w:tr>
        <w:trPr>
          <w:trHeight w:val="180"/>
        </w:trPr>
        <w:tc>
          <w:tcPr>
            <w:tcW w:w="45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Payments of dividends and distributions</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(1,633,247)</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(1,520,644)</w:t>
            </w: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(1,450,637)</w:t>
            </w:r>
          </w:p>
        </w:tc>
      </w:tr>
      <w:tr>
        <w:trPr>
          <w:trHeight w:val="180"/>
        </w:trPr>
        <w:tc>
          <w:tcPr>
            <w:tcW w:w="45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financing activities, net</w:t>
            </w:r>
          </w:p>
        </w:tc>
        <w:tc>
          <w:tcPr>
            <w:tcW w:w="24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30,028</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(61,965)</w:t>
            </w:r>
          </w:p>
        </w:tc>
        <w:tc>
          <w:tcPr>
            <w:tcW w:w="26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52,073</w:t>
            </w:r>
          </w:p>
        </w:tc>
      </w:tr>
      <w:tr>
        <w:trPr>
          <w:trHeight w:val="172"/>
        </w:trPr>
        <w:tc>
          <w:tcPr>
            <w:tcW w:w="4520" w:type="dxa"/>
            <w:vAlign w:val="bottom"/>
            <w:tcBorders>
              <w:top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2,063,433</w:t>
            </w:r>
          </w:p>
        </w:tc>
        <w:tc>
          <w:tcPr>
            <w:tcW w:w="2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963,474</w:t>
            </w:r>
          </w:p>
        </w:tc>
        <w:tc>
          <w:tcPr>
            <w:tcW w:w="2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2,969,149</w:t>
            </w:r>
          </w:p>
        </w:tc>
      </w:tr>
      <w:tr>
        <w:trPr>
          <w:trHeight w:val="172"/>
        </w:trPr>
        <w:tc>
          <w:tcPr>
            <w:tcW w:w="452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240" w:type="dxa"/>
            <w:vAlign w:val="bottom"/>
          </w:tcPr>
          <w:p>
            <w:pPr>
              <w:spacing w:after="0"/>
              <w:rPr>
                <w:sz w:val="14"/>
                <w:szCs w:val="14"/>
                <w:color w:val="auto"/>
              </w:rPr>
            </w:pPr>
          </w:p>
        </w:tc>
        <w:tc>
          <w:tcPr>
            <w:tcW w:w="90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2,418,753</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1,483,143</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(70,866)</w:t>
            </w:r>
          </w:p>
        </w:tc>
      </w:tr>
      <w:tr>
        <w:trPr>
          <w:trHeight w:val="167"/>
        </w:trPr>
        <w:tc>
          <w:tcPr>
            <w:tcW w:w="45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Effect of exchange rate changes on cash, cash equivalents and</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93"/>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(178,523)</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2,631</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70,077</w:t>
            </w:r>
          </w:p>
        </w:tc>
      </w:tr>
      <w:tr>
        <w:trPr>
          <w:trHeight w:val="180"/>
        </w:trPr>
        <w:tc>
          <w:tcPr>
            <w:tcW w:w="452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1,636,470</w:t>
            </w:r>
          </w:p>
        </w:tc>
        <w:tc>
          <w:tcPr>
            <w:tcW w:w="2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150,696</w:t>
            </w:r>
          </w:p>
        </w:tc>
        <w:tc>
          <w:tcPr>
            <w:tcW w:w="2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151,485</w:t>
            </w:r>
          </w:p>
        </w:tc>
      </w:tr>
      <w:tr>
        <w:trPr>
          <w:trHeight w:val="172"/>
        </w:trPr>
        <w:tc>
          <w:tcPr>
            <w:tcW w:w="4520" w:type="dxa"/>
            <w:vAlign w:val="bottom"/>
            <w:tcBorders>
              <w:bottom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24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3,876,700</w:t>
            </w:r>
          </w:p>
        </w:tc>
        <w:tc>
          <w:tcPr>
            <w:tcW w:w="2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8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1,636,470</w:t>
            </w:r>
          </w:p>
        </w:tc>
        <w:tc>
          <w:tcPr>
            <w:tcW w:w="2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0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150,696</w:t>
            </w:r>
          </w:p>
        </w:tc>
      </w:tr>
      <w:tr>
        <w:trPr>
          <w:trHeight w:val="20"/>
        </w:trPr>
        <w:tc>
          <w:tcPr>
            <w:tcW w:w="4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the consolidated financial statements.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09" w:name="page110"/>
    <w:bookmarkEnd w:id="109"/>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 and 2023</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1. General</w:t>
      </w:r>
    </w:p>
    <w:p>
      <w:pPr>
        <w:spacing w:after="0" w:line="188" w:lineRule="exact"/>
        <w:rPr>
          <w:sz w:val="20"/>
          <w:szCs w:val="20"/>
          <w:color w:val="auto"/>
        </w:rPr>
      </w:pPr>
    </w:p>
    <w:p>
      <w:pPr>
        <w:ind w:left="320" w:right="440"/>
        <w:spacing w:after="0" w:line="239" w:lineRule="auto"/>
        <w:rPr>
          <w:sz w:val="20"/>
          <w:szCs w:val="20"/>
          <w:color w:val="auto"/>
        </w:rPr>
      </w:pPr>
      <w:r>
        <w:rPr>
          <w:rFonts w:ascii="Times New Roman" w:cs="Times New Roman" w:eastAsia="Times New Roman" w:hAnsi="Times New Roman"/>
          <w:sz w:val="16"/>
          <w:szCs w:val="16"/>
          <w:b w:val="1"/>
          <w:bCs w:val="1"/>
          <w:color w:val="auto"/>
        </w:rPr>
        <w:t xml:space="preserve">Organization and Description of Business. </w:t>
      </w:r>
      <w:r>
        <w:rPr>
          <w:rFonts w:ascii="Times New Roman" w:cs="Times New Roman" w:eastAsia="Times New Roman" w:hAnsi="Times New Roman"/>
          <w:sz w:val="16"/>
          <w:szCs w:val="16"/>
          <w:color w:val="auto"/>
        </w:rPr>
        <w:t>Digital Realty Trust, Inc. (the Parent), through its controlling interest in Digital Realty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Trust, L.P. (the Operating Partnership or the OP) and the subsidiaries of the OP (collectively, we, our, us or the Company), is a leading global provider of data center (including colocation and interconnection) solutions for customers across a variety of industry verticals ranging from cloud and information technology services, social networking and communications to financial services, manufacturing, energy, healthcare, and consumer products. The OP, a Maryland limited partnership, is the entity through which the Parent, a Maryland corporation, conducts its business of owning, acquiring, developing and operating data centers. The Parent operates as a REIT for U.S. federal income tax purposes.</w:t>
      </w:r>
    </w:p>
    <w:p>
      <w:pPr>
        <w:spacing w:after="0" w:line="172" w:lineRule="exact"/>
        <w:rPr>
          <w:sz w:val="20"/>
          <w:szCs w:val="20"/>
          <w:color w:val="auto"/>
        </w:rPr>
      </w:pPr>
    </w:p>
    <w:p>
      <w:pPr>
        <w:ind w:left="320" w:right="540"/>
        <w:spacing w:after="0" w:line="243" w:lineRule="auto"/>
        <w:rPr>
          <w:sz w:val="20"/>
          <w:szCs w:val="20"/>
          <w:color w:val="auto"/>
        </w:rPr>
      </w:pPr>
      <w:r>
        <w:rPr>
          <w:rFonts w:ascii="Times New Roman" w:cs="Times New Roman" w:eastAsia="Times New Roman" w:hAnsi="Times New Roman"/>
          <w:sz w:val="16"/>
          <w:szCs w:val="16"/>
          <w:color w:val="auto"/>
        </w:rPr>
        <w:t>The Parent’s only material asset is its ownership of partnership interests of the OP. The Parent generally does not conduct business itself, other than acting as the sole general partner of the OP, issuing public securities from time to time and guaranteeing certain unsecured debt of the OP and certain of its subsidiaries and affiliates. The Parent has not issued any debt but guarantees the unsecured debt of the OP and certain of its subsidiaries and affiliates.</w:t>
      </w:r>
    </w:p>
    <w:p>
      <w:pPr>
        <w:spacing w:after="0" w:line="167" w:lineRule="exact"/>
        <w:rPr>
          <w:sz w:val="20"/>
          <w:szCs w:val="20"/>
          <w:color w:val="auto"/>
        </w:rPr>
      </w:pPr>
    </w:p>
    <w:p>
      <w:pPr>
        <w:ind w:left="320" w:right="380"/>
        <w:spacing w:after="0" w:line="289" w:lineRule="auto"/>
        <w:rPr>
          <w:sz w:val="20"/>
          <w:szCs w:val="20"/>
          <w:color w:val="auto"/>
        </w:rPr>
      </w:pPr>
      <w:r>
        <w:rPr>
          <w:rFonts w:ascii="Times New Roman" w:cs="Times New Roman" w:eastAsia="Times New Roman" w:hAnsi="Times New Roman"/>
          <w:sz w:val="14"/>
          <w:szCs w:val="14"/>
          <w:color w:val="auto"/>
        </w:rPr>
        <w:t>The OP holds substantially all the assets of the Company. The OP conducts the operations of the business and has no publicly traded equity. Except for net proceeds from public equity issuances by the Parent, which are generally contributed to the OP in exchange for partnership units, the OP generally generates the capital required by the Company’s business primarily through the OP’s operations, by the OP’s or its affiliates’ direct or indirect incurrence of indebtedness or through the issuance of partnership units.</w:t>
      </w:r>
    </w:p>
    <w:p>
      <w:pPr>
        <w:spacing w:after="0" w:line="135" w:lineRule="exact"/>
        <w:rPr>
          <w:sz w:val="20"/>
          <w:szCs w:val="20"/>
          <w:color w:val="auto"/>
        </w:rPr>
      </w:pPr>
    </w:p>
    <w:p>
      <w:pPr>
        <w:ind w:left="320" w:right="560"/>
        <w:spacing w:after="0" w:line="241" w:lineRule="auto"/>
        <w:rPr>
          <w:sz w:val="20"/>
          <w:szCs w:val="20"/>
          <w:color w:val="auto"/>
        </w:rPr>
      </w:pPr>
      <w:r>
        <w:rPr>
          <w:rFonts w:ascii="Times New Roman" w:cs="Times New Roman" w:eastAsia="Times New Roman" w:hAnsi="Times New Roman"/>
          <w:sz w:val="16"/>
          <w:szCs w:val="16"/>
          <w:b w:val="1"/>
          <w:bCs w:val="1"/>
          <w:color w:val="auto"/>
        </w:rPr>
        <w:t xml:space="preserve">Accounting Principles and Basis of Presentation. </w:t>
      </w:r>
      <w:r>
        <w:rPr>
          <w:rFonts w:ascii="Times New Roman" w:cs="Times New Roman" w:eastAsia="Times New Roman" w:hAnsi="Times New Roman"/>
          <w:sz w:val="16"/>
          <w:szCs w:val="16"/>
          <w:color w:val="auto"/>
        </w:rPr>
        <w:t>The accompanying consolidated financial statements and accompanying notes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“Consolidated Financial Statements”) are prepared in accordance with United States generally accepted accounting principles (“U.S. GAAP”) and are presented in our reporting currency, the U.S. dollar. All of the accounts of the Parent, the OP, and the subsidiaries of the OP are included in the Consolidated Financial Statements. All material intercompany transactions with consolidated entities have been eliminated.</w:t>
      </w:r>
    </w:p>
    <w:p>
      <w:pPr>
        <w:spacing w:after="0" w:line="169" w:lineRule="exact"/>
        <w:rPr>
          <w:sz w:val="20"/>
          <w:szCs w:val="20"/>
          <w:color w:val="auto"/>
        </w:rPr>
      </w:pPr>
    </w:p>
    <w:p>
      <w:pPr>
        <w:ind w:left="900" w:right="360" w:hanging="287"/>
        <w:spacing w:after="0"/>
        <w:rPr>
          <w:sz w:val="20"/>
          <w:szCs w:val="20"/>
          <w:color w:val="auto"/>
        </w:rPr>
      </w:pPr>
      <w:r>
        <w:rPr>
          <w:rFonts w:ascii="Times New Roman" w:cs="Times New Roman" w:eastAsia="Times New Roman" w:hAnsi="Times New Roman"/>
          <w:sz w:val="16"/>
          <w:szCs w:val="16"/>
          <w:b w:val="1"/>
          <w:bCs w:val="1"/>
          <w:color w:val="auto"/>
        </w:rPr>
        <w:t>Management Estimates and Assumptions</w:t>
      </w:r>
      <w:r>
        <w:rPr>
          <w:rFonts w:ascii="Times New Roman" w:cs="Times New Roman" w:eastAsia="Times New Roman" w:hAnsi="Times New Roman"/>
          <w:sz w:val="16"/>
          <w:szCs w:val="16"/>
          <w:color w:val="auto"/>
        </w:rPr>
        <w:t>. U.S. GAAP requires us to make estimates and assumptions that affect reported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amounts of revenue and expenses during the reporting period, reported amounts for assets and liabilities as of the date of the financial statements, and disclosures of contingent assets and liabilities as of the date of the financial statements. Although we believe the estimates and assumptions we made are reasonable and appropriate, as discussed in the applicable sections throughout the Consolidated Financial Statements, different assumptions and estimates could materially impact our reported results. Actual results and outcomes may differ from our assumptions.</w:t>
      </w:r>
    </w:p>
    <w:p>
      <w:pPr>
        <w:spacing w:after="0" w:line="3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2. Summary of Significant Accounting Policies</w:t>
      </w:r>
    </w:p>
    <w:p>
      <w:pPr>
        <w:spacing w:after="0" w:line="186" w:lineRule="exact"/>
        <w:rPr>
          <w:sz w:val="20"/>
          <w:szCs w:val="20"/>
          <w:color w:val="auto"/>
        </w:rPr>
      </w:pPr>
    </w:p>
    <w:p>
      <w:pPr>
        <w:ind w:left="320" w:right="400"/>
        <w:spacing w:after="0" w:line="242" w:lineRule="auto"/>
        <w:rPr>
          <w:sz w:val="20"/>
          <w:szCs w:val="20"/>
          <w:color w:val="auto"/>
        </w:rPr>
      </w:pPr>
      <w:r>
        <w:rPr>
          <w:rFonts w:ascii="Times New Roman" w:cs="Times New Roman" w:eastAsia="Times New Roman" w:hAnsi="Times New Roman"/>
          <w:sz w:val="16"/>
          <w:szCs w:val="16"/>
          <w:b w:val="1"/>
          <w:bCs w:val="1"/>
          <w:color w:val="auto"/>
        </w:rPr>
        <w:t>Consolidation</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We consolidate all entities that are wholly owned as well as all partially-owned entities that we control. In addition,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we consolidate any variable interest entities (“VIEs”) for which we are the primary beneficiary. We evaluate whether or not an entity is a VIE (and we are the primary beneficiary) through consideration of substantive terms in the arrangement to identify which enterprise has the power to direct the activities of the entity that most significantly impact the entity’s economic performance and the obligation to absorb losses/receive benefits from the entity.</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10" w:name="page111"/>
    <w:bookmarkEnd w:id="110"/>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 and 2023</w:t>
      </w:r>
    </w:p>
    <w:p>
      <w:pPr>
        <w:spacing w:after="0" w:line="202" w:lineRule="exact"/>
        <w:rPr>
          <w:sz w:val="20"/>
          <w:szCs w:val="20"/>
          <w:color w:val="auto"/>
        </w:rPr>
      </w:pPr>
    </w:p>
    <w:p>
      <w:pPr>
        <w:ind w:left="320" w:right="420"/>
        <w:spacing w:after="0" w:line="278" w:lineRule="auto"/>
        <w:rPr>
          <w:sz w:val="20"/>
          <w:szCs w:val="20"/>
          <w:color w:val="auto"/>
        </w:rPr>
      </w:pPr>
      <w:r>
        <w:rPr>
          <w:rFonts w:ascii="Times New Roman" w:cs="Times New Roman" w:eastAsia="Times New Roman" w:hAnsi="Times New Roman"/>
          <w:sz w:val="14"/>
          <w:szCs w:val="14"/>
          <w:color w:val="auto"/>
        </w:rPr>
        <w:t>For entities that do not meet the definition of VIEs, we first consider if we are the general partner or a limited partner (or the equivalent in investments not structured as partnerships). We consolidate entities in which we are the general partner and the limited partners do not have rights that would preclude control. For entities in which we are the general partner, but the limited partners hold substantive participating or kick -out rights that prohibit our ability to control the entity, we apply the equity method of accounting since, as the general partner, we have the ability to exercise significant influence over the operating and financial policies of the entities. For entities in which we are a limited partner, or that are not structured similar to a partnership, we consider factors such as ownership interest, voting control, authority to make decisions and contractual and substantive participating rights of the partners. When factors indicate we have a controlling financial interest in an entity, we consolidate the entity.</w:t>
      </w:r>
    </w:p>
    <w:p>
      <w:pPr>
        <w:spacing w:after="0" w:line="325" w:lineRule="exact"/>
        <w:rPr>
          <w:sz w:val="20"/>
          <w:szCs w:val="20"/>
          <w:color w:val="auto"/>
        </w:rPr>
      </w:pPr>
    </w:p>
    <w:p>
      <w:pPr>
        <w:ind w:left="320" w:right="460"/>
        <w:spacing w:after="0" w:line="241" w:lineRule="auto"/>
        <w:rPr>
          <w:sz w:val="20"/>
          <w:szCs w:val="20"/>
          <w:color w:val="auto"/>
        </w:rPr>
      </w:pPr>
      <w:r>
        <w:rPr>
          <w:rFonts w:ascii="Times New Roman" w:cs="Times New Roman" w:eastAsia="Times New Roman" w:hAnsi="Times New Roman"/>
          <w:sz w:val="16"/>
          <w:szCs w:val="16"/>
          <w:b w:val="1"/>
          <w:bCs w:val="1"/>
          <w:color w:val="auto"/>
        </w:rPr>
        <w:t xml:space="preserve">Foreign Operations and Foreign Currencies. </w:t>
      </w:r>
      <w:r>
        <w:rPr>
          <w:rFonts w:ascii="Times New Roman" w:cs="Times New Roman" w:eastAsia="Times New Roman" w:hAnsi="Times New Roman"/>
          <w:sz w:val="16"/>
          <w:szCs w:val="16"/>
          <w:color w:val="auto"/>
        </w:rPr>
        <w:t>The functional currency of each of our consolidated subsidiaries and unconsolidated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entities operating in other countries is the principal currency in which each entity’s assets, liabilities, income and expenses are denominated, which may be different from the local currency of incorporation or the currency with which the entities conduct their operations. The primary functional currencies impacting our business include the Euro, Japanese yen, British pound sterling, Singapore dollar, South African rand and Brazilian real.</w:t>
      </w:r>
    </w:p>
    <w:p>
      <w:pPr>
        <w:spacing w:after="0" w:line="171" w:lineRule="exact"/>
        <w:rPr>
          <w:sz w:val="20"/>
          <w:szCs w:val="20"/>
          <w:color w:val="auto"/>
        </w:rPr>
      </w:pPr>
    </w:p>
    <w:p>
      <w:pPr>
        <w:ind w:left="320" w:right="440"/>
        <w:spacing w:after="0" w:line="289" w:lineRule="auto"/>
        <w:rPr>
          <w:sz w:val="20"/>
          <w:szCs w:val="20"/>
          <w:color w:val="auto"/>
        </w:rPr>
      </w:pPr>
      <w:r>
        <w:rPr>
          <w:rFonts w:ascii="Times New Roman" w:cs="Times New Roman" w:eastAsia="Times New Roman" w:hAnsi="Times New Roman"/>
          <w:sz w:val="14"/>
          <w:szCs w:val="14"/>
          <w:color w:val="auto"/>
        </w:rPr>
        <w:t>For our consolidated subsidiaries whose functional currency is not the U.S. dollar, we translate financial statements into U.S. dollars at the time we consolidate these subsidiaries’ financial statements. Generally, assets and liabilities are translated at the exchange rate in effect at the balance sheet date. Certain balance sheet items, such as equity and capital-related accounts are reflected at historical exchange rates. Income statement accounts are generally translated at the average exchange rates for the reporting periods.</w:t>
      </w:r>
    </w:p>
    <w:p>
      <w:pPr>
        <w:spacing w:after="0" w:line="137" w:lineRule="exact"/>
        <w:rPr>
          <w:sz w:val="20"/>
          <w:szCs w:val="20"/>
          <w:color w:val="auto"/>
        </w:rPr>
      </w:pPr>
    </w:p>
    <w:p>
      <w:pPr>
        <w:ind w:left="320" w:right="320"/>
        <w:spacing w:after="0" w:line="238" w:lineRule="auto"/>
        <w:rPr>
          <w:sz w:val="20"/>
          <w:szCs w:val="20"/>
          <w:color w:val="auto"/>
        </w:rPr>
      </w:pPr>
      <w:r>
        <w:rPr>
          <w:rFonts w:ascii="Times New Roman" w:cs="Times New Roman" w:eastAsia="Times New Roman" w:hAnsi="Times New Roman"/>
          <w:sz w:val="16"/>
          <w:szCs w:val="16"/>
          <w:color w:val="auto"/>
        </w:rPr>
        <w:t>We and certain of our consolidated subsidiaries have intercompany and third-party debt that is not denominated in the functional currency of the entities. When debt is denominated in a currency other than the functional currency of an entity, a gain or loss can result. The associated adjustment is reflected in other (expenses) income, net, in the consolidated income statements, unless it is intercompany debt that is deemed to be long-term in nature or third-party debt that has been designated as a nonderivative net investment hedge – in which case the associated adjustments are reflected as a cumulative translation adjustment as a component of other comprehensive income. In the statement of cash flows, cash flows denominated in foreign currencies are translated using the exchange rates in effect at the time of the respective cash flows or at average exchange rates for the period, depending on the nature of the cash flow items.</w:t>
      </w:r>
    </w:p>
    <w:p>
      <w:pPr>
        <w:spacing w:after="0" w:line="171" w:lineRule="exact"/>
        <w:rPr>
          <w:sz w:val="20"/>
          <w:szCs w:val="20"/>
          <w:color w:val="auto"/>
        </w:rPr>
      </w:pPr>
    </w:p>
    <w:p>
      <w:pPr>
        <w:ind w:left="320" w:right="320"/>
        <w:spacing w:after="0" w:line="237" w:lineRule="auto"/>
        <w:rPr>
          <w:sz w:val="20"/>
          <w:szCs w:val="20"/>
          <w:color w:val="auto"/>
        </w:rPr>
      </w:pPr>
      <w:r>
        <w:rPr>
          <w:rFonts w:ascii="Times New Roman" w:cs="Times New Roman" w:eastAsia="Times New Roman" w:hAnsi="Times New Roman"/>
          <w:sz w:val="16"/>
          <w:szCs w:val="16"/>
          <w:b w:val="1"/>
          <w:bCs w:val="1"/>
          <w:color w:val="auto"/>
        </w:rPr>
        <w:t>Acquisition Accounting</w:t>
      </w:r>
      <w:r>
        <w:rPr>
          <w:rFonts w:ascii="Times New Roman" w:cs="Times New Roman" w:eastAsia="Times New Roman" w:hAnsi="Times New Roman"/>
          <w:sz w:val="16"/>
          <w:szCs w:val="16"/>
          <w:color w:val="auto"/>
        </w:rPr>
        <w:t>. We evaluate whether or not substantially all of the value of acquired assets is concentrated in a single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identifiable asset or group of identifiable assets to determine whether a transaction is accounted for as an asset acquisition or a business combination. For asset acquisitions: (1) transaction costs are included in the total costs of the acquisition and are allocated on a pro-rata basis to the carrying value of the assets and liabilities acquired, (2) real estate assets acquired are measured based on their cost or total consideration exchanged with any excess consideration or bargain purchase amount allocated to real estate properties and their associated intangibles such as above and below-market leases, in-place leases, acquired ground leases, and customer relationship value and (3) all other assets and liabilities assumed, including any debt, are recorded at fair value. For business combinations: (1) transaction costs are expensed as incurred, (2) all acquired tangible and identifiable intangible assets are recognized at fair value, (3) the amount of any purchase consideration that exceeds the fair value of the tangible and identifiable intangible assets acquired is recognized as goodwill, and (4) to the extent the purchase consideration is less than the fair value of the tangible and identifiable intangible assets acquired, a gain on bargain purchase is recognized.</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11" w:name="page112"/>
    <w:bookmarkEnd w:id="111"/>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 and 2023</w:t>
      </w:r>
    </w:p>
    <w:p>
      <w:pPr>
        <w:spacing w:after="0" w:line="202" w:lineRule="exact"/>
        <w:rPr>
          <w:sz w:val="20"/>
          <w:szCs w:val="20"/>
          <w:color w:val="auto"/>
        </w:rPr>
      </w:pPr>
    </w:p>
    <w:p>
      <w:pPr>
        <w:ind w:left="320" w:right="420"/>
        <w:spacing w:after="0" w:line="247" w:lineRule="auto"/>
        <w:rPr>
          <w:sz w:val="20"/>
          <w:szCs w:val="20"/>
          <w:color w:val="auto"/>
        </w:rPr>
      </w:pPr>
      <w:r>
        <w:rPr>
          <w:rFonts w:ascii="Times New Roman" w:cs="Times New Roman" w:eastAsia="Times New Roman" w:hAnsi="Times New Roman"/>
          <w:sz w:val="16"/>
          <w:szCs w:val="16"/>
          <w:color w:val="auto"/>
        </w:rPr>
        <w:t>When we obtain control of an unconsolidated entity that we previously held as an equity method investment and the acquisition qualifies as a business combination, we remeasure our previously held interest in the unconsolidated entity at its acquisition-date fair value, derecognize the book value associated with that interest, and recognize any resulting gain or loss in earnings.</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We allocate purchase price primarily using Level 2 and Level 3 inputs (further defined in Fair Value Measurements) as follows:</w:t>
      </w:r>
    </w:p>
    <w:p>
      <w:pPr>
        <w:spacing w:after="0" w:line="186" w:lineRule="exact"/>
        <w:rPr>
          <w:sz w:val="20"/>
          <w:szCs w:val="20"/>
          <w:color w:val="auto"/>
        </w:rPr>
      </w:pPr>
    </w:p>
    <w:p>
      <w:pPr>
        <w:ind w:left="320" w:right="320"/>
        <w:spacing w:after="0" w:line="238" w:lineRule="auto"/>
        <w:rPr>
          <w:sz w:val="20"/>
          <w:szCs w:val="20"/>
          <w:color w:val="auto"/>
        </w:rPr>
      </w:pPr>
      <w:r>
        <w:rPr>
          <w:rFonts w:ascii="Times New Roman" w:cs="Times New Roman" w:eastAsia="Times New Roman" w:hAnsi="Times New Roman"/>
          <w:sz w:val="16"/>
          <w:szCs w:val="16"/>
          <w:i w:val="1"/>
          <w:iCs w:val="1"/>
          <w:color w:val="auto"/>
        </w:rPr>
        <w:t>Real Estate</w:t>
      </w:r>
      <w:r>
        <w:rPr>
          <w:rFonts w:ascii="Times New Roman" w:cs="Times New Roman" w:eastAsia="Times New Roman" w:hAnsi="Times New Roman"/>
          <w:sz w:val="16"/>
          <w:szCs w:val="16"/>
          <w:color w:val="auto"/>
        </w:rPr>
        <w:t>. The fair value of acquired land is determined based on relevant market data, such as comparable land sales. The fair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value of acquired improvements is determined based on replacement cost as adjusted for any physical and/or market obsolescence. Operating properties are valued as if they are vacant (“as-if-vacant”) by applying an income approach methodology using either a discounted cash flow analysis or by applying a capitalization rate to the estimated Net Operating Income (“NOI”) of a property. As-if-vacant values consider estimated carrying costs during expected lease-up periods and costs to execute similar leases (based on current market conditions). Carrying costs during expected lease up periods include real estate taxes, insurance and other operating expenses as well as estimates of lost rental revenue during the expected lease-up periods. Costs to execute similar leases include lease commissions, tenant improvements, legal and other related costs.</w:t>
      </w:r>
    </w:p>
    <w:p>
      <w:pPr>
        <w:spacing w:after="0" w:line="173" w:lineRule="exact"/>
        <w:rPr>
          <w:sz w:val="20"/>
          <w:szCs w:val="20"/>
          <w:color w:val="auto"/>
        </w:rPr>
      </w:pPr>
    </w:p>
    <w:p>
      <w:pPr>
        <w:ind w:left="320" w:right="460"/>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Lease Intangibles. </w:t>
      </w:r>
      <w:r>
        <w:rPr>
          <w:rFonts w:ascii="Times New Roman" w:cs="Times New Roman" w:eastAsia="Times New Roman" w:hAnsi="Times New Roman"/>
          <w:sz w:val="16"/>
          <w:szCs w:val="16"/>
          <w:color w:val="auto"/>
        </w:rPr>
        <w:t>The portion of the purchase price related to acquired in-place leases is recorded as intangible assets and liabilities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 follows:</w:t>
      </w:r>
    </w:p>
    <w:p>
      <w:pPr>
        <w:spacing w:after="0" w:line="152" w:lineRule="exact"/>
        <w:rPr>
          <w:sz w:val="20"/>
          <w:szCs w:val="20"/>
          <w:color w:val="auto"/>
        </w:rPr>
      </w:pPr>
    </w:p>
    <w:p>
      <w:pPr>
        <w:jc w:val="both"/>
        <w:ind w:left="1180" w:right="500" w:hanging="286"/>
        <w:spacing w:after="0" w:line="275" w:lineRule="auto"/>
        <w:tabs>
          <w:tab w:leader="none" w:pos="118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Above and below market leases: We use a discounted cash flow approach to determine the estimated present value of any difference between contractual rents for acquired in-place leases as compared to current market rents. If rents on acquired in-place leases are higher than current market rents, we record an intangible asset for the favorable rents. If rents on acquired in-place leases are lower than current market rents, we record a liability for the unfavorable rents.</w:t>
      </w:r>
    </w:p>
    <w:p>
      <w:pPr>
        <w:ind w:left="1180" w:right="360"/>
        <w:spacing w:after="0" w:line="23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Favorable rent assets are amortized as a reduction to rental income over the remaining non-cancelable term of the lease. Unfavorable rent liabilities are amortized as an increase to rental income over the initial lease term plus any below-market fixed rate renewal periods.</w:t>
      </w:r>
    </w:p>
    <w:p>
      <w:pPr>
        <w:spacing w:after="0" w:line="169" w:lineRule="exact"/>
        <w:rPr>
          <w:rFonts w:ascii="Times New Roman" w:cs="Times New Roman" w:eastAsia="Times New Roman" w:hAnsi="Times New Roman"/>
          <w:sz w:val="14"/>
          <w:szCs w:val="14"/>
          <w:color w:val="auto"/>
        </w:rPr>
      </w:pPr>
    </w:p>
    <w:p>
      <w:pPr>
        <w:ind w:left="1180" w:right="400" w:hanging="286"/>
        <w:spacing w:after="0" w:line="238" w:lineRule="auto"/>
        <w:tabs>
          <w:tab w:leader="none" w:pos="118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In-place lease value: Since the as-if-vacant model is used to determine the value of acquired operating properties, the value of such properties does not include the value associated with having existing tenants who are leasing space in the purchased properties. Having in-place tenants allows buyers to avoid costs associated with leasing the property as well as any rent losses and unreimbursed operating expenses during the lease-up period. An asset for such benefits is recorded separately as in-place lease value. In-place lease value is determined based on estimated carrying costs during hypothetical expected lease-up periods as well as costs to execute similar leases. We determine expected carrying costs and costs to execute similar leases in the same manner as described in the previous discussion of the valuation of operating properties using the as-if-vacant model. The value of in-place leases is amortized to expense over the remaining initial terms of the respective leases.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12" w:name="page113"/>
    <w:bookmarkEnd w:id="112"/>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 and 2023</w:t>
      </w:r>
    </w:p>
    <w:p>
      <w:pPr>
        <w:spacing w:after="0" w:line="202" w:lineRule="exact"/>
        <w:rPr>
          <w:sz w:val="20"/>
          <w:szCs w:val="20"/>
          <w:color w:val="auto"/>
        </w:rPr>
      </w:pPr>
    </w:p>
    <w:p>
      <w:pPr>
        <w:ind w:left="1180" w:right="440" w:hanging="286"/>
        <w:spacing w:after="0" w:line="239" w:lineRule="auto"/>
        <w:tabs>
          <w:tab w:leader="none" w:pos="118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Customer relationship value: In some transactions, customers acquired are expected to generate recurring revenues beyond existing in-place lease terms. We utilize the multi-period excess earnings method to determine customer relationship value, if any. Key factors reflected in this approach include: (1) projected revenue growth from existing customers, (2) historical customer lease renewals and attrition rates, (3) rental renewal probabilities and related market terms, (4) estimated operating costs, and (5) discount rate. Customer relationship value is amortized to expense ratably over the anticipated life of substantially all of the acquired customer relationships that are expected to generate excess earnings.</w:t>
      </w:r>
    </w:p>
    <w:p>
      <w:pPr>
        <w:spacing w:after="0" w:line="168" w:lineRule="exact"/>
        <w:rPr>
          <w:sz w:val="20"/>
          <w:szCs w:val="20"/>
          <w:color w:val="auto"/>
        </w:rPr>
      </w:pPr>
    </w:p>
    <w:p>
      <w:pPr>
        <w:ind w:left="320" w:right="380"/>
        <w:spacing w:after="0" w:line="241" w:lineRule="auto"/>
        <w:rPr>
          <w:sz w:val="20"/>
          <w:szCs w:val="20"/>
          <w:color w:val="auto"/>
        </w:rPr>
      </w:pPr>
      <w:r>
        <w:rPr>
          <w:rFonts w:ascii="Times New Roman" w:cs="Times New Roman" w:eastAsia="Times New Roman" w:hAnsi="Times New Roman"/>
          <w:sz w:val="16"/>
          <w:szCs w:val="16"/>
          <w:i w:val="1"/>
          <w:iCs w:val="1"/>
          <w:color w:val="auto"/>
        </w:rPr>
        <w:t xml:space="preserve">Debt. </w:t>
      </w:r>
      <w:r>
        <w:rPr>
          <w:rFonts w:ascii="Times New Roman" w:cs="Times New Roman" w:eastAsia="Times New Roman" w:hAnsi="Times New Roman"/>
          <w:sz w:val="16"/>
          <w:szCs w:val="16"/>
          <w:color w:val="auto"/>
        </w:rPr>
        <w:t>We recognize the fair value of any acquired debt based on contractual future cash flows discounted using borrowing spreads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market interest rates that would be available to us for issuance of debt with similar terms and remaining maturities. If acquired debt is publicly traded, we utilize available market data to determine fair value of the debt. Any discount or premium on the principal is included in the carrying value of the debt and amortized to interest expense over the remaining term of the debt using the effective interest method.</w:t>
      </w:r>
    </w:p>
    <w:p>
      <w:pPr>
        <w:spacing w:after="0" w:line="169" w:lineRule="exact"/>
        <w:rPr>
          <w:sz w:val="20"/>
          <w:szCs w:val="20"/>
          <w:color w:val="auto"/>
        </w:rPr>
      </w:pPr>
    </w:p>
    <w:p>
      <w:pPr>
        <w:ind w:left="320" w:right="440"/>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Noncontrolling interests. </w:t>
      </w:r>
      <w:r>
        <w:rPr>
          <w:rFonts w:ascii="Times New Roman" w:cs="Times New Roman" w:eastAsia="Times New Roman" w:hAnsi="Times New Roman"/>
          <w:sz w:val="16"/>
          <w:szCs w:val="16"/>
          <w:color w:val="auto"/>
        </w:rPr>
        <w:t>The fair value of the ownership percentage of acquired entities held by third parties is determined based 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fair value of the consolidated net assets acquired, adjusted for any put or call options or other such features associated of the noncontrolling interests.</w:t>
      </w:r>
    </w:p>
    <w:p>
      <w:pPr>
        <w:spacing w:after="0" w:line="162" w:lineRule="exact"/>
        <w:rPr>
          <w:sz w:val="20"/>
          <w:szCs w:val="20"/>
          <w:color w:val="auto"/>
        </w:rPr>
      </w:pPr>
    </w:p>
    <w:p>
      <w:pPr>
        <w:ind w:left="320" w:right="360"/>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Other acquired assets and liabilities. </w:t>
      </w:r>
      <w:r>
        <w:rPr>
          <w:rFonts w:ascii="Times New Roman" w:cs="Times New Roman" w:eastAsia="Times New Roman" w:hAnsi="Times New Roman"/>
          <w:sz w:val="16"/>
          <w:szCs w:val="16"/>
          <w:color w:val="auto"/>
        </w:rPr>
        <w:t>The fair value of other acquired assets and liabilities is determined using the best information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available. For working capital items that are short-term in nature, fair value is generally presumed to equal the seller’s carrying value, unless facts and circumstances suggest otherwise.</w:t>
      </w:r>
    </w:p>
    <w:p>
      <w:pPr>
        <w:spacing w:after="0" w:line="162" w:lineRule="exact"/>
        <w:rPr>
          <w:sz w:val="20"/>
          <w:szCs w:val="20"/>
          <w:color w:val="auto"/>
        </w:rPr>
      </w:pPr>
    </w:p>
    <w:p>
      <w:pPr>
        <w:ind w:left="320" w:right="320"/>
        <w:spacing w:after="0" w:line="284" w:lineRule="auto"/>
        <w:rPr>
          <w:sz w:val="20"/>
          <w:szCs w:val="20"/>
          <w:color w:val="auto"/>
        </w:rPr>
      </w:pPr>
      <w:r>
        <w:rPr>
          <w:rFonts w:ascii="Times New Roman" w:cs="Times New Roman" w:eastAsia="Times New Roman" w:hAnsi="Times New Roman"/>
          <w:sz w:val="14"/>
          <w:szCs w:val="14"/>
          <w:b w:val="1"/>
          <w:bCs w:val="1"/>
          <w:color w:val="auto"/>
        </w:rPr>
        <w:t xml:space="preserve">Fair Value Measurements. </w:t>
      </w:r>
      <w:r>
        <w:rPr>
          <w:rFonts w:ascii="Times New Roman" w:cs="Times New Roman" w:eastAsia="Times New Roman" w:hAnsi="Times New Roman"/>
          <w:sz w:val="14"/>
          <w:szCs w:val="14"/>
          <w:color w:val="auto"/>
        </w:rPr>
        <w:t>Fair value is intended to reflect the price that would be received for the sale of an asset or paid for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transfer of a liability in an orderly transaction between market participants at the measurement date (the exit price). We estimate fair value using available market information and valuation methods we believe to be appropriate for these purposes. Given the significant amount of judgement and subjectivity involved in the determination of fair value, estimated fair value is not necessarily indicative of amounts that would be realized on disposition. There are three levels in the fair value hierarchy under U.S. GAAP, which are:</w:t>
      </w:r>
    </w:p>
    <w:p>
      <w:pPr>
        <w:spacing w:after="0" w:line="142" w:lineRule="exact"/>
        <w:rPr>
          <w:sz w:val="20"/>
          <w:szCs w:val="20"/>
          <w:color w:val="auto"/>
        </w:rPr>
      </w:pPr>
    </w:p>
    <w:p>
      <w:pPr>
        <w:ind w:left="1180" w:right="500" w:hanging="286"/>
        <w:spacing w:after="0" w:line="259" w:lineRule="auto"/>
        <w:tabs>
          <w:tab w:leader="none" w:pos="118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1 – Quoted prices (unadjusted) in active markets for identical assets or liabilities that an entity can access at the measurement date.</w:t>
      </w:r>
    </w:p>
    <w:p>
      <w:pPr>
        <w:spacing w:after="0" w:line="155" w:lineRule="exact"/>
        <w:rPr>
          <w:rFonts w:ascii="Times New Roman" w:cs="Times New Roman" w:eastAsia="Times New Roman" w:hAnsi="Times New Roman"/>
          <w:sz w:val="16"/>
          <w:szCs w:val="16"/>
          <w:color w:val="auto"/>
        </w:rPr>
      </w:pPr>
    </w:p>
    <w:p>
      <w:pPr>
        <w:ind w:left="1180" w:right="340" w:hanging="286"/>
        <w:spacing w:after="0" w:line="259" w:lineRule="auto"/>
        <w:tabs>
          <w:tab w:leader="none" w:pos="118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2 – Inputs that are directly or indirectly observable for the associated asset or liability, but which do not qualify as Level 1 inputs.</w:t>
      </w:r>
    </w:p>
    <w:p>
      <w:pPr>
        <w:spacing w:after="0" w:line="155" w:lineRule="exact"/>
        <w:rPr>
          <w:rFonts w:ascii="Times New Roman" w:cs="Times New Roman" w:eastAsia="Times New Roman" w:hAnsi="Times New Roman"/>
          <w:sz w:val="16"/>
          <w:szCs w:val="16"/>
          <w:color w:val="auto"/>
        </w:rPr>
      </w:pPr>
    </w:p>
    <w:p>
      <w:pPr>
        <w:ind w:left="1180" w:hanging="286"/>
        <w:spacing w:after="0"/>
        <w:tabs>
          <w:tab w:leader="none" w:pos="118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3 – Unobservable inputs for the asset or liability.</w:t>
      </w:r>
    </w:p>
    <w:p>
      <w:pPr>
        <w:spacing w:after="0" w:line="188" w:lineRule="exact"/>
        <w:rPr>
          <w:sz w:val="20"/>
          <w:szCs w:val="20"/>
          <w:color w:val="auto"/>
        </w:rPr>
      </w:pPr>
    </w:p>
    <w:p>
      <w:pPr>
        <w:ind w:left="320" w:right="480"/>
        <w:spacing w:after="0" w:line="278" w:lineRule="auto"/>
        <w:rPr>
          <w:sz w:val="20"/>
          <w:szCs w:val="20"/>
          <w:color w:val="auto"/>
        </w:rPr>
      </w:pPr>
      <w:r>
        <w:rPr>
          <w:rFonts w:ascii="Times New Roman" w:cs="Times New Roman" w:eastAsia="Times New Roman" w:hAnsi="Times New Roman"/>
          <w:sz w:val="14"/>
          <w:szCs w:val="14"/>
          <w:color w:val="auto"/>
        </w:rPr>
        <w:t>In instances where inputs from multiple different levels of the fair value hierarchy are used to determine fair value, the lowest level input that is significant is used to determine the fair-value measurement in its entirety. Our assessment of the significance of a particular input to a fair -value measurement requires judgment and considers factors specific to the asset or liability. We utilize fair value measurements on a recurring basis to determine the fair value of: marketable equity securities, share-based compensation awards, derivative instruments, and outstanding debt. Such measurements are also regularly utilized in assessing whether or not impairments may exist on intangible assets (including goodwill). In addition, we utilize fair value measurements on a non-recurring basis to determine the fair value associated with assets held for sale, acquisitions of assets, and acquisitions of businesses.</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13" w:name="page114"/>
    <w:bookmarkEnd w:id="113"/>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 and 2023</w:t>
      </w:r>
    </w:p>
    <w:p>
      <w:pPr>
        <w:spacing w:after="0" w:line="380" w:lineRule="exact"/>
        <w:rPr>
          <w:sz w:val="20"/>
          <w:szCs w:val="20"/>
          <w:color w:val="auto"/>
        </w:rPr>
      </w:pPr>
    </w:p>
    <w:p>
      <w:pPr>
        <w:ind w:left="320" w:right="300"/>
        <w:spacing w:after="0" w:line="276" w:lineRule="auto"/>
        <w:rPr>
          <w:sz w:val="20"/>
          <w:szCs w:val="20"/>
          <w:color w:val="auto"/>
        </w:rPr>
      </w:pPr>
      <w:r>
        <w:rPr>
          <w:rFonts w:ascii="Times New Roman" w:cs="Times New Roman" w:eastAsia="Times New Roman" w:hAnsi="Times New Roman"/>
          <w:sz w:val="14"/>
          <w:szCs w:val="14"/>
          <w:b w:val="1"/>
          <w:bCs w:val="1"/>
          <w:color w:val="auto"/>
        </w:rPr>
        <w:t xml:space="preserve">Investments in Unconsolidated Entities. </w:t>
      </w:r>
      <w:r>
        <w:rPr>
          <w:rFonts w:ascii="Times New Roman" w:cs="Times New Roman" w:eastAsia="Times New Roman" w:hAnsi="Times New Roman"/>
          <w:sz w:val="14"/>
          <w:szCs w:val="14"/>
          <w:color w:val="auto"/>
        </w:rPr>
        <w:t>Investments in unconsolidated entities as reflected on the consolidated balance sheets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includes all investments accounted for using the equity method. We use the equity method to account for these investments, because we have the ability to exercise significant influence over their operating and financial policies, but do not control them. Equity method investments are initially recognized at our cost. Transaction costs related to the formation of equity method investments are also capitalized. We subsequently adjust these balances to reflect: (1) our proportionate share of net earnings/losses of the entities and accumulated other comprehensive income or loss, (2) distributions received, (3) contributions made, (4) sales and redemptions of our investments, and (5) certain other adjustments, as appropriate. When circumstances indicate there may have been a reduction in the value of an equity method investment, we evaluate whether or not the loss in value is other than temporary. If we determine that a loss in value is other than temporary, we recognize an impairment charge to reflect the equity investment at fair value.</w:t>
      </w:r>
    </w:p>
    <w:p>
      <w:pPr>
        <w:spacing w:after="0" w:line="148" w:lineRule="exact"/>
        <w:rPr>
          <w:sz w:val="20"/>
          <w:szCs w:val="20"/>
          <w:color w:val="auto"/>
        </w:rPr>
      </w:pPr>
    </w:p>
    <w:p>
      <w:pPr>
        <w:ind w:left="320" w:right="300"/>
        <w:spacing w:after="0" w:line="284" w:lineRule="auto"/>
        <w:rPr>
          <w:sz w:val="20"/>
          <w:szCs w:val="20"/>
          <w:color w:val="auto"/>
        </w:rPr>
      </w:pPr>
      <w:r>
        <w:rPr>
          <w:rFonts w:ascii="Times New Roman" w:cs="Times New Roman" w:eastAsia="Times New Roman" w:hAnsi="Times New Roman"/>
          <w:sz w:val="14"/>
          <w:szCs w:val="14"/>
          <w:color w:val="auto"/>
        </w:rPr>
        <w:t>With regard to the cash flow classifications of distributions from unconsolidated entities, we have elected the nature of the distribution approach as the information is available to us to determine the nature of the underlying activity that generated the distributions. In accordance with this approach, cash flows generated from the operations of an unconsolidated entity are classified as a return on investment (cash inflow from operating activities) and cash flows that are generated from property sales, debt refinancing or sales and redemptions of our investments are classified as a return of investment (cash inflow from investing activities).</w:t>
      </w:r>
    </w:p>
    <w:p>
      <w:pPr>
        <w:spacing w:after="0" w:line="140" w:lineRule="exact"/>
        <w:rPr>
          <w:sz w:val="20"/>
          <w:szCs w:val="20"/>
          <w:color w:val="auto"/>
        </w:rPr>
      </w:pPr>
    </w:p>
    <w:p>
      <w:pPr>
        <w:ind w:left="320" w:right="540"/>
        <w:spacing w:after="0" w:line="259" w:lineRule="auto"/>
        <w:rPr>
          <w:sz w:val="20"/>
          <w:szCs w:val="20"/>
          <w:color w:val="auto"/>
        </w:rPr>
      </w:pPr>
      <w:r>
        <w:rPr>
          <w:rFonts w:ascii="Times New Roman" w:cs="Times New Roman" w:eastAsia="Times New Roman" w:hAnsi="Times New Roman"/>
          <w:sz w:val="16"/>
          <w:szCs w:val="16"/>
          <w:color w:val="auto"/>
        </w:rPr>
        <w:t>The Company has a negligible value of investments accounted for under the cost-method. These investments are included in Other assets on the consolidated balance sheets.</w:t>
      </w:r>
    </w:p>
    <w:p>
      <w:pPr>
        <w:spacing w:after="0" w:line="153" w:lineRule="exact"/>
        <w:rPr>
          <w:sz w:val="20"/>
          <w:szCs w:val="20"/>
          <w:color w:val="auto"/>
        </w:rPr>
      </w:pPr>
    </w:p>
    <w:p>
      <w:pPr>
        <w:ind w:left="320" w:right="380"/>
        <w:spacing w:after="0" w:line="284" w:lineRule="auto"/>
        <w:rPr>
          <w:sz w:val="20"/>
          <w:szCs w:val="20"/>
          <w:color w:val="auto"/>
        </w:rPr>
      </w:pPr>
      <w:r>
        <w:rPr>
          <w:rFonts w:ascii="Times New Roman" w:cs="Times New Roman" w:eastAsia="Times New Roman" w:hAnsi="Times New Roman"/>
          <w:sz w:val="14"/>
          <w:szCs w:val="14"/>
          <w:b w:val="1"/>
          <w:bCs w:val="1"/>
          <w:color w:val="auto"/>
        </w:rPr>
        <w:t xml:space="preserve">Cash and Cash Equivalents. </w:t>
      </w:r>
      <w:r>
        <w:rPr>
          <w:rFonts w:ascii="Times New Roman" w:cs="Times New Roman" w:eastAsia="Times New Roman" w:hAnsi="Times New Roman"/>
          <w:sz w:val="14"/>
          <w:szCs w:val="14"/>
          <w:color w:val="auto"/>
        </w:rPr>
        <w:t>We consider all cash on hand, demand deposits with financial institutions, and short-term highly liquid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investments with original maturities of 90 days or less to be cash and cash equivalents. Our cash and cash equivalents are financial instruments exposed to concentrations of credit risk. We invest our cash with high -credit quality institutions. We may invest our cash balances in money market accounts that are not insured. We do not believe we are exposed to any significant credit risk associated with our cash and cash equivalents and have not realized any losses associated with cash investments or accounts.</w:t>
      </w:r>
    </w:p>
    <w:p>
      <w:pPr>
        <w:spacing w:after="0" w:line="138" w:lineRule="exact"/>
        <w:rPr>
          <w:sz w:val="20"/>
          <w:szCs w:val="20"/>
          <w:color w:val="auto"/>
        </w:rPr>
      </w:pPr>
    </w:p>
    <w:p>
      <w:pPr>
        <w:ind w:left="320" w:right="540"/>
        <w:spacing w:after="0" w:line="249" w:lineRule="auto"/>
        <w:rPr>
          <w:sz w:val="20"/>
          <w:szCs w:val="20"/>
          <w:color w:val="auto"/>
        </w:rPr>
      </w:pPr>
      <w:r>
        <w:rPr>
          <w:rFonts w:ascii="Times New Roman" w:cs="Times New Roman" w:eastAsia="Times New Roman" w:hAnsi="Times New Roman"/>
          <w:sz w:val="16"/>
          <w:szCs w:val="16"/>
          <w:b w:val="1"/>
          <w:bCs w:val="1"/>
          <w:color w:val="auto"/>
        </w:rPr>
        <w:t>Restricted Cash</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Cash that is held for a specific purpose and thus not available to us for immediate or general business use 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categorized separately from cash and cash equivalents and is included in Other assets on the consolidated balance sheet. Restricted cash primarily consists of contractual capital expenditures and other deposits.</w:t>
      </w:r>
    </w:p>
    <w:p>
      <w:pPr>
        <w:spacing w:after="0" w:line="162" w:lineRule="exact"/>
        <w:rPr>
          <w:sz w:val="20"/>
          <w:szCs w:val="20"/>
          <w:color w:val="auto"/>
        </w:rPr>
      </w:pPr>
    </w:p>
    <w:p>
      <w:pPr>
        <w:ind w:left="320" w:right="42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Assets Held for Sale. </w:t>
      </w:r>
      <w:r>
        <w:rPr>
          <w:rFonts w:ascii="Times New Roman" w:cs="Times New Roman" w:eastAsia="Times New Roman" w:hAnsi="Times New Roman"/>
          <w:sz w:val="14"/>
          <w:szCs w:val="14"/>
          <w:color w:val="auto"/>
        </w:rPr>
        <w:t>We classify an asset as held for sale when the following criteria are met: (1) management that has the proper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authority has approved and committed to a plan to sell, (2) the asset is available for immediate sale, (3) an active program to locate a buyer has commenced, (4) the sale of the asset is probable, and (5) transfer of the asset is expected to occur within one year. Assets classified as held for sale are recorded at the lower of carrying value or fair value less costs to sell and are no longer depreciated.</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14" w:name="page115"/>
    <w:bookmarkEnd w:id="114"/>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 and 2023</w:t>
      </w:r>
    </w:p>
    <w:p>
      <w:pPr>
        <w:spacing w:after="0" w:line="200" w:lineRule="exact"/>
        <w:rPr>
          <w:sz w:val="20"/>
          <w:szCs w:val="20"/>
          <w:color w:val="auto"/>
        </w:rPr>
      </w:pPr>
    </w:p>
    <w:p>
      <w:pPr>
        <w:jc w:val="both"/>
        <w:ind w:left="320" w:right="360"/>
        <w:spacing w:after="0" w:line="248" w:lineRule="auto"/>
        <w:rPr>
          <w:sz w:val="20"/>
          <w:szCs w:val="20"/>
          <w:color w:val="auto"/>
        </w:rPr>
      </w:pPr>
      <w:r>
        <w:rPr>
          <w:rFonts w:ascii="Times New Roman" w:cs="Times New Roman" w:eastAsia="Times New Roman" w:hAnsi="Times New Roman"/>
          <w:sz w:val="16"/>
          <w:szCs w:val="16"/>
          <w:b w:val="1"/>
          <w:bCs w:val="1"/>
          <w:color w:val="auto"/>
        </w:rPr>
        <w:t xml:space="preserve">Investments in Real Estate. </w:t>
      </w:r>
      <w:r>
        <w:rPr>
          <w:rFonts w:ascii="Times New Roman" w:cs="Times New Roman" w:eastAsia="Times New Roman" w:hAnsi="Times New Roman"/>
          <w:sz w:val="16"/>
          <w:szCs w:val="16"/>
          <w:color w:val="auto"/>
        </w:rPr>
        <w:t>Investments in real estate are stated at cost, less accumulated depreciation and amortization. Land is not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depreciated. Depreciation and amortization are recorded on a straight-line basis over the estimated useful lives of the respective assts. Depreciable lives of assets are stated below.</w:t>
      </w:r>
    </w:p>
    <w:p>
      <w:pPr>
        <w:spacing w:after="0" w:line="185"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Acquired ground leases</w:t>
            </w:r>
          </w:p>
        </w:tc>
        <w:tc>
          <w:tcPr>
            <w:tcW w:w="57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Terms of the related lease</w:t>
            </w:r>
          </w:p>
        </w:tc>
      </w:tr>
      <w:tr>
        <w:trPr>
          <w:trHeight w:val="180"/>
        </w:trPr>
        <w:tc>
          <w:tcPr>
            <w:tcW w:w="26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Buildings and improvements</w:t>
            </w:r>
          </w:p>
        </w:tc>
        <w:tc>
          <w:tcPr>
            <w:tcW w:w="5740" w:type="dxa"/>
            <w:vAlign w:val="bottom"/>
          </w:tcPr>
          <w:p>
            <w:pPr>
              <w:ind w:left="840"/>
              <w:spacing w:after="0" w:line="180" w:lineRule="exact"/>
              <w:rPr>
                <w:sz w:val="20"/>
                <w:szCs w:val="20"/>
                <w:color w:val="auto"/>
              </w:rPr>
            </w:pPr>
            <w:r>
              <w:rPr>
                <w:rFonts w:ascii="Times New Roman" w:cs="Times New Roman" w:eastAsia="Times New Roman" w:hAnsi="Times New Roman"/>
                <w:sz w:val="16"/>
                <w:szCs w:val="16"/>
                <w:color w:val="auto"/>
              </w:rPr>
              <w:t>5-39 years</w:t>
            </w:r>
          </w:p>
        </w:tc>
      </w:tr>
      <w:tr>
        <w:trPr>
          <w:trHeight w:val="180"/>
        </w:trPr>
        <w:tc>
          <w:tcPr>
            <w:tcW w:w="26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Machinery and equipment</w:t>
            </w:r>
          </w:p>
        </w:tc>
        <w:tc>
          <w:tcPr>
            <w:tcW w:w="5740" w:type="dxa"/>
            <w:vAlign w:val="bottom"/>
            <w:shd w:val="clear" w:color="auto" w:fill="CCEEFF"/>
          </w:tcPr>
          <w:p>
            <w:pPr>
              <w:ind w:left="840"/>
              <w:spacing w:after="0" w:line="180" w:lineRule="exact"/>
              <w:rPr>
                <w:sz w:val="20"/>
                <w:szCs w:val="20"/>
                <w:color w:val="auto"/>
              </w:rPr>
            </w:pPr>
            <w:r>
              <w:rPr>
                <w:rFonts w:ascii="Times New Roman" w:cs="Times New Roman" w:eastAsia="Times New Roman" w:hAnsi="Times New Roman"/>
                <w:sz w:val="16"/>
                <w:szCs w:val="16"/>
                <w:color w:val="auto"/>
              </w:rPr>
              <w:t>7-15 years</w:t>
            </w:r>
          </w:p>
        </w:tc>
      </w:tr>
      <w:tr>
        <w:trPr>
          <w:trHeight w:val="180"/>
        </w:trPr>
        <w:tc>
          <w:tcPr>
            <w:tcW w:w="26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Furniture and fixtures</w:t>
            </w:r>
          </w:p>
        </w:tc>
        <w:tc>
          <w:tcPr>
            <w:tcW w:w="5740" w:type="dxa"/>
            <w:vAlign w:val="bottom"/>
          </w:tcPr>
          <w:p>
            <w:pPr>
              <w:ind w:left="840"/>
              <w:spacing w:after="0" w:line="180" w:lineRule="exact"/>
              <w:rPr>
                <w:sz w:val="20"/>
                <w:szCs w:val="20"/>
                <w:color w:val="auto"/>
              </w:rPr>
            </w:pPr>
            <w:r>
              <w:rPr>
                <w:rFonts w:ascii="Times New Roman" w:cs="Times New Roman" w:eastAsia="Times New Roman" w:hAnsi="Times New Roman"/>
                <w:sz w:val="16"/>
                <w:szCs w:val="16"/>
                <w:color w:val="auto"/>
              </w:rPr>
              <w:t>3-5 years</w:t>
            </w:r>
          </w:p>
        </w:tc>
      </w:tr>
      <w:tr>
        <w:trPr>
          <w:trHeight w:val="180"/>
        </w:trPr>
        <w:tc>
          <w:tcPr>
            <w:tcW w:w="26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Leasehold improvements</w:t>
            </w:r>
          </w:p>
        </w:tc>
        <w:tc>
          <w:tcPr>
            <w:tcW w:w="5740" w:type="dxa"/>
            <w:vAlign w:val="bottom"/>
            <w:shd w:val="clear" w:color="auto" w:fill="CCEEFF"/>
          </w:tcPr>
          <w:p>
            <w:pPr>
              <w:ind w:left="840"/>
              <w:spacing w:after="0" w:line="180" w:lineRule="exact"/>
              <w:rPr>
                <w:sz w:val="20"/>
                <w:szCs w:val="20"/>
                <w:color w:val="auto"/>
              </w:rPr>
            </w:pPr>
            <w:r>
              <w:rPr>
                <w:rFonts w:ascii="Times New Roman" w:cs="Times New Roman" w:eastAsia="Times New Roman" w:hAnsi="Times New Roman"/>
                <w:sz w:val="16"/>
                <w:szCs w:val="16"/>
                <w:color w:val="auto"/>
              </w:rPr>
              <w:t>Shorter of the estimated useful lives or the terms of the related leases</w:t>
            </w:r>
          </w:p>
        </w:tc>
      </w:tr>
      <w:tr>
        <w:trPr>
          <w:trHeight w:val="203"/>
        </w:trPr>
        <w:tc>
          <w:tcPr>
            <w:tcW w:w="2640" w:type="dxa"/>
            <w:vAlign w:val="bottom"/>
          </w:tcPr>
          <w:p>
            <w:pPr>
              <w:spacing w:after="0"/>
              <w:rPr>
                <w:sz w:val="20"/>
                <w:szCs w:val="20"/>
                <w:color w:val="auto"/>
              </w:rPr>
            </w:pPr>
            <w:r>
              <w:rPr>
                <w:rFonts w:ascii="Times New Roman" w:cs="Times New Roman" w:eastAsia="Times New Roman" w:hAnsi="Times New Roman"/>
                <w:sz w:val="16"/>
                <w:szCs w:val="16"/>
                <w:color w:val="auto"/>
              </w:rPr>
              <w:t>Tenant improvements</w:t>
            </w:r>
          </w:p>
        </w:tc>
        <w:tc>
          <w:tcPr>
            <w:tcW w:w="57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Shorter of the estimated useful lives or the terms of the related leases</w:t>
            </w:r>
          </w:p>
        </w:tc>
      </w:tr>
    </w:tbl>
    <w:p>
      <w:pPr>
        <w:spacing w:after="0" w:line="144" w:lineRule="exact"/>
        <w:rPr>
          <w:sz w:val="20"/>
          <w:szCs w:val="20"/>
          <w:color w:val="auto"/>
        </w:rPr>
      </w:pPr>
    </w:p>
    <w:p>
      <w:pPr>
        <w:ind w:left="320" w:right="500"/>
        <w:spacing w:after="0" w:line="259" w:lineRule="auto"/>
        <w:rPr>
          <w:sz w:val="20"/>
          <w:szCs w:val="20"/>
          <w:color w:val="auto"/>
        </w:rPr>
      </w:pPr>
      <w:r>
        <w:rPr>
          <w:rFonts w:ascii="Times New Roman" w:cs="Times New Roman" w:eastAsia="Times New Roman" w:hAnsi="Times New Roman"/>
          <w:sz w:val="16"/>
          <w:szCs w:val="16"/>
          <w:color w:val="auto"/>
        </w:rPr>
        <w:t>Improvements and replacements are capitalized when they extend the useful life, increase capacity, or improve the efficiency of the asset. Repairs and maintenance are charged to expense as incurred.</w:t>
      </w:r>
    </w:p>
    <w:p>
      <w:pPr>
        <w:spacing w:after="0" w:line="1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Capitalization of Costs.</w:t>
      </w:r>
    </w:p>
    <w:p>
      <w:pPr>
        <w:spacing w:after="0" w:line="188" w:lineRule="exact"/>
        <w:rPr>
          <w:sz w:val="20"/>
          <w:szCs w:val="20"/>
          <w:color w:val="auto"/>
        </w:rPr>
      </w:pPr>
    </w:p>
    <w:p>
      <w:pPr>
        <w:ind w:left="320" w:right="340"/>
        <w:spacing w:after="0" w:line="239" w:lineRule="auto"/>
        <w:rPr>
          <w:sz w:val="20"/>
          <w:szCs w:val="20"/>
          <w:color w:val="auto"/>
        </w:rPr>
      </w:pPr>
      <w:r>
        <w:rPr>
          <w:rFonts w:ascii="Times New Roman" w:cs="Times New Roman" w:eastAsia="Times New Roman" w:hAnsi="Times New Roman"/>
          <w:sz w:val="16"/>
          <w:szCs w:val="16"/>
          <w:i w:val="1"/>
          <w:iCs w:val="1"/>
          <w:color w:val="auto"/>
        </w:rPr>
        <w:t xml:space="preserve">Development costs </w:t>
      </w:r>
      <w:r>
        <w:rPr>
          <w:rFonts w:ascii="Times New Roman" w:cs="Times New Roman" w:eastAsia="Times New Roman" w:hAnsi="Times New Roman"/>
          <w:sz w:val="16"/>
          <w:szCs w:val="16"/>
          <w:color w:val="auto"/>
        </w:rPr>
        <w:t>– During the land development and construction periods of qualifying projects, we capitalize direct and indirect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project costs that are clearly associated with the development of properties. Capitalized project costs include all costs associated with the development of a property. Such costs include the cost of land and buildings, improvements and fixed equipment, design and engineering, other construction costs, interest, property taxes, insurance, legal fees, personnel working on the project, and corporate supervision. Capitalization of costs ceases when development projects are substantially complete and ready for their intended use. We generally consider development projects to be substantially complete and ready for intended use upon receipt of a certificate of occupancy.</w:t>
      </w:r>
    </w:p>
    <w:p>
      <w:pPr>
        <w:spacing w:after="0" w:line="170" w:lineRule="exact"/>
        <w:rPr>
          <w:sz w:val="20"/>
          <w:szCs w:val="20"/>
          <w:color w:val="auto"/>
        </w:rPr>
      </w:pPr>
    </w:p>
    <w:p>
      <w:pPr>
        <w:ind w:left="320" w:right="320"/>
        <w:spacing w:after="0" w:line="239" w:lineRule="auto"/>
        <w:rPr>
          <w:sz w:val="20"/>
          <w:szCs w:val="20"/>
          <w:color w:val="auto"/>
        </w:rPr>
      </w:pPr>
      <w:r>
        <w:rPr>
          <w:rFonts w:ascii="Times New Roman" w:cs="Times New Roman" w:eastAsia="Times New Roman" w:hAnsi="Times New Roman"/>
          <w:sz w:val="16"/>
          <w:szCs w:val="16"/>
          <w:i w:val="1"/>
          <w:iCs w:val="1"/>
          <w:color w:val="auto"/>
        </w:rPr>
        <w:t xml:space="preserve">Leasing commissions </w:t>
      </w:r>
      <w:r>
        <w:rPr>
          <w:rFonts w:ascii="Times New Roman" w:cs="Times New Roman" w:eastAsia="Times New Roman" w:hAnsi="Times New Roman"/>
          <w:sz w:val="16"/>
          <w:szCs w:val="16"/>
          <w:color w:val="auto"/>
        </w:rPr>
        <w:t>– Leasing commissions and other direct costs associated with the acquisition of tenants are capitalized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amortized on a straight-line basis over the terms of the related leases. During the years ended December 31, 2024, 2023 and 2022, we capitalized deferred leasing costs of approximately $49.3 million, $43.1 million and $51.8 million, respectively. Deferred leasing costs are included in Customer relationship value, deferred leasing costs and intangibles on the consolidated balance sheet and amounted to approximately $ 207.9 million and $ 220.5 million, net of accumulated amortization of $605.1 million and $558.3 million, as of December 31, 2024 and 2023, respectively. Amortization expense on leasing costs was approximately $74.3 million, $76.8 million, and $79.2 million for the years ended December 31, 2024, 2023 and 2022, respectively.</w:t>
      </w:r>
    </w:p>
    <w:p>
      <w:pPr>
        <w:spacing w:after="0" w:line="158" w:lineRule="exact"/>
        <w:rPr>
          <w:sz w:val="20"/>
          <w:szCs w:val="20"/>
          <w:color w:val="auto"/>
        </w:rPr>
      </w:pPr>
    </w:p>
    <w:p>
      <w:pPr>
        <w:ind w:left="320" w:right="440"/>
        <w:spacing w:after="0" w:line="277" w:lineRule="auto"/>
        <w:rPr>
          <w:sz w:val="20"/>
          <w:szCs w:val="20"/>
          <w:color w:val="auto"/>
        </w:rPr>
      </w:pPr>
      <w:r>
        <w:rPr>
          <w:rFonts w:ascii="Times New Roman" w:cs="Times New Roman" w:eastAsia="Times New Roman" w:hAnsi="Times New Roman"/>
          <w:sz w:val="14"/>
          <w:szCs w:val="14"/>
          <w:b w:val="1"/>
          <w:bCs w:val="1"/>
          <w:color w:val="auto"/>
        </w:rPr>
        <w:t xml:space="preserve">Recoverability of Real Estate Assets. </w:t>
      </w:r>
      <w:r>
        <w:rPr>
          <w:rFonts w:ascii="Times New Roman" w:cs="Times New Roman" w:eastAsia="Times New Roman" w:hAnsi="Times New Roman"/>
          <w:sz w:val="14"/>
          <w:szCs w:val="14"/>
          <w:color w:val="auto"/>
        </w:rPr>
        <w:t>We assess the carrying value of our properties whenever events or circumstances indicate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carrying amounts of these assets may not be fully recoverable (“triggering events"). Triggering events typically relate to a change in the expected holding period of a property, an adverse change in expected future cash flows of the property, or a trend of past cash flow losses that is expected to continue in the future. If our assessment of triggering events indicates the carrying value of a property or asset group might not be recoverable, we estimate the future undiscounted net cash flows expected to be generated by the assets and compare that amount to the book value of the assets. If our future undiscounted net cash flow evaluation indicates we are unable to recover the carrying value of a property or asset group, we record an impairment loss to provision for impairment in our consolidated income statements to the extent the carrying value of the property or asset group exceeds fair value.</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15" w:name="page116"/>
    <w:bookmarkEnd w:id="115"/>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December 31, 2024 and 2023</w:t>
      </w:r>
    </w:p>
    <w:p>
      <w:pPr>
        <w:spacing w:after="0" w:line="202" w:lineRule="exact"/>
        <w:rPr>
          <w:sz w:val="20"/>
          <w:szCs w:val="20"/>
          <w:color w:val="auto"/>
        </w:rPr>
      </w:pPr>
    </w:p>
    <w:p>
      <w:pPr>
        <w:ind w:left="320" w:right="420"/>
        <w:spacing w:after="0" w:line="243" w:lineRule="auto"/>
        <w:rPr>
          <w:sz w:val="20"/>
          <w:szCs w:val="20"/>
          <w:color w:val="auto"/>
        </w:rPr>
      </w:pPr>
      <w:r>
        <w:rPr>
          <w:rFonts w:ascii="Times New Roman" w:cs="Times New Roman" w:eastAsia="Times New Roman" w:hAnsi="Times New Roman"/>
          <w:sz w:val="16"/>
          <w:szCs w:val="16"/>
          <w:color w:val="auto"/>
        </w:rPr>
        <w:t>We generally estimate fair value of rental properties using a discounted cash flow analysis that includes projections of future revenues, expenses, and capital improvements that a market participant would use. In certain cases, we may supplement this analysis by obtaining outside broker opinions of value. When determining undiscounted future cash flows, we consider factors such as future operating income trends and prospects as well as the effects of leasing demand, competition and other factors.</w:t>
      </w:r>
    </w:p>
    <w:p>
      <w:pPr>
        <w:spacing w:after="0" w:line="165" w:lineRule="exact"/>
        <w:rPr>
          <w:sz w:val="20"/>
          <w:szCs w:val="20"/>
          <w:color w:val="auto"/>
        </w:rPr>
      </w:pPr>
    </w:p>
    <w:p>
      <w:pPr>
        <w:ind w:left="320" w:right="360"/>
        <w:spacing w:after="0" w:line="237" w:lineRule="auto"/>
        <w:rPr>
          <w:sz w:val="20"/>
          <w:szCs w:val="20"/>
          <w:color w:val="auto"/>
        </w:rPr>
      </w:pPr>
      <w:r>
        <w:rPr>
          <w:rFonts w:ascii="Times New Roman" w:cs="Times New Roman" w:eastAsia="Times New Roman" w:hAnsi="Times New Roman"/>
          <w:sz w:val="16"/>
          <w:szCs w:val="16"/>
          <w:b w:val="1"/>
          <w:bCs w:val="1"/>
          <w:color w:val="auto"/>
        </w:rPr>
        <w:t xml:space="preserve">Goodwill and Other Acquired Intangible Assets. </w:t>
      </w:r>
      <w:r>
        <w:rPr>
          <w:rFonts w:ascii="Times New Roman" w:cs="Times New Roman" w:eastAsia="Times New Roman" w:hAnsi="Times New Roman"/>
          <w:sz w:val="16"/>
          <w:szCs w:val="16"/>
          <w:color w:val="auto"/>
        </w:rPr>
        <w:t>Goodwill represents the excess of the purchase price over the fair value of net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tangible and intangible assets acquired in a business combination. Goodwill is not amortized. Goodwill is evaluated for impairment at the reporting unit level. The Company has one reportable segment and one reporting unit. We evaluate goodwill for impairment whenever events or changes in circumstances occur that would more likely than not reduce the fair value of the reporting unit below its carrying value. In addition to monitoring for impactful events and circumstances, we perform an annual one-step quantitative test in which we compare the reporting unit’s carrying value to its fair value. We determine the fair value of the reporting unit based on quoted market prices of the Company’s publicly traded shares. To the extent the fair value of the reporting unit is less than its carrying value, we would record an impairment charge equal to the amount by which the carrying value of the reporting unit exceeds its fair value. We have not recognized any goodwill impairments since our inception. Since a significant aspect of our goodwill is denominated in foreign currencies, changes to our goodwill balance can occur over time due to changes in foreign currency exchange rates.</w:t>
      </w:r>
    </w:p>
    <w:p>
      <w:pPr>
        <w:spacing w:after="0" w:line="176" w:lineRule="exact"/>
        <w:rPr>
          <w:sz w:val="20"/>
          <w:szCs w:val="20"/>
          <w:color w:val="auto"/>
        </w:rPr>
      </w:pPr>
    </w:p>
    <w:p>
      <w:pPr>
        <w:ind w:left="320" w:right="360"/>
        <w:spacing w:after="0" w:line="239" w:lineRule="auto"/>
        <w:rPr>
          <w:sz w:val="20"/>
          <w:szCs w:val="20"/>
          <w:color w:val="auto"/>
        </w:rPr>
      </w:pPr>
      <w:r>
        <w:rPr>
          <w:rFonts w:ascii="Times New Roman" w:cs="Times New Roman" w:eastAsia="Times New Roman" w:hAnsi="Times New Roman"/>
          <w:sz w:val="16"/>
          <w:szCs w:val="16"/>
          <w:color w:val="auto"/>
        </w:rPr>
        <w:t>Other acquired intangible assets consist primarily of customer relationship value and in-place lease value. All of our other acquired intangible assets have finite useful lives. If impairment indicators arise with respect to these finite-lived intangible assets, we evaluate for impairment by comparing the carrying amount of the assets to the estimated future undiscounted net cash flows expected to be generated by the assets. If estimated future undiscounted cash flows exceed the carrying value of the assets, we record an impairment charge equal to the amount by which the carrying value exceeds the estimated fair value of the assets. We have no indefinite-lived intangible assets other than goodwill.</w:t>
      </w:r>
    </w:p>
    <w:p>
      <w:pPr>
        <w:spacing w:after="0" w:line="171" w:lineRule="exact"/>
        <w:rPr>
          <w:sz w:val="20"/>
          <w:szCs w:val="20"/>
          <w:color w:val="auto"/>
        </w:rPr>
      </w:pPr>
    </w:p>
    <w:p>
      <w:pPr>
        <w:ind w:left="320" w:right="340"/>
        <w:spacing w:after="0" w:line="279" w:lineRule="auto"/>
        <w:rPr>
          <w:sz w:val="20"/>
          <w:szCs w:val="20"/>
          <w:color w:val="auto"/>
        </w:rPr>
      </w:pPr>
      <w:r>
        <w:rPr>
          <w:rFonts w:ascii="Times New Roman" w:cs="Times New Roman" w:eastAsia="Times New Roman" w:hAnsi="Times New Roman"/>
          <w:sz w:val="14"/>
          <w:szCs w:val="14"/>
          <w:b w:val="1"/>
          <w:bCs w:val="1"/>
          <w:color w:val="auto"/>
        </w:rPr>
        <w:t xml:space="preserve">Share-Based Compensation. </w:t>
      </w:r>
      <w:r>
        <w:rPr>
          <w:rFonts w:ascii="Times New Roman" w:cs="Times New Roman" w:eastAsia="Times New Roman" w:hAnsi="Times New Roman"/>
          <w:sz w:val="14"/>
          <w:szCs w:val="14"/>
          <w:color w:val="auto"/>
        </w:rPr>
        <w:t>The Company provides a variety of share-based compensation awards to employees and directors,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including awards that contain time- based vesting criteria and a combination of time-based and performance-based criteria. The Company measures all share-based compensation awards at grant date fair value. The fair value of awards that include only a time-based service condition (“time-based awards”) and / or a performance-based condition is the closing price of the Company’s publicly traded shares at the grant date – and is expensed over the requisite service period. The fair value of awards that include a combination of market -based criteria and time-based vesting is measured using a Monte Carlo simulation method. The fair value of these awards is expensed over the requisite service period – and is not adjusted based on actual achievement of the market performance condition.</w:t>
      </w:r>
    </w:p>
    <w:p>
      <w:pPr>
        <w:spacing w:after="0" w:line="142" w:lineRule="exact"/>
        <w:rPr>
          <w:sz w:val="20"/>
          <w:szCs w:val="20"/>
          <w:color w:val="auto"/>
        </w:rPr>
      </w:pPr>
    </w:p>
    <w:p>
      <w:pPr>
        <w:ind w:left="320" w:right="360"/>
        <w:spacing w:after="0" w:line="239" w:lineRule="auto"/>
        <w:rPr>
          <w:sz w:val="20"/>
          <w:szCs w:val="20"/>
          <w:color w:val="auto"/>
        </w:rPr>
      </w:pPr>
      <w:r>
        <w:rPr>
          <w:rFonts w:ascii="Times New Roman" w:cs="Times New Roman" w:eastAsia="Times New Roman" w:hAnsi="Times New Roman"/>
          <w:sz w:val="16"/>
          <w:szCs w:val="16"/>
          <w:b w:val="1"/>
          <w:bCs w:val="1"/>
          <w:color w:val="auto"/>
        </w:rPr>
        <w:t xml:space="preserve">Derivative Instruments. </w:t>
      </w:r>
      <w:r>
        <w:rPr>
          <w:rFonts w:ascii="Times New Roman" w:cs="Times New Roman" w:eastAsia="Times New Roman" w:hAnsi="Times New Roman"/>
          <w:sz w:val="16"/>
          <w:szCs w:val="16"/>
          <w:color w:val="auto"/>
        </w:rPr>
        <w:t>As part of the Company’s risk management program, a variety of financial instruments, such as interest rate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swaps and foreign exchange contracts, may be used to mitigate interest rate and foreign currency exposures. The Company utilizes derivative instruments to manage risks, and not for trading or speculative purposes. All derivatives are recorded at fair value. The majority of inputs used to value our derivatives fall within Level 2 of the fair value hierarchy. However, credit valuation adjustments utilize Level 3 inputs (such as estimates of current credit spreads). Based on the insignificance of credit valuation adjustments to the overall valuation of our derivatives, we have determined that valuation of our outstanding derivatives is properly categorized in Level 2 of the fair value hierarchy.</w:t>
      </w:r>
    </w:p>
    <w:p>
      <w:pPr>
        <w:spacing w:after="0" w:line="3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16" w:name="page117"/>
    <w:bookmarkEnd w:id="116"/>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 and 2023</w:t>
      </w:r>
    </w:p>
    <w:p>
      <w:pPr>
        <w:spacing w:after="0" w:line="202" w:lineRule="exact"/>
        <w:rPr>
          <w:sz w:val="20"/>
          <w:szCs w:val="20"/>
          <w:color w:val="auto"/>
        </w:rPr>
      </w:pPr>
    </w:p>
    <w:p>
      <w:pPr>
        <w:ind w:left="320" w:right="620"/>
        <w:spacing w:after="0" w:line="239" w:lineRule="auto"/>
        <w:rPr>
          <w:sz w:val="20"/>
          <w:szCs w:val="20"/>
          <w:color w:val="auto"/>
        </w:rPr>
      </w:pPr>
      <w:r>
        <w:rPr>
          <w:rFonts w:ascii="Times New Roman" w:cs="Times New Roman" w:eastAsia="Times New Roman" w:hAnsi="Times New Roman"/>
          <w:sz w:val="16"/>
          <w:szCs w:val="16"/>
          <w:color w:val="auto"/>
        </w:rPr>
        <w:t>Changes in the fair value of derivatives are recognized periodically either in earnings or in other comprehensive income (loss), depending on whether the derivative financial instrument is undesignated or qualifies for hedge accounting, and if so, whether it represents a fair value, cash flow, or net investment hedge. Gains and losses on derivatives designated as cash flow hedges, to the extent they are included in the assessment of effectiveness, are recorded in other comprehensive income (loss) and subsequently reclassified to earnings to offset the impact of the hedged items when they occur. In the event it becomes probable the forecasted transaction to which a cash flow hedge relates will not occur, the derivative would be terminated and the amount in other comprehensive income (loss) would be recognized in earnings.</w:t>
      </w:r>
    </w:p>
    <w:p>
      <w:pPr>
        <w:spacing w:after="0" w:line="158" w:lineRule="exact"/>
        <w:rPr>
          <w:sz w:val="20"/>
          <w:szCs w:val="20"/>
          <w:color w:val="auto"/>
        </w:rPr>
      </w:pPr>
    </w:p>
    <w:p>
      <w:pPr>
        <w:jc w:val="both"/>
        <w:ind w:left="320" w:right="580"/>
        <w:spacing w:after="0" w:line="243" w:lineRule="auto"/>
        <w:rPr>
          <w:sz w:val="20"/>
          <w:szCs w:val="20"/>
          <w:color w:val="auto"/>
        </w:rPr>
      </w:pPr>
      <w:r>
        <w:rPr>
          <w:rFonts w:ascii="Times New Roman" w:cs="Times New Roman" w:eastAsia="Times New Roman" w:hAnsi="Times New Roman"/>
          <w:sz w:val="16"/>
          <w:szCs w:val="16"/>
          <w:color w:val="auto"/>
        </w:rPr>
        <w:t>Gains and losses representing components excluded from the assessment of effectiveness for cash flow and fair value hedges are recognized in earnings on a straight-line basis in the same caption as the hedged item over the term of the hedge. Gains and losses representing components excluded from the assessment of effectiveness for net investment hedges are recognized in earnings on a straight-line basis over the term of the hedge.</w:t>
      </w:r>
    </w:p>
    <w:p>
      <w:pPr>
        <w:spacing w:after="0" w:line="153" w:lineRule="exact"/>
        <w:rPr>
          <w:sz w:val="20"/>
          <w:szCs w:val="20"/>
          <w:color w:val="auto"/>
        </w:rPr>
      </w:pPr>
    </w:p>
    <w:p>
      <w:pPr>
        <w:ind w:left="320" w:right="300"/>
        <w:spacing w:after="0" w:line="238" w:lineRule="auto"/>
        <w:rPr>
          <w:sz w:val="20"/>
          <w:szCs w:val="20"/>
          <w:color w:val="auto"/>
        </w:rPr>
      </w:pPr>
      <w:r>
        <w:rPr>
          <w:rFonts w:ascii="Times New Roman" w:cs="Times New Roman" w:eastAsia="Times New Roman" w:hAnsi="Times New Roman"/>
          <w:sz w:val="16"/>
          <w:szCs w:val="16"/>
          <w:i w:val="1"/>
          <w:iCs w:val="1"/>
          <w:color w:val="auto"/>
        </w:rPr>
        <w:t xml:space="preserve">Interest Rate Swaps </w:t>
      </w:r>
      <w:r>
        <w:rPr>
          <w:rFonts w:ascii="Times New Roman" w:cs="Times New Roman" w:eastAsia="Times New Roman" w:hAnsi="Times New Roman"/>
          <w:sz w:val="16"/>
          <w:szCs w:val="16"/>
          <w:color w:val="auto"/>
        </w:rPr>
        <w:t>– The Company uses interest rate swaps to add stability to interest expense and to manage our exposure to interest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rate movements related to certain floating rate debt obligations. Interest rate swaps designated as cash flow hedges involve the receipt of variable-rate amounts from a counterparty in exchange for making fixed-rate payments over the life of the agreements without exchange of the underlying notional amount. We record all interest rate swaps on the balance sheet at fair value. The fair value of interest rate swaps is determined using the market standard methodology of netting discounted future fixed cash receipts (or payments) and discounted expected variable cash payments (or receipts) . Variable cash payments (or receipts) are based on expected future interest rates derived from observable market interest rate curves. We incorporate credit valuation adjustments to appropriately reflect nonperformance risk for the Company and for the respective counterparties. The counterparties of interest rate swaps are generally larger financial institutions engaged in providing a variety of financial services.</w:t>
      </w:r>
    </w:p>
    <w:p>
      <w:pPr>
        <w:spacing w:after="0" w:line="172" w:lineRule="exact"/>
        <w:rPr>
          <w:sz w:val="20"/>
          <w:szCs w:val="20"/>
          <w:color w:val="auto"/>
        </w:rPr>
      </w:pPr>
    </w:p>
    <w:p>
      <w:pPr>
        <w:ind w:left="320" w:right="400"/>
        <w:spacing w:after="0" w:line="239" w:lineRule="auto"/>
        <w:rPr>
          <w:sz w:val="20"/>
          <w:szCs w:val="20"/>
          <w:color w:val="auto"/>
        </w:rPr>
      </w:pPr>
      <w:r>
        <w:rPr>
          <w:rFonts w:ascii="Times New Roman" w:cs="Times New Roman" w:eastAsia="Times New Roman" w:hAnsi="Times New Roman"/>
          <w:sz w:val="16"/>
          <w:szCs w:val="16"/>
          <w:color w:val="auto"/>
        </w:rPr>
        <w:t>Interest rate derivatives are presented on a gross basis on the consolidated balance sheets – with interest rate swap assets presented in other assets, and interest rate swap liabilities presented in accounts payable and other accrued liabilities. As of December 31, 2024, there was no impact from netting arrangements, because the Company had no derivatives in liability positions. Net interest paid or received on interest rate swaps is recognized as interest expense. Gains and losses resulting from the early termination of interest rate swap agreements are deferred and amortized as adjustments to interest expense over the remaining period of the debt originally covered by the terminated swap.</w:t>
      </w:r>
    </w:p>
    <w:p>
      <w:pPr>
        <w:spacing w:after="0" w:line="171" w:lineRule="exact"/>
        <w:rPr>
          <w:sz w:val="20"/>
          <w:szCs w:val="20"/>
          <w:color w:val="auto"/>
        </w:rPr>
      </w:pPr>
    </w:p>
    <w:p>
      <w:pPr>
        <w:ind w:left="320" w:right="300"/>
        <w:spacing w:after="0"/>
        <w:rPr>
          <w:sz w:val="20"/>
          <w:szCs w:val="20"/>
          <w:color w:val="auto"/>
        </w:rPr>
      </w:pPr>
      <w:r>
        <w:rPr>
          <w:rFonts w:ascii="Times New Roman" w:cs="Times New Roman" w:eastAsia="Times New Roman" w:hAnsi="Times New Roman"/>
          <w:sz w:val="16"/>
          <w:szCs w:val="16"/>
          <w:i w:val="1"/>
          <w:iCs w:val="1"/>
          <w:color w:val="auto"/>
        </w:rPr>
        <w:t xml:space="preserve">Foreign Currency Contracts </w:t>
      </w:r>
      <w:r>
        <w:rPr>
          <w:rFonts w:ascii="Times New Roman" w:cs="Times New Roman" w:eastAsia="Times New Roman" w:hAnsi="Times New Roman"/>
          <w:sz w:val="16"/>
          <w:szCs w:val="16"/>
          <w:color w:val="auto"/>
        </w:rPr>
        <w:t>– The Company may, from time to time, enter into forward contracts pursuant to which we agree to sell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 amount of one currency in exchange for an agreed-upon amount of another currency. These agreements are typically entered into to manage exposures related to transactions that are settled in currencies other than the functional currency of the legal entity that is party to the transactions. To the extent the Company does not designate such instruments as hedges, changes in the fair value of these instruments are reflected in earnings. The Company had no outstanding derivative foreign currency contracts as of December 31, 2024.</w:t>
      </w:r>
    </w:p>
    <w:p>
      <w:pPr>
        <w:spacing w:after="0" w:line="168" w:lineRule="exact"/>
        <w:rPr>
          <w:sz w:val="20"/>
          <w:szCs w:val="20"/>
          <w:color w:val="auto"/>
        </w:rPr>
      </w:pPr>
    </w:p>
    <w:p>
      <w:pPr>
        <w:ind w:left="320" w:right="420"/>
        <w:spacing w:after="0" w:line="238" w:lineRule="auto"/>
        <w:rPr>
          <w:sz w:val="20"/>
          <w:szCs w:val="20"/>
          <w:color w:val="auto"/>
        </w:rPr>
      </w:pPr>
      <w:r>
        <w:rPr>
          <w:rFonts w:ascii="Times New Roman" w:cs="Times New Roman" w:eastAsia="Times New Roman" w:hAnsi="Times New Roman"/>
          <w:sz w:val="16"/>
          <w:szCs w:val="16"/>
          <w:i w:val="1"/>
          <w:iCs w:val="1"/>
          <w:color w:val="auto"/>
        </w:rPr>
        <w:t xml:space="preserve">Hedge of Net Investment in Foreign Operations </w:t>
      </w:r>
      <w:r>
        <w:rPr>
          <w:rFonts w:ascii="Times New Roman" w:cs="Times New Roman" w:eastAsia="Times New Roman" w:hAnsi="Times New Roman"/>
          <w:sz w:val="16"/>
          <w:szCs w:val="16"/>
          <w:color w:val="auto"/>
        </w:rPr>
        <w:t>– The Company has no outstanding derivatives that function as hedges of net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investments in foreign operations. However, notes denominated in the Swiss franc with a total outstanding principal balance of 545 million Swiss francs (“CHF”) issued by Digital Intrepid Holding B.V. (“DIH”, a wholly-owned subsidiary of the OP with Euro functional currency) are designated as non-derivative hedges of DIH’s net investment in certain of its subsidiaries that have CHF as the functional currency. Changes in the fair value of these hedges, to the extent they are included in the assessment of effectiveness, are reported in other comprehensive income (loss) and will be deferred until disposal of the underlying assets (which is currently not expected to occur). Any amounts excluded from the assessment of effectiveness are reflected as foreign-currency transaction gains/losses which are included as Other (expense) income, net in the consolidated income statements.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17" w:name="page118"/>
    <w:bookmarkEnd w:id="117"/>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 and 2023</w:t>
      </w:r>
    </w:p>
    <w:p>
      <w:pPr>
        <w:spacing w:after="0" w:line="200" w:lineRule="exact"/>
        <w:rPr>
          <w:sz w:val="20"/>
          <w:szCs w:val="20"/>
          <w:color w:val="auto"/>
        </w:rPr>
      </w:pPr>
    </w:p>
    <w:p>
      <w:pPr>
        <w:ind w:left="320" w:right="480"/>
        <w:spacing w:after="0"/>
        <w:rPr>
          <w:sz w:val="20"/>
          <w:szCs w:val="20"/>
          <w:color w:val="auto"/>
        </w:rPr>
      </w:pPr>
      <w:r>
        <w:rPr>
          <w:rFonts w:ascii="Times New Roman" w:cs="Times New Roman" w:eastAsia="Times New Roman" w:hAnsi="Times New Roman"/>
          <w:sz w:val="16"/>
          <w:szCs w:val="16"/>
          <w:i w:val="1"/>
          <w:iCs w:val="1"/>
          <w:color w:val="auto"/>
        </w:rPr>
        <w:t xml:space="preserve">Cross-Currency Interest Rate Swaps – </w:t>
      </w:r>
      <w:r>
        <w:rPr>
          <w:rFonts w:ascii="Times New Roman" w:cs="Times New Roman" w:eastAsia="Times New Roman" w:hAnsi="Times New Roman"/>
          <w:sz w:val="16"/>
          <w:szCs w:val="16"/>
          <w:color w:val="auto"/>
        </w:rPr>
        <w:t>The Company's cross-currency interest rate swap agreements synthetically swap U.S. dollar-denominated fixed rate debt for foreign currency -denominated fixed rate debt and are designated as net investment hedges for accounting purposes. The gain or loss on the net investment hedge derivative instruments is included in the foreign currency translation component of other comprehensive income until the net investment is sold, diluted, or liquidated. Interest payments received from the cross -currency swaps are excluded from the net investment hedge effectiveness assessment and are recorded in interest expense on the consolidated income statements.</w:t>
      </w:r>
    </w:p>
    <w:p>
      <w:pPr>
        <w:spacing w:after="0" w:line="1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See Note 17. “Derivative Instruments” for further discussion on the Company’s outstanding derivative instruments.</w:t>
      </w:r>
    </w:p>
    <w:p>
      <w:pPr>
        <w:spacing w:after="0" w:line="186" w:lineRule="exact"/>
        <w:rPr>
          <w:sz w:val="20"/>
          <w:szCs w:val="20"/>
          <w:color w:val="auto"/>
        </w:rPr>
      </w:pPr>
    </w:p>
    <w:p>
      <w:pPr>
        <w:ind w:left="320" w:right="380"/>
        <w:spacing w:after="0" w:line="241" w:lineRule="auto"/>
        <w:rPr>
          <w:sz w:val="20"/>
          <w:szCs w:val="20"/>
          <w:color w:val="auto"/>
        </w:rPr>
      </w:pPr>
      <w:r>
        <w:rPr>
          <w:rFonts w:ascii="Times New Roman" w:cs="Times New Roman" w:eastAsia="Times New Roman" w:hAnsi="Times New Roman"/>
          <w:sz w:val="16"/>
          <w:szCs w:val="16"/>
          <w:b w:val="1"/>
          <w:bCs w:val="1"/>
          <w:color w:val="auto"/>
        </w:rPr>
        <w:t xml:space="preserve">Income Taxes. </w:t>
      </w:r>
      <w:r>
        <w:rPr>
          <w:rFonts w:ascii="Times New Roman" w:cs="Times New Roman" w:eastAsia="Times New Roman" w:hAnsi="Times New Roman"/>
          <w:sz w:val="16"/>
          <w:szCs w:val="16"/>
          <w:color w:val="auto"/>
        </w:rPr>
        <w:t>Digital Realty Trust, Inc. has elected to be treated as a real estate investment trust (a “REIT”) for U.S. federal income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tax purposes. As a REIT, Digital Realty Trust, Inc. generally is not required to pay U.S. federal corporate income tax to the extent taxable income is currently distributed to its stockholders. If Digital Realty Trust, Inc. were to fail to qualify as a REIT in any taxable year, it would be subject to U.S. federal and state income taxes (including any applicable alternative minimum tax) on its taxable income.</w:t>
      </w:r>
    </w:p>
    <w:p>
      <w:pPr>
        <w:spacing w:after="0" w:line="171" w:lineRule="exact"/>
        <w:rPr>
          <w:sz w:val="20"/>
          <w:szCs w:val="20"/>
          <w:color w:val="auto"/>
        </w:rPr>
      </w:pPr>
    </w:p>
    <w:p>
      <w:pPr>
        <w:ind w:left="320" w:right="560"/>
        <w:spacing w:after="0" w:line="243" w:lineRule="auto"/>
        <w:rPr>
          <w:sz w:val="20"/>
          <w:szCs w:val="20"/>
          <w:color w:val="auto"/>
        </w:rPr>
      </w:pPr>
      <w:r>
        <w:rPr>
          <w:rFonts w:ascii="Times New Roman" w:cs="Times New Roman" w:eastAsia="Times New Roman" w:hAnsi="Times New Roman"/>
          <w:sz w:val="16"/>
          <w:szCs w:val="16"/>
          <w:color w:val="auto"/>
        </w:rPr>
        <w:t>The Company is subject to foreign, state and local income taxes in the jurisdictions in which it conducts business. The Company’s taxable REIT subsidiaries are subject to federal, state, local and foreign income taxes to the extent there is taxable income. Accordingly, the Company recognizes current and deferred income taxes for the Company and its taxable REIT subsidiaries, including for U.S. federal, state, local and foreign jurisdictions, as applicable.</w:t>
      </w:r>
    </w:p>
    <w:p>
      <w:pPr>
        <w:spacing w:after="0" w:line="167" w:lineRule="exact"/>
        <w:rPr>
          <w:sz w:val="20"/>
          <w:szCs w:val="20"/>
          <w:color w:val="auto"/>
        </w:rPr>
      </w:pPr>
    </w:p>
    <w:p>
      <w:pPr>
        <w:ind w:left="320" w:right="360"/>
        <w:spacing w:after="0" w:line="239" w:lineRule="auto"/>
        <w:rPr>
          <w:sz w:val="20"/>
          <w:szCs w:val="20"/>
          <w:color w:val="auto"/>
        </w:rPr>
      </w:pPr>
      <w:r>
        <w:rPr>
          <w:rFonts w:ascii="Times New Roman" w:cs="Times New Roman" w:eastAsia="Times New Roman" w:hAnsi="Times New Roman"/>
          <w:sz w:val="16"/>
          <w:szCs w:val="16"/>
          <w:color w:val="auto"/>
        </w:rPr>
        <w:t>We assess our significant tax positions in accordance with U.S. GAAP for all open tax years and determine whether we have any material unrecognized liabilities from uncertain tax benefits. If a tax position is not considered “more-likely-than-not” to be sustained solely on its technical merits, no benefits of the tax position are to be recognized (for financial statement purposes). We classify interest and penalties from significant uncertain tax positions as current tax expense in our consolidated income statements. We are open to examination by the major taxing jurisdictions for the tax years that are within the statute of limitations for those jurisdictions. For further discussion related to tax reserves, see Note 13. “Income Taxes”.</w:t>
      </w:r>
    </w:p>
    <w:p>
      <w:pPr>
        <w:spacing w:after="0" w:line="171" w:lineRule="exact"/>
        <w:rPr>
          <w:sz w:val="20"/>
          <w:szCs w:val="20"/>
          <w:color w:val="auto"/>
        </w:rPr>
      </w:pPr>
    </w:p>
    <w:p>
      <w:pPr>
        <w:ind w:left="320" w:right="820"/>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Transactional-based Taxes. </w:t>
      </w:r>
      <w:r>
        <w:rPr>
          <w:rFonts w:ascii="Times New Roman" w:cs="Times New Roman" w:eastAsia="Times New Roman" w:hAnsi="Times New Roman"/>
          <w:sz w:val="16"/>
          <w:szCs w:val="16"/>
          <w:color w:val="auto"/>
        </w:rPr>
        <w:t>We account for transactional-based taxes, such as value added tax, or VAT, for our international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properties on a net basis.</w:t>
      </w:r>
    </w:p>
    <w:p>
      <w:pPr>
        <w:spacing w:after="0" w:line="150" w:lineRule="exact"/>
        <w:rPr>
          <w:sz w:val="20"/>
          <w:szCs w:val="20"/>
          <w:color w:val="auto"/>
        </w:rPr>
      </w:pPr>
    </w:p>
    <w:p>
      <w:pPr>
        <w:ind w:left="320" w:right="420"/>
        <w:spacing w:after="0" w:line="241" w:lineRule="auto"/>
        <w:rPr>
          <w:sz w:val="20"/>
          <w:szCs w:val="20"/>
          <w:color w:val="auto"/>
        </w:rPr>
      </w:pPr>
      <w:r>
        <w:rPr>
          <w:rFonts w:ascii="Times New Roman" w:cs="Times New Roman" w:eastAsia="Times New Roman" w:hAnsi="Times New Roman"/>
          <w:sz w:val="16"/>
          <w:szCs w:val="16"/>
          <w:b w:val="1"/>
          <w:bCs w:val="1"/>
          <w:color w:val="auto"/>
        </w:rPr>
        <w:t xml:space="preserve">Noncontrolling Interests and Redeemable Noncontrolling Interests. </w:t>
      </w:r>
      <w:r>
        <w:rPr>
          <w:rFonts w:ascii="Times New Roman" w:cs="Times New Roman" w:eastAsia="Times New Roman" w:hAnsi="Times New Roman"/>
          <w:sz w:val="16"/>
          <w:szCs w:val="16"/>
          <w:color w:val="auto"/>
        </w:rPr>
        <w:t>Noncontrolling interests represent the share of consolidated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entities owned by third parties. We recognize each noncontrolling holder’s share of the fair value of the respective entity’s net assets as noncontrolling interest on our consolidated balance sheets at the date of formation or acquisition. Noncontrolling interest balances are adjusted for the noncontrolling holder’s share of additional contributions, distributions, net earnings or losses, and other comprehensive income or loss.</w:t>
      </w:r>
    </w:p>
    <w:p>
      <w:pPr>
        <w:spacing w:after="0" w:line="159" w:lineRule="exact"/>
        <w:rPr>
          <w:sz w:val="20"/>
          <w:szCs w:val="20"/>
          <w:color w:val="auto"/>
        </w:rPr>
      </w:pPr>
    </w:p>
    <w:p>
      <w:pPr>
        <w:ind w:left="320" w:right="500"/>
        <w:spacing w:after="0" w:line="243" w:lineRule="auto"/>
        <w:rPr>
          <w:sz w:val="20"/>
          <w:szCs w:val="20"/>
          <w:color w:val="auto"/>
        </w:rPr>
      </w:pPr>
      <w:r>
        <w:rPr>
          <w:rFonts w:ascii="Times New Roman" w:cs="Times New Roman" w:eastAsia="Times New Roman" w:hAnsi="Times New Roman"/>
          <w:sz w:val="16"/>
          <w:szCs w:val="16"/>
          <w:color w:val="auto"/>
        </w:rPr>
        <w:t>Partnership units which are contingently redeemable for cash are classified as redeemable noncontrolling interests and presented in the mezzanine section of the Company’s consolidated balance sheets between total liabilities and stockholder’s equity. Redeemable noncontrolling interests include amounts related to partnership units issued by consolidated subsidiaries of the Company in which redemption for equity is outside the control of the Company.</w:t>
      </w:r>
    </w:p>
    <w:p>
      <w:pPr>
        <w:spacing w:after="0" w:line="167" w:lineRule="exact"/>
        <w:rPr>
          <w:sz w:val="20"/>
          <w:szCs w:val="20"/>
          <w:color w:val="auto"/>
        </w:rPr>
      </w:pPr>
    </w:p>
    <w:p>
      <w:pPr>
        <w:ind w:left="320" w:right="340"/>
        <w:spacing w:after="0" w:line="259" w:lineRule="auto"/>
        <w:rPr>
          <w:sz w:val="20"/>
          <w:szCs w:val="20"/>
          <w:color w:val="auto"/>
        </w:rPr>
      </w:pPr>
      <w:r>
        <w:rPr>
          <w:rFonts w:ascii="Times New Roman" w:cs="Times New Roman" w:eastAsia="Times New Roman" w:hAnsi="Times New Roman"/>
          <w:sz w:val="16"/>
          <w:szCs w:val="16"/>
          <w:color w:val="auto"/>
        </w:rPr>
        <w:t>The amounts of consolidated net income attributable to noncontrolling interests and redeemable noncontrolling interests are presented on the Company’s consolidated income statements as income (or loss) attributable to noncontrolling interests.</w:t>
      </w: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18" w:name="page119"/>
    <w:bookmarkEnd w:id="118"/>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 and 2023</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Revenue Recognition.</w:t>
      </w:r>
    </w:p>
    <w:p>
      <w:pPr>
        <w:spacing w:after="0" w:line="188" w:lineRule="exact"/>
        <w:rPr>
          <w:sz w:val="20"/>
          <w:szCs w:val="20"/>
          <w:color w:val="auto"/>
        </w:rPr>
      </w:pPr>
    </w:p>
    <w:p>
      <w:pPr>
        <w:ind w:left="320" w:right="300"/>
        <w:spacing w:after="0" w:line="238" w:lineRule="auto"/>
        <w:rPr>
          <w:sz w:val="20"/>
          <w:szCs w:val="20"/>
          <w:color w:val="auto"/>
        </w:rPr>
      </w:pPr>
      <w:r>
        <w:rPr>
          <w:rFonts w:ascii="Times New Roman" w:cs="Times New Roman" w:eastAsia="Times New Roman" w:hAnsi="Times New Roman"/>
          <w:sz w:val="16"/>
          <w:szCs w:val="16"/>
          <w:i w:val="1"/>
          <w:iCs w:val="1"/>
          <w:color w:val="auto"/>
        </w:rPr>
        <w:t xml:space="preserve">Rental and Other Services Revenue – </w:t>
      </w:r>
      <w:r>
        <w:rPr>
          <w:rFonts w:ascii="Times New Roman" w:cs="Times New Roman" w:eastAsia="Times New Roman" w:hAnsi="Times New Roman"/>
          <w:sz w:val="16"/>
          <w:szCs w:val="16"/>
          <w:color w:val="auto"/>
        </w:rPr>
        <w:t>We generate the majority of our revenue by leasing our properties to customers under operating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lease agreements, which are accounted for under Accounting Standards Codification 842, Leases (“ASC 842”). We recognize the total minimum lease payments provided for under the leases on a straight- line basis over the lease term if we determine it is probable that substantially all of the lease payments will be collected over the lease term. We commence recognition of revenue from rentals at the date the property is ready for its intended use by the tenant and the tenant takes possession or controls the physical use of the leased asset. The excess of rents recognized as revenue over amounts contractually due pursuant to the underlying leases is included in Deferred rent, net on the consolidated balance sheet. Rental payments received in excess of revenue recognized are classified as Accounts payable and other accrued liabilities on the consolidated balance sheet. Unpaid rents that are contractually due are included in Accounts and other receivables, net on the consolidated balance sheet.</w:t>
      </w:r>
    </w:p>
    <w:p>
      <w:pPr>
        <w:spacing w:after="0" w:line="172" w:lineRule="exact"/>
        <w:rPr>
          <w:sz w:val="20"/>
          <w:szCs w:val="20"/>
          <w:color w:val="auto"/>
        </w:rPr>
      </w:pPr>
    </w:p>
    <w:p>
      <w:pPr>
        <w:ind w:left="320" w:right="400"/>
        <w:spacing w:after="0" w:line="239" w:lineRule="auto"/>
        <w:rPr>
          <w:sz w:val="20"/>
          <w:szCs w:val="20"/>
          <w:color w:val="auto"/>
        </w:rPr>
      </w:pPr>
      <w:r>
        <w:rPr>
          <w:rFonts w:ascii="Times New Roman" w:cs="Times New Roman" w:eastAsia="Times New Roman" w:hAnsi="Times New Roman"/>
          <w:sz w:val="16"/>
          <w:szCs w:val="16"/>
          <w:color w:val="auto"/>
        </w:rPr>
        <w:t>We estimate the probability of collection of lease payments based on customer creditworthiness, outstanding accounts receivable balances, and historical bad debts – as well as current economic trends. If collection of substantially all lease payments over the lease term is not probable, rental revenue is recognized when payment is received, and we record a reduction to rental revenue equal to the balance of any deferred rent and rent receivable, less the balance of any security deposits or letters of credit. If collection is subsequently determined to be probable, we: (1) resume recognizing rental revenue on a straight-line basis, (2) record incremental revenue such that the cumulative amount recognized is equal to the amount that would have been recorded on a straight-line basis since inception of the lease, and (3) reverse the allowance for bad debt recorded on outstanding receivables.</w:t>
      </w:r>
    </w:p>
    <w:p>
      <w:pPr>
        <w:spacing w:after="0" w:line="170" w:lineRule="exact"/>
        <w:rPr>
          <w:sz w:val="20"/>
          <w:szCs w:val="20"/>
          <w:color w:val="auto"/>
        </w:rPr>
      </w:pPr>
    </w:p>
    <w:p>
      <w:pPr>
        <w:ind w:left="320" w:right="440"/>
        <w:spacing w:after="0" w:line="247" w:lineRule="auto"/>
        <w:rPr>
          <w:sz w:val="20"/>
          <w:szCs w:val="20"/>
          <w:color w:val="auto"/>
        </w:rPr>
      </w:pPr>
      <w:r>
        <w:rPr>
          <w:rFonts w:ascii="Times New Roman" w:cs="Times New Roman" w:eastAsia="Times New Roman" w:hAnsi="Times New Roman"/>
          <w:sz w:val="16"/>
          <w:szCs w:val="16"/>
          <w:color w:val="auto"/>
        </w:rPr>
        <w:t>Generally, under the terms of our leases, the majority of our rental expenses, including common area maintenance, real estate taxes and insurance, are recovered from our customers. We record amounts reimbursable by customers (“tenant recoveries”) as revenue in the period the applicable expenses are incurred – which is generally on a ratable basis through the term of the lease.</w:t>
      </w:r>
    </w:p>
    <w:p>
      <w:pPr>
        <w:spacing w:after="0" w:line="152" w:lineRule="exact"/>
        <w:rPr>
          <w:sz w:val="20"/>
          <w:szCs w:val="20"/>
          <w:color w:val="auto"/>
        </w:rPr>
      </w:pPr>
    </w:p>
    <w:p>
      <w:pPr>
        <w:ind w:left="320" w:right="320"/>
        <w:spacing w:after="0" w:line="247" w:lineRule="auto"/>
        <w:rPr>
          <w:sz w:val="20"/>
          <w:szCs w:val="20"/>
          <w:color w:val="auto"/>
        </w:rPr>
      </w:pPr>
      <w:r>
        <w:rPr>
          <w:rFonts w:ascii="Times New Roman" w:cs="Times New Roman" w:eastAsia="Times New Roman" w:hAnsi="Times New Roman"/>
          <w:sz w:val="16"/>
          <w:szCs w:val="16"/>
          <w:color w:val="auto"/>
        </w:rPr>
        <w:t>We account for and present rental revenue and tenant recoveries as a single component under rental and other services as the timing of recognition is the same, the pattern with which we transfer the right of use of the property and related services to the lessee are both on a straight-line basis and our leases qualify as operating leases.</w:t>
      </w:r>
    </w:p>
    <w:p>
      <w:pPr>
        <w:spacing w:after="0" w:line="152" w:lineRule="exact"/>
        <w:rPr>
          <w:sz w:val="20"/>
          <w:szCs w:val="20"/>
          <w:color w:val="auto"/>
        </w:rPr>
      </w:pPr>
    </w:p>
    <w:p>
      <w:pPr>
        <w:jc w:val="both"/>
        <w:ind w:left="320" w:right="560"/>
        <w:spacing w:after="0" w:line="289" w:lineRule="auto"/>
        <w:rPr>
          <w:sz w:val="20"/>
          <w:szCs w:val="20"/>
          <w:color w:val="auto"/>
        </w:rPr>
      </w:pPr>
      <w:r>
        <w:rPr>
          <w:rFonts w:ascii="Times New Roman" w:cs="Times New Roman" w:eastAsia="Times New Roman" w:hAnsi="Times New Roman"/>
          <w:sz w:val="14"/>
          <w:szCs w:val="14"/>
          <w:color w:val="auto"/>
        </w:rPr>
        <w:t>Interconnection services include port and cross-connect services generally provided on a month-to-month, one-year or multi-year term. We bill for these services on a monthly basis and recognize the revenue over the period the service is provided. Revenue for cross-connect installations is generally recognized in the period the cross-connect is installed. Interconnection services that are not specific to a particular leased space are accounted for under Topic 606 and have terms that are generally one year or less.</w:t>
      </w:r>
    </w:p>
    <w:p>
      <w:pPr>
        <w:spacing w:after="0" w:line="123" w:lineRule="exact"/>
        <w:rPr>
          <w:sz w:val="20"/>
          <w:szCs w:val="20"/>
          <w:color w:val="auto"/>
        </w:rPr>
      </w:pPr>
    </w:p>
    <w:p>
      <w:pPr>
        <w:ind w:left="320" w:right="400"/>
        <w:spacing w:after="0"/>
        <w:rPr>
          <w:sz w:val="20"/>
          <w:szCs w:val="20"/>
          <w:color w:val="auto"/>
        </w:rPr>
      </w:pPr>
      <w:r>
        <w:rPr>
          <w:rFonts w:ascii="Times New Roman" w:cs="Times New Roman" w:eastAsia="Times New Roman" w:hAnsi="Times New Roman"/>
          <w:sz w:val="16"/>
          <w:szCs w:val="16"/>
          <w:i w:val="1"/>
          <w:iCs w:val="1"/>
          <w:color w:val="auto"/>
        </w:rPr>
        <w:t xml:space="preserve">Fee Income and Other – </w:t>
      </w:r>
      <w:r>
        <w:rPr>
          <w:rFonts w:ascii="Times New Roman" w:cs="Times New Roman" w:eastAsia="Times New Roman" w:hAnsi="Times New Roman"/>
          <w:sz w:val="16"/>
          <w:szCs w:val="16"/>
          <w:color w:val="auto"/>
        </w:rPr>
        <w:t>Fee income arises primarily from contractual management agreements with entities in which we have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noncontrolling interest. Management fees are recognized as earned under the respective agreements. The Company also provides property and construction management services. Depending on the nature of the agreements, revenue for these services is recognized either on a ratable monthly basis as the service is provided, or when certain performance milestones are met. Service revenues are typically recognized on an equal monthly basis based on the minimum fee to be earned. The monthly amounts could be adjusted depending on whether certain performance milestones are met.</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19" w:name="page120"/>
    <w:bookmarkEnd w:id="119"/>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 and 2023</w:t>
      </w:r>
    </w:p>
    <w:p>
      <w:pPr>
        <w:spacing w:after="0" w:line="202" w:lineRule="exact"/>
        <w:rPr>
          <w:sz w:val="20"/>
          <w:szCs w:val="20"/>
          <w:color w:val="auto"/>
        </w:rPr>
      </w:pPr>
    </w:p>
    <w:p>
      <w:pPr>
        <w:ind w:left="320" w:right="520"/>
        <w:spacing w:after="0" w:line="241" w:lineRule="auto"/>
        <w:rPr>
          <w:sz w:val="20"/>
          <w:szCs w:val="20"/>
          <w:color w:val="auto"/>
        </w:rPr>
      </w:pPr>
      <w:r>
        <w:rPr>
          <w:rFonts w:ascii="Times New Roman" w:cs="Times New Roman" w:eastAsia="Times New Roman" w:hAnsi="Times New Roman"/>
          <w:sz w:val="16"/>
          <w:szCs w:val="16"/>
          <w:color w:val="auto"/>
        </w:rPr>
        <w:t>We utilize the practical expedient in ASC 842 that allows us to account for lease and non-lease components associated with each lease as a single lease component recorded within rental and other services, instead of accounting for such items separately under Accounting Standards Codification 606, Revenue (“ASC 606”). We recognize revenue for items that do not qualify for revenue recognition under ASC 842 under ASC 606. Revenue recognized as a result of applying ASC 606 was less than 11% of total rental and other services revenue for the years ended December 31, 2024, 2023 and 2022.</w:t>
      </w:r>
    </w:p>
    <w:p>
      <w:pPr>
        <w:spacing w:after="0" w:line="1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 xml:space="preserve">Transaction and Integration Expense. </w:t>
      </w:r>
      <w:r>
        <w:rPr>
          <w:rFonts w:ascii="Times New Roman" w:cs="Times New Roman" w:eastAsia="Times New Roman" w:hAnsi="Times New Roman"/>
          <w:sz w:val="16"/>
          <w:szCs w:val="16"/>
          <w:color w:val="auto"/>
        </w:rPr>
        <w:t>Transaction expenses include closing costs, broker commissions and other</w:t>
      </w:r>
    </w:p>
    <w:p>
      <w:pPr>
        <w:spacing w:after="0" w:line="16" w:lineRule="exact"/>
        <w:rPr>
          <w:sz w:val="20"/>
          <w:szCs w:val="20"/>
          <w:color w:val="auto"/>
        </w:rPr>
      </w:pPr>
    </w:p>
    <w:p>
      <w:pPr>
        <w:ind w:left="320" w:right="460"/>
        <w:spacing w:after="0" w:line="235" w:lineRule="auto"/>
        <w:rPr>
          <w:sz w:val="20"/>
          <w:szCs w:val="20"/>
          <w:color w:val="auto"/>
        </w:rPr>
      </w:pPr>
      <w:r>
        <w:rPr>
          <w:rFonts w:ascii="Times New Roman" w:cs="Times New Roman" w:eastAsia="Times New Roman" w:hAnsi="Times New Roman"/>
          <w:sz w:val="16"/>
          <w:szCs w:val="16"/>
          <w:color w:val="auto"/>
        </w:rPr>
        <w:t>professional fees, including legal and accounting fees related to business combinations or acquisitions that were not consummated. Integration costs include transition costs associated with organizational restructuring (such as severance and retention payments and recruiting expenses), third-party consulting expenses directly related to the integration of acquired companies (in areas such as cost savings and synergy realization, technology and systems work), and internal costs such as training, travel and labor, reflecting time spent by Company personnel on integration activities and projects. Recurring costs are recorded in general and administrative expense.</w:t>
      </w:r>
    </w:p>
    <w:p>
      <w:pPr>
        <w:spacing w:after="0" w:line="159" w:lineRule="exact"/>
        <w:rPr>
          <w:sz w:val="20"/>
          <w:szCs w:val="20"/>
          <w:color w:val="auto"/>
        </w:rPr>
      </w:pPr>
    </w:p>
    <w:p>
      <w:pPr>
        <w:ind w:left="320" w:right="340"/>
        <w:spacing w:after="0" w:line="248" w:lineRule="auto"/>
        <w:rPr>
          <w:sz w:val="20"/>
          <w:szCs w:val="20"/>
          <w:color w:val="auto"/>
        </w:rPr>
      </w:pPr>
      <w:r>
        <w:rPr>
          <w:rFonts w:ascii="Times New Roman" w:cs="Times New Roman" w:eastAsia="Times New Roman" w:hAnsi="Times New Roman"/>
          <w:sz w:val="16"/>
          <w:szCs w:val="16"/>
          <w:b w:val="1"/>
          <w:bCs w:val="1"/>
          <w:color w:val="auto"/>
        </w:rPr>
        <w:t xml:space="preserve">Gains on Disposition of Properties. </w:t>
      </w:r>
      <w:r>
        <w:rPr>
          <w:rFonts w:ascii="Times New Roman" w:cs="Times New Roman" w:eastAsia="Times New Roman" w:hAnsi="Times New Roman"/>
          <w:sz w:val="16"/>
          <w:szCs w:val="16"/>
          <w:color w:val="auto"/>
        </w:rPr>
        <w:t>We recognize gains on the disposition of real estate when the recognition criteria have been met,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generally at the time the risks and rewards and title have transferred, and we no longer have control of the real estate sold. We recognize losses from the disposition of real estate when known.</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New Accounting Pronouncements.</w:t>
      </w:r>
    </w:p>
    <w:p>
      <w:pPr>
        <w:spacing w:after="0" w:line="188" w:lineRule="exact"/>
        <w:rPr>
          <w:sz w:val="20"/>
          <w:szCs w:val="20"/>
          <w:color w:val="auto"/>
        </w:rPr>
      </w:pPr>
    </w:p>
    <w:p>
      <w:pPr>
        <w:ind w:left="320" w:right="320"/>
        <w:spacing w:after="0"/>
        <w:rPr>
          <w:sz w:val="20"/>
          <w:szCs w:val="20"/>
          <w:color w:val="auto"/>
        </w:rPr>
      </w:pPr>
      <w:r>
        <w:rPr>
          <w:rFonts w:ascii="Times New Roman" w:cs="Times New Roman" w:eastAsia="Times New Roman" w:hAnsi="Times New Roman"/>
          <w:sz w:val="16"/>
          <w:szCs w:val="16"/>
          <w:i w:val="1"/>
          <w:iCs w:val="1"/>
          <w:color w:val="auto"/>
        </w:rPr>
        <w:t xml:space="preserve">Business Combinations. </w:t>
      </w:r>
      <w:r>
        <w:rPr>
          <w:rFonts w:ascii="Times New Roman" w:cs="Times New Roman" w:eastAsia="Times New Roman" w:hAnsi="Times New Roman"/>
          <w:sz w:val="16"/>
          <w:szCs w:val="16"/>
          <w:color w:val="auto"/>
        </w:rPr>
        <w:t>On August 23, 2023, the FASB issued an ASU 2023- 05, Business Combinations - Joint Venture Formations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(Subtopic 805-60): Recognition and Initial Measurement, that requires a joint venture, upon formation, to measure its assets and liabilities at fair value in its standalone financial statements. A joint venture must recognize the difference between the fair value of its equity and the fair value of its identifiable assets and liabilities as goodwill (or an equity adjustment, if negative) using the business combination accounting guidance regardless of whether the net assets meet the definition of a business. The new accounting standard is intended to reduce diversity in practice.</w:t>
      </w:r>
    </w:p>
    <w:p>
      <w:pPr>
        <w:spacing w:after="0" w:line="156" w:lineRule="exact"/>
        <w:rPr>
          <w:sz w:val="20"/>
          <w:szCs w:val="20"/>
          <w:color w:val="auto"/>
        </w:rPr>
      </w:pPr>
    </w:p>
    <w:p>
      <w:pPr>
        <w:ind w:left="320" w:right="480"/>
        <w:spacing w:after="0" w:line="279" w:lineRule="auto"/>
        <w:rPr>
          <w:sz w:val="20"/>
          <w:szCs w:val="20"/>
          <w:color w:val="auto"/>
        </w:rPr>
      </w:pPr>
      <w:r>
        <w:rPr>
          <w:rFonts w:ascii="Times New Roman" w:cs="Times New Roman" w:eastAsia="Times New Roman" w:hAnsi="Times New Roman"/>
          <w:sz w:val="14"/>
          <w:szCs w:val="14"/>
          <w:i w:val="1"/>
          <w:iCs w:val="1"/>
          <w:color w:val="auto"/>
        </w:rPr>
        <w:t>Segment Reporting</w:t>
      </w:r>
      <w:r>
        <w:rPr>
          <w:rFonts w:ascii="Times New Roman" w:cs="Times New Roman" w:eastAsia="Times New Roman" w:hAnsi="Times New Roman"/>
          <w:sz w:val="14"/>
          <w:szCs w:val="14"/>
          <w:color w:val="auto"/>
        </w:rPr>
        <w:t>. In November 2023, the FASB issued ASU 2023-07, Segment Reporting ("Topic 280"): Improvements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Reportable Segment Disclosure. The ASU is intended to improve reportable segment disclosure requirements, primarily through enhanced disclosures about significant segment expenses. The ASU is effective for fiscal years beginning after December 15, 2023, and interim periods within fiscal years beginning after December 15, 2024, with early adoption is permitted, and retrospective adoption required. During 2024, we adopted this ASU and the adoption of this standard did not have a material impact on our Consolidated Financial Statements, however it has resulted in incremental disclosures within the footnotes to our Consolidated Financial Statements. See Note 21. “Segment and Geographic Information” for further discussion.</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20" w:name="page121"/>
    <w:bookmarkEnd w:id="120"/>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December 31, 2024 and 2023</w:t>
      </w:r>
    </w:p>
    <w:p>
      <w:pPr>
        <w:spacing w:after="0" w:line="200" w:lineRule="exact"/>
        <w:rPr>
          <w:sz w:val="20"/>
          <w:szCs w:val="20"/>
          <w:color w:val="auto"/>
        </w:rPr>
      </w:pPr>
    </w:p>
    <w:p>
      <w:pPr>
        <w:ind w:left="320" w:right="460"/>
        <w:spacing w:after="0"/>
        <w:rPr>
          <w:sz w:val="20"/>
          <w:szCs w:val="20"/>
          <w:color w:val="auto"/>
        </w:rPr>
      </w:pPr>
      <w:r>
        <w:rPr>
          <w:rFonts w:ascii="Times New Roman" w:cs="Times New Roman" w:eastAsia="Times New Roman" w:hAnsi="Times New Roman"/>
          <w:sz w:val="16"/>
          <w:szCs w:val="16"/>
          <w:i w:val="1"/>
          <w:iCs w:val="1"/>
          <w:color w:val="auto"/>
        </w:rPr>
        <w:t xml:space="preserve">Income Taxes. </w:t>
      </w:r>
      <w:r>
        <w:rPr>
          <w:rFonts w:ascii="Times New Roman" w:cs="Times New Roman" w:eastAsia="Times New Roman" w:hAnsi="Times New Roman"/>
          <w:sz w:val="16"/>
          <w:szCs w:val="16"/>
          <w:color w:val="auto"/>
        </w:rPr>
        <w:t>In December 2023, FASB issued ASU 2023-09, Income Taxes ("Topic 740"): Improvements to Income Tax</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Disclosures. This ASU is intended to enhance the transparency and decision usefulness of income tax disclosures by requiring (1) consistent categories and greater disaggregation of information in the rate reconciliation and (2) income taxes paid disaggregated by jurisdiction. The ASU is effective for fiscal years beginning after December 15, 2024 and to be applied prospectively, with retrospective application and early adoption both permitted. We are not early adopting and are currently evaluating the extent of the impact of this ASU on disclosures in our Consolidated Financial Statements.</w:t>
      </w:r>
    </w:p>
    <w:p>
      <w:pPr>
        <w:spacing w:after="0" w:line="168" w:lineRule="exact"/>
        <w:rPr>
          <w:sz w:val="20"/>
          <w:szCs w:val="20"/>
          <w:color w:val="auto"/>
        </w:rPr>
      </w:pPr>
    </w:p>
    <w:p>
      <w:pPr>
        <w:ind w:left="320" w:right="340"/>
        <w:spacing w:after="0" w:line="241" w:lineRule="auto"/>
        <w:rPr>
          <w:sz w:val="20"/>
          <w:szCs w:val="20"/>
          <w:color w:val="auto"/>
        </w:rPr>
      </w:pPr>
      <w:r>
        <w:rPr>
          <w:rFonts w:ascii="Times New Roman" w:cs="Times New Roman" w:eastAsia="Times New Roman" w:hAnsi="Times New Roman"/>
          <w:sz w:val="16"/>
          <w:szCs w:val="16"/>
          <w:i w:val="1"/>
          <w:iCs w:val="1"/>
          <w:color w:val="auto"/>
        </w:rPr>
        <w:t xml:space="preserve">Income Statement. </w:t>
      </w:r>
      <w:r>
        <w:rPr>
          <w:rFonts w:ascii="Times New Roman" w:cs="Times New Roman" w:eastAsia="Times New Roman" w:hAnsi="Times New Roman"/>
          <w:sz w:val="16"/>
          <w:szCs w:val="16"/>
          <w:color w:val="auto"/>
        </w:rPr>
        <w:t>In November 2024, the FASB issued an ASU 2024-03, Disaggregation of Income Statement Expenses, that will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require entities to provide enhanced disclosures related to certain expense categories included in income statement captions. The ASU aims to increase transparency and provide investors with more detailed information about the nature of expenses reported on the face of the income statement. The new standard does not change the requirements for the presentation of expenses on the face of the income statement.</w:t>
      </w:r>
    </w:p>
    <w:p>
      <w:pPr>
        <w:spacing w:after="0" w:line="159" w:lineRule="exact"/>
        <w:rPr>
          <w:sz w:val="20"/>
          <w:szCs w:val="20"/>
          <w:color w:val="auto"/>
        </w:rPr>
      </w:pPr>
    </w:p>
    <w:p>
      <w:pPr>
        <w:ind w:left="320" w:right="420"/>
        <w:spacing w:after="0" w:line="238" w:lineRule="auto"/>
        <w:rPr>
          <w:sz w:val="20"/>
          <w:szCs w:val="20"/>
          <w:color w:val="auto"/>
        </w:rPr>
      </w:pPr>
      <w:r>
        <w:rPr>
          <w:rFonts w:ascii="Times New Roman" w:cs="Times New Roman" w:eastAsia="Times New Roman" w:hAnsi="Times New Roman"/>
          <w:sz w:val="16"/>
          <w:szCs w:val="16"/>
          <w:color w:val="auto"/>
        </w:rPr>
        <w:t>Under this ASU, entities are required to disaggregate, in a tabular format, expense captions presented on the face of the income statement - excluding earnings or losses from equity method investments - if they include any of the following expense categories: purchases of inventory, employee compensation, depreciation, intangible asset amortization, and depreciation or depletion. For any remaining items within each relevant expense caption, entities must provide a qualitative description of the nature of those expenses. The new ASU is effective for annual reporting periods beginning after December 15, 2026 and interim reporting periods beginning after December 15, 2027. Early adoption is permitted. We expect to adopt this ASU on January 1, 2027. While the adoption is not expected to have an impact on our financial statements, it is expected to result in incremental disclosures within the footnotes to our Consolidated Financial Statements.</w:t>
      </w:r>
    </w:p>
    <w:p>
      <w:pPr>
        <w:spacing w:after="0" w:line="161" w:lineRule="exact"/>
        <w:rPr>
          <w:sz w:val="20"/>
          <w:szCs w:val="20"/>
          <w:color w:val="auto"/>
        </w:rPr>
      </w:pPr>
    </w:p>
    <w:p>
      <w:pPr>
        <w:ind w:left="320" w:right="560" w:firstLine="288"/>
        <w:spacing w:after="0" w:line="259" w:lineRule="auto"/>
        <w:rPr>
          <w:sz w:val="20"/>
          <w:szCs w:val="20"/>
          <w:color w:val="auto"/>
        </w:rPr>
      </w:pPr>
      <w:r>
        <w:rPr>
          <w:rFonts w:ascii="Times New Roman" w:cs="Times New Roman" w:eastAsia="Times New Roman" w:hAnsi="Times New Roman"/>
          <w:sz w:val="16"/>
          <w:szCs w:val="16"/>
          <w:color w:val="auto"/>
        </w:rPr>
        <w:t>We determined that all other recently issued accounting pronouncements that have yet to be adopted by the Company will not have a material impact on our Consolidated Financial Statements or do not apply to our operations.</w:t>
      </w: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21" w:name="page122"/>
    <w:bookmarkEnd w:id="121"/>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 and 2023</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3. Business Combinations</w:t>
      </w:r>
    </w:p>
    <w:p>
      <w:pPr>
        <w:spacing w:after="0" w:line="190" w:lineRule="exact"/>
        <w:rPr>
          <w:sz w:val="20"/>
          <w:szCs w:val="20"/>
          <w:color w:val="auto"/>
        </w:rPr>
      </w:pPr>
    </w:p>
    <w:p>
      <w:pPr>
        <w:ind w:left="320" w:right="320"/>
        <w:spacing w:after="0" w:line="239" w:lineRule="auto"/>
        <w:rPr>
          <w:sz w:val="20"/>
          <w:szCs w:val="20"/>
          <w:color w:val="auto"/>
        </w:rPr>
      </w:pPr>
      <w:r>
        <w:rPr>
          <w:rFonts w:ascii="Times New Roman" w:cs="Times New Roman" w:eastAsia="Times New Roman" w:hAnsi="Times New Roman"/>
          <w:sz w:val="16"/>
          <w:szCs w:val="16"/>
          <w:color w:val="auto"/>
        </w:rPr>
        <w:t>On August 1, 2022, we completed the acquisition of a 61.1% indirect controlling interest in Teraco, a leading carrier-neutral data center and interconnection services provider in South Africa (the “Teraco Acquisition”). The total purchase price was $1.7 billion cash, funded by our Global Revolving Credit Facility and partial settlement of our forward equity sale agreements. Teraco controls (and consolidates) the Teraco Connect Trust (the “Trust”) that was created as part of the Broad Based Black Economic Empowerment Program in South Africa. The Trust owns a 12% interest in Teraco’s primary operating company, however, because Teraco (and the Company) controls the Trust, the Trust is consolidated by Teraco (and the Company). If the Trust was not consolidated by Teraco, the Company’s ownership interest in Teraco would be approximately 55%.</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following table summarizes the amounts recorded at the acquisition date (in thousands):</w:t>
      </w:r>
    </w:p>
    <w:p>
      <w:pPr>
        <w:spacing w:after="0" w:line="212" w:lineRule="exact"/>
        <w:rPr>
          <w:sz w:val="20"/>
          <w:szCs w:val="20"/>
          <w:color w:val="auto"/>
        </w:rPr>
      </w:pPr>
    </w:p>
    <w:tbl>
      <w:tblPr>
        <w:tblLayout w:type="fixed"/>
        <w:tblInd w:w="320" w:type="dxa"/>
        <w:tblCellMar>
          <w:top w:w="0" w:type="dxa"/>
          <w:left w:w="0" w:type="dxa"/>
          <w:bottom w:w="0" w:type="dxa"/>
          <w:right w:w="0" w:type="dxa"/>
        </w:tblCellMar>
      </w:tblPr>
      <w:tr>
        <w:trPr>
          <w:trHeight w:val="170"/>
        </w:trPr>
        <w:tc>
          <w:tcPr>
            <w:tcW w:w="67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3"/>
                <w:szCs w:val="13"/>
                <w:b w:val="1"/>
                <w:bCs w:val="1"/>
                <w:color w:val="auto"/>
              </w:rPr>
              <w:t>Final Amounts</w:t>
            </w:r>
          </w:p>
        </w:tc>
      </w:tr>
      <w:tr>
        <w:trPr>
          <w:trHeight w:val="172"/>
        </w:trPr>
        <w:tc>
          <w:tcPr>
            <w:tcW w:w="678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Building and improvements</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1,376,128</w:t>
            </w:r>
          </w:p>
        </w:tc>
      </w:tr>
      <w:tr>
        <w:trPr>
          <w:trHeight w:val="180"/>
        </w:trPr>
        <w:tc>
          <w:tcPr>
            <w:tcW w:w="67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Construction in progress and space held for development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521,153</w:t>
            </w:r>
          </w:p>
        </w:tc>
      </w:tr>
      <w:tr>
        <w:trPr>
          <w:trHeight w:val="180"/>
        </w:trPr>
        <w:tc>
          <w:tcPr>
            <w:tcW w:w="67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Operating lease right-of-use assets</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2,784</w:t>
            </w:r>
          </w:p>
        </w:tc>
      </w:tr>
      <w:tr>
        <w:trPr>
          <w:trHeight w:val="180"/>
        </w:trPr>
        <w:tc>
          <w:tcPr>
            <w:tcW w:w="67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Assumed cash and cash equivalents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5,528</w:t>
            </w:r>
          </w:p>
        </w:tc>
      </w:tr>
      <w:tr>
        <w:trPr>
          <w:trHeight w:val="180"/>
        </w:trPr>
        <w:tc>
          <w:tcPr>
            <w:tcW w:w="67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Goodwill</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1,625,994</w:t>
            </w:r>
          </w:p>
        </w:tc>
      </w:tr>
      <w:tr>
        <w:trPr>
          <w:trHeight w:val="180"/>
        </w:trPr>
        <w:tc>
          <w:tcPr>
            <w:tcW w:w="67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Customer relationship value and other intangibles (weighted-average amortization life of 7 years)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720,126</w:t>
            </w:r>
          </w:p>
        </w:tc>
      </w:tr>
      <w:tr>
        <w:trPr>
          <w:trHeight w:val="180"/>
        </w:trPr>
        <w:tc>
          <w:tcPr>
            <w:tcW w:w="67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Debt assumed</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(355,688)</w:t>
            </w:r>
          </w:p>
        </w:tc>
      </w:tr>
      <w:tr>
        <w:trPr>
          <w:trHeight w:val="180"/>
        </w:trPr>
        <w:tc>
          <w:tcPr>
            <w:tcW w:w="67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Operating lease liabilities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(4,031)</w:t>
            </w:r>
          </w:p>
        </w:tc>
      </w:tr>
      <w:tr>
        <w:trPr>
          <w:trHeight w:val="180"/>
        </w:trPr>
        <w:tc>
          <w:tcPr>
            <w:tcW w:w="67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Deferred tax liabilities</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(632,841)</w:t>
            </w:r>
          </w:p>
        </w:tc>
      </w:tr>
      <w:tr>
        <w:trPr>
          <w:trHeight w:val="180"/>
        </w:trPr>
        <w:tc>
          <w:tcPr>
            <w:tcW w:w="67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Redeemable noncontrolling interests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(1,530,090)</w:t>
            </w:r>
          </w:p>
        </w:tc>
      </w:tr>
      <w:tr>
        <w:trPr>
          <w:trHeight w:val="180"/>
        </w:trPr>
        <w:tc>
          <w:tcPr>
            <w:tcW w:w="67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Working capital assets, net</w:t>
            </w:r>
          </w:p>
        </w:tc>
        <w:tc>
          <w:tcPr>
            <w:tcW w:w="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1,112</w:t>
            </w:r>
          </w:p>
        </w:tc>
      </w:tr>
      <w:tr>
        <w:trPr>
          <w:trHeight w:val="172"/>
        </w:trPr>
        <w:tc>
          <w:tcPr>
            <w:tcW w:w="6780" w:type="dxa"/>
            <w:vAlign w:val="bottom"/>
          </w:tcPr>
          <w:p>
            <w:pPr>
              <w:ind w:left="200"/>
              <w:spacing w:after="0" w:line="172" w:lineRule="exact"/>
              <w:rPr>
                <w:sz w:val="20"/>
                <w:szCs w:val="20"/>
                <w:color w:val="auto"/>
              </w:rPr>
            </w:pPr>
            <w:r>
              <w:rPr>
                <w:rFonts w:ascii="Times New Roman" w:cs="Times New Roman" w:eastAsia="Times New Roman" w:hAnsi="Times New Roman"/>
                <w:sz w:val="16"/>
                <w:szCs w:val="16"/>
                <w:color w:val="auto"/>
              </w:rPr>
              <w:t>Total purchase consideration</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1,730,175</w:t>
            </w:r>
          </w:p>
        </w:tc>
      </w:tr>
      <w:tr>
        <w:trPr>
          <w:trHeight w:val="20"/>
        </w:trPr>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ind w:left="320" w:right="360"/>
        <w:spacing w:after="0" w:line="238" w:lineRule="auto"/>
        <w:rPr>
          <w:sz w:val="20"/>
          <w:szCs w:val="20"/>
          <w:color w:val="auto"/>
        </w:rPr>
      </w:pPr>
      <w:r>
        <w:rPr>
          <w:rFonts w:ascii="Times New Roman" w:cs="Times New Roman" w:eastAsia="Times New Roman" w:hAnsi="Times New Roman"/>
          <w:sz w:val="16"/>
          <w:szCs w:val="16"/>
          <w:i w:val="1"/>
          <w:iCs w:val="1"/>
          <w:color w:val="auto"/>
        </w:rPr>
        <w:t xml:space="preserve">Goodwill </w:t>
      </w:r>
      <w:r>
        <w:rPr>
          <w:rFonts w:ascii="Times New Roman" w:cs="Times New Roman" w:eastAsia="Times New Roman" w:hAnsi="Times New Roman"/>
          <w:sz w:val="16"/>
          <w:szCs w:val="16"/>
          <w:color w:val="auto"/>
        </w:rPr>
        <w:t>— The purchase price of the Teraco Acquisition exceeded the fair value of net tangible and intangible assets acquired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liabilities assumed by $1.6 billion. This amount was recorded as goodwill. We believe the strategic benefits of the acquisition support the value of goodwill recorded. Specifically, Teraco has numerous cross -connects, cloud on -ramps and data centers in addition to direct access to multiple subsea cables. The acquisition of Teraco added South Africa to the Company’s existing markets on the continent, including in Kenya, Mozambique, and Nigeria. The strategic importance of these markets has been enhanced by the recent and ongoing implementation of new subsea cable networks encircling Africa. When combined with the Company’s highly connected facilities in Marseille, France, and across EMEA, our customers now have a range of strategic connectivity hubs from which to serve all corners of the African market.</w:t>
      </w:r>
    </w:p>
    <w:p>
      <w:pPr>
        <w:spacing w:after="0" w:line="163" w:lineRule="exact"/>
        <w:rPr>
          <w:sz w:val="20"/>
          <w:szCs w:val="20"/>
          <w:color w:val="auto"/>
        </w:rPr>
      </w:pPr>
    </w:p>
    <w:p>
      <w:pPr>
        <w:ind w:left="320" w:right="340"/>
        <w:spacing w:after="0" w:line="247" w:lineRule="auto"/>
        <w:rPr>
          <w:sz w:val="20"/>
          <w:szCs w:val="20"/>
          <w:color w:val="auto"/>
        </w:rPr>
      </w:pPr>
      <w:r>
        <w:rPr>
          <w:rFonts w:ascii="Times New Roman" w:cs="Times New Roman" w:eastAsia="Times New Roman" w:hAnsi="Times New Roman"/>
          <w:sz w:val="16"/>
          <w:szCs w:val="16"/>
          <w:color w:val="auto"/>
        </w:rPr>
        <w:t>The Teraco acquisition was not material and neither the investment in the assets nor the results of operations of the acquisition was significant to the Company’s consolidated financial position or results of operations, and thus pro forma information is not required to be presented.</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22" w:name="page123"/>
    <w:bookmarkEnd w:id="122"/>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 and 2023</w:t>
      </w:r>
    </w:p>
    <w:p>
      <w:pPr>
        <w:spacing w:after="0" w:line="200" w:lineRule="exact"/>
        <w:rPr>
          <w:sz w:val="20"/>
          <w:szCs w:val="20"/>
          <w:color w:val="auto"/>
        </w:rPr>
      </w:pPr>
    </w:p>
    <w:p>
      <w:pPr>
        <w:ind w:left="320" w:right="340"/>
        <w:spacing w:after="0" w:line="237" w:lineRule="auto"/>
        <w:rPr>
          <w:sz w:val="20"/>
          <w:szCs w:val="20"/>
          <w:color w:val="auto"/>
        </w:rPr>
      </w:pPr>
      <w:r>
        <w:rPr>
          <w:rFonts w:ascii="Times New Roman" w:cs="Times New Roman" w:eastAsia="Times New Roman" w:hAnsi="Times New Roman"/>
          <w:sz w:val="16"/>
          <w:szCs w:val="16"/>
          <w:i w:val="1"/>
          <w:iCs w:val="1"/>
          <w:color w:val="auto"/>
        </w:rPr>
        <w:t xml:space="preserve">Redeemable Noncontrolling Interest (“Redeemable NCI”) — </w:t>
      </w:r>
      <w:r>
        <w:rPr>
          <w:rFonts w:ascii="Times New Roman" w:cs="Times New Roman" w:eastAsia="Times New Roman" w:hAnsi="Times New Roman"/>
          <w:sz w:val="16"/>
          <w:szCs w:val="16"/>
          <w:color w:val="auto"/>
        </w:rPr>
        <w:t>As part of the Teraco Acquisition, the Company and certain of its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subsidiaries entered into a put/call agreement with the owners of the interest in Teraco that was not acquired by the Company (the “Put/Call Agreement”). The interest retained by these owners is hereafter referred to as the “Remaining Teraco Interest” and the owners of such interest are hereafter referred to as the “Rollover Shareholders”. Pursuant to the Put/Call Agreement, the Rollover Shareholders have the right to sell all or a portion of the Remaining Teraco Interest to the Company for a two-year period beginning on February 1, 2026, and the Company has the right to purchase all or a portion of the Remaining Teraco Interest from the Rollover Shareholders for a one-year period beginning on February 1, 2028. Per the terms of the agreement, the purchase price of the Remaining Teraco Interest for the put right and the call right can be settled by the Company with cash, shares in the Company, or a combination of cash and shares. In the event the Company elects to settle a put or call in whole or in part with shares of Digital Realty Trust, Inc.’s common stock, such shares will be issued in a private placement transaction with customary accompanying registration rights.</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Since the Rollover Shareholders can redeem the put right at their discretion and such redemption, which could be in cash, is outside</w:t>
      </w:r>
    </w:p>
    <w:p>
      <w:pPr>
        <w:spacing w:after="0" w:line="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Company’s control, the Company recorded the noncontrolling interest as Redeemable NCI and classified it in temporary equity</w:t>
      </w:r>
    </w:p>
    <w:p>
      <w:pPr>
        <w:ind w:left="320"/>
        <w:spacing w:after="0" w:line="234" w:lineRule="auto"/>
        <w:rPr>
          <w:sz w:val="20"/>
          <w:szCs w:val="20"/>
          <w:color w:val="auto"/>
        </w:rPr>
      </w:pPr>
      <w:r>
        <w:rPr>
          <w:rFonts w:ascii="Times New Roman" w:cs="Times New Roman" w:eastAsia="Times New Roman" w:hAnsi="Times New Roman"/>
          <w:sz w:val="16"/>
          <w:szCs w:val="16"/>
          <w:color w:val="auto"/>
        </w:rPr>
        <w:t>within its consolidated balance sheets. The Redeemable NCI was initially recorded at its acquisition-date fair value and will be</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adjusted each reporting period for income (or loss) attributable to the noncontrolling interest (an $27.1 million and $18.1 million net</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loss for the years ended December 31, 2024 and 2023, respectively). If the contractual redemption value of the Redeemable NCI is</w:t>
      </w:r>
    </w:p>
    <w:p>
      <w:pPr>
        <w:ind w:left="320"/>
        <w:spacing w:after="0"/>
        <w:rPr>
          <w:sz w:val="20"/>
          <w:szCs w:val="20"/>
          <w:color w:val="auto"/>
        </w:rPr>
      </w:pPr>
      <w:r>
        <w:rPr>
          <w:rFonts w:ascii="Times New Roman" w:cs="Times New Roman" w:eastAsia="Times New Roman" w:hAnsi="Times New Roman"/>
          <w:sz w:val="14"/>
          <w:szCs w:val="14"/>
          <w:color w:val="auto"/>
        </w:rPr>
        <w:t>greater than its carrying value, an adjustment is made to reflect Redeemable NCI at the higher of its contractual redemption value or</w:t>
      </w:r>
    </w:p>
    <w:p>
      <w:pPr>
        <w:spacing w:after="0" w:line="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its carrying value each reporting period. Changes to the redemption value are recognized immediately in the period the change occurs.</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If the redemption value of the Redeemable NCI is equal to or less than the fair market value of the Remaining Teraco Interest, the</w:t>
      </w:r>
    </w:p>
    <w:p>
      <w:pPr>
        <w:ind w:left="320"/>
        <w:spacing w:after="0" w:line="234" w:lineRule="auto"/>
        <w:rPr>
          <w:sz w:val="20"/>
          <w:szCs w:val="20"/>
          <w:color w:val="auto"/>
        </w:rPr>
      </w:pPr>
      <w:r>
        <w:rPr>
          <w:rFonts w:ascii="Times New Roman" w:cs="Times New Roman" w:eastAsia="Times New Roman" w:hAnsi="Times New Roman"/>
          <w:sz w:val="16"/>
          <w:szCs w:val="16"/>
          <w:color w:val="auto"/>
        </w:rPr>
        <w:t>change in the redemption value will be adjusted through Additional Paid in Capital. If the redemption value is greater than the fair</w:t>
      </w:r>
    </w:p>
    <w:p>
      <w:pPr>
        <w:ind w:left="320"/>
        <w:spacing w:after="0" w:line="235" w:lineRule="auto"/>
        <w:rPr>
          <w:sz w:val="20"/>
          <w:szCs w:val="20"/>
          <w:color w:val="auto"/>
        </w:rPr>
      </w:pPr>
      <w:r>
        <w:rPr>
          <w:rFonts w:ascii="Times New Roman" w:cs="Times New Roman" w:eastAsia="Times New Roman" w:hAnsi="Times New Roman"/>
          <w:sz w:val="16"/>
          <w:szCs w:val="16"/>
          <w:color w:val="auto"/>
        </w:rPr>
        <w:t>market value of the Remaining Teraco Interest, the change in redemption value will be adjusted through Retained Earnings. These</w:t>
      </w:r>
    </w:p>
    <w:p>
      <w:pPr>
        <w:ind w:left="320"/>
        <w:spacing w:after="0" w:line="235" w:lineRule="auto"/>
        <w:rPr>
          <w:sz w:val="20"/>
          <w:szCs w:val="20"/>
          <w:color w:val="auto"/>
        </w:rPr>
      </w:pPr>
      <w:r>
        <w:rPr>
          <w:rFonts w:ascii="Times New Roman" w:cs="Times New Roman" w:eastAsia="Times New Roman" w:hAnsi="Times New Roman"/>
          <w:sz w:val="16"/>
          <w:szCs w:val="16"/>
          <w:color w:val="auto"/>
        </w:rPr>
        <w:t>adjustments are not reflected on the Company’s income statement, but are instead reflected as adjustments to the net income</w:t>
      </w:r>
    </w:p>
    <w:p>
      <w:pPr>
        <w:ind w:left="320"/>
        <w:spacing w:after="0"/>
        <w:rPr>
          <w:sz w:val="20"/>
          <w:szCs w:val="20"/>
          <w:color w:val="auto"/>
        </w:rPr>
      </w:pPr>
      <w:r>
        <w:rPr>
          <w:rFonts w:ascii="Times New Roman" w:cs="Times New Roman" w:eastAsia="Times New Roman" w:hAnsi="Times New Roman"/>
          <w:sz w:val="14"/>
          <w:szCs w:val="14"/>
          <w:color w:val="auto"/>
        </w:rPr>
        <w:t>component of the Company’s earnings per share calculations. When calculating earnings per share attributable to Digital Realty Trust,</w:t>
      </w:r>
    </w:p>
    <w:p>
      <w:pPr>
        <w:spacing w:after="0" w:line="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Inc., the Company adjusts net income attributable to Digital Realty Trust, Inc. to the extent the redemption value exceeds the fair value</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of the Redeemable NCI on a cumulative basis. For the year ended December 31, 2024, we made an adjustment of approximately</w:t>
      </w:r>
    </w:p>
    <w:p>
      <w:pPr>
        <w:ind w:left="320"/>
        <w:spacing w:after="0"/>
        <w:rPr>
          <w:sz w:val="20"/>
          <w:szCs w:val="20"/>
          <w:color w:val="auto"/>
        </w:rPr>
      </w:pPr>
      <w:r>
        <w:rPr>
          <w:rFonts w:ascii="Times New Roman" w:cs="Times New Roman" w:eastAsia="Times New Roman" w:hAnsi="Times New Roman"/>
          <w:sz w:val="14"/>
          <w:szCs w:val="14"/>
          <w:color w:val="auto"/>
        </w:rPr>
        <w:t>$91.9 million to Redeemable NCI as the contractual redemption value of the Redeemable NCI was greater than its carrying value. As</w:t>
      </w:r>
    </w:p>
    <w:p>
      <w:pPr>
        <w:spacing w:after="0" w:line="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contractual redemption value was less than the fair market value of the Remaining Teraco Interest, the change in the redemption value</w:t>
      </w:r>
    </w:p>
    <w:p>
      <w:pPr>
        <w:spacing w:after="0" w:line="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will be adjusted through Additional Paid in Capital. For the year ended December 31, 2023, no such adjustment was required.</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23" w:name="page124"/>
    <w:bookmarkEnd w:id="123"/>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 and 2023</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4. Leases</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Lessor Accounting</w:t>
      </w:r>
    </w:p>
    <w:p>
      <w:pPr>
        <w:spacing w:after="0" w:line="190" w:lineRule="exact"/>
        <w:rPr>
          <w:sz w:val="20"/>
          <w:szCs w:val="20"/>
          <w:color w:val="auto"/>
        </w:rPr>
      </w:pPr>
    </w:p>
    <w:p>
      <w:pPr>
        <w:ind w:left="320" w:right="360"/>
        <w:spacing w:after="0" w:line="289" w:lineRule="auto"/>
        <w:rPr>
          <w:sz w:val="20"/>
          <w:szCs w:val="20"/>
          <w:color w:val="auto"/>
        </w:rPr>
      </w:pPr>
      <w:r>
        <w:rPr>
          <w:rFonts w:ascii="Times New Roman" w:cs="Times New Roman" w:eastAsia="Times New Roman" w:hAnsi="Times New Roman"/>
          <w:sz w:val="14"/>
          <w:szCs w:val="14"/>
          <w:color w:val="auto"/>
        </w:rPr>
        <w:t>We generate the majority of our revenue by leasing operating properties to customers under operating lease agreements. The manner in which we recognize these transactions in our financial statements is described in Note 2. “Summary of Significant Accounting Policies—Revenue Recognition” to these Consolidated Financial Statements. Our largest customer’s total revenue approximates 12% of our total revenue base. No other individual customer makes up more than approximately 6% of our total revenue.</w:t>
      </w:r>
    </w:p>
    <w:p>
      <w:pPr>
        <w:spacing w:after="0" w:line="125" w:lineRule="exact"/>
        <w:rPr>
          <w:sz w:val="20"/>
          <w:szCs w:val="20"/>
          <w:color w:val="auto"/>
        </w:rPr>
      </w:pPr>
    </w:p>
    <w:p>
      <w:pPr>
        <w:ind w:left="320" w:right="360"/>
        <w:spacing w:after="0" w:line="241" w:lineRule="auto"/>
        <w:rPr>
          <w:sz w:val="20"/>
          <w:szCs w:val="20"/>
          <w:color w:val="auto"/>
        </w:rPr>
      </w:pPr>
      <w:r>
        <w:rPr>
          <w:rFonts w:ascii="Times New Roman" w:cs="Times New Roman" w:eastAsia="Times New Roman" w:hAnsi="Times New Roman"/>
          <w:sz w:val="16"/>
          <w:szCs w:val="16"/>
          <w:color w:val="auto"/>
        </w:rPr>
        <w:t>A summary of minimum lease payments due from our customers under operating leases of land, prestabilized development properties, and operating properties with lease periods of greater than one year at December 31, 2024 is shown below. These amounts do not reflect future rental revenues from renewal or replacement of existing leases unless we are reasonably certain we will exercise the option or the lessee has the sole ability to exercise the option. Reimbursements of operating expenses and variable rent increases are excluded from the table below.</w:t>
      </w:r>
    </w:p>
    <w:p>
      <w:pPr>
        <w:spacing w:after="0" w:line="168" w:lineRule="exact"/>
        <w:rPr>
          <w:sz w:val="20"/>
          <w:szCs w:val="20"/>
          <w:color w:val="auto"/>
        </w:rPr>
      </w:pPr>
    </w:p>
    <w:tbl>
      <w:tblPr>
        <w:tblLayout w:type="fixed"/>
        <w:tblInd w:w="320" w:type="dxa"/>
        <w:tblCellMar>
          <w:top w:w="0" w:type="dxa"/>
          <w:left w:w="0" w:type="dxa"/>
          <w:bottom w:w="0" w:type="dxa"/>
          <w:right w:w="0" w:type="dxa"/>
        </w:tblCellMar>
      </w:tblPr>
      <w:tr>
        <w:trPr>
          <w:trHeight w:val="170"/>
        </w:trPr>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(Amounts in thousands)</w:t>
            </w:r>
          </w:p>
        </w:tc>
        <w:tc>
          <w:tcPr>
            <w:tcW w:w="36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tcPr>
          <w:p>
            <w:pPr>
              <w:jc w:val="right"/>
              <w:ind w:right="783"/>
              <w:spacing w:after="0"/>
              <w:rPr>
                <w:sz w:val="20"/>
                <w:szCs w:val="20"/>
                <w:color w:val="auto"/>
              </w:rPr>
            </w:pPr>
            <w:r>
              <w:rPr>
                <w:rFonts w:ascii="Times New Roman" w:cs="Times New Roman" w:eastAsia="Times New Roman" w:hAnsi="Times New Roman"/>
                <w:sz w:val="13"/>
                <w:szCs w:val="13"/>
                <w:b w:val="1"/>
                <w:bCs w:val="1"/>
                <w:color w:val="auto"/>
              </w:rPr>
              <w:t>Operating leases</w:t>
            </w:r>
          </w:p>
        </w:tc>
      </w:tr>
      <w:tr>
        <w:trPr>
          <w:trHeight w:val="172"/>
        </w:trPr>
        <w:tc>
          <w:tcPr>
            <w:tcW w:w="53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2025</w:t>
            </w:r>
          </w:p>
        </w:tc>
        <w:tc>
          <w:tcPr>
            <w:tcW w:w="36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2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21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3,176,969</w:t>
            </w:r>
          </w:p>
        </w:tc>
      </w:tr>
      <w:tr>
        <w:trPr>
          <w:trHeight w:val="180"/>
        </w:trPr>
        <w:tc>
          <w:tcPr>
            <w:tcW w:w="53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2026</w:t>
            </w: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2,522,253</w:t>
            </w:r>
          </w:p>
        </w:tc>
      </w:tr>
      <w:tr>
        <w:trPr>
          <w:trHeight w:val="180"/>
        </w:trPr>
        <w:tc>
          <w:tcPr>
            <w:tcW w:w="53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2027</w:t>
            </w:r>
          </w:p>
        </w:tc>
        <w:tc>
          <w:tcPr>
            <w:tcW w:w="3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1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2,097,594</w:t>
            </w:r>
          </w:p>
        </w:tc>
      </w:tr>
      <w:tr>
        <w:trPr>
          <w:trHeight w:val="180"/>
        </w:trPr>
        <w:tc>
          <w:tcPr>
            <w:tcW w:w="53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2028</w:t>
            </w: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1,780,247</w:t>
            </w:r>
          </w:p>
        </w:tc>
      </w:tr>
      <w:tr>
        <w:trPr>
          <w:trHeight w:val="180"/>
        </w:trPr>
        <w:tc>
          <w:tcPr>
            <w:tcW w:w="53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2029</w:t>
            </w:r>
          </w:p>
        </w:tc>
        <w:tc>
          <w:tcPr>
            <w:tcW w:w="3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1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1,455,752</w:t>
            </w:r>
          </w:p>
        </w:tc>
      </w:tr>
      <w:tr>
        <w:trPr>
          <w:trHeight w:val="180"/>
        </w:trPr>
        <w:tc>
          <w:tcPr>
            <w:tcW w:w="536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Thereafter</w:t>
            </w:r>
          </w:p>
        </w:tc>
        <w:tc>
          <w:tcPr>
            <w:tcW w:w="36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5,028,089</w:t>
            </w:r>
          </w:p>
        </w:tc>
      </w:tr>
      <w:tr>
        <w:trPr>
          <w:trHeight w:val="172"/>
        </w:trPr>
        <w:tc>
          <w:tcPr>
            <w:tcW w:w="5360" w:type="dxa"/>
            <w:vAlign w:val="bottom"/>
            <w:tcBorders>
              <w:bottom w:val="single" w:sz="8" w:color="CCEEFF"/>
            </w:tcBorders>
            <w:shd w:val="clear" w:color="auto" w:fill="CCEEFF"/>
          </w:tcPr>
          <w:p>
            <w:pPr>
              <w:ind w:left="100"/>
              <w:spacing w:after="0" w:line="172" w:lineRule="exact"/>
              <w:rPr>
                <w:sz w:val="20"/>
                <w:szCs w:val="20"/>
                <w:color w:val="auto"/>
              </w:rPr>
            </w:pPr>
            <w:r>
              <w:rPr>
                <w:rFonts w:ascii="Times New Roman" w:cs="Times New Roman" w:eastAsia="Times New Roman" w:hAnsi="Times New Roman"/>
                <w:sz w:val="16"/>
                <w:szCs w:val="16"/>
                <w:color w:val="auto"/>
              </w:rPr>
              <w:t>Total</w:t>
            </w:r>
          </w:p>
        </w:tc>
        <w:tc>
          <w:tcPr>
            <w:tcW w:w="36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2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21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16,060,904</w:t>
            </w:r>
          </w:p>
        </w:tc>
      </w:tr>
      <w:tr>
        <w:trPr>
          <w:trHeight w:val="20"/>
        </w:trPr>
        <w:tc>
          <w:tcPr>
            <w:tcW w:w="5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Lessee Accounting</w:t>
      </w:r>
    </w:p>
    <w:p>
      <w:pPr>
        <w:spacing w:after="0" w:line="178" w:lineRule="exact"/>
        <w:rPr>
          <w:sz w:val="20"/>
          <w:szCs w:val="20"/>
          <w:color w:val="auto"/>
        </w:rPr>
      </w:pPr>
    </w:p>
    <w:p>
      <w:pPr>
        <w:ind w:left="320" w:right="420"/>
        <w:spacing w:after="0" w:line="243" w:lineRule="auto"/>
        <w:rPr>
          <w:sz w:val="20"/>
          <w:szCs w:val="20"/>
          <w:color w:val="auto"/>
        </w:rPr>
      </w:pPr>
      <w:r>
        <w:rPr>
          <w:rFonts w:ascii="Times New Roman" w:cs="Times New Roman" w:eastAsia="Times New Roman" w:hAnsi="Times New Roman"/>
          <w:sz w:val="16"/>
          <w:szCs w:val="16"/>
          <w:color w:val="auto"/>
        </w:rPr>
        <w:t>We lease space and equipment at certain of our data centers from third parties under noncancelable lease agreements. Leases for our data centers expire on various dates through 2069. Certain of our data centers, primarily in Europe and Singapore, are subject to ground leases. As of December 31, 2024, the termination dates of these ground leases ranged from 2038 to 2073. In addition, several of our regional office locations are subject to leases with termination dates ranging from 2025 to 2036.</w:t>
      </w:r>
    </w:p>
    <w:p>
      <w:pPr>
        <w:spacing w:after="0" w:line="155" w:lineRule="exact"/>
        <w:rPr>
          <w:sz w:val="20"/>
          <w:szCs w:val="20"/>
          <w:color w:val="auto"/>
        </w:rPr>
      </w:pPr>
    </w:p>
    <w:p>
      <w:pPr>
        <w:ind w:left="320" w:right="380"/>
        <w:spacing w:after="0" w:line="239" w:lineRule="auto"/>
        <w:rPr>
          <w:sz w:val="20"/>
          <w:szCs w:val="20"/>
          <w:color w:val="auto"/>
        </w:rPr>
      </w:pPr>
      <w:r>
        <w:rPr>
          <w:rFonts w:ascii="Times New Roman" w:cs="Times New Roman" w:eastAsia="Times New Roman" w:hAnsi="Times New Roman"/>
          <w:sz w:val="16"/>
          <w:szCs w:val="16"/>
          <w:color w:val="auto"/>
        </w:rPr>
        <w:t>The leases generally require us to make fixed rental payments that increase at defined intervals during the term of the lease plus pay our share of common area, real estate and utility expenses as incurred. The leases do not contain residual value guarantees and do not impose material restrictions or covenants on us. Further, the leases have been classified and accounted for as either operating or finance leases. Rent expense related to operating leases included in Rental property operating and maintenance expense in the consolidated income statements amounted to approximately $153.5 million, $153.2 million and $144.0 million for the years ended December 31, 2024, 2023 and 2022, respectively.</w:t>
      </w:r>
    </w:p>
    <w:p>
      <w:pPr>
        <w:spacing w:after="0" w:line="161" w:lineRule="exact"/>
        <w:rPr>
          <w:sz w:val="20"/>
          <w:szCs w:val="20"/>
          <w:color w:val="auto"/>
        </w:rPr>
      </w:pPr>
    </w:p>
    <w:p>
      <w:pPr>
        <w:ind w:left="320" w:right="340"/>
        <w:spacing w:after="0" w:line="241" w:lineRule="auto"/>
        <w:rPr>
          <w:sz w:val="20"/>
          <w:szCs w:val="20"/>
          <w:color w:val="auto"/>
        </w:rPr>
      </w:pPr>
      <w:r>
        <w:rPr>
          <w:rFonts w:ascii="Times New Roman" w:cs="Times New Roman" w:eastAsia="Times New Roman" w:hAnsi="Times New Roman"/>
          <w:sz w:val="16"/>
          <w:szCs w:val="16"/>
          <w:color w:val="auto"/>
        </w:rPr>
        <w:t>As of December 31, 2024, the weighted average remaining lease term for our operating leases and finance leases was 12 years and 18 years, respectively. We do not include renewal options in the lease term for calculating the lease liability unless we are reasonably certain we will exercise the option or the lessor has the sole ability to exercise the option. The weighted average incremental borrowing rate was 3.4% for operating leases and 2.4% for finance leases at December 31, 2024. We assigned a collateralized interest rate to each lease based on the term of the lease and the currency in which the lease is denominated.</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24" w:name="page125"/>
    <w:bookmarkEnd w:id="124"/>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 and 2023</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Maturities of lease liabilities as of December 31, 2024 were as follows (in thousands):</w:t>
      </w:r>
    </w:p>
    <w:p>
      <w:pPr>
        <w:spacing w:after="0" w:line="188" w:lineRule="exact"/>
        <w:rPr>
          <w:sz w:val="20"/>
          <w:szCs w:val="20"/>
          <w:color w:val="auto"/>
        </w:rPr>
      </w:pPr>
    </w:p>
    <w:tbl>
      <w:tblPr>
        <w:tblLayout w:type="fixed"/>
        <w:tblInd w:w="320" w:type="dxa"/>
        <w:tblCellMar>
          <w:top w:w="0" w:type="dxa"/>
          <w:left w:w="0" w:type="dxa"/>
          <w:bottom w:w="0" w:type="dxa"/>
          <w:right w:w="0" w:type="dxa"/>
        </w:tblCellMar>
      </w:tblPr>
      <w:tr>
        <w:trPr>
          <w:trHeight w:val="156"/>
        </w:trPr>
        <w:tc>
          <w:tcPr>
            <w:tcW w:w="20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jc w:val="right"/>
              <w:ind w:right="464"/>
              <w:spacing w:after="0"/>
              <w:rPr>
                <w:sz w:val="20"/>
                <w:szCs w:val="20"/>
                <w:color w:val="auto"/>
              </w:rPr>
            </w:pPr>
            <w:r>
              <w:rPr>
                <w:rFonts w:ascii="Times New Roman" w:cs="Times New Roman" w:eastAsia="Times New Roman" w:hAnsi="Times New Roman"/>
                <w:sz w:val="13"/>
                <w:szCs w:val="13"/>
                <w:b w:val="1"/>
                <w:bCs w:val="1"/>
                <w:color w:val="auto"/>
              </w:rPr>
              <w:t>Operating</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jc w:val="right"/>
              <w:ind w:right="404"/>
              <w:spacing w:after="0"/>
              <w:rPr>
                <w:sz w:val="20"/>
                <w:szCs w:val="20"/>
                <w:color w:val="auto"/>
              </w:rPr>
            </w:pPr>
            <w:r>
              <w:rPr>
                <w:rFonts w:ascii="Times New Roman" w:cs="Times New Roman" w:eastAsia="Times New Roman" w:hAnsi="Times New Roman"/>
                <w:sz w:val="13"/>
                <w:szCs w:val="13"/>
                <w:b w:val="1"/>
                <w:bCs w:val="1"/>
                <w:color w:val="auto"/>
              </w:rPr>
              <w:t>Finance</w:t>
            </w:r>
          </w:p>
        </w:tc>
      </w:tr>
      <w:tr>
        <w:trPr>
          <w:trHeight w:val="170"/>
        </w:trPr>
        <w:tc>
          <w:tcPr>
            <w:tcW w:w="2080" w:type="dxa"/>
            <w:vAlign w:val="bottom"/>
            <w:tcBorders>
              <w:bottom w:val="single" w:sz="8" w:color="CCEEFF"/>
            </w:tcBorders>
          </w:tcPr>
          <w:p>
            <w:pPr>
              <w:spacing w:after="0"/>
              <w:rPr>
                <w:sz w:val="14"/>
                <w:szCs w:val="14"/>
                <w:color w:val="auto"/>
              </w:rPr>
            </w:pPr>
          </w:p>
        </w:tc>
        <w:tc>
          <w:tcPr>
            <w:tcW w:w="29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3"/>
                <w:szCs w:val="13"/>
                <w:b w:val="1"/>
                <w:bCs w:val="1"/>
                <w:color w:val="auto"/>
              </w:rPr>
              <w:t>lease liabilities</w:t>
            </w: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44"/>
              <w:spacing w:after="0" w:line="170" w:lineRule="exact"/>
              <w:rPr>
                <w:sz w:val="20"/>
                <w:szCs w:val="20"/>
                <w:color w:val="auto"/>
              </w:rPr>
            </w:pPr>
            <w:r>
              <w:rPr>
                <w:rFonts w:ascii="Times New Roman" w:cs="Times New Roman" w:eastAsia="Times New Roman" w:hAnsi="Times New Roman"/>
                <w:sz w:val="13"/>
                <w:szCs w:val="13"/>
                <w:b w:val="1"/>
                <w:bCs w:val="1"/>
                <w:color w:val="auto"/>
              </w:rPr>
              <w:t xml:space="preserve">lease liabilities </w:t>
            </w:r>
            <w:r>
              <w:rPr>
                <w:rFonts w:ascii="Times New Roman" w:cs="Times New Roman" w:eastAsia="Times New Roman" w:hAnsi="Times New Roman"/>
                <w:sz w:val="19"/>
                <w:szCs w:val="19"/>
                <w:b w:val="1"/>
                <w:bCs w:val="1"/>
                <w:color w:val="auto"/>
                <w:vertAlign w:val="superscript"/>
              </w:rPr>
              <w:t>(1)</w:t>
            </w:r>
          </w:p>
        </w:tc>
      </w:tr>
      <w:tr>
        <w:trPr>
          <w:trHeight w:val="172"/>
        </w:trPr>
        <w:tc>
          <w:tcPr>
            <w:tcW w:w="208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2025</w:t>
            </w:r>
          </w:p>
        </w:tc>
        <w:tc>
          <w:tcPr>
            <w:tcW w:w="29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160,633</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70,544</w:t>
            </w:r>
          </w:p>
        </w:tc>
      </w:tr>
      <w:tr>
        <w:trPr>
          <w:trHeight w:val="180"/>
        </w:trPr>
        <w:tc>
          <w:tcPr>
            <w:tcW w:w="20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2026</w:t>
            </w:r>
          </w:p>
        </w:tc>
        <w:tc>
          <w:tcPr>
            <w:tcW w:w="2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160,465</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19,426</w:t>
            </w:r>
          </w:p>
        </w:tc>
      </w:tr>
      <w:tr>
        <w:trPr>
          <w:trHeight w:val="180"/>
        </w:trPr>
        <w:tc>
          <w:tcPr>
            <w:tcW w:w="20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2027</w:t>
            </w:r>
          </w:p>
        </w:tc>
        <w:tc>
          <w:tcPr>
            <w:tcW w:w="2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159,090</w:t>
            </w: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19,918</w:t>
            </w:r>
          </w:p>
        </w:tc>
      </w:tr>
      <w:tr>
        <w:trPr>
          <w:trHeight w:val="180"/>
        </w:trPr>
        <w:tc>
          <w:tcPr>
            <w:tcW w:w="20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2028</w:t>
            </w:r>
          </w:p>
        </w:tc>
        <w:tc>
          <w:tcPr>
            <w:tcW w:w="2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149,794</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85,034</w:t>
            </w:r>
          </w:p>
        </w:tc>
      </w:tr>
      <w:tr>
        <w:trPr>
          <w:trHeight w:val="180"/>
        </w:trPr>
        <w:tc>
          <w:tcPr>
            <w:tcW w:w="20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2029</w:t>
            </w:r>
          </w:p>
        </w:tc>
        <w:tc>
          <w:tcPr>
            <w:tcW w:w="2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149,929</w:t>
            </w: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12,511</w:t>
            </w:r>
          </w:p>
        </w:tc>
      </w:tr>
      <w:tr>
        <w:trPr>
          <w:trHeight w:val="180"/>
        </w:trPr>
        <w:tc>
          <w:tcPr>
            <w:tcW w:w="5060" w:type="dxa"/>
            <w:vAlign w:val="bottom"/>
            <w:tcBorders>
              <w:bottom w:val="single" w:sz="8" w:color="CCEEFF"/>
            </w:tcBorders>
            <w:gridSpan w:val="2"/>
          </w:tcPr>
          <w:p>
            <w:pPr>
              <w:spacing w:after="0" w:line="180" w:lineRule="exact"/>
              <w:rPr>
                <w:sz w:val="20"/>
                <w:szCs w:val="20"/>
                <w:color w:val="auto"/>
              </w:rPr>
            </w:pPr>
            <w:r>
              <w:rPr>
                <w:rFonts w:ascii="Times New Roman" w:cs="Times New Roman" w:eastAsia="Times New Roman" w:hAnsi="Times New Roman"/>
                <w:sz w:val="16"/>
                <w:szCs w:val="16"/>
                <w:color w:val="auto"/>
              </w:rPr>
              <w:t>Thereafter</w:t>
            </w: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806,445</w:t>
            </w:r>
          </w:p>
        </w:tc>
        <w:tc>
          <w:tcPr>
            <w:tcW w:w="2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181,866</w:t>
            </w:r>
          </w:p>
        </w:tc>
      </w:tr>
      <w:tr>
        <w:trPr>
          <w:trHeight w:val="172"/>
        </w:trPr>
        <w:tc>
          <w:tcPr>
            <w:tcW w:w="5060" w:type="dxa"/>
            <w:vAlign w:val="bottom"/>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Total undiscounted future cash flows</w:t>
            </w:r>
          </w:p>
        </w:tc>
        <w:tc>
          <w:tcPr>
            <w:tcW w:w="24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1,586,356</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389,299</w:t>
            </w:r>
          </w:p>
        </w:tc>
      </w:tr>
      <w:tr>
        <w:trPr>
          <w:trHeight w:val="180"/>
        </w:trPr>
        <w:tc>
          <w:tcPr>
            <w:tcW w:w="5060" w:type="dxa"/>
            <w:vAlign w:val="bottom"/>
            <w:tcBorders>
              <w:bottom w:val="single" w:sz="8" w:color="CCEEFF"/>
            </w:tcBorders>
            <w:gridSpan w:val="2"/>
          </w:tcPr>
          <w:p>
            <w:pPr>
              <w:spacing w:after="0" w:line="180" w:lineRule="exact"/>
              <w:rPr>
                <w:sz w:val="20"/>
                <w:szCs w:val="20"/>
                <w:color w:val="auto"/>
              </w:rPr>
            </w:pPr>
            <w:r>
              <w:rPr>
                <w:rFonts w:ascii="Times New Roman" w:cs="Times New Roman" w:eastAsia="Times New Roman" w:hAnsi="Times New Roman"/>
                <w:sz w:val="16"/>
                <w:szCs w:val="16"/>
                <w:color w:val="auto"/>
              </w:rPr>
              <w:t>Less: Imputed interest</w:t>
            </w: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(292,137)</w:t>
            </w:r>
          </w:p>
        </w:tc>
        <w:tc>
          <w:tcPr>
            <w:tcW w:w="2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(70,016)</w:t>
            </w:r>
          </w:p>
        </w:tc>
      </w:tr>
      <w:tr>
        <w:trPr>
          <w:trHeight w:val="172"/>
        </w:trPr>
        <w:tc>
          <w:tcPr>
            <w:tcW w:w="5060" w:type="dxa"/>
            <w:vAlign w:val="bottom"/>
            <w:tcBorders>
              <w:bottom w:val="single" w:sz="8" w:color="CCEEFF"/>
            </w:tcBorders>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Present value of undiscounted future cash flows</w:t>
            </w:r>
          </w:p>
        </w:tc>
        <w:tc>
          <w:tcPr>
            <w:tcW w:w="24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1,294,219</w:t>
            </w:r>
          </w:p>
        </w:tc>
        <w:tc>
          <w:tcPr>
            <w:tcW w:w="2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319,283</w:t>
            </w:r>
          </w:p>
        </w:tc>
      </w:tr>
      <w:tr>
        <w:trPr>
          <w:trHeight w:val="20"/>
        </w:trPr>
        <w:tc>
          <w:tcPr>
            <w:tcW w:w="20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72"/>
        </w:trPr>
        <w:tc>
          <w:tcPr>
            <w:tcW w:w="2080" w:type="dxa"/>
            <w:vAlign w:val="bottom"/>
            <w:tcBorders>
              <w:bottom w:val="single" w:sz="8" w:color="auto"/>
            </w:tcBorders>
          </w:tcPr>
          <w:p>
            <w:pPr>
              <w:spacing w:after="0"/>
              <w:rPr>
                <w:sz w:val="6"/>
                <w:szCs w:val="6"/>
                <w:color w:val="auto"/>
              </w:rPr>
            </w:pPr>
          </w:p>
        </w:tc>
        <w:tc>
          <w:tcPr>
            <w:tcW w:w="2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60" w:type="dxa"/>
            <w:vAlign w:val="bottom"/>
          </w:tcPr>
          <w:p>
            <w:pPr>
              <w:spacing w:after="0"/>
              <w:rPr>
                <w:sz w:val="6"/>
                <w:szCs w:val="6"/>
                <w:color w:val="auto"/>
              </w:rPr>
            </w:pPr>
          </w:p>
        </w:tc>
      </w:tr>
    </w:tbl>
    <w:p>
      <w:pPr>
        <w:spacing w:after="0" w:line="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(1) Included in accounts payable and other accrued liabilities on the consolidated balance sheet.</w:t>
      </w:r>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5. Receivables</w:t>
      </w:r>
    </w:p>
    <w:p>
      <w:pPr>
        <w:spacing w:after="0" w:line="178" w:lineRule="exact"/>
        <w:rPr>
          <w:sz w:val="20"/>
          <w:szCs w:val="20"/>
          <w:color w:val="auto"/>
        </w:rPr>
      </w:pPr>
    </w:p>
    <w:p>
      <w:pPr>
        <w:ind w:left="320" w:right="680"/>
        <w:spacing w:after="0" w:line="259" w:lineRule="auto"/>
        <w:rPr>
          <w:sz w:val="20"/>
          <w:szCs w:val="20"/>
          <w:color w:val="auto"/>
        </w:rPr>
      </w:pPr>
      <w:r>
        <w:rPr>
          <w:rFonts w:ascii="Times New Roman" w:cs="Times New Roman" w:eastAsia="Times New Roman" w:hAnsi="Times New Roman"/>
          <w:sz w:val="16"/>
          <w:szCs w:val="16"/>
          <w:color w:val="auto"/>
        </w:rPr>
        <w:t>Refer to Note 2 “Summary of Significant Accounting Policies—Revenue Recognition” for discussion of our accounting policies related to accounts receivable, deferred rent and related allowances.</w:t>
      </w:r>
    </w:p>
    <w:p>
      <w:pPr>
        <w:spacing w:after="0" w:line="1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Accounts and Other Receivables, Net</w:t>
      </w:r>
    </w:p>
    <w:p>
      <w:pPr>
        <w:spacing w:after="0" w:line="178" w:lineRule="exact"/>
        <w:rPr>
          <w:sz w:val="20"/>
          <w:szCs w:val="20"/>
          <w:color w:val="auto"/>
        </w:rPr>
      </w:pPr>
    </w:p>
    <w:p>
      <w:pPr>
        <w:ind w:left="320" w:right="400"/>
        <w:spacing w:after="0" w:line="243" w:lineRule="auto"/>
        <w:rPr>
          <w:sz w:val="20"/>
          <w:szCs w:val="20"/>
          <w:color w:val="auto"/>
        </w:rPr>
      </w:pPr>
      <w:r>
        <w:rPr>
          <w:rFonts w:ascii="Times New Roman" w:cs="Times New Roman" w:eastAsia="Times New Roman" w:hAnsi="Times New Roman"/>
          <w:sz w:val="16"/>
          <w:szCs w:val="16"/>
          <w:color w:val="auto"/>
        </w:rPr>
        <w:t>Accounts and other receivables, net is primarily comprised of contractual rents and other lease-related obligations currently due from customers. These amounts (net of an allowance for estimated uncollectible amounts) are shown in the subsequent table as Accounts receivable – trade, net. Other receivables shown separately from Accounts receivable – trade, net consist primarily of amounts that have not yet been billed to customers, such as for utility reimbursements and installation fees.</w:t>
      </w:r>
    </w:p>
    <w:p>
      <w:pPr>
        <w:spacing w:after="0" w:line="178" w:lineRule="exact"/>
        <w:rPr>
          <w:sz w:val="20"/>
          <w:szCs w:val="20"/>
          <w:color w:val="auto"/>
        </w:rPr>
      </w:pPr>
    </w:p>
    <w:tbl>
      <w:tblPr>
        <w:tblLayout w:type="fixed"/>
        <w:tblInd w:w="320" w:type="dxa"/>
        <w:tblCellMar>
          <w:top w:w="0" w:type="dxa"/>
          <w:left w:w="0" w:type="dxa"/>
          <w:bottom w:w="0" w:type="dxa"/>
          <w:right w:w="0" w:type="dxa"/>
        </w:tblCellMar>
      </w:tblPr>
      <w:tr>
        <w:trPr>
          <w:trHeight w:val="168"/>
        </w:trPr>
        <w:tc>
          <w:tcPr>
            <w:tcW w:w="4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Balance as of</w:t>
            </w:r>
          </w:p>
        </w:tc>
      </w:tr>
      <w:tr>
        <w:trPr>
          <w:trHeight w:val="182"/>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1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60"/>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Accounts receivable – trade</w:t>
            </w: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629,250</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694,252</w:t>
            </w:r>
          </w:p>
        </w:tc>
      </w:tr>
      <w:tr>
        <w:trPr>
          <w:trHeight w:val="168"/>
        </w:trPr>
        <w:tc>
          <w:tcPr>
            <w:tcW w:w="4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Allowance for doubtful accounts</w:t>
            </w:r>
          </w:p>
        </w:tc>
        <w:tc>
          <w:tcPr>
            <w:tcW w:w="1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(59,224)</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(41,204)</w:t>
            </w:r>
          </w:p>
        </w:tc>
      </w:tr>
      <w:tr>
        <w:trPr>
          <w:trHeight w:val="160"/>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Accounts receivable – trade, net</w:t>
            </w: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570,026</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653,048</w:t>
            </w:r>
          </w:p>
        </w:tc>
      </w:tr>
      <w:tr>
        <w:trPr>
          <w:trHeight w:val="168"/>
        </w:trPr>
        <w:tc>
          <w:tcPr>
            <w:tcW w:w="4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8"/>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Accounts receivable – customer recoveries</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178,827</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233,499</w:t>
            </w:r>
          </w:p>
        </w:tc>
      </w:tr>
      <w:tr>
        <w:trPr>
          <w:trHeight w:val="168"/>
        </w:trPr>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Value-added tax receivables</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160,369</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257,911</w:t>
            </w:r>
          </w:p>
        </w:tc>
      </w:tr>
      <w:tr>
        <w:trPr>
          <w:trHeight w:val="168"/>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Accounts receivable – installation fees</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157,409</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65,203</w:t>
            </w:r>
          </w:p>
        </w:tc>
      </w:tr>
      <w:tr>
        <w:trPr>
          <w:trHeight w:val="168"/>
        </w:trPr>
        <w:tc>
          <w:tcPr>
            <w:tcW w:w="4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Other receivables</w:t>
            </w:r>
          </w:p>
        </w:tc>
        <w:tc>
          <w:tcPr>
            <w:tcW w:w="1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190,833</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68,449</w:t>
            </w:r>
          </w:p>
        </w:tc>
      </w:tr>
      <w:tr>
        <w:trPr>
          <w:trHeight w:val="160"/>
        </w:trPr>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Accounts and other receivables, net</w:t>
            </w:r>
          </w:p>
        </w:tc>
        <w:tc>
          <w:tcPr>
            <w:tcW w:w="1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1,257,464</w:t>
            </w:r>
          </w:p>
        </w:tc>
        <w:tc>
          <w:tcPr>
            <w:tcW w:w="1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1,278,110</w:t>
            </w:r>
          </w:p>
        </w:tc>
      </w:tr>
      <w:tr>
        <w:trPr>
          <w:trHeight w:val="20"/>
        </w:trPr>
        <w:tc>
          <w:tcPr>
            <w:tcW w:w="4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25" w:name="page126"/>
    <w:bookmarkEnd w:id="125"/>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 and 2023</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Deferred Rent, Net</w:t>
      </w:r>
    </w:p>
    <w:p>
      <w:pPr>
        <w:spacing w:after="0" w:line="178" w:lineRule="exact"/>
        <w:rPr>
          <w:sz w:val="20"/>
          <w:szCs w:val="20"/>
          <w:color w:val="auto"/>
        </w:rPr>
      </w:pPr>
    </w:p>
    <w:p>
      <w:pPr>
        <w:ind w:left="320" w:right="620"/>
        <w:spacing w:after="0" w:line="241" w:lineRule="auto"/>
        <w:rPr>
          <w:sz w:val="20"/>
          <w:szCs w:val="20"/>
          <w:color w:val="auto"/>
        </w:rPr>
      </w:pPr>
      <w:r>
        <w:rPr>
          <w:rFonts w:ascii="Times New Roman" w:cs="Times New Roman" w:eastAsia="Times New Roman" w:hAnsi="Times New Roman"/>
          <w:sz w:val="16"/>
          <w:szCs w:val="16"/>
          <w:color w:val="auto"/>
        </w:rPr>
        <w:t>Deferred rent, net represents rental income that has been recognized as revenue under ASC 842, but which is not yet due from customers under their existing rental agreements. The Company recognizes an allowance against deferred rent receivables to the extent it becomes no longer probable that a customer or group of customers will be able to make substantially all of their required cash rental payments over the entirety of their respective lease terms. As of December 31, 2024, allowance for deferred rent receivables increased primarily due to a customer bankruptcy.</w:t>
      </w:r>
    </w:p>
    <w:p>
      <w:pPr>
        <w:spacing w:after="0" w:line="167" w:lineRule="exact"/>
        <w:rPr>
          <w:sz w:val="20"/>
          <w:szCs w:val="20"/>
          <w:color w:val="auto"/>
        </w:rPr>
      </w:pPr>
    </w:p>
    <w:tbl>
      <w:tblPr>
        <w:tblLayout w:type="fixed"/>
        <w:tblInd w:w="320" w:type="dxa"/>
        <w:tblCellMar>
          <w:top w:w="0" w:type="dxa"/>
          <w:left w:w="0" w:type="dxa"/>
          <w:bottom w:w="0" w:type="dxa"/>
          <w:right w:w="0" w:type="dxa"/>
        </w:tblCellMar>
      </w:tblPr>
      <w:tr>
        <w:trPr>
          <w:trHeight w:val="168"/>
        </w:trPr>
        <w:tc>
          <w:tcPr>
            <w:tcW w:w="4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Balance as of</w:t>
            </w:r>
          </w:p>
        </w:tc>
      </w:tr>
      <w:tr>
        <w:trPr>
          <w:trHeight w:val="182"/>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1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60"/>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rent receivables</w:t>
            </w: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644,566</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657,009</w:t>
            </w:r>
          </w:p>
        </w:tc>
      </w:tr>
      <w:tr>
        <w:trPr>
          <w:trHeight w:val="168"/>
        </w:trPr>
        <w:tc>
          <w:tcPr>
            <w:tcW w:w="4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Allowance for deferred rent receivables</w:t>
            </w:r>
          </w:p>
        </w:tc>
        <w:tc>
          <w:tcPr>
            <w:tcW w:w="1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(2,110)</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(32,582)</w:t>
            </w:r>
          </w:p>
        </w:tc>
      </w:tr>
      <w:tr>
        <w:trPr>
          <w:trHeight w:val="160"/>
        </w:trPr>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rent, net</w:t>
            </w:r>
          </w:p>
        </w:tc>
        <w:tc>
          <w:tcPr>
            <w:tcW w:w="1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642,456</w:t>
            </w:r>
          </w:p>
        </w:tc>
        <w:tc>
          <w:tcPr>
            <w:tcW w:w="1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624,427</w:t>
            </w:r>
          </w:p>
        </w:tc>
      </w:tr>
      <w:tr>
        <w:trPr>
          <w:trHeight w:val="20"/>
        </w:trPr>
        <w:tc>
          <w:tcPr>
            <w:tcW w:w="4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6. Investments in Properties</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A summary of our investments in properties is below (in thousands):</w:t>
      </w:r>
    </w:p>
    <w:p>
      <w:pPr>
        <w:spacing w:after="0" w:line="188" w:lineRule="exact"/>
        <w:rPr>
          <w:sz w:val="20"/>
          <w:szCs w:val="20"/>
          <w:color w:val="auto"/>
        </w:rPr>
      </w:pPr>
    </w:p>
    <w:tbl>
      <w:tblPr>
        <w:tblLayout w:type="fixed"/>
        <w:tblInd w:w="320" w:type="dxa"/>
        <w:tblCellMar>
          <w:top w:w="0" w:type="dxa"/>
          <w:left w:w="0" w:type="dxa"/>
          <w:bottom w:w="0" w:type="dxa"/>
          <w:right w:w="0" w:type="dxa"/>
        </w:tblCellMar>
      </w:tblPr>
      <w:tr>
        <w:trPr>
          <w:trHeight w:val="170"/>
        </w:trPr>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Property Type</w:t>
            </w: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3"/>
                <w:szCs w:val="13"/>
                <w:b w:val="1"/>
                <w:bCs w:val="1"/>
                <w:color w:val="auto"/>
              </w:rPr>
              <w:t>As of December 31, 2024</w:t>
            </w:r>
          </w:p>
        </w:tc>
        <w:tc>
          <w:tcPr>
            <w:tcW w:w="5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3"/>
                <w:szCs w:val="13"/>
                <w:b w:val="1"/>
                <w:bCs w:val="1"/>
                <w:color w:val="auto"/>
              </w:rPr>
              <w:t>As of December 31, 2023</w:t>
            </w:r>
          </w:p>
        </w:tc>
      </w:tr>
      <w:tr>
        <w:trPr>
          <w:trHeight w:val="172"/>
        </w:trPr>
        <w:tc>
          <w:tcPr>
            <w:tcW w:w="41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Land</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1,108,251</w:t>
            </w: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1,087,278</w:t>
            </w:r>
          </w:p>
        </w:tc>
      </w:tr>
      <w:tr>
        <w:trPr>
          <w:trHeight w:val="180"/>
        </w:trPr>
        <w:tc>
          <w:tcPr>
            <w:tcW w:w="41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Acquired ground lease</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86</w:t>
            </w: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91</w:t>
            </w:r>
          </w:p>
        </w:tc>
      </w:tr>
      <w:tr>
        <w:trPr>
          <w:trHeight w:val="180"/>
        </w:trPr>
        <w:tc>
          <w:tcPr>
            <w:tcW w:w="41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Buildings and improvements</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25,567,155</w:t>
            </w: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25,388,788</w:t>
            </w:r>
          </w:p>
        </w:tc>
      </w:tr>
      <w:tr>
        <w:trPr>
          <w:trHeight w:val="180"/>
        </w:trPr>
        <w:tc>
          <w:tcPr>
            <w:tcW w:w="412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Tenant improvements</w:t>
            </w:r>
          </w:p>
        </w:tc>
        <w:tc>
          <w:tcPr>
            <w:tcW w:w="2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883,502</w:t>
            </w:r>
          </w:p>
        </w:tc>
        <w:tc>
          <w:tcPr>
            <w:tcW w:w="5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830,211</w:t>
            </w:r>
          </w:p>
        </w:tc>
      </w:tr>
      <w:tr>
        <w:trPr>
          <w:trHeight w:val="172"/>
        </w:trPr>
        <w:tc>
          <w:tcPr>
            <w:tcW w:w="4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27,558,994</w:t>
            </w: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27,306,368</w:t>
            </w:r>
          </w:p>
        </w:tc>
      </w:tr>
      <w:tr>
        <w:trPr>
          <w:trHeight w:val="180"/>
        </w:trPr>
        <w:tc>
          <w:tcPr>
            <w:tcW w:w="412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Accumulated depreciation and amortization</w:t>
            </w:r>
          </w:p>
        </w:tc>
        <w:tc>
          <w:tcPr>
            <w:tcW w:w="2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(8,641,331)</w:t>
            </w:r>
          </w:p>
        </w:tc>
        <w:tc>
          <w:tcPr>
            <w:tcW w:w="5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(7,823,685)</w:t>
            </w:r>
          </w:p>
        </w:tc>
      </w:tr>
      <w:tr>
        <w:trPr>
          <w:trHeight w:val="172"/>
        </w:trPr>
        <w:tc>
          <w:tcPr>
            <w:tcW w:w="4120" w:type="dxa"/>
            <w:vAlign w:val="bottom"/>
            <w:shd w:val="clear" w:color="auto" w:fill="CCEEFF"/>
          </w:tcPr>
          <w:p>
            <w:pPr>
              <w:ind w:left="200"/>
              <w:spacing w:after="0" w:line="172" w:lineRule="exact"/>
              <w:rPr>
                <w:sz w:val="20"/>
                <w:szCs w:val="20"/>
                <w:color w:val="auto"/>
              </w:rPr>
            </w:pPr>
            <w:r>
              <w:rPr>
                <w:rFonts w:ascii="Times New Roman" w:cs="Times New Roman" w:eastAsia="Times New Roman" w:hAnsi="Times New Roman"/>
                <w:sz w:val="16"/>
                <w:szCs w:val="16"/>
                <w:color w:val="auto"/>
              </w:rPr>
              <w:t>Investments in operating properties, net</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18,917,663</w:t>
            </w: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19,482,683</w:t>
            </w:r>
          </w:p>
        </w:tc>
      </w:tr>
      <w:tr>
        <w:trPr>
          <w:trHeight w:val="180"/>
        </w:trPr>
        <w:tc>
          <w:tcPr>
            <w:tcW w:w="41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Construction in progress and space held for development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5,164,334</w:t>
            </w: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4,635,215</w:t>
            </w:r>
          </w:p>
        </w:tc>
      </w:tr>
      <w:tr>
        <w:trPr>
          <w:trHeight w:val="180"/>
        </w:trPr>
        <w:tc>
          <w:tcPr>
            <w:tcW w:w="41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Land held for future development</w:t>
            </w:r>
          </w:p>
        </w:tc>
        <w:tc>
          <w:tcPr>
            <w:tcW w:w="2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38,785</w:t>
            </w:r>
          </w:p>
        </w:tc>
        <w:tc>
          <w:tcPr>
            <w:tcW w:w="5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118,190</w:t>
            </w:r>
          </w:p>
        </w:tc>
      </w:tr>
      <w:tr>
        <w:trPr>
          <w:trHeight w:val="172"/>
        </w:trPr>
        <w:tc>
          <w:tcPr>
            <w:tcW w:w="4120" w:type="dxa"/>
            <w:vAlign w:val="bottom"/>
          </w:tcPr>
          <w:p>
            <w:pPr>
              <w:ind w:left="200"/>
              <w:spacing w:after="0" w:line="172" w:lineRule="exact"/>
              <w:rPr>
                <w:sz w:val="20"/>
                <w:szCs w:val="20"/>
                <w:color w:val="auto"/>
              </w:rPr>
            </w:pPr>
            <w:r>
              <w:rPr>
                <w:rFonts w:ascii="Times New Roman" w:cs="Times New Roman" w:eastAsia="Times New Roman" w:hAnsi="Times New Roman"/>
                <w:sz w:val="16"/>
                <w:szCs w:val="16"/>
                <w:color w:val="auto"/>
              </w:rPr>
              <w:t>Investments in properties, net</w:t>
            </w:r>
          </w:p>
        </w:tc>
        <w:tc>
          <w:tcPr>
            <w:tcW w:w="2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24,120,782</w:t>
            </w:r>
          </w:p>
        </w:tc>
        <w:tc>
          <w:tcPr>
            <w:tcW w:w="520" w:type="dxa"/>
            <w:vAlign w:val="bottom"/>
          </w:tcPr>
          <w:p>
            <w:pPr>
              <w:spacing w:after="0"/>
              <w:rPr>
                <w:sz w:val="14"/>
                <w:szCs w:val="14"/>
                <w:color w:val="auto"/>
              </w:rPr>
            </w:pPr>
          </w:p>
        </w:tc>
        <w:tc>
          <w:tcPr>
            <w:tcW w:w="14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24,236,088</w:t>
            </w:r>
          </w:p>
        </w:tc>
      </w:tr>
      <w:tr>
        <w:trPr>
          <w:trHeight w:val="20"/>
        </w:trPr>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320" w:right="340"/>
        <w:spacing w:after="0" w:line="241" w:lineRule="auto"/>
        <w:rPr>
          <w:sz w:val="20"/>
          <w:szCs w:val="20"/>
          <w:color w:val="auto"/>
        </w:rPr>
      </w:pPr>
      <w:r>
        <w:rPr>
          <w:rFonts w:ascii="Times New Roman" w:cs="Times New Roman" w:eastAsia="Times New Roman" w:hAnsi="Times New Roman"/>
          <w:sz w:val="16"/>
          <w:szCs w:val="16"/>
          <w:color w:val="auto"/>
        </w:rPr>
        <w:t>During 2024 we determined that certain non-core properties in secondary U.S. markets had carrying amounts that may not be fully recoverable as we determined that we no longer intend to hold these properties long -term. Accordingly, the recorded amounts were reduced to reflect management’s estimate of fair value based principally on sales of similar properties and ongoing negotiations with third parties. During the year ended December 31, 2024, we recorded a provision for impairment on real estate investments of $191.2 million.</w:t>
      </w:r>
    </w:p>
    <w:p>
      <w:pPr>
        <w:spacing w:after="0" w:line="1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7. Acquisitions and Dispositions of Properties</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Acquisitions of Properties</w:t>
      </w:r>
    </w:p>
    <w:p>
      <w:pPr>
        <w:spacing w:after="0" w:line="178" w:lineRule="exact"/>
        <w:rPr>
          <w:sz w:val="20"/>
          <w:szCs w:val="20"/>
          <w:color w:val="auto"/>
        </w:rPr>
      </w:pPr>
    </w:p>
    <w:p>
      <w:pPr>
        <w:ind w:left="320" w:right="360"/>
        <w:spacing w:after="0" w:line="259" w:lineRule="auto"/>
        <w:rPr>
          <w:sz w:val="20"/>
          <w:szCs w:val="20"/>
          <w:color w:val="auto"/>
        </w:rPr>
      </w:pPr>
      <w:r>
        <w:rPr>
          <w:rFonts w:ascii="Times New Roman" w:cs="Times New Roman" w:eastAsia="Times New Roman" w:hAnsi="Times New Roman"/>
          <w:sz w:val="16"/>
          <w:szCs w:val="16"/>
          <w:color w:val="auto"/>
        </w:rPr>
        <w:t>For the years ended December 31, 2024, 2023 and 2022, acquisitions of properties that did not qualify as business combinations were immaterial to our financial statements – both individually and in the aggregate.</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In January 2024, we acquired a 16-acre site in Paris for $80 million. Prior to the acquisition, we leased the land, which consisted</w:t>
      </w:r>
    </w:p>
    <w:p>
      <w:pPr>
        <w:spacing w:after="0" w:line="14" w:lineRule="exact"/>
        <w:rPr>
          <w:sz w:val="20"/>
          <w:szCs w:val="20"/>
          <w:color w:val="auto"/>
        </w:rPr>
      </w:pPr>
    </w:p>
    <w:p>
      <w:pPr>
        <w:ind w:left="320" w:right="400"/>
        <w:spacing w:after="0" w:line="238" w:lineRule="auto"/>
        <w:rPr>
          <w:sz w:val="20"/>
          <w:szCs w:val="20"/>
          <w:color w:val="auto"/>
        </w:rPr>
      </w:pPr>
      <w:r>
        <w:rPr>
          <w:rFonts w:ascii="Times New Roman" w:cs="Times New Roman" w:eastAsia="Times New Roman" w:hAnsi="Times New Roman"/>
          <w:sz w:val="16"/>
          <w:szCs w:val="16"/>
          <w:color w:val="auto"/>
        </w:rPr>
        <w:t>of two completed data centers and two data centers under construction. As a result of the land acquisition, we derecognized the right-of-use assets and lease liabilities of $145 million and $150 million, respectively.</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26" w:name="page127"/>
    <w:bookmarkEnd w:id="126"/>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 and 2023</w:t>
      </w:r>
    </w:p>
    <w:p>
      <w:pPr>
        <w:spacing w:after="0" w:line="382" w:lineRule="exact"/>
        <w:rPr>
          <w:sz w:val="20"/>
          <w:szCs w:val="20"/>
          <w:color w:val="auto"/>
        </w:rPr>
      </w:pPr>
    </w:p>
    <w:p>
      <w:pPr>
        <w:ind w:left="320" w:right="680"/>
        <w:spacing w:after="0" w:line="259" w:lineRule="auto"/>
        <w:rPr>
          <w:sz w:val="20"/>
          <w:szCs w:val="20"/>
          <w:color w:val="auto"/>
        </w:rPr>
      </w:pPr>
      <w:r>
        <w:rPr>
          <w:rFonts w:ascii="Times New Roman" w:cs="Times New Roman" w:eastAsia="Times New Roman" w:hAnsi="Times New Roman"/>
          <w:sz w:val="16"/>
          <w:szCs w:val="16"/>
          <w:color w:val="auto"/>
        </w:rPr>
        <w:t>In July 2024, the Company acquired two data centers located in the Slough Trading Estate for $200 million. The newly acquired campus features two individual data centers with a combined capacity of 15 megawatts (MW).</w:t>
      </w:r>
    </w:p>
    <w:p>
      <w:pPr>
        <w:spacing w:after="0" w:line="1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Disposition of Other Properties</w:t>
      </w:r>
    </w:p>
    <w:p>
      <w:pPr>
        <w:spacing w:after="0" w:line="190" w:lineRule="exact"/>
        <w:rPr>
          <w:sz w:val="20"/>
          <w:szCs w:val="20"/>
          <w:color w:val="auto"/>
        </w:rPr>
      </w:pPr>
    </w:p>
    <w:p>
      <w:pPr>
        <w:ind w:left="320" w:right="660"/>
        <w:spacing w:after="0" w:line="259" w:lineRule="auto"/>
        <w:rPr>
          <w:sz w:val="20"/>
          <w:szCs w:val="20"/>
          <w:color w:val="auto"/>
        </w:rPr>
      </w:pPr>
      <w:r>
        <w:rPr>
          <w:rFonts w:ascii="Times New Roman" w:cs="Times New Roman" w:eastAsia="Times New Roman" w:hAnsi="Times New Roman"/>
          <w:sz w:val="16"/>
          <w:szCs w:val="16"/>
          <w:color w:val="auto"/>
        </w:rPr>
        <w:t>The Company sold or contributed the following other real estate properties during the years ended December 31, 2024, 2023 and 2022:</w:t>
      </w:r>
    </w:p>
    <w:p>
      <w:pPr>
        <w:spacing w:after="0" w:line="166" w:lineRule="exact"/>
        <w:rPr>
          <w:sz w:val="20"/>
          <w:szCs w:val="20"/>
          <w:color w:val="auto"/>
        </w:rPr>
      </w:pPr>
    </w:p>
    <w:tbl>
      <w:tblPr>
        <w:tblLayout w:type="fixed"/>
        <w:tblInd w:w="320" w:type="dxa"/>
        <w:tblCellMar>
          <w:top w:w="0" w:type="dxa"/>
          <w:left w:w="0" w:type="dxa"/>
          <w:bottom w:w="0" w:type="dxa"/>
          <w:right w:w="0" w:type="dxa"/>
        </w:tblCellMar>
      </w:tblPr>
      <w:tr>
        <w:trPr>
          <w:trHeight w:val="168"/>
        </w:trPr>
        <w:tc>
          <w:tcPr>
            <w:tcW w:w="2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Gross Proceeds / Fair</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Gain on Sale /</w:t>
            </w:r>
          </w:p>
        </w:tc>
      </w:tr>
      <w:tr>
        <w:trPr>
          <w:trHeight w:val="168"/>
        </w:trPr>
        <w:tc>
          <w:tcPr>
            <w:tcW w:w="2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Sold /</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contribution</w:t>
            </w:r>
          </w:p>
        </w:tc>
      </w:tr>
      <w:tr>
        <w:trPr>
          <w:trHeight w:val="182"/>
        </w:trPr>
        <w:tc>
          <w:tcPr>
            <w:tcW w:w="26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b w:val="1"/>
                <w:bCs w:val="1"/>
                <w:color w:val="auto"/>
              </w:rPr>
              <w:t>Property Type</w:t>
            </w:r>
          </w:p>
        </w:tc>
        <w:tc>
          <w:tcPr>
            <w:tcW w:w="4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Metro Area</w:t>
            </w:r>
          </w:p>
        </w:tc>
        <w:tc>
          <w:tcPr>
            <w:tcW w:w="4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contributed</w:t>
            </w:r>
          </w:p>
        </w:tc>
        <w:tc>
          <w:tcPr>
            <w:tcW w:w="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172"/>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Joint venture contributions</w:t>
            </w:r>
          </w:p>
        </w:tc>
        <w:tc>
          <w:tcPr>
            <w:tcW w:w="40" w:type="dxa"/>
            <w:vAlign w:val="bottom"/>
            <w:shd w:val="clear" w:color="auto" w:fill="CCEEFF"/>
          </w:tcPr>
          <w:p>
            <w:pPr>
              <w:spacing w:after="0"/>
              <w:rPr>
                <w:sz w:val="14"/>
                <w:szCs w:val="14"/>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Various</w:t>
            </w:r>
          </w:p>
        </w:tc>
        <w:tc>
          <w:tcPr>
            <w:tcW w:w="40" w:type="dxa"/>
            <w:vAlign w:val="bottom"/>
            <w:shd w:val="clear" w:color="auto" w:fill="CCEEFF"/>
          </w:tcPr>
          <w:p>
            <w:pPr>
              <w:spacing w:after="0"/>
              <w:rPr>
                <w:sz w:val="14"/>
                <w:szCs w:val="14"/>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1,246.4</w:t>
            </w:r>
          </w:p>
        </w:tc>
        <w:tc>
          <w:tcPr>
            <w:tcW w:w="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w w:val="93"/>
              </w:rPr>
              <w:t>(1)</w:t>
            </w:r>
          </w:p>
        </w:tc>
        <w:tc>
          <w:tcPr>
            <w:tcW w:w="200" w:type="dxa"/>
            <w:vAlign w:val="bottom"/>
            <w:shd w:val="clear" w:color="auto" w:fill="CCEEFF"/>
          </w:tcPr>
          <w:p>
            <w:pPr>
              <w:jc w:val="right"/>
              <w:ind w:right="22"/>
              <w:spacing w:after="0" w:line="172" w:lineRule="exact"/>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304.1</w:t>
            </w:r>
          </w:p>
        </w:tc>
      </w:tr>
      <w:tr>
        <w:trPr>
          <w:trHeight w:val="180"/>
        </w:trPr>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Brookfield transaction</w:t>
            </w:r>
          </w:p>
        </w:tc>
        <w:tc>
          <w:tcPr>
            <w:tcW w:w="4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Various</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271.0</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191.6</w:t>
            </w:r>
          </w:p>
        </w:tc>
      </w:tr>
      <w:tr>
        <w:trPr>
          <w:trHeight w:val="180"/>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Non-core assets</w:t>
            </w:r>
          </w:p>
        </w:tc>
        <w:tc>
          <w:tcPr>
            <w:tcW w:w="40" w:type="dxa"/>
            <w:vAlign w:val="bottom"/>
            <w:shd w:val="clear" w:color="auto" w:fill="CCEEFF"/>
          </w:tcPr>
          <w:p>
            <w:pPr>
              <w:spacing w:after="0"/>
              <w:rPr>
                <w:sz w:val="15"/>
                <w:szCs w:val="15"/>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Various</w:t>
            </w:r>
          </w:p>
        </w:tc>
        <w:tc>
          <w:tcPr>
            <w:tcW w:w="11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158.7</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80"/>
        </w:trPr>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Sale of noncontrolling interest in property</w:t>
            </w:r>
          </w:p>
        </w:tc>
        <w:tc>
          <w:tcPr>
            <w:tcW w:w="4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Frankfurt</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497.5</w:t>
            </w:r>
          </w:p>
        </w:tc>
        <w:tc>
          <w:tcPr>
            <w:tcW w:w="16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w w:val="93"/>
              </w:rPr>
              <w:t>(2)</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w:t>
            </w:r>
          </w:p>
        </w:tc>
      </w:tr>
      <w:tr>
        <w:trPr>
          <w:trHeight w:val="180"/>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Joint venture contributions</w:t>
            </w:r>
          </w:p>
        </w:tc>
        <w:tc>
          <w:tcPr>
            <w:tcW w:w="40" w:type="dxa"/>
            <w:vAlign w:val="bottom"/>
            <w:shd w:val="clear" w:color="auto" w:fill="CCEEFF"/>
          </w:tcPr>
          <w:p>
            <w:pPr>
              <w:spacing w:after="0"/>
              <w:rPr>
                <w:sz w:val="15"/>
                <w:szCs w:val="15"/>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Various</w:t>
            </w:r>
          </w:p>
        </w:tc>
        <w:tc>
          <w:tcPr>
            <w:tcW w:w="11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2,278.5</w:t>
            </w:r>
          </w:p>
        </w:tc>
        <w:tc>
          <w:tcPr>
            <w:tcW w:w="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w w:val="93"/>
              </w:rPr>
              <w:t>(3)</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814.0</w:t>
            </w:r>
          </w:p>
        </w:tc>
      </w:tr>
      <w:tr>
        <w:trPr>
          <w:trHeight w:val="168"/>
        </w:trPr>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Non-core assets</w:t>
            </w:r>
          </w:p>
        </w:tc>
        <w:tc>
          <w:tcPr>
            <w:tcW w:w="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Various</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341.3</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86.6</w:t>
            </w:r>
          </w:p>
        </w:tc>
      </w:tr>
      <w:tr>
        <w:trPr>
          <w:trHeight w:val="168"/>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Non-core assets</w:t>
            </w:r>
          </w:p>
        </w:tc>
        <w:tc>
          <w:tcPr>
            <w:tcW w:w="40" w:type="dxa"/>
            <w:vAlign w:val="bottom"/>
            <w:shd w:val="clear" w:color="auto" w:fill="CCEEFF"/>
          </w:tcPr>
          <w:p>
            <w:pPr>
              <w:spacing w:after="0"/>
              <w:rPr>
                <w:sz w:val="14"/>
                <w:szCs w:val="14"/>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Dallas</w:t>
            </w:r>
          </w:p>
        </w:tc>
        <w:tc>
          <w:tcPr>
            <w:tcW w:w="11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203.0</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174.0</w:t>
            </w:r>
          </w:p>
        </w:tc>
      </w:tr>
      <w:tr>
        <w:trPr>
          <w:trHeight w:val="188"/>
        </w:trPr>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4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Various</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48260</wp:posOffset>
            </wp:positionV>
            <wp:extent cx="1326515"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326515" cy="7620"/>
                    </a:xfrm>
                    <a:prstGeom prst="rect">
                      <a:avLst/>
                    </a:prstGeom>
                    <a:noFill/>
                  </pic:spPr>
                </pic:pic>
              </a:graphicData>
            </a:graphic>
          </wp:anchor>
        </w:drawing>
      </w:r>
    </w:p>
    <w:p>
      <w:pPr>
        <w:spacing w:after="0" w:line="127" w:lineRule="exact"/>
        <w:rPr>
          <w:sz w:val="20"/>
          <w:szCs w:val="20"/>
          <w:color w:val="auto"/>
        </w:rPr>
      </w:pPr>
    </w:p>
    <w:p>
      <w:pPr>
        <w:ind w:left="900" w:hanging="294"/>
        <w:spacing w:after="0"/>
        <w:tabs>
          <w:tab w:leader="none" w:pos="90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Blackstone Inc., GI Partners, and Mitsubishi Corporation.</w:t>
      </w:r>
    </w:p>
    <w:p>
      <w:pPr>
        <w:spacing w:after="0" w:line="14" w:lineRule="exact"/>
        <w:rPr>
          <w:rFonts w:ascii="Times New Roman" w:cs="Times New Roman" w:eastAsia="Times New Roman" w:hAnsi="Times New Roman"/>
          <w:sz w:val="16"/>
          <w:szCs w:val="16"/>
          <w:color w:val="auto"/>
        </w:rPr>
      </w:pPr>
    </w:p>
    <w:p>
      <w:pPr>
        <w:ind w:left="900" w:hanging="294"/>
        <w:spacing w:after="0" w:line="234" w:lineRule="auto"/>
        <w:tabs>
          <w:tab w:leader="none" w:pos="90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sale of noncontrolling interest in DCREIT (see Note 8. “Investments in Unconsolidated Entities”).</w:t>
      </w:r>
    </w:p>
    <w:p>
      <w:pPr>
        <w:ind w:left="900" w:hanging="294"/>
        <w:spacing w:after="0"/>
        <w:tabs>
          <w:tab w:leader="none" w:pos="90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GI Partners, Realty Income, and TPG Real Estate.</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2024 Dispositions</w:t>
      </w:r>
    </w:p>
    <w:p>
      <w:pPr>
        <w:spacing w:after="0" w:line="178" w:lineRule="exact"/>
        <w:rPr>
          <w:sz w:val="20"/>
          <w:szCs w:val="20"/>
          <w:color w:val="auto"/>
        </w:rPr>
      </w:pPr>
    </w:p>
    <w:p>
      <w:pPr>
        <w:ind w:left="320" w:right="320"/>
        <w:spacing w:after="0" w:line="238" w:lineRule="auto"/>
        <w:rPr>
          <w:sz w:val="20"/>
          <w:szCs w:val="20"/>
          <w:color w:val="auto"/>
        </w:rPr>
      </w:pPr>
      <w:r>
        <w:rPr>
          <w:rFonts w:ascii="Times New Roman" w:cs="Times New Roman" w:eastAsia="Times New Roman" w:hAnsi="Times New Roman"/>
          <w:sz w:val="16"/>
          <w:szCs w:val="16"/>
          <w:i w:val="1"/>
          <w:iCs w:val="1"/>
          <w:color w:val="auto"/>
        </w:rPr>
        <w:t xml:space="preserve">Blackstone Inc. Joint Venture </w:t>
      </w:r>
      <w:r>
        <w:rPr>
          <w:rFonts w:ascii="Times New Roman" w:cs="Times New Roman" w:eastAsia="Times New Roman" w:hAnsi="Times New Roman"/>
          <w:sz w:val="16"/>
          <w:szCs w:val="16"/>
          <w:color w:val="auto"/>
        </w:rPr>
        <w:t>– On January 11, 2024, we formed a joint venture with Blackstone Inc. to develop four hyperscale data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center campuses across Frankfurt, Paris and Northern Virginia. The campuses are planned to support the construction of 10 data centers with approximately 500 megawatts of potential IT load capacity. The first phase of the joint venture closed on hyperscale data center campuses in Paris and Northern Virginia. We received approximately $231 million of net proceeds from the contribution of our data centers to the first phase of the joint venture and retained a 20% interest in the joint venture. As a result of transferring control, we derecognized the data centers and recognized a loss on disposition of approximately $0.3 million. In the fourth quarter, the second phase of the joint venture closed on hyperscale data center campuses in Frankfurt and Northern Virginia. We received approximately $385 million of net proceeds from the contribution of our data centers to the second phase of the joint venture and retained a 20% interest in the joint venture. As a result of transferring control, we derecognized the data centers and recognized a gain on disposition of approximately $44.5 million.</w:t>
      </w:r>
    </w:p>
    <w:p>
      <w:pPr>
        <w:spacing w:after="0" w:line="156" w:lineRule="exact"/>
        <w:rPr>
          <w:sz w:val="20"/>
          <w:szCs w:val="20"/>
          <w:color w:val="auto"/>
        </w:rPr>
      </w:pPr>
    </w:p>
    <w:p>
      <w:pPr>
        <w:ind w:left="320" w:right="300"/>
        <w:spacing w:after="0" w:line="238" w:lineRule="auto"/>
        <w:rPr>
          <w:sz w:val="20"/>
          <w:szCs w:val="20"/>
          <w:color w:val="auto"/>
        </w:rPr>
      </w:pPr>
      <w:r>
        <w:rPr>
          <w:rFonts w:ascii="Times New Roman" w:cs="Times New Roman" w:eastAsia="Times New Roman" w:hAnsi="Times New Roman"/>
          <w:sz w:val="16"/>
          <w:szCs w:val="16"/>
          <w:i w:val="1"/>
          <w:iCs w:val="1"/>
          <w:color w:val="auto"/>
        </w:rPr>
        <w:t xml:space="preserve">Brookfield Transaction </w:t>
      </w:r>
      <w:r>
        <w:rPr>
          <w:rFonts w:ascii="Times New Roman" w:cs="Times New Roman" w:eastAsia="Times New Roman" w:hAnsi="Times New Roman"/>
          <w:sz w:val="16"/>
          <w:szCs w:val="16"/>
          <w:color w:val="auto"/>
        </w:rPr>
        <w:t>– In January 2024, we closed on the sale of our interest in four data centers to Brookfield Infrastructure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Partners L.P., or Brookfield, for approximately $271 million. Two of the data centers were consolidated by us; while two of the data centers were owned by Digital Core REIT (see Note 8. “Investments in Unconsolidated Entities”). The sale was completed subsequent to Brookfield’s November 2023 acquisition of one of our customers, Cyxtera Technologies. The acquisition was part of Cyxtera’s plan of reorganization under its Chapter 11 bankruptcy proceedings. In conjunction with the sale, we bought out Cyxtera’s leases in three data centers located in Singapore and Frankfurt for approximately $57 million. In addition, Brookfield assumed the leases on three facilities previously leased to Cyxtera and amended the leases on three additional data centers in North America, accelerating the expiration date to</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27" w:name="page128"/>
    <w:bookmarkEnd w:id="127"/>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December 31, 2024 and 2023</w:t>
      </w:r>
    </w:p>
    <w:p>
      <w:pPr>
        <w:spacing w:after="0" w:line="202" w:lineRule="exact"/>
        <w:rPr>
          <w:sz w:val="20"/>
          <w:szCs w:val="20"/>
          <w:color w:val="auto"/>
        </w:rPr>
      </w:pPr>
    </w:p>
    <w:p>
      <w:pPr>
        <w:ind w:left="320" w:right="420"/>
        <w:spacing w:after="0" w:line="247" w:lineRule="auto"/>
        <w:rPr>
          <w:sz w:val="20"/>
          <w:szCs w:val="20"/>
          <w:color w:val="auto"/>
        </w:rPr>
      </w:pPr>
      <w:r>
        <w:rPr>
          <w:rFonts w:ascii="Times New Roman" w:cs="Times New Roman" w:eastAsia="Times New Roman" w:hAnsi="Times New Roman"/>
          <w:sz w:val="16"/>
          <w:szCs w:val="16"/>
          <w:color w:val="auto"/>
        </w:rPr>
        <w:t>September 2024. As a result of the sale, we recognized a total gain on disposition of approximately $200.5 million, of which $191.6 million is included within Gain on disposition of properties, net and $8.9 million is included within Equity in (loss) earnings of unconsolidated entities on our condensed consolidated income statements.</w:t>
      </w:r>
    </w:p>
    <w:p>
      <w:pPr>
        <w:spacing w:after="0" w:line="150" w:lineRule="exact"/>
        <w:rPr>
          <w:sz w:val="20"/>
          <w:szCs w:val="20"/>
          <w:color w:val="auto"/>
        </w:rPr>
      </w:pPr>
    </w:p>
    <w:p>
      <w:pPr>
        <w:ind w:left="320" w:right="340"/>
        <w:spacing w:after="0"/>
        <w:rPr>
          <w:sz w:val="20"/>
          <w:szCs w:val="20"/>
          <w:color w:val="auto"/>
        </w:rPr>
      </w:pPr>
      <w:r>
        <w:rPr>
          <w:rFonts w:ascii="Times New Roman" w:cs="Times New Roman" w:eastAsia="Times New Roman" w:hAnsi="Times New Roman"/>
          <w:sz w:val="16"/>
          <w:szCs w:val="16"/>
          <w:i w:val="1"/>
          <w:iCs w:val="1"/>
          <w:color w:val="auto"/>
        </w:rPr>
        <w:t xml:space="preserve">Mitsubishi Joint Venture – </w:t>
      </w:r>
      <w:r>
        <w:rPr>
          <w:rFonts w:ascii="Times New Roman" w:cs="Times New Roman" w:eastAsia="Times New Roman" w:hAnsi="Times New Roman"/>
          <w:sz w:val="16"/>
          <w:szCs w:val="16"/>
          <w:color w:val="auto"/>
        </w:rPr>
        <w:t>On March 1, 2024, we formed a joint venture with Mitsubishi Corporation, or Mitsubishi, to support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development of two data centers in the Dallas metro area. The facilities were 100% pre- leased prior to construction. We contributed the two data center buildings at a contribution value of approximately $261 million. We received approximately $153 million of gross proceeds from the contribution of our data centers to the joint venture and retained a 35% interest in the joint venture. Mitsubishi paid such cash in exchange for a 65% interest in the joint venture. As a result of transferring control, we derecognized the data centers and recognized a gain on disposition of approximately $7.0 million.</w:t>
      </w:r>
    </w:p>
    <w:p>
      <w:pPr>
        <w:spacing w:after="0" w:line="154" w:lineRule="exact"/>
        <w:rPr>
          <w:sz w:val="20"/>
          <w:szCs w:val="20"/>
          <w:color w:val="auto"/>
        </w:rPr>
      </w:pPr>
    </w:p>
    <w:p>
      <w:pPr>
        <w:ind w:left="320" w:right="460"/>
        <w:spacing w:after="0" w:line="242" w:lineRule="auto"/>
        <w:rPr>
          <w:sz w:val="20"/>
          <w:szCs w:val="20"/>
          <w:color w:val="auto"/>
        </w:rPr>
      </w:pPr>
      <w:r>
        <w:rPr>
          <w:rFonts w:ascii="Times New Roman" w:cs="Times New Roman" w:eastAsia="Times New Roman" w:hAnsi="Times New Roman"/>
          <w:sz w:val="16"/>
          <w:szCs w:val="16"/>
          <w:i w:val="1"/>
          <w:iCs w:val="1"/>
          <w:color w:val="auto"/>
        </w:rPr>
        <w:t xml:space="preserve">GI Partners Joint Venture </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On April 16, 2024, we expanded our existing joint venture with GI Partners with the sale to GI Partners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a 75% interest in an additional facility in Chicago. We contributed the data center at a value of approximately $453 million. We received approximately $386 million of net proceeds from the contribution of our data center to the joint venture and the associated financing and retained a 25% interest in the joint venture. As a result of transferring control, we derecognized the data center and recognized a gain on disposition of approximately $172 million.</w:t>
      </w:r>
    </w:p>
    <w:p>
      <w:pPr>
        <w:spacing w:after="0" w:line="1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2023 Dispositions</w:t>
      </w:r>
    </w:p>
    <w:p>
      <w:pPr>
        <w:spacing w:after="0" w:line="176" w:lineRule="exact"/>
        <w:rPr>
          <w:sz w:val="20"/>
          <w:szCs w:val="20"/>
          <w:color w:val="auto"/>
        </w:rPr>
      </w:pPr>
    </w:p>
    <w:p>
      <w:pPr>
        <w:ind w:left="320" w:right="340"/>
        <w:spacing w:after="0" w:line="238" w:lineRule="auto"/>
        <w:rPr>
          <w:sz w:val="20"/>
          <w:szCs w:val="20"/>
          <w:color w:val="auto"/>
        </w:rPr>
      </w:pPr>
      <w:r>
        <w:rPr>
          <w:rFonts w:ascii="Times New Roman" w:cs="Times New Roman" w:eastAsia="Times New Roman" w:hAnsi="Times New Roman"/>
          <w:sz w:val="16"/>
          <w:szCs w:val="16"/>
          <w:i w:val="1"/>
          <w:iCs w:val="1"/>
          <w:color w:val="auto"/>
        </w:rPr>
        <w:t xml:space="preserve">GI Partners Joint Venture </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On July 13, 2023, we formed a joint venture with GI Partners, and GI Partners acquired a 65% interest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two stabilized hyperscale data center buildings in the Chicago metro area that we contributed. We received approximately $0.7 billion of gross proceeds from the contribution of our data centers to the joint venture and the associated financing and retained a 35% interest in the joint venture. As a result of transferring control, we derecognized the data centers and recognized a gain on disposition of approximately $238 million. We also granted GI Partners an option to purchase an interest in the third facility on the same hyperscale data center campus in Chicago. In addition, GI Partners has a call option to increase their ownership interest in the joint venture from 65% to 80%. The call option top -up election notice was delivered to the Company on December 21, 2023. On January 12, 2024, GI Partners made an additional cash capital contribution in the amount of $68 million, resulting in an additional 15% ownership in the joint venture. Currently, GI Partners has an 80% interest in the joint venture, and we have retained a 20% interest. We perform the day-to-day accounting and property management functions for the joint venture and, as such, will earn a management fee.</w:t>
      </w: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28" w:name="page129"/>
    <w:bookmarkEnd w:id="128"/>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 and 2023</w:t>
      </w:r>
    </w:p>
    <w:p>
      <w:pPr>
        <w:spacing w:after="0" w:line="198" w:lineRule="exact"/>
        <w:rPr>
          <w:sz w:val="20"/>
          <w:szCs w:val="20"/>
          <w:color w:val="auto"/>
        </w:rPr>
      </w:pPr>
    </w:p>
    <w:p>
      <w:pPr>
        <w:ind w:left="320" w:right="320"/>
        <w:spacing w:after="0"/>
        <w:rPr>
          <w:sz w:val="20"/>
          <w:szCs w:val="20"/>
          <w:color w:val="auto"/>
        </w:rPr>
      </w:pPr>
      <w:r>
        <w:rPr>
          <w:rFonts w:ascii="Times New Roman" w:cs="Times New Roman" w:eastAsia="Times New Roman" w:hAnsi="Times New Roman"/>
          <w:sz w:val="16"/>
          <w:szCs w:val="16"/>
          <w:i w:val="1"/>
          <w:iCs w:val="1"/>
          <w:color w:val="auto"/>
        </w:rPr>
        <w:t xml:space="preserve">TPG Real Estate Joint Venture </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On July 25, 2023, we formed a joint venture with TPG Real Estate, and TPG Real Estate acquired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 80% interest in three stabilized hyperscale data center buildings in Northern Virginia that we contributed. We received approximately $1.4 billion of gross proceeds from the contribution of our data centers to the joint venture and the associated financing and retained a 20% interest in the joint venture. As a result of transferring control, we derecognized the data centers and recognized a gain on disposition of approximately $576 million. We perform the day-to-day accounting and property management functions for the joint venture and, as such, will earn a management fee.</w:t>
      </w:r>
    </w:p>
    <w:p>
      <w:pPr>
        <w:spacing w:after="0" w:line="158" w:lineRule="exact"/>
        <w:rPr>
          <w:sz w:val="20"/>
          <w:szCs w:val="20"/>
          <w:color w:val="auto"/>
        </w:rPr>
      </w:pPr>
    </w:p>
    <w:p>
      <w:pPr>
        <w:ind w:left="320" w:right="320"/>
        <w:spacing w:after="0" w:line="238" w:lineRule="auto"/>
        <w:rPr>
          <w:sz w:val="20"/>
          <w:szCs w:val="20"/>
          <w:color w:val="auto"/>
        </w:rPr>
      </w:pPr>
      <w:r>
        <w:rPr>
          <w:rFonts w:ascii="Times New Roman" w:cs="Times New Roman" w:eastAsia="Times New Roman" w:hAnsi="Times New Roman"/>
          <w:sz w:val="16"/>
          <w:szCs w:val="16"/>
          <w:i w:val="1"/>
          <w:iCs w:val="1"/>
          <w:color w:val="auto"/>
        </w:rPr>
        <w:t xml:space="preserve">Realty Income Joint Venture - </w:t>
      </w:r>
      <w:r>
        <w:rPr>
          <w:rFonts w:ascii="Times New Roman" w:cs="Times New Roman" w:eastAsia="Times New Roman" w:hAnsi="Times New Roman"/>
          <w:sz w:val="16"/>
          <w:szCs w:val="16"/>
          <w:color w:val="auto"/>
        </w:rPr>
        <w:t>On November 10, 2023, we formed a joint venture with Realty Income to support the development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two data centers in Northern Virginia. The facilities were 100% pre-leased prior to construction. We contributed the two data center buildings at a purchase price of $185 million, which represented costs spent through November 10, 2023, to the new joint venture. We received approximately $148 million of gross proceeds from the contribution of our data centers to the joint venture and retained a 20% interest in the joint venture. Realty Income contributed such cash to the joint venture in exchange for an 80% interest in the joint venture. Each partner will fund its pro rata share of the remaining $150 million estimated development cost for the first phase of the project, which was completed in mid-2024. We perform the day-to-day accounting and property management functions for the joint venture and, as such, will earn a management fee.</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8. Investments in Unconsolidated Entities</w:t>
      </w:r>
    </w:p>
    <w:p>
      <w:pPr>
        <w:spacing w:after="0" w:line="190" w:lineRule="exact"/>
        <w:rPr>
          <w:sz w:val="20"/>
          <w:szCs w:val="20"/>
          <w:color w:val="auto"/>
        </w:rPr>
      </w:pPr>
    </w:p>
    <w:p>
      <w:pPr>
        <w:ind w:left="320" w:right="460"/>
        <w:spacing w:after="0" w:line="257" w:lineRule="auto"/>
        <w:rPr>
          <w:sz w:val="20"/>
          <w:szCs w:val="20"/>
          <w:color w:val="auto"/>
        </w:rPr>
      </w:pPr>
      <w:r>
        <w:rPr>
          <w:rFonts w:ascii="Times New Roman" w:cs="Times New Roman" w:eastAsia="Times New Roman" w:hAnsi="Times New Roman"/>
          <w:sz w:val="16"/>
          <w:szCs w:val="16"/>
          <w:color w:val="auto"/>
        </w:rPr>
        <w:t>A summary of the Company’s investments in unconsolidated entities accounted for under the equity method of accounting is shown below (in thousands):</w:t>
      </w:r>
    </w:p>
    <w:p>
      <w:pPr>
        <w:spacing w:after="0" w:line="1" w:lineRule="exact"/>
        <w:rPr>
          <w:sz w:val="20"/>
          <w:szCs w:val="20"/>
          <w:color w:val="auto"/>
        </w:rPr>
      </w:pPr>
    </w:p>
    <w:tbl>
      <w:tblPr>
        <w:tblLayout w:type="fixed"/>
        <w:tblInd w:w="320" w:type="dxa"/>
        <w:tblCellMar>
          <w:top w:w="0" w:type="dxa"/>
          <w:left w:w="0" w:type="dxa"/>
          <w:bottom w:w="0" w:type="dxa"/>
          <w:right w:w="0" w:type="dxa"/>
        </w:tblCellMar>
      </w:tblPr>
      <w:tr>
        <w:trPr>
          <w:trHeight w:val="168"/>
        </w:trPr>
        <w:tc>
          <w:tcPr>
            <w:tcW w:w="20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tcPr>
          <w:p>
            <w:pPr>
              <w:jc w:val="right"/>
              <w:ind w:right="590"/>
              <w:spacing w:after="0"/>
              <w:rPr>
                <w:sz w:val="20"/>
                <w:szCs w:val="20"/>
                <w:color w:val="auto"/>
              </w:rPr>
            </w:pPr>
            <w:r>
              <w:rPr>
                <w:rFonts w:ascii="Times New Roman" w:cs="Times New Roman" w:eastAsia="Times New Roman" w:hAnsi="Times New Roman"/>
                <w:sz w:val="13"/>
                <w:szCs w:val="13"/>
                <w:b w:val="1"/>
                <w:bCs w:val="1"/>
                <w:color w:val="auto"/>
              </w:rPr>
              <w:t>Balance as of</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tcPr>
          <w:p>
            <w:pPr>
              <w:jc w:val="right"/>
              <w:ind w:right="610"/>
              <w:spacing w:after="0"/>
              <w:rPr>
                <w:sz w:val="20"/>
                <w:szCs w:val="20"/>
                <w:color w:val="auto"/>
              </w:rPr>
            </w:pPr>
            <w:r>
              <w:rPr>
                <w:rFonts w:ascii="Times New Roman" w:cs="Times New Roman" w:eastAsia="Times New Roman" w:hAnsi="Times New Roman"/>
                <w:sz w:val="13"/>
                <w:szCs w:val="13"/>
                <w:b w:val="1"/>
                <w:bCs w:val="1"/>
                <w:color w:val="auto"/>
              </w:rPr>
              <w:t>Balance as of</w:t>
            </w:r>
          </w:p>
        </w:tc>
      </w:tr>
      <w:tr>
        <w:trPr>
          <w:trHeight w:val="170"/>
        </w:trPr>
        <w:tc>
          <w:tcPr>
            <w:tcW w:w="20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2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60"/>
        </w:trPr>
        <w:tc>
          <w:tcPr>
            <w:tcW w:w="3800" w:type="dxa"/>
            <w:vAlign w:val="bottom"/>
            <w:gridSpan w:val="2"/>
            <w:shd w:val="clear" w:color="auto" w:fill="CCEEFF"/>
          </w:tcPr>
          <w:p>
            <w:pPr>
              <w:spacing w:after="0" w:line="160" w:lineRule="exact"/>
              <w:rPr>
                <w:sz w:val="20"/>
                <w:szCs w:val="20"/>
                <w:color w:val="auto"/>
              </w:rPr>
            </w:pPr>
            <w:r>
              <w:rPr>
                <w:rFonts w:ascii="Times New Roman" w:cs="Times New Roman" w:eastAsia="Times New Roman" w:hAnsi="Times New Roman"/>
                <w:sz w:val="13"/>
                <w:szCs w:val="13"/>
                <w:color w:val="auto"/>
              </w:rPr>
              <w:t xml:space="preserve">Americas </w:t>
            </w:r>
            <w:r>
              <w:rPr>
                <w:rFonts w:ascii="Times New Roman" w:cs="Times New Roman" w:eastAsia="Times New Roman" w:hAnsi="Times New Roman"/>
                <w:sz w:val="18"/>
                <w:szCs w:val="18"/>
                <w:color w:val="auto"/>
                <w:vertAlign w:val="superscript"/>
              </w:rPr>
              <w:t>(1)(5)</w:t>
            </w: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1,311,950</w:t>
            </w: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1,363,226</w:t>
            </w:r>
          </w:p>
        </w:tc>
      </w:tr>
      <w:tr>
        <w:trPr>
          <w:trHeight w:val="168"/>
        </w:trPr>
        <w:tc>
          <w:tcPr>
            <w:tcW w:w="3800" w:type="dxa"/>
            <w:vAlign w:val="bottom"/>
            <w:gridSpan w:val="2"/>
          </w:tcPr>
          <w:p>
            <w:pPr>
              <w:spacing w:after="0" w:line="168" w:lineRule="exact"/>
              <w:rPr>
                <w:sz w:val="20"/>
                <w:szCs w:val="20"/>
                <w:color w:val="auto"/>
              </w:rPr>
            </w:pPr>
            <w:r>
              <w:rPr>
                <w:rFonts w:ascii="Times New Roman" w:cs="Times New Roman" w:eastAsia="Times New Roman" w:hAnsi="Times New Roman"/>
                <w:sz w:val="13"/>
                <w:szCs w:val="13"/>
                <w:color w:val="auto"/>
              </w:rPr>
              <w:t xml:space="preserve">APAC </w:t>
            </w:r>
            <w:r>
              <w:rPr>
                <w:rFonts w:ascii="Times New Roman" w:cs="Times New Roman" w:eastAsia="Times New Roman" w:hAnsi="Times New Roman"/>
                <w:sz w:val="19"/>
                <w:szCs w:val="19"/>
                <w:color w:val="auto"/>
                <w:vertAlign w:val="superscript"/>
              </w:rPr>
              <w:t>(2)</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615,534</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569,996</w:t>
            </w:r>
          </w:p>
        </w:tc>
      </w:tr>
      <w:tr>
        <w:trPr>
          <w:trHeight w:val="168"/>
        </w:trPr>
        <w:tc>
          <w:tcPr>
            <w:tcW w:w="3800" w:type="dxa"/>
            <w:vAlign w:val="bottom"/>
            <w:gridSpan w:val="2"/>
            <w:shd w:val="clear" w:color="auto" w:fill="CCEEFF"/>
          </w:tcPr>
          <w:p>
            <w:pPr>
              <w:spacing w:after="0" w:line="168" w:lineRule="exact"/>
              <w:rPr>
                <w:sz w:val="20"/>
                <w:szCs w:val="20"/>
                <w:color w:val="auto"/>
              </w:rPr>
            </w:pPr>
            <w:r>
              <w:rPr>
                <w:rFonts w:ascii="Times New Roman" w:cs="Times New Roman" w:eastAsia="Times New Roman" w:hAnsi="Times New Roman"/>
                <w:sz w:val="13"/>
                <w:szCs w:val="13"/>
                <w:color w:val="auto"/>
              </w:rPr>
              <w:t xml:space="preserve">EMEA </w:t>
            </w:r>
            <w:r>
              <w:rPr>
                <w:rFonts w:ascii="Times New Roman" w:cs="Times New Roman" w:eastAsia="Times New Roman" w:hAnsi="Times New Roman"/>
                <w:sz w:val="19"/>
                <w:szCs w:val="19"/>
                <w:color w:val="auto"/>
                <w:vertAlign w:val="superscript"/>
              </w:rPr>
              <w:t>(3)</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422,570</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28,334</w:t>
            </w:r>
          </w:p>
        </w:tc>
      </w:tr>
      <w:tr>
        <w:trPr>
          <w:trHeight w:val="168"/>
        </w:trPr>
        <w:tc>
          <w:tcPr>
            <w:tcW w:w="3800" w:type="dxa"/>
            <w:vAlign w:val="bottom"/>
            <w:tcBorders>
              <w:bottom w:val="single" w:sz="8" w:color="CCEEFF"/>
            </w:tcBorders>
            <w:gridSpan w:val="2"/>
          </w:tcPr>
          <w:p>
            <w:pPr>
              <w:spacing w:after="0" w:line="168" w:lineRule="exact"/>
              <w:rPr>
                <w:sz w:val="20"/>
                <w:szCs w:val="20"/>
                <w:color w:val="auto"/>
              </w:rPr>
            </w:pPr>
            <w:r>
              <w:rPr>
                <w:rFonts w:ascii="Times New Roman" w:cs="Times New Roman" w:eastAsia="Times New Roman" w:hAnsi="Times New Roman"/>
                <w:sz w:val="13"/>
                <w:szCs w:val="13"/>
                <w:color w:val="auto"/>
              </w:rPr>
              <w:t xml:space="preserve">Global </w:t>
            </w:r>
            <w:r>
              <w:rPr>
                <w:rFonts w:ascii="Times New Roman" w:cs="Times New Roman" w:eastAsia="Times New Roman" w:hAnsi="Times New Roman"/>
                <w:sz w:val="19"/>
                <w:szCs w:val="19"/>
                <w:color w:val="auto"/>
                <w:vertAlign w:val="superscript"/>
              </w:rPr>
              <w:t>(4)</w:t>
            </w:r>
          </w:p>
        </w:tc>
        <w:tc>
          <w:tcPr>
            <w:tcW w:w="2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289,746</w:t>
            </w:r>
          </w:p>
        </w:tc>
        <w:tc>
          <w:tcPr>
            <w:tcW w:w="2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334,333</w:t>
            </w:r>
          </w:p>
        </w:tc>
      </w:tr>
      <w:tr>
        <w:trPr>
          <w:trHeight w:val="160"/>
        </w:trPr>
        <w:tc>
          <w:tcPr>
            <w:tcW w:w="38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2,639,800</w:t>
            </w:r>
          </w:p>
        </w:tc>
        <w:tc>
          <w:tcPr>
            <w:tcW w:w="22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2,295,889</w:t>
            </w:r>
          </w:p>
        </w:tc>
      </w:tr>
      <w:tr>
        <w:trPr>
          <w:trHeight w:val="20"/>
        </w:trPr>
        <w:tc>
          <w:tcPr>
            <w:tcW w:w="20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72"/>
        </w:trPr>
        <w:tc>
          <w:tcPr>
            <w:tcW w:w="2080" w:type="dxa"/>
            <w:vAlign w:val="bottom"/>
            <w:tcBorders>
              <w:bottom w:val="single" w:sz="8" w:color="auto"/>
            </w:tcBorders>
          </w:tcPr>
          <w:p>
            <w:pPr>
              <w:spacing w:after="0"/>
              <w:rPr>
                <w:sz w:val="6"/>
                <w:szCs w:val="6"/>
                <w:color w:val="auto"/>
              </w:rPr>
            </w:pPr>
          </w:p>
        </w:tc>
        <w:tc>
          <w:tcPr>
            <w:tcW w:w="1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740" w:type="dxa"/>
            <w:vAlign w:val="bottom"/>
          </w:tcPr>
          <w:p>
            <w:pPr>
              <w:spacing w:after="0"/>
              <w:rPr>
                <w:sz w:val="6"/>
                <w:szCs w:val="6"/>
                <w:color w:val="auto"/>
              </w:rPr>
            </w:pPr>
          </w:p>
        </w:tc>
      </w:tr>
    </w:tbl>
    <w:p>
      <w:pPr>
        <w:spacing w:after="0" w:line="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Includes the following unconsolidated entities along with our ownership percentage:</w:t>
      </w:r>
    </w:p>
    <w:p>
      <w:pPr>
        <w:spacing w:after="0" w:line="14" w:lineRule="exact"/>
        <w:rPr>
          <w:sz w:val="20"/>
          <w:szCs w:val="20"/>
          <w:color w:val="auto"/>
        </w:rPr>
      </w:pPr>
    </w:p>
    <w:p>
      <w:pPr>
        <w:ind w:left="900" w:right="680" w:hanging="294"/>
        <w:spacing w:after="0" w:line="234" w:lineRule="auto"/>
        <w:tabs>
          <w:tab w:leader="none" w:pos="90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Ascenty (49%), Blackstone (20%), Clise (50%), GI Partners (20%), Mapletree (20%), Menlo (20%), Mitsubishi (35%), Realty Income (20%), TPG Real Estate (20%), and Walsh (86%).</w:t>
      </w:r>
    </w:p>
    <w:p>
      <w:pPr>
        <w:spacing w:after="0" w:line="1" w:lineRule="exact"/>
        <w:rPr>
          <w:rFonts w:ascii="Times New Roman" w:cs="Times New Roman" w:eastAsia="Times New Roman" w:hAnsi="Times New Roman"/>
          <w:sz w:val="16"/>
          <w:szCs w:val="16"/>
          <w:color w:val="auto"/>
        </w:rPr>
      </w:pPr>
    </w:p>
    <w:p>
      <w:pPr>
        <w:ind w:left="900" w:hanging="294"/>
        <w:spacing w:after="0" w:line="234" w:lineRule="auto"/>
        <w:tabs>
          <w:tab w:leader="none" w:pos="90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Digital Connexion (33%), Lumen (50%), and MC Digital Realty (50%).</w:t>
      </w:r>
    </w:p>
    <w:p>
      <w:pPr>
        <w:ind w:left="900" w:right="5100" w:hanging="294"/>
        <w:spacing w:after="0" w:line="234" w:lineRule="auto"/>
        <w:tabs>
          <w:tab w:leader="none" w:pos="90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Blackstone (20%), Medallion (60%), and Mivne (50%).</w:t>
      </w:r>
    </w:p>
    <w:p>
      <w:pPr>
        <w:spacing w:after="0" w:line="1" w:lineRule="exact"/>
        <w:rPr>
          <w:rFonts w:ascii="Times New Roman" w:cs="Times New Roman" w:eastAsia="Times New Roman" w:hAnsi="Times New Roman"/>
          <w:sz w:val="16"/>
          <w:szCs w:val="16"/>
          <w:color w:val="auto"/>
        </w:rPr>
      </w:pPr>
    </w:p>
    <w:p>
      <w:pPr>
        <w:ind w:left="900" w:right="5560" w:hanging="294"/>
        <w:spacing w:after="0" w:line="234" w:lineRule="auto"/>
        <w:tabs>
          <w:tab w:leader="none" w:pos="90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Digital Core REIT (38%) and Greenfield (35%).</w:t>
      </w:r>
    </w:p>
    <w:p>
      <w:pPr>
        <w:spacing w:after="0" w:line="1" w:lineRule="exact"/>
        <w:rPr>
          <w:rFonts w:ascii="Times New Roman" w:cs="Times New Roman" w:eastAsia="Times New Roman" w:hAnsi="Times New Roman"/>
          <w:sz w:val="16"/>
          <w:szCs w:val="16"/>
          <w:color w:val="auto"/>
        </w:rPr>
      </w:pPr>
    </w:p>
    <w:p>
      <w:pPr>
        <w:ind w:left="900" w:right="660" w:hanging="294"/>
        <w:spacing w:after="0" w:line="237" w:lineRule="auto"/>
        <w:tabs>
          <w:tab w:leader="none" w:pos="833"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May 2024, we liquidated our 17% interest in Colovore, generating gross proceeds of approximately $35 million. We realized a gain of approximately $27 million on our original investments, made in 2015 and 2017. The gain is included within Other income, net on our consolidated income statements.</w:t>
      </w:r>
    </w:p>
    <w:p>
      <w:pPr>
        <w:spacing w:after="0" w:line="157" w:lineRule="exact"/>
        <w:rPr>
          <w:sz w:val="20"/>
          <w:szCs w:val="20"/>
          <w:color w:val="auto"/>
        </w:rPr>
      </w:pPr>
    </w:p>
    <w:p>
      <w:pPr>
        <w:ind w:left="320" w:right="320"/>
        <w:spacing w:after="0" w:line="280" w:lineRule="auto"/>
        <w:rPr>
          <w:sz w:val="20"/>
          <w:szCs w:val="20"/>
          <w:color w:val="auto"/>
        </w:rPr>
      </w:pPr>
      <w:r>
        <w:rPr>
          <w:rFonts w:ascii="Times New Roman" w:cs="Times New Roman" w:eastAsia="Times New Roman" w:hAnsi="Times New Roman"/>
          <w:sz w:val="14"/>
          <w:szCs w:val="14"/>
          <w:color w:val="auto"/>
        </w:rPr>
        <w:t>Generally, we serve as the managing member responsible for operations in the ordinary course of business of the joint ventures. We perform the day-to-day accounting and property management functions for the joint ventures and, as such, will earn management fees. However, certain approval rights are granted through the terms of the joint venture agreements and require unanimous consent of both members with respect to any major decisions. Generally, major decisions are defined to include the annual plan which sets out joint venture and property level budgets, including lease revenues, operating expenses, and capital expenditures. As such, we concluded we do not own a controlling interest and accounted for our interest in the joint ventures under the equity method of accounting.</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29" w:name="page130"/>
    <w:bookmarkEnd w:id="129"/>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 and 2023</w:t>
      </w:r>
    </w:p>
    <w:p>
      <w:pPr>
        <w:spacing w:after="0" w:line="378" w:lineRule="exact"/>
        <w:rPr>
          <w:sz w:val="20"/>
          <w:szCs w:val="20"/>
          <w:color w:val="auto"/>
        </w:rPr>
      </w:pPr>
    </w:p>
    <w:p>
      <w:pPr>
        <w:ind w:left="320" w:right="320"/>
        <w:spacing w:after="0" w:line="238" w:lineRule="auto"/>
        <w:rPr>
          <w:sz w:val="20"/>
          <w:szCs w:val="20"/>
          <w:color w:val="auto"/>
        </w:rPr>
      </w:pPr>
      <w:r>
        <w:rPr>
          <w:rFonts w:ascii="Times New Roman" w:cs="Times New Roman" w:eastAsia="Times New Roman" w:hAnsi="Times New Roman"/>
          <w:sz w:val="16"/>
          <w:szCs w:val="16"/>
          <w:b w:val="1"/>
          <w:bCs w:val="1"/>
          <w:i w:val="1"/>
          <w:iCs w:val="1"/>
          <w:color w:val="auto"/>
        </w:rPr>
        <w:t xml:space="preserve">Blackstone Inc. Joint Venture </w:t>
      </w:r>
      <w:r>
        <w:rPr>
          <w:rFonts w:ascii="Times New Roman" w:cs="Times New Roman" w:eastAsia="Times New Roman" w:hAnsi="Times New Roman"/>
          <w:sz w:val="16"/>
          <w:szCs w:val="16"/>
          <w:color w:val="auto"/>
        </w:rPr>
        <w:t>– On January 11, 2024, we formed a joint venture with Blackstone Inc. to develop four hyperscale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data center campuses across Frankfurt, Paris and Northern Virginia. The campuses are planned to support the construction of 10 data centers with approximately 500 megawatts of potential IT load capacity. The first phase of the joint venture closed on hyperscale data center campuses in Paris and Northern Virginia. We received approximately $231 million of net proceeds from the contribution of our data centers to the first phase of the joint venture and retained a 20% interest in the joint venture. As a result of transferring control, we derecognized the data centers and recognized a loss on disposition of approximately $0.3 million. In the fourth quarter, the second phase of the joint venture closed on hyperscale data center campuses in Frankfurt and Northern Virginia. We received approximately $385 million of net proceeds from the contribution of our data centers to the second phase of the joint venture and retained a 20% interest in the joint venture. As a result of transferring control, we derecognized the data centers and recognized a gain on disposition of approximately $44.5 million.</w:t>
      </w:r>
    </w:p>
    <w:p>
      <w:pPr>
        <w:spacing w:after="0" w:line="156" w:lineRule="exact"/>
        <w:rPr>
          <w:sz w:val="20"/>
          <w:szCs w:val="20"/>
          <w:color w:val="auto"/>
        </w:rPr>
      </w:pPr>
    </w:p>
    <w:p>
      <w:pPr>
        <w:ind w:left="320" w:right="400"/>
        <w:spacing w:after="0" w:line="238" w:lineRule="auto"/>
        <w:rPr>
          <w:sz w:val="20"/>
          <w:szCs w:val="20"/>
          <w:color w:val="auto"/>
        </w:rPr>
      </w:pPr>
      <w:r>
        <w:rPr>
          <w:rFonts w:ascii="Times New Roman" w:cs="Times New Roman" w:eastAsia="Times New Roman" w:hAnsi="Times New Roman"/>
          <w:sz w:val="16"/>
          <w:szCs w:val="16"/>
          <w:b w:val="1"/>
          <w:bCs w:val="1"/>
          <w:i w:val="1"/>
          <w:iCs w:val="1"/>
          <w:color w:val="auto"/>
        </w:rPr>
        <w:t xml:space="preserve">GI Partners Joint Venture </w:t>
      </w:r>
      <w:r>
        <w:rPr>
          <w:rFonts w:ascii="Times New Roman" w:cs="Times New Roman" w:eastAsia="Times New Roman" w:hAnsi="Times New Roman"/>
          <w:sz w:val="16"/>
          <w:szCs w:val="16"/>
          <w:color w:val="auto"/>
        </w:rPr>
        <w:t>– On July 13, 2023, we formed a joint venture with GI Partners, and GI Partners acquired a 65% interest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 two stabilized hyperscale data center buildings in the Chicago metro area that we contributed. We retained a 35% interest in the joint venture. As a result of transferring control, we derecognized the data centers. In addition, GI Partners had a call option to increase their ownership interest in the joint venture from 65% to 80%. The call option top-up election notice was delivered to the Company on December 21, 2023. On January 12, 2024, GI Partners made an additional cash capital contribution, pursuant to the exercise of such call option, in the amount of $68 million, resulting in such additional 15% ownership in the joint venture. Currently, GI Partners has an 80% interest in the joint venture, and we have retained a 20% interest. We also granted GI Partners an option to purchase an interest in the third facility on the same hyperscale data center campus in Chicago. On April 16, 2024, we expanded our existing joint venture with GI Partners with the sale to GI Partners of a 75% interest in this third facility, see Note 7. “Acquisitions and Dispositions of Properties”.</w:t>
      </w:r>
    </w:p>
    <w:p>
      <w:pPr>
        <w:spacing w:after="0" w:line="160" w:lineRule="exact"/>
        <w:rPr>
          <w:sz w:val="20"/>
          <w:szCs w:val="20"/>
          <w:color w:val="auto"/>
        </w:rPr>
      </w:pPr>
    </w:p>
    <w:p>
      <w:pPr>
        <w:jc w:val="both"/>
        <w:ind w:left="320" w:right="460"/>
        <w:spacing w:after="0" w:line="247" w:lineRule="auto"/>
        <w:rPr>
          <w:sz w:val="20"/>
          <w:szCs w:val="20"/>
          <w:color w:val="auto"/>
        </w:rPr>
      </w:pPr>
      <w:r>
        <w:rPr>
          <w:rFonts w:ascii="Times New Roman" w:cs="Times New Roman" w:eastAsia="Times New Roman" w:hAnsi="Times New Roman"/>
          <w:sz w:val="16"/>
          <w:szCs w:val="16"/>
          <w:color w:val="auto"/>
        </w:rPr>
        <w:t>As of the date of the joint venture formation, we used a discounted cash flow model to calculate the fair value of our retained equity interest. The fair value of the retained interest was $157 million and is classified as a Level 3 investment in the fair value hierarchy. The primary inputs to the valuation included volatility, hold period, and dividend yield.</w:t>
      </w:r>
    </w:p>
    <w:p>
      <w:pPr>
        <w:spacing w:after="0" w:line="148" w:lineRule="exact"/>
        <w:rPr>
          <w:sz w:val="20"/>
          <w:szCs w:val="20"/>
          <w:color w:val="auto"/>
        </w:rPr>
      </w:pPr>
    </w:p>
    <w:p>
      <w:pPr>
        <w:ind w:left="320" w:right="320"/>
        <w:spacing w:after="0" w:line="275" w:lineRule="auto"/>
        <w:rPr>
          <w:sz w:val="20"/>
          <w:szCs w:val="20"/>
          <w:color w:val="auto"/>
        </w:rPr>
      </w:pPr>
      <w:r>
        <w:rPr>
          <w:rFonts w:ascii="Times New Roman" w:cs="Times New Roman" w:eastAsia="Times New Roman" w:hAnsi="Times New Roman"/>
          <w:sz w:val="14"/>
          <w:szCs w:val="14"/>
          <w:b w:val="1"/>
          <w:bCs w:val="1"/>
          <w:i w:val="1"/>
          <w:iCs w:val="1"/>
          <w:color w:val="auto"/>
        </w:rPr>
        <w:t xml:space="preserve">TPG Real Estate Joint Venture </w:t>
      </w:r>
      <w:r>
        <w:rPr>
          <w:rFonts w:ascii="Times New Roman" w:cs="Times New Roman" w:eastAsia="Times New Roman" w:hAnsi="Times New Roman"/>
          <w:sz w:val="14"/>
          <w:szCs w:val="14"/>
          <w:color w:val="auto"/>
        </w:rPr>
        <w:t>– On July 25, 2023, we formed a joint venture with TPG Real Estate. We contributed three stabilized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hyperscale data center buildings in Northern Virginia, at a purchase price of $1.5 billion, to the new joint venture. We received approximately $1.4 billion of gross proceeds from the contribution of our data centers to the joint venture and the associated financing and retained a 20% interest in the joint venture. TPG Real Estate contributed such cash to the joint venture in exchange for an 80% interest in the joint venture. We perform the day-to -day accounting and property management functions for the joint venture and, as such, will earn a management fee. We serve as the managing member responsible for operations in the ordinary course of business. However, certain approval rights are granted through the terms of the joint venture agreement and require unanimous consent of both members with respect to any major decisions. Major decisions are defined to include the annual plan which sets out joint venture and property level budgets, including lease revenues, operating expenses, and capital expenditures. As such, we concluded we do not own a controlling interest and accounted for our interest in the joint venture under the equity method of accounting.</w:t>
      </w:r>
    </w:p>
    <w:p>
      <w:pPr>
        <w:spacing w:after="0" w:line="162" w:lineRule="exact"/>
        <w:rPr>
          <w:sz w:val="20"/>
          <w:szCs w:val="20"/>
          <w:color w:val="auto"/>
        </w:rPr>
      </w:pPr>
    </w:p>
    <w:p>
      <w:pPr>
        <w:jc w:val="both"/>
        <w:ind w:left="320" w:right="460"/>
        <w:spacing w:after="0" w:line="237" w:lineRule="auto"/>
        <w:rPr>
          <w:sz w:val="20"/>
          <w:szCs w:val="20"/>
          <w:color w:val="auto"/>
        </w:rPr>
      </w:pPr>
      <w:r>
        <w:rPr>
          <w:rFonts w:ascii="Times New Roman" w:cs="Times New Roman" w:eastAsia="Times New Roman" w:hAnsi="Times New Roman"/>
          <w:sz w:val="16"/>
          <w:szCs w:val="16"/>
          <w:color w:val="auto"/>
        </w:rPr>
        <w:t>As of the date of the joint venture formation, we used a discounted cash flow model to calculate the fair value of our retained equity interest. The fair value of the retained interest was $121 million and is classified as a Level 3 investment in the fair value hierarchy. The primary inputs to the valuation included volatility, hold period, and dividend yield.</w:t>
      </w:r>
    </w:p>
    <w:p>
      <w:pPr>
        <w:spacing w:after="0" w:line="153" w:lineRule="exact"/>
        <w:rPr>
          <w:sz w:val="20"/>
          <w:szCs w:val="20"/>
          <w:color w:val="auto"/>
        </w:rPr>
      </w:pPr>
    </w:p>
    <w:p>
      <w:pPr>
        <w:ind w:left="320" w:right="38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 xml:space="preserve">Realty Income Joint Venture </w:t>
      </w:r>
      <w:r>
        <w:rPr>
          <w:rFonts w:ascii="Times New Roman" w:cs="Times New Roman" w:eastAsia="Times New Roman" w:hAnsi="Times New Roman"/>
          <w:sz w:val="16"/>
          <w:szCs w:val="16"/>
          <w:color w:val="auto"/>
        </w:rPr>
        <w:t>– On November 10, 2023, we formed a joint venture with Realty Income to support the development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two data centers in Northern Virginia. The facilities were 100% pre-leased prior to construction. We contributed the two data center buildings at a purchase price of $185 million, which represented costs spent through</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30" w:name="page131"/>
    <w:bookmarkEnd w:id="130"/>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 and 2023</w:t>
      </w:r>
    </w:p>
    <w:p>
      <w:pPr>
        <w:spacing w:after="0" w:line="202" w:lineRule="exact"/>
        <w:rPr>
          <w:sz w:val="20"/>
          <w:szCs w:val="20"/>
          <w:color w:val="auto"/>
        </w:rPr>
      </w:pPr>
    </w:p>
    <w:p>
      <w:pPr>
        <w:ind w:left="320" w:right="340"/>
        <w:spacing w:after="0" w:line="237" w:lineRule="auto"/>
        <w:rPr>
          <w:sz w:val="20"/>
          <w:szCs w:val="20"/>
          <w:color w:val="auto"/>
        </w:rPr>
      </w:pPr>
      <w:r>
        <w:rPr>
          <w:rFonts w:ascii="Times New Roman" w:cs="Times New Roman" w:eastAsia="Times New Roman" w:hAnsi="Times New Roman"/>
          <w:sz w:val="16"/>
          <w:szCs w:val="16"/>
          <w:color w:val="auto"/>
        </w:rPr>
        <w:t>November 10, 2023, to the new joint venture. We received approximately $148 million of gross proceeds from the contribution of our data centers to the joint venture and retained a 20% interest in the joint venture. Realty Income contributed such cash to the joint venture in exchange for an 80% interest in the joint venture. Each partner will fund its pro rata share of the remaining $150 million estimated development cost for the first phase of the project, which was completed in mid-2024. We perform the day-to- day accounting and property management functions for the joint venture and, as such, will earn a management fee. We serve as the managing member responsible for operations in the ordinary course of business. However, certain approval rights are granted through the terms of the joint venture agreement and require unanimous consent of both members with respect to any major decisions. Major decisions are defined to include the annual plan which sets out joint venture and property level budgets, including lease revenues, operating expenses, and capital expenditures. As such, we concluded we do not own a controlling interest and accounted for our interest in the joint venture under the equity method of accounting.</w:t>
      </w:r>
    </w:p>
    <w:p>
      <w:pPr>
        <w:spacing w:after="0" w:line="160" w:lineRule="exact"/>
        <w:rPr>
          <w:sz w:val="20"/>
          <w:szCs w:val="20"/>
          <w:color w:val="auto"/>
        </w:rPr>
      </w:pPr>
    </w:p>
    <w:p>
      <w:pPr>
        <w:ind w:left="320" w:right="560"/>
        <w:spacing w:after="0" w:line="302" w:lineRule="auto"/>
        <w:rPr>
          <w:sz w:val="20"/>
          <w:szCs w:val="20"/>
          <w:color w:val="auto"/>
        </w:rPr>
      </w:pPr>
      <w:r>
        <w:rPr>
          <w:rFonts w:ascii="Times New Roman" w:cs="Times New Roman" w:eastAsia="Times New Roman" w:hAnsi="Times New Roman"/>
          <w:sz w:val="14"/>
          <w:szCs w:val="14"/>
          <w:b w:val="1"/>
          <w:bCs w:val="1"/>
          <w:i w:val="1"/>
          <w:iCs w:val="1"/>
          <w:color w:val="auto"/>
        </w:rPr>
        <w:t xml:space="preserve">DCREIT </w:t>
      </w:r>
      <w:r>
        <w:rPr>
          <w:rFonts w:ascii="Times New Roman" w:cs="Times New Roman" w:eastAsia="Times New Roman" w:hAnsi="Times New Roman"/>
          <w:sz w:val="14"/>
          <w:szCs w:val="14"/>
          <w:color w:val="auto"/>
        </w:rPr>
        <w:t>– Digital Core REIT is a standalone real estate investment trust formed under Singapore law, which is publicly traded on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Singapore Exchange under the ticker symbol “DCRU”. DCREIT owns 12 operating data center properties. The Company has ownership interest in the units of DCREIT, as well as ownership interests in the operating properties of DCREIT.</w:t>
      </w:r>
    </w:p>
    <w:p>
      <w:pPr>
        <w:spacing w:after="0" w:line="116" w:lineRule="exact"/>
        <w:rPr>
          <w:sz w:val="20"/>
          <w:szCs w:val="20"/>
          <w:color w:val="auto"/>
        </w:rPr>
      </w:pPr>
    </w:p>
    <w:p>
      <w:pPr>
        <w:ind w:left="320" w:right="680"/>
        <w:spacing w:after="0" w:line="331" w:lineRule="auto"/>
        <w:rPr>
          <w:sz w:val="20"/>
          <w:szCs w:val="20"/>
          <w:color w:val="auto"/>
        </w:rPr>
      </w:pPr>
      <w:r>
        <w:rPr>
          <w:rFonts w:ascii="Times New Roman" w:cs="Times New Roman" w:eastAsia="Times New Roman" w:hAnsi="Times New Roman"/>
          <w:sz w:val="14"/>
          <w:szCs w:val="14"/>
          <w:color w:val="auto"/>
        </w:rPr>
        <w:t>As of December 31, 2024, the Company held 32% of the outstanding DCREIT units and separately owned a 10% direct retained interest in the underlying North American operating properties and a 35% direct retained interest in a Frankfurt asset.</w:t>
      </w:r>
    </w:p>
    <w:p>
      <w:pPr>
        <w:spacing w:after="0" w:line="96" w:lineRule="exact"/>
        <w:rPr>
          <w:sz w:val="20"/>
          <w:szCs w:val="20"/>
          <w:color w:val="auto"/>
        </w:rPr>
      </w:pPr>
    </w:p>
    <w:p>
      <w:pPr>
        <w:ind w:left="320" w:right="380"/>
        <w:spacing w:after="0" w:line="243" w:lineRule="auto"/>
        <w:rPr>
          <w:sz w:val="20"/>
          <w:szCs w:val="20"/>
          <w:color w:val="auto"/>
        </w:rPr>
      </w:pPr>
      <w:r>
        <w:rPr>
          <w:rFonts w:ascii="Times New Roman" w:cs="Times New Roman" w:eastAsia="Times New Roman" w:hAnsi="Times New Roman"/>
          <w:sz w:val="16"/>
          <w:szCs w:val="16"/>
          <w:color w:val="auto"/>
        </w:rPr>
        <w:t>The Company’s 32% interest in DCREIT consisted of 418 million units and 406 million units as of December 31, 2024 and 2023, respectively. Based on the closing price per unit of $0.58 and $0.65 as of December 31, 2024 and 2023, respectively, the fair value of the units the Company owned in DCREIT was approximately $242 million and $264 million as of December 31, 2024 and 2023, respectively.</w:t>
      </w:r>
    </w:p>
    <w:p>
      <w:pPr>
        <w:spacing w:after="0" w:line="155" w:lineRule="exact"/>
        <w:rPr>
          <w:sz w:val="20"/>
          <w:szCs w:val="20"/>
          <w:color w:val="auto"/>
        </w:rPr>
      </w:pPr>
    </w:p>
    <w:p>
      <w:pPr>
        <w:ind w:left="320" w:right="420"/>
        <w:spacing w:after="0" w:line="241" w:lineRule="auto"/>
        <w:rPr>
          <w:sz w:val="20"/>
          <w:szCs w:val="20"/>
          <w:color w:val="auto"/>
        </w:rPr>
      </w:pPr>
      <w:r>
        <w:rPr>
          <w:rFonts w:ascii="Times New Roman" w:cs="Times New Roman" w:eastAsia="Times New Roman" w:hAnsi="Times New Roman"/>
          <w:sz w:val="16"/>
          <w:szCs w:val="16"/>
          <w:color w:val="auto"/>
        </w:rPr>
        <w:t>Pursuant to contractual agreements with DCREIT and its operating properties, the Company will earn fees for asset and property management services as well as fees for aiding in future acquisition, disposition and development activities. Certain of these fees are payable to the Company in the form of additional units in DCREIT or in cash. During the years ended December 31, 2024 and 2023, the Company earned fees pursuant to these contractual agreements of approximately $9.1 million and $13.6 million, respectively, which is recorded as fee income and other on the consolidated income statement.</w:t>
      </w:r>
    </w:p>
    <w:p>
      <w:pPr>
        <w:spacing w:after="0" w:line="169" w:lineRule="exact"/>
        <w:rPr>
          <w:sz w:val="20"/>
          <w:szCs w:val="20"/>
          <w:color w:val="auto"/>
        </w:rPr>
      </w:pPr>
    </w:p>
    <w:p>
      <w:pPr>
        <w:ind w:left="320" w:right="440"/>
        <w:spacing w:after="0" w:line="239" w:lineRule="auto"/>
        <w:rPr>
          <w:sz w:val="20"/>
          <w:szCs w:val="20"/>
          <w:color w:val="auto"/>
        </w:rPr>
      </w:pPr>
      <w:r>
        <w:rPr>
          <w:rFonts w:ascii="Times New Roman" w:cs="Times New Roman" w:eastAsia="Times New Roman" w:hAnsi="Times New Roman"/>
          <w:sz w:val="16"/>
          <w:szCs w:val="16"/>
          <w:color w:val="auto"/>
        </w:rPr>
        <w:t>On April 19, 2024, we completed the sale of an additional 24.9% interest in a data center facility in Frankfurt, Germany to DCREIT for total consideration of approximately $126 million, and DCREIT then had a 49.9% interest in the Frankfurt data center. Because the Company still controlled this asset, no gain or loss was recorded on this 49.9% interest. In connection with this transaction, DCREIT loaned the consolidated subsidiary that owns the data center approximately $80 million. In addition, on December 5, 2024, we completed the sale of an additional 15.1% interest in the data center facility in Frankfurt for total consideration of approximately $77 million, and DCREIT now owns a 65.0% interest in the Frankfurt data center. As a result, the Company will account for its retained ownership interest in accordance with the equity method of accounting.</w:t>
      </w:r>
    </w:p>
    <w:p>
      <w:pPr>
        <w:spacing w:after="0" w:line="170" w:lineRule="exact"/>
        <w:rPr>
          <w:sz w:val="20"/>
          <w:szCs w:val="20"/>
          <w:color w:val="auto"/>
        </w:rPr>
      </w:pPr>
    </w:p>
    <w:p>
      <w:pPr>
        <w:ind w:left="320" w:right="340"/>
        <w:spacing w:after="0" w:line="241" w:lineRule="auto"/>
        <w:rPr>
          <w:sz w:val="20"/>
          <w:szCs w:val="20"/>
          <w:color w:val="auto"/>
        </w:rPr>
      </w:pPr>
      <w:r>
        <w:rPr>
          <w:rFonts w:ascii="Times New Roman" w:cs="Times New Roman" w:eastAsia="Times New Roman" w:hAnsi="Times New Roman"/>
          <w:sz w:val="16"/>
          <w:szCs w:val="16"/>
          <w:color w:val="auto"/>
        </w:rPr>
        <w:t>During the year ended December 31, 2023, we concluded that the decline in fair value of our equity investment in DCREIT was other than temporary due to the length of time and extent to which the fair value of our investment has been less than the carrying value. As a result, we recorded an impairment charge of $95 million for the three months ended September 30, 2023, which was recorded to provision for impairment in our consolidated income statements. The charge reflected the difference between the fair value of our equity investment in DCREIT using DCREIT's unit price as</w:t>
      </w: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31" w:name="page132"/>
    <w:bookmarkEnd w:id="131"/>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 and 2023</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of September 30, 2023 and the carrying value of our equity investment in DCREIT at September 30, 2023.</w:t>
      </w:r>
    </w:p>
    <w:p>
      <w:pPr>
        <w:spacing w:after="0" w:line="184" w:lineRule="exact"/>
        <w:rPr>
          <w:sz w:val="20"/>
          <w:szCs w:val="20"/>
          <w:color w:val="auto"/>
        </w:rPr>
      </w:pPr>
    </w:p>
    <w:p>
      <w:pPr>
        <w:ind w:left="320" w:right="38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 xml:space="preserve">Ascenty </w:t>
      </w:r>
      <w:r>
        <w:rPr>
          <w:rFonts w:ascii="Times New Roman" w:cs="Times New Roman" w:eastAsia="Times New Roman" w:hAnsi="Times New Roman"/>
          <w:sz w:val="16"/>
          <w:szCs w:val="16"/>
          <w:color w:val="auto"/>
        </w:rPr>
        <w:t>– The Company’s ownership percentage in Ascenty includes an approximate 2% interest held by one of the Company’s non-controlling interest holders. This 2% interest had a carrying value of approximately $23 million and $18 million as of</w:t>
      </w:r>
    </w:p>
    <w:p>
      <w:pPr>
        <w:ind w:left="320" w:right="520"/>
        <w:spacing w:after="0" w:line="238" w:lineRule="auto"/>
        <w:rPr>
          <w:sz w:val="20"/>
          <w:szCs w:val="20"/>
          <w:color w:val="auto"/>
        </w:rPr>
      </w:pPr>
      <w:r>
        <w:rPr>
          <w:rFonts w:ascii="Times New Roman" w:cs="Times New Roman" w:eastAsia="Times New Roman" w:hAnsi="Times New Roman"/>
          <w:sz w:val="16"/>
          <w:szCs w:val="16"/>
          <w:color w:val="auto"/>
        </w:rPr>
        <w:t>December 31, 2024 and 2023, respectively. Ascenty is a variable interest entity (“VIE”) and the Company’s maximum exposure to loss related to this VIE is limited to our equity investment in the entity.</w:t>
      </w:r>
    </w:p>
    <w:p>
      <w:pPr>
        <w:spacing w:after="0" w:line="1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Summarized Financial Information of Investments in Unconsolidated Entities</w:t>
      </w:r>
    </w:p>
    <w:p>
      <w:pPr>
        <w:spacing w:after="0" w:line="190" w:lineRule="exact"/>
        <w:rPr>
          <w:sz w:val="20"/>
          <w:szCs w:val="20"/>
          <w:color w:val="auto"/>
        </w:rPr>
      </w:pPr>
    </w:p>
    <w:p>
      <w:pPr>
        <w:ind w:left="320" w:right="500"/>
        <w:spacing w:after="0" w:line="259" w:lineRule="auto"/>
        <w:rPr>
          <w:sz w:val="20"/>
          <w:szCs w:val="20"/>
          <w:color w:val="auto"/>
        </w:rPr>
      </w:pPr>
      <w:r>
        <w:rPr>
          <w:rFonts w:ascii="Times New Roman" w:cs="Times New Roman" w:eastAsia="Times New Roman" w:hAnsi="Times New Roman"/>
          <w:sz w:val="16"/>
          <w:szCs w:val="16"/>
          <w:color w:val="auto"/>
        </w:rPr>
        <w:t>The subsequent tables provide summarized financial information for all of our investments in unconsolidated entities accounted for using the equity method. Amounts are shown in thousands.</w:t>
      </w:r>
    </w:p>
    <w:p>
      <w:pPr>
        <w:spacing w:after="0" w:line="153" w:lineRule="exact"/>
        <w:rPr>
          <w:sz w:val="20"/>
          <w:szCs w:val="20"/>
          <w:color w:val="auto"/>
        </w:rPr>
      </w:pPr>
    </w:p>
    <w:tbl>
      <w:tblPr>
        <w:tblLayout w:type="fixed"/>
        <w:tblInd w:w="320" w:type="dxa"/>
        <w:tblCellMar>
          <w:top w:w="0" w:type="dxa"/>
          <w:left w:w="0" w:type="dxa"/>
          <w:bottom w:w="0" w:type="dxa"/>
          <w:right w:w="0" w:type="dxa"/>
        </w:tblCellMar>
      </w:tblPr>
      <w:tr>
        <w:trPr>
          <w:trHeight w:val="144"/>
        </w:trPr>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Net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Net</w:t>
            </w:r>
          </w:p>
        </w:tc>
        <w:tc>
          <w:tcPr>
            <w:tcW w:w="0" w:type="dxa"/>
            <w:vAlign w:val="bottom"/>
          </w:tcPr>
          <w:p>
            <w:pPr>
              <w:spacing w:after="0"/>
              <w:rPr>
                <w:sz w:val="1"/>
                <w:szCs w:val="1"/>
                <w:color w:val="auto"/>
              </w:rPr>
            </w:pPr>
          </w:p>
        </w:tc>
      </w:tr>
      <w:tr>
        <w:trPr>
          <w:trHeight w:val="144"/>
        </w:trPr>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Operating</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Income</w:t>
            </w:r>
          </w:p>
        </w:tc>
        <w:tc>
          <w:tcPr>
            <w:tcW w:w="0" w:type="dxa"/>
            <w:vAlign w:val="bottom"/>
          </w:tcPr>
          <w:p>
            <w:pPr>
              <w:spacing w:after="0"/>
              <w:rPr>
                <w:sz w:val="1"/>
                <w:szCs w:val="1"/>
                <w:color w:val="auto"/>
              </w:rPr>
            </w:pPr>
          </w:p>
        </w:tc>
      </w:tr>
      <w:tr>
        <w:trPr>
          <w:trHeight w:val="159"/>
        </w:trPr>
        <w:tc>
          <w:tcPr>
            <w:tcW w:w="16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Revenues</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Income</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(Loss)</w:t>
            </w:r>
          </w:p>
        </w:tc>
        <w:tc>
          <w:tcPr>
            <w:tcW w:w="0" w:type="dxa"/>
            <w:vAlign w:val="bottom"/>
          </w:tcPr>
          <w:p>
            <w:pPr>
              <w:spacing w:after="0"/>
              <w:rPr>
                <w:sz w:val="1"/>
                <w:szCs w:val="1"/>
                <w:color w:val="auto"/>
              </w:rPr>
            </w:pPr>
          </w:p>
        </w:tc>
      </w:tr>
      <w:tr>
        <w:trPr>
          <w:trHeight w:val="136"/>
        </w:trPr>
        <w:tc>
          <w:tcPr>
            <w:tcW w:w="1660" w:type="dxa"/>
            <w:vAlign w:val="bottom"/>
            <w:tcBorders>
              <w:top w:val="single" w:sz="8" w:color="auto"/>
            </w:tcBorders>
            <w:shd w:val="clear" w:color="auto" w:fill="CCEEFF"/>
          </w:tcPr>
          <w:p>
            <w:pPr>
              <w:spacing w:after="0" w:line="136" w:lineRule="exact"/>
              <w:rPr>
                <w:sz w:val="20"/>
                <w:szCs w:val="20"/>
                <w:color w:val="auto"/>
              </w:rPr>
            </w:pPr>
            <w:r>
              <w:rPr>
                <w:rFonts w:ascii="Times New Roman" w:cs="Times New Roman" w:eastAsia="Times New Roman" w:hAnsi="Times New Roman"/>
                <w:sz w:val="12"/>
                <w:szCs w:val="12"/>
                <w:b w:val="1"/>
                <w:bCs w:val="1"/>
                <w:color w:val="auto"/>
              </w:rPr>
              <w:t>Unconsolidated entities</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660" w:type="dxa"/>
            <w:vAlign w:val="bottom"/>
          </w:tcPr>
          <w:p>
            <w:pPr>
              <w:spacing w:after="0"/>
              <w:rPr>
                <w:sz w:val="20"/>
                <w:szCs w:val="20"/>
                <w:color w:val="auto"/>
              </w:rPr>
            </w:pPr>
            <w:r>
              <w:rPr>
                <w:rFonts w:ascii="Times New Roman" w:cs="Times New Roman" w:eastAsia="Times New Roman" w:hAnsi="Times New Roman"/>
                <w:sz w:val="12"/>
                <w:szCs w:val="12"/>
                <w:color w:val="auto"/>
              </w:rPr>
              <w:t>Americas</w:t>
            </w:r>
          </w:p>
        </w:tc>
        <w:tc>
          <w:tcPr>
            <w:tcW w:w="320" w:type="dxa"/>
            <w:vAlign w:val="bottom"/>
            <w:gridSpan w:val="2"/>
          </w:tcPr>
          <w:p>
            <w:pPr>
              <w:jc w:val="right"/>
              <w:ind w:right="85"/>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7,473,799</w:t>
            </w:r>
          </w:p>
        </w:tc>
        <w:tc>
          <w:tcPr>
            <w:tcW w:w="260" w:type="dxa"/>
            <w:vAlign w:val="bottom"/>
            <w:gridSpan w:val="2"/>
          </w:tcPr>
          <w:p>
            <w:pPr>
              <w:jc w:val="right"/>
              <w:ind w:right="25"/>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3,532,248</w:t>
            </w:r>
          </w:p>
        </w:tc>
        <w:tc>
          <w:tcPr>
            <w:tcW w:w="320" w:type="dxa"/>
            <w:vAlign w:val="bottom"/>
            <w:gridSpan w:val="2"/>
          </w:tcPr>
          <w:p>
            <w:pPr>
              <w:jc w:val="right"/>
              <w:ind w:right="65"/>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3,941,551</w:t>
            </w:r>
          </w:p>
        </w:tc>
        <w:tc>
          <w:tcPr>
            <w:tcW w:w="280" w:type="dxa"/>
            <w:vAlign w:val="bottom"/>
            <w:gridSpan w:val="2"/>
          </w:tcPr>
          <w:p>
            <w:pPr>
              <w:jc w:val="right"/>
              <w:ind w:right="25"/>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824,027</w:t>
            </w:r>
          </w:p>
        </w:tc>
        <w:tc>
          <w:tcPr>
            <w:tcW w:w="280" w:type="dxa"/>
            <w:vAlign w:val="bottom"/>
            <w:gridSpan w:val="2"/>
          </w:tcPr>
          <w:p>
            <w:pPr>
              <w:jc w:val="right"/>
              <w:ind w:right="25"/>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464,637</w:t>
            </w:r>
          </w:p>
        </w:tc>
        <w:tc>
          <w:tcPr>
            <w:tcW w:w="320" w:type="dxa"/>
            <w:vAlign w:val="bottom"/>
            <w:gridSpan w:val="2"/>
          </w:tcPr>
          <w:p>
            <w:pPr>
              <w:jc w:val="right"/>
              <w:ind w:right="65"/>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(336,627)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APAC</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2,127,166</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823,921</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1,303,245</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273,833</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140,594</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55,376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60" w:type="dxa"/>
            <w:vAlign w:val="bottom"/>
          </w:tcPr>
          <w:p>
            <w:pPr>
              <w:spacing w:after="0"/>
              <w:rPr>
                <w:sz w:val="20"/>
                <w:szCs w:val="20"/>
                <w:color w:val="auto"/>
              </w:rPr>
            </w:pPr>
            <w:r>
              <w:rPr>
                <w:rFonts w:ascii="Times New Roman" w:cs="Times New Roman" w:eastAsia="Times New Roman" w:hAnsi="Times New Roman"/>
                <w:sz w:val="12"/>
                <w:szCs w:val="12"/>
                <w:color w:val="auto"/>
              </w:rPr>
              <w:t>EMEA</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1,009,055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740,433</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268,622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11,976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5,108</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Global</w:t>
            </w:r>
          </w:p>
        </w:tc>
        <w:tc>
          <w:tcPr>
            <w:tcW w:w="1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2,007,082</w:t>
            </w:r>
          </w:p>
        </w:tc>
        <w:tc>
          <w:tcPr>
            <w:tcW w:w="1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995,721</w:t>
            </w:r>
          </w:p>
        </w:tc>
        <w:tc>
          <w:tcPr>
            <w:tcW w:w="1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1,011,361</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106,705</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66,258</w:t>
            </w:r>
          </w:p>
        </w:tc>
        <w:tc>
          <w:tcPr>
            <w:tcW w:w="1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(17,785)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660" w:type="dxa"/>
            <w:vAlign w:val="bottom"/>
            <w:tcBorders>
              <w:bottom w:val="single" w:sz="8" w:color="CCEEFF"/>
            </w:tcBorders>
          </w:tcPr>
          <w:p>
            <w:pPr>
              <w:spacing w:after="0" w:line="136" w:lineRule="exact"/>
              <w:rPr>
                <w:sz w:val="20"/>
                <w:szCs w:val="20"/>
                <w:color w:val="auto"/>
              </w:rPr>
            </w:pPr>
            <w:r>
              <w:rPr>
                <w:rFonts w:ascii="Times New Roman" w:cs="Times New Roman" w:eastAsia="Times New Roman" w:hAnsi="Times New Roman"/>
                <w:sz w:val="12"/>
                <w:szCs w:val="12"/>
                <w:b w:val="1"/>
                <w:bCs w:val="1"/>
                <w:color w:val="auto"/>
              </w:rPr>
              <w:t>Total Unconsolidated entities</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2"/>
                <w:szCs w:val="12"/>
                <w:color w:val="auto"/>
              </w:rPr>
              <w:t>12,617,102</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2"/>
                <w:szCs w:val="12"/>
                <w:color w:val="auto"/>
              </w:rPr>
              <w:t>6,092,323</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2"/>
                <w:szCs w:val="12"/>
                <w:color w:val="auto"/>
              </w:rPr>
              <w:t>6,524,779</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2"/>
                <w:szCs w:val="12"/>
                <w:color w:val="auto"/>
              </w:rPr>
              <w:t>1,216,541</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2"/>
                <w:szCs w:val="12"/>
                <w:color w:val="auto"/>
              </w:rPr>
              <w:t>676,597</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2"/>
                <w:szCs w:val="12"/>
                <w:color w:val="auto"/>
              </w:rPr>
              <w:t>(313,052)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5"/>
        </w:trPr>
        <w:tc>
          <w:tcPr>
            <w:tcW w:w="1660" w:type="dxa"/>
            <w:vAlign w:val="bottom"/>
            <w:shd w:val="clear" w:color="auto" w:fill="CCEEFF"/>
          </w:tcPr>
          <w:p>
            <w:pPr>
              <w:spacing w:after="0" w:line="85" w:lineRule="exact"/>
              <w:rPr>
                <w:sz w:val="20"/>
                <w:szCs w:val="20"/>
                <w:color w:val="auto"/>
              </w:rPr>
            </w:pPr>
            <w:r>
              <w:rPr>
                <w:rFonts w:ascii="Times New Roman" w:cs="Times New Roman" w:eastAsia="Times New Roman" w:hAnsi="Times New Roman"/>
                <w:sz w:val="9"/>
                <w:szCs w:val="9"/>
                <w:color w:val="auto"/>
              </w:rPr>
              <w:t>Our investment in and share of</w:t>
            </w: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equity in earnings of</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65"/>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2,639,800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65"/>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(120,138)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unconsolidated entities</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0" w:type="dxa"/>
            <w:vAlign w:val="bottom"/>
            <w:gridSpan w:val="2"/>
            <w:vMerge w:val="continue"/>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0" w:type="dxa"/>
            <w:vAlign w:val="bottom"/>
            <w:gridSpan w:val="2"/>
            <w:vMerge w:val="continue"/>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1" w:lineRule="exact"/>
        <w:rPr>
          <w:sz w:val="20"/>
          <w:szCs w:val="20"/>
          <w:color w:val="auto"/>
        </w:rPr>
      </w:pPr>
    </w:p>
    <w:tbl>
      <w:tblPr>
        <w:tblLayout w:type="fixed"/>
        <w:tblInd w:w="320" w:type="dxa"/>
        <w:tblCellMar>
          <w:top w:w="0" w:type="dxa"/>
          <w:left w:w="0" w:type="dxa"/>
          <w:bottom w:w="0" w:type="dxa"/>
          <w:right w:w="0" w:type="dxa"/>
        </w:tblCellMar>
      </w:tblPr>
      <w:tr>
        <w:trPr>
          <w:trHeight w:val="144"/>
        </w:trPr>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Net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Net</w:t>
            </w:r>
          </w:p>
        </w:tc>
        <w:tc>
          <w:tcPr>
            <w:tcW w:w="0" w:type="dxa"/>
            <w:vAlign w:val="bottom"/>
          </w:tcPr>
          <w:p>
            <w:pPr>
              <w:spacing w:after="0"/>
              <w:rPr>
                <w:sz w:val="1"/>
                <w:szCs w:val="1"/>
                <w:color w:val="auto"/>
              </w:rPr>
            </w:pPr>
          </w:p>
        </w:tc>
      </w:tr>
      <w:tr>
        <w:trPr>
          <w:trHeight w:val="144"/>
        </w:trPr>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Operating</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Income</w:t>
            </w:r>
          </w:p>
        </w:tc>
        <w:tc>
          <w:tcPr>
            <w:tcW w:w="0" w:type="dxa"/>
            <w:vAlign w:val="bottom"/>
          </w:tcPr>
          <w:p>
            <w:pPr>
              <w:spacing w:after="0"/>
              <w:rPr>
                <w:sz w:val="1"/>
                <w:szCs w:val="1"/>
                <w:color w:val="auto"/>
              </w:rPr>
            </w:pPr>
          </w:p>
        </w:tc>
      </w:tr>
      <w:tr>
        <w:trPr>
          <w:trHeight w:val="159"/>
        </w:trPr>
        <w:tc>
          <w:tcPr>
            <w:tcW w:w="16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140" w:type="dxa"/>
            <w:vAlign w:val="bottom"/>
          </w:tcPr>
          <w:p>
            <w:pPr>
              <w:spacing w:after="0"/>
              <w:rPr>
                <w:sz w:val="13"/>
                <w:szCs w:val="13"/>
                <w:color w:val="auto"/>
              </w:rPr>
            </w:pPr>
          </w:p>
        </w:tc>
        <w:tc>
          <w:tcPr>
            <w:tcW w:w="840" w:type="dxa"/>
            <w:vAlign w:val="bottom"/>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Revenues</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Income</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(Loss)</w:t>
            </w:r>
          </w:p>
        </w:tc>
        <w:tc>
          <w:tcPr>
            <w:tcW w:w="0" w:type="dxa"/>
            <w:vAlign w:val="bottom"/>
          </w:tcPr>
          <w:p>
            <w:pPr>
              <w:spacing w:after="0"/>
              <w:rPr>
                <w:sz w:val="1"/>
                <w:szCs w:val="1"/>
                <w:color w:val="auto"/>
              </w:rPr>
            </w:pPr>
          </w:p>
        </w:tc>
      </w:tr>
      <w:tr>
        <w:trPr>
          <w:trHeight w:val="136"/>
        </w:trPr>
        <w:tc>
          <w:tcPr>
            <w:tcW w:w="1660" w:type="dxa"/>
            <w:vAlign w:val="bottom"/>
            <w:tcBorders>
              <w:top w:val="single" w:sz="8" w:color="auto"/>
            </w:tcBorders>
            <w:shd w:val="clear" w:color="auto" w:fill="CCEEFF"/>
          </w:tcPr>
          <w:p>
            <w:pPr>
              <w:spacing w:after="0" w:line="136" w:lineRule="exact"/>
              <w:rPr>
                <w:sz w:val="20"/>
                <w:szCs w:val="20"/>
                <w:color w:val="auto"/>
              </w:rPr>
            </w:pPr>
            <w:r>
              <w:rPr>
                <w:rFonts w:ascii="Times New Roman" w:cs="Times New Roman" w:eastAsia="Times New Roman" w:hAnsi="Times New Roman"/>
                <w:sz w:val="12"/>
                <w:szCs w:val="12"/>
                <w:b w:val="1"/>
                <w:bCs w:val="1"/>
                <w:color w:val="auto"/>
              </w:rPr>
              <w:t>Unconsolidated entities</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660" w:type="dxa"/>
            <w:vAlign w:val="bottom"/>
          </w:tcPr>
          <w:p>
            <w:pPr>
              <w:spacing w:after="0"/>
              <w:rPr>
                <w:sz w:val="20"/>
                <w:szCs w:val="20"/>
                <w:color w:val="auto"/>
              </w:rPr>
            </w:pPr>
            <w:r>
              <w:rPr>
                <w:rFonts w:ascii="Times New Roman" w:cs="Times New Roman" w:eastAsia="Times New Roman" w:hAnsi="Times New Roman"/>
                <w:sz w:val="12"/>
                <w:szCs w:val="12"/>
                <w:color w:val="auto"/>
              </w:rPr>
              <w:t>Americas</w:t>
            </w:r>
          </w:p>
        </w:tc>
        <w:tc>
          <w:tcPr>
            <w:tcW w:w="320" w:type="dxa"/>
            <w:vAlign w:val="bottom"/>
            <w:gridSpan w:val="2"/>
          </w:tcPr>
          <w:p>
            <w:pPr>
              <w:jc w:val="right"/>
              <w:ind w:right="85"/>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6,627,520</w:t>
            </w:r>
          </w:p>
        </w:tc>
        <w:tc>
          <w:tcPr>
            <w:tcW w:w="260" w:type="dxa"/>
            <w:vAlign w:val="bottom"/>
            <w:gridSpan w:val="2"/>
          </w:tcPr>
          <w:p>
            <w:pPr>
              <w:jc w:val="right"/>
              <w:ind w:right="25"/>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3,105,127</w:t>
            </w:r>
          </w:p>
        </w:tc>
        <w:tc>
          <w:tcPr>
            <w:tcW w:w="320" w:type="dxa"/>
            <w:vAlign w:val="bottom"/>
            <w:gridSpan w:val="2"/>
          </w:tcPr>
          <w:p>
            <w:pPr>
              <w:jc w:val="right"/>
              <w:ind w:right="65"/>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3,522,393</w:t>
            </w:r>
          </w:p>
        </w:tc>
        <w:tc>
          <w:tcPr>
            <w:tcW w:w="140" w:type="dxa"/>
            <w:vAlign w:val="bottom"/>
          </w:tcPr>
          <w:p>
            <w:pPr>
              <w:spacing w:after="0"/>
              <w:rPr>
                <w:sz w:val="12"/>
                <w:szCs w:val="12"/>
                <w:color w:val="auto"/>
              </w:rPr>
            </w:pP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590,264</w:t>
            </w:r>
          </w:p>
        </w:tc>
        <w:tc>
          <w:tcPr>
            <w:tcW w:w="280" w:type="dxa"/>
            <w:vAlign w:val="bottom"/>
            <w:gridSpan w:val="2"/>
          </w:tcPr>
          <w:p>
            <w:pPr>
              <w:jc w:val="right"/>
              <w:ind w:right="25"/>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326,042</w:t>
            </w:r>
          </w:p>
        </w:tc>
        <w:tc>
          <w:tcPr>
            <w:tcW w:w="320" w:type="dxa"/>
            <w:vAlign w:val="bottom"/>
            <w:gridSpan w:val="2"/>
          </w:tcPr>
          <w:p>
            <w:pPr>
              <w:jc w:val="right"/>
              <w:ind w:right="65"/>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APAC</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2,097,115</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880,972</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1,216,143</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257,905</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121,053</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42,244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60" w:type="dxa"/>
            <w:vAlign w:val="bottom"/>
          </w:tcPr>
          <w:p>
            <w:pPr>
              <w:spacing w:after="0"/>
              <w:rPr>
                <w:sz w:val="20"/>
                <w:szCs w:val="20"/>
                <w:color w:val="auto"/>
              </w:rPr>
            </w:pPr>
            <w:r>
              <w:rPr>
                <w:rFonts w:ascii="Times New Roman" w:cs="Times New Roman" w:eastAsia="Times New Roman" w:hAnsi="Times New Roman"/>
                <w:sz w:val="12"/>
                <w:szCs w:val="12"/>
                <w:color w:val="auto"/>
              </w:rPr>
              <w:t>EMEA</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80,525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83,819</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(3,294)</w:t>
            </w:r>
          </w:p>
        </w:tc>
        <w:tc>
          <w:tcPr>
            <w:tcW w:w="1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939</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Global</w:t>
            </w:r>
          </w:p>
        </w:tc>
        <w:tc>
          <w:tcPr>
            <w:tcW w:w="1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1,542,331</w:t>
            </w:r>
          </w:p>
        </w:tc>
        <w:tc>
          <w:tcPr>
            <w:tcW w:w="1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591,470</w:t>
            </w:r>
          </w:p>
        </w:tc>
        <w:tc>
          <w:tcPr>
            <w:tcW w:w="1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950,861</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112,931</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73,390</w:t>
            </w:r>
          </w:p>
        </w:tc>
        <w:tc>
          <w:tcPr>
            <w:tcW w:w="1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(60,867)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660" w:type="dxa"/>
            <w:vAlign w:val="bottom"/>
            <w:tcBorders>
              <w:bottom w:val="single" w:sz="8" w:color="CCEEFF"/>
            </w:tcBorders>
          </w:tcPr>
          <w:p>
            <w:pPr>
              <w:spacing w:after="0" w:line="136" w:lineRule="exact"/>
              <w:rPr>
                <w:sz w:val="20"/>
                <w:szCs w:val="20"/>
                <w:color w:val="auto"/>
              </w:rPr>
            </w:pPr>
            <w:r>
              <w:rPr>
                <w:rFonts w:ascii="Times New Roman" w:cs="Times New Roman" w:eastAsia="Times New Roman" w:hAnsi="Times New Roman"/>
                <w:sz w:val="12"/>
                <w:szCs w:val="12"/>
                <w:b w:val="1"/>
                <w:bCs w:val="1"/>
                <w:color w:val="auto"/>
              </w:rPr>
              <w:t>Total Unconsolidated entities</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2"/>
                <w:szCs w:val="12"/>
                <w:color w:val="auto"/>
              </w:rPr>
              <w:t>10,347,491</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2"/>
                <w:szCs w:val="12"/>
                <w:color w:val="auto"/>
              </w:rPr>
              <w:t>4,661,388</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2"/>
                <w:szCs w:val="12"/>
                <w:color w:val="auto"/>
              </w:rPr>
              <w:t>5,686,103</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2"/>
                <w:szCs w:val="12"/>
                <w:color w:val="auto"/>
              </w:rPr>
              <w:t>962,701</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2"/>
                <w:szCs w:val="12"/>
                <w:color w:val="auto"/>
              </w:rPr>
              <w:t>521,424</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2"/>
                <w:szCs w:val="12"/>
                <w:color w:val="auto"/>
              </w:rPr>
              <w:t>(39,945)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5"/>
        </w:trPr>
        <w:tc>
          <w:tcPr>
            <w:tcW w:w="1660" w:type="dxa"/>
            <w:vAlign w:val="bottom"/>
            <w:shd w:val="clear" w:color="auto" w:fill="CCEEFF"/>
          </w:tcPr>
          <w:p>
            <w:pPr>
              <w:spacing w:after="0" w:line="85" w:lineRule="exact"/>
              <w:rPr>
                <w:sz w:val="20"/>
                <w:szCs w:val="20"/>
                <w:color w:val="auto"/>
              </w:rPr>
            </w:pPr>
            <w:r>
              <w:rPr>
                <w:rFonts w:ascii="Times New Roman" w:cs="Times New Roman" w:eastAsia="Times New Roman" w:hAnsi="Times New Roman"/>
                <w:sz w:val="9"/>
                <w:szCs w:val="9"/>
                <w:color w:val="auto"/>
              </w:rPr>
              <w:t>Our investment in and share of</w:t>
            </w: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equity in loss of unconsolidated</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65"/>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2,295,889</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65"/>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(29,791)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entities</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0" w:type="dxa"/>
            <w:vAlign w:val="bottom"/>
            <w:gridSpan w:val="2"/>
            <w:vMerge w:val="continue"/>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0" w:type="dxa"/>
            <w:vAlign w:val="bottom"/>
            <w:gridSpan w:val="2"/>
            <w:vMerge w:val="continue"/>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1" w:lineRule="exact"/>
        <w:rPr>
          <w:sz w:val="20"/>
          <w:szCs w:val="20"/>
          <w:color w:val="auto"/>
        </w:rPr>
      </w:pPr>
    </w:p>
    <w:tbl>
      <w:tblPr>
        <w:tblLayout w:type="fixed"/>
        <w:tblInd w:w="320" w:type="dxa"/>
        <w:tblCellMar>
          <w:top w:w="0" w:type="dxa"/>
          <w:left w:w="0" w:type="dxa"/>
          <w:bottom w:w="0" w:type="dxa"/>
          <w:right w:w="0" w:type="dxa"/>
        </w:tblCellMar>
      </w:tblPr>
      <w:tr>
        <w:trPr>
          <w:trHeight w:val="144"/>
        </w:trPr>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Net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Net</w:t>
            </w:r>
          </w:p>
        </w:tc>
        <w:tc>
          <w:tcPr>
            <w:tcW w:w="0" w:type="dxa"/>
            <w:vAlign w:val="bottom"/>
          </w:tcPr>
          <w:p>
            <w:pPr>
              <w:spacing w:after="0"/>
              <w:rPr>
                <w:sz w:val="1"/>
                <w:szCs w:val="1"/>
                <w:color w:val="auto"/>
              </w:rPr>
            </w:pPr>
          </w:p>
        </w:tc>
      </w:tr>
      <w:tr>
        <w:trPr>
          <w:trHeight w:val="144"/>
        </w:trPr>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Operating</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Income</w:t>
            </w:r>
          </w:p>
        </w:tc>
        <w:tc>
          <w:tcPr>
            <w:tcW w:w="0" w:type="dxa"/>
            <w:vAlign w:val="bottom"/>
          </w:tcPr>
          <w:p>
            <w:pPr>
              <w:spacing w:after="0"/>
              <w:rPr>
                <w:sz w:val="1"/>
                <w:szCs w:val="1"/>
                <w:color w:val="auto"/>
              </w:rPr>
            </w:pPr>
          </w:p>
        </w:tc>
      </w:tr>
      <w:tr>
        <w:trPr>
          <w:trHeight w:val="159"/>
        </w:trPr>
        <w:tc>
          <w:tcPr>
            <w:tcW w:w="16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December 31, 2022</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Revenues</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(Loss)</w:t>
            </w:r>
          </w:p>
        </w:tc>
        <w:tc>
          <w:tcPr>
            <w:tcW w:w="0" w:type="dxa"/>
            <w:vAlign w:val="bottom"/>
          </w:tcPr>
          <w:p>
            <w:pPr>
              <w:spacing w:after="0"/>
              <w:rPr>
                <w:sz w:val="1"/>
                <w:szCs w:val="1"/>
                <w:color w:val="auto"/>
              </w:rPr>
            </w:pPr>
          </w:p>
        </w:tc>
      </w:tr>
      <w:tr>
        <w:trPr>
          <w:trHeight w:val="125"/>
        </w:trPr>
        <w:tc>
          <w:tcPr>
            <w:tcW w:w="1660" w:type="dxa"/>
            <w:vAlign w:val="bottom"/>
            <w:tcBorders>
              <w:top w:val="single" w:sz="8" w:color="auto"/>
            </w:tcBorders>
          </w:tcPr>
          <w:p>
            <w:pPr>
              <w:spacing w:after="0" w:line="125" w:lineRule="exact"/>
              <w:rPr>
                <w:sz w:val="20"/>
                <w:szCs w:val="20"/>
                <w:color w:val="auto"/>
              </w:rPr>
            </w:pPr>
            <w:r>
              <w:rPr>
                <w:rFonts w:ascii="Times New Roman" w:cs="Times New Roman" w:eastAsia="Times New Roman" w:hAnsi="Times New Roman"/>
                <w:sz w:val="12"/>
                <w:szCs w:val="12"/>
                <w:b w:val="1"/>
                <w:bCs w:val="1"/>
                <w:color w:val="auto"/>
              </w:rPr>
              <w:t>Unconsolidated entities</w:t>
            </w: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660" w:type="dxa"/>
            <w:vAlign w:val="bottom"/>
          </w:tcPr>
          <w:p>
            <w:pPr>
              <w:spacing w:after="0"/>
              <w:rPr>
                <w:sz w:val="20"/>
                <w:szCs w:val="20"/>
                <w:color w:val="auto"/>
              </w:rPr>
            </w:pPr>
            <w:r>
              <w:rPr>
                <w:rFonts w:ascii="Times New Roman" w:cs="Times New Roman" w:eastAsia="Times New Roman" w:hAnsi="Times New Roman"/>
                <w:sz w:val="12"/>
                <w:szCs w:val="12"/>
                <w:color w:val="auto"/>
              </w:rPr>
              <w:t>Americas</w:t>
            </w:r>
          </w:p>
        </w:tc>
        <w:tc>
          <w:tcPr>
            <w:tcW w:w="320" w:type="dxa"/>
            <w:vAlign w:val="bottom"/>
            <w:gridSpan w:val="2"/>
          </w:tcPr>
          <w:p>
            <w:pPr>
              <w:jc w:val="right"/>
              <w:ind w:right="85"/>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3,648,169</w:t>
            </w:r>
          </w:p>
        </w:tc>
        <w:tc>
          <w:tcPr>
            <w:tcW w:w="260" w:type="dxa"/>
            <w:vAlign w:val="bottom"/>
            <w:gridSpan w:val="2"/>
          </w:tcPr>
          <w:p>
            <w:pPr>
              <w:jc w:val="right"/>
              <w:ind w:right="25"/>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1,350,163</w:t>
            </w:r>
          </w:p>
        </w:tc>
        <w:tc>
          <w:tcPr>
            <w:tcW w:w="320" w:type="dxa"/>
            <w:vAlign w:val="bottom"/>
            <w:gridSpan w:val="2"/>
          </w:tcPr>
          <w:p>
            <w:pPr>
              <w:jc w:val="right"/>
              <w:ind w:right="65"/>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2,298,006</w:t>
            </w:r>
          </w:p>
        </w:tc>
        <w:tc>
          <w:tcPr>
            <w:tcW w:w="280" w:type="dxa"/>
            <w:vAlign w:val="bottom"/>
            <w:gridSpan w:val="2"/>
          </w:tcPr>
          <w:p>
            <w:pPr>
              <w:jc w:val="right"/>
              <w:ind w:right="25"/>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406,325</w:t>
            </w:r>
          </w:p>
        </w:tc>
        <w:tc>
          <w:tcPr>
            <w:tcW w:w="280" w:type="dxa"/>
            <w:vAlign w:val="bottom"/>
            <w:gridSpan w:val="2"/>
          </w:tcPr>
          <w:p>
            <w:pPr>
              <w:jc w:val="right"/>
              <w:ind w:right="25"/>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240,498</w:t>
            </w:r>
          </w:p>
        </w:tc>
        <w:tc>
          <w:tcPr>
            <w:tcW w:w="320" w:type="dxa"/>
            <w:vAlign w:val="bottom"/>
            <w:gridSpan w:val="2"/>
          </w:tcPr>
          <w:p>
            <w:pPr>
              <w:jc w:val="right"/>
              <w:ind w:right="65"/>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(38,874)</w:t>
            </w:r>
          </w:p>
        </w:tc>
        <w:tc>
          <w:tcPr>
            <w:tcW w:w="0" w:type="dxa"/>
            <w:vAlign w:val="bottom"/>
          </w:tcPr>
          <w:p>
            <w:pPr>
              <w:spacing w:after="0"/>
              <w:rPr>
                <w:sz w:val="1"/>
                <w:szCs w:val="1"/>
                <w:color w:val="auto"/>
              </w:rPr>
            </w:pPr>
          </w:p>
        </w:tc>
      </w:tr>
      <w:tr>
        <w:trPr>
          <w:trHeight w:val="144"/>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APAC</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1,705,553</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541,509</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1,164,044</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201,405</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90,924</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25,946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60" w:type="dxa"/>
            <w:vAlign w:val="bottom"/>
          </w:tcPr>
          <w:p>
            <w:pPr>
              <w:spacing w:after="0"/>
              <w:rPr>
                <w:sz w:val="20"/>
                <w:szCs w:val="20"/>
                <w:color w:val="auto"/>
              </w:rPr>
            </w:pPr>
            <w:r>
              <w:rPr>
                <w:rFonts w:ascii="Times New Roman" w:cs="Times New Roman" w:eastAsia="Times New Roman" w:hAnsi="Times New Roman"/>
                <w:sz w:val="12"/>
                <w:szCs w:val="12"/>
                <w:color w:val="auto"/>
              </w:rPr>
              <w:t>EMEA</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121,950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68,223</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53,727</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851</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Global</w:t>
            </w:r>
          </w:p>
        </w:tc>
        <w:tc>
          <w:tcPr>
            <w:tcW w:w="1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1,602,725</w:t>
            </w:r>
          </w:p>
        </w:tc>
        <w:tc>
          <w:tcPr>
            <w:tcW w:w="1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551,088</w:t>
            </w:r>
          </w:p>
        </w:tc>
        <w:tc>
          <w:tcPr>
            <w:tcW w:w="1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1,051,637</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118,233</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77,582</w:t>
            </w:r>
          </w:p>
        </w:tc>
        <w:tc>
          <w:tcPr>
            <w:tcW w:w="1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(19,455)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660" w:type="dxa"/>
            <w:vAlign w:val="bottom"/>
            <w:tcBorders>
              <w:bottom w:val="single" w:sz="8" w:color="CCEEFF"/>
            </w:tcBorders>
          </w:tcPr>
          <w:p>
            <w:pPr>
              <w:spacing w:after="0" w:line="136" w:lineRule="exact"/>
              <w:rPr>
                <w:sz w:val="20"/>
                <w:szCs w:val="20"/>
                <w:color w:val="auto"/>
              </w:rPr>
            </w:pPr>
            <w:r>
              <w:rPr>
                <w:rFonts w:ascii="Times New Roman" w:cs="Times New Roman" w:eastAsia="Times New Roman" w:hAnsi="Times New Roman"/>
                <w:sz w:val="12"/>
                <w:szCs w:val="12"/>
                <w:b w:val="1"/>
                <w:bCs w:val="1"/>
                <w:color w:val="auto"/>
              </w:rPr>
              <w:t>Total Unconsolidated entities</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2"/>
                <w:szCs w:val="12"/>
                <w:color w:val="auto"/>
              </w:rPr>
              <w:t>7,078,397</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2"/>
                <w:szCs w:val="12"/>
                <w:color w:val="auto"/>
              </w:rPr>
              <w:t>2,510,983</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2"/>
                <w:szCs w:val="12"/>
                <w:color w:val="auto"/>
              </w:rPr>
              <w:t>4,567,414</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2"/>
                <w:szCs w:val="12"/>
                <w:color w:val="auto"/>
              </w:rPr>
              <w:t>727,595</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2"/>
                <w:szCs w:val="12"/>
                <w:color w:val="auto"/>
              </w:rPr>
              <w:t>409,855</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2"/>
                <w:szCs w:val="12"/>
                <w:color w:val="auto"/>
              </w:rPr>
              <w:t>(37,858)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5"/>
        </w:trPr>
        <w:tc>
          <w:tcPr>
            <w:tcW w:w="1660" w:type="dxa"/>
            <w:vAlign w:val="bottom"/>
            <w:shd w:val="clear" w:color="auto" w:fill="CCEEFF"/>
          </w:tcPr>
          <w:p>
            <w:pPr>
              <w:spacing w:after="0" w:line="85" w:lineRule="exact"/>
              <w:rPr>
                <w:sz w:val="20"/>
                <w:szCs w:val="20"/>
                <w:color w:val="auto"/>
              </w:rPr>
            </w:pPr>
            <w:r>
              <w:rPr>
                <w:rFonts w:ascii="Times New Roman" w:cs="Times New Roman" w:eastAsia="Times New Roman" w:hAnsi="Times New Roman"/>
                <w:sz w:val="9"/>
                <w:szCs w:val="9"/>
                <w:color w:val="auto"/>
              </w:rPr>
              <w:t>Our investment in and share of</w:t>
            </w: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equity in earnings of</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65"/>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1,991,426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65"/>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unconsolidated entities</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0" w:type="dxa"/>
            <w:vAlign w:val="bottom"/>
            <w:gridSpan w:val="2"/>
            <w:vMerge w:val="continue"/>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0" w:type="dxa"/>
            <w:vAlign w:val="bottom"/>
            <w:gridSpan w:val="2"/>
            <w:vMerge w:val="continue"/>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ind w:left="320" w:right="740" w:firstLine="288"/>
        <w:spacing w:after="0" w:line="259" w:lineRule="auto"/>
        <w:rPr>
          <w:sz w:val="20"/>
          <w:szCs w:val="20"/>
          <w:color w:val="auto"/>
        </w:rPr>
      </w:pPr>
      <w:r>
        <w:rPr>
          <w:rFonts w:ascii="Times New Roman" w:cs="Times New Roman" w:eastAsia="Times New Roman" w:hAnsi="Times New Roman"/>
          <w:sz w:val="16"/>
          <w:szCs w:val="16"/>
          <w:color w:val="auto"/>
        </w:rPr>
        <w:t>The amounts reflected in the previous tables on this topic are based on the historical financial information of the respective individual entities and have not been adjusted to show only the portion that is owned by the Company. The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32" w:name="page133"/>
    <w:bookmarkEnd w:id="132"/>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 and 2023</w:t>
      </w:r>
    </w:p>
    <w:p>
      <w:pPr>
        <w:spacing w:after="0" w:line="202" w:lineRule="exact"/>
        <w:rPr>
          <w:sz w:val="20"/>
          <w:szCs w:val="20"/>
          <w:color w:val="auto"/>
        </w:rPr>
      </w:pPr>
    </w:p>
    <w:p>
      <w:pPr>
        <w:ind w:left="320" w:right="660"/>
        <w:spacing w:after="0" w:line="259" w:lineRule="auto"/>
        <w:rPr>
          <w:sz w:val="20"/>
          <w:szCs w:val="20"/>
          <w:color w:val="auto"/>
        </w:rPr>
      </w:pPr>
      <w:r>
        <w:rPr>
          <w:rFonts w:ascii="Times New Roman" w:cs="Times New Roman" w:eastAsia="Times New Roman" w:hAnsi="Times New Roman"/>
          <w:sz w:val="16"/>
          <w:szCs w:val="16"/>
          <w:color w:val="auto"/>
        </w:rPr>
        <w:t>debt of our unconsolidated entities generally is non-recourse to us, except for customary exceptions pertaining to such matters as intentional misuse of funds, environmental conditions, and material misrepresentations.</w:t>
      </w:r>
    </w:p>
    <w:p>
      <w:pPr>
        <w:spacing w:after="0" w:line="1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9. Goodwill</w:t>
      </w:r>
    </w:p>
    <w:p>
      <w:pPr>
        <w:spacing w:after="0" w:line="190" w:lineRule="exact"/>
        <w:rPr>
          <w:sz w:val="20"/>
          <w:szCs w:val="20"/>
          <w:color w:val="auto"/>
        </w:rPr>
      </w:pPr>
    </w:p>
    <w:p>
      <w:pPr>
        <w:jc w:val="both"/>
        <w:ind w:left="320" w:right="520"/>
        <w:spacing w:after="0" w:line="247" w:lineRule="auto"/>
        <w:rPr>
          <w:sz w:val="20"/>
          <w:szCs w:val="20"/>
          <w:color w:val="auto"/>
        </w:rPr>
      </w:pPr>
      <w:r>
        <w:rPr>
          <w:rFonts w:ascii="Times New Roman" w:cs="Times New Roman" w:eastAsia="Times New Roman" w:hAnsi="Times New Roman"/>
          <w:sz w:val="16"/>
          <w:szCs w:val="16"/>
          <w:color w:val="auto"/>
        </w:rPr>
        <w:t>Goodwill represents the excess of the purchase price over the fair value of net tangible and intangible assets acquired in a business combination. Changes in the value of goodwill at December 31, 2024 as compared to December 31, 2023 were primarily driven by changes in exchange rates associated with goodwill balances denominated in foreign currencies.</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following is a summary of goodwill activity for the years ended December 31, 2024 and 2023 (in thousands):</w:t>
      </w:r>
    </w:p>
    <w:p>
      <w:pPr>
        <w:spacing w:after="0" w:line="200" w:lineRule="exact"/>
        <w:rPr>
          <w:sz w:val="20"/>
          <w:szCs w:val="20"/>
          <w:color w:val="auto"/>
        </w:rPr>
      </w:pPr>
    </w:p>
    <w:tbl>
      <w:tblPr>
        <w:tblLayout w:type="fixed"/>
        <w:tblInd w:w="320" w:type="dxa"/>
        <w:tblCellMar>
          <w:top w:w="0" w:type="dxa"/>
          <w:left w:w="0" w:type="dxa"/>
          <w:bottom w:w="0" w:type="dxa"/>
          <w:right w:w="0" w:type="dxa"/>
        </w:tblCellMar>
      </w:tblPr>
      <w:tr>
        <w:trPr>
          <w:trHeight w:val="156"/>
        </w:trPr>
        <w:tc>
          <w:tcPr>
            <w:tcW w:w="2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center"/>
              <w:ind w:right="46"/>
              <w:spacing w:after="0"/>
              <w:rPr>
                <w:sz w:val="20"/>
                <w:szCs w:val="20"/>
                <w:color w:val="auto"/>
              </w:rPr>
            </w:pPr>
            <w:r>
              <w:rPr>
                <w:rFonts w:ascii="Times New Roman" w:cs="Times New Roman" w:eastAsia="Times New Roman" w:hAnsi="Times New Roman"/>
                <w:sz w:val="13"/>
                <w:szCs w:val="13"/>
                <w:b w:val="1"/>
                <w:bCs w:val="1"/>
                <w:color w:val="auto"/>
              </w:rPr>
              <w:t>Balance as of</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Impact of Change</w:t>
            </w:r>
          </w:p>
        </w:tc>
        <w:tc>
          <w:tcPr>
            <w:tcW w:w="80" w:type="dxa"/>
            <w:vAlign w:val="bottom"/>
          </w:tcPr>
          <w:p>
            <w:pPr>
              <w:spacing w:after="0"/>
              <w:rPr>
                <w:sz w:val="13"/>
                <w:szCs w:val="13"/>
                <w:color w:val="auto"/>
              </w:rPr>
            </w:pPr>
          </w:p>
        </w:tc>
        <w:tc>
          <w:tcPr>
            <w:tcW w:w="920" w:type="dxa"/>
            <w:vAlign w:val="bottom"/>
          </w:tcPr>
          <w:p>
            <w:pPr>
              <w:jc w:val="center"/>
              <w:ind w:right="26"/>
              <w:spacing w:after="0"/>
              <w:rPr>
                <w:sz w:val="20"/>
                <w:szCs w:val="20"/>
                <w:color w:val="auto"/>
              </w:rPr>
            </w:pPr>
            <w:r>
              <w:rPr>
                <w:rFonts w:ascii="Times New Roman" w:cs="Times New Roman" w:eastAsia="Times New Roman" w:hAnsi="Times New Roman"/>
                <w:sz w:val="13"/>
                <w:szCs w:val="13"/>
                <w:b w:val="1"/>
                <w:bCs w:val="1"/>
                <w:color w:val="auto"/>
              </w:rPr>
              <w:t>Balance as of</w:t>
            </w:r>
          </w:p>
        </w:tc>
        <w:tc>
          <w:tcPr>
            <w:tcW w:w="20" w:type="dxa"/>
            <w:vAlign w:val="bottom"/>
          </w:tcPr>
          <w:p>
            <w:pPr>
              <w:spacing w:after="0"/>
              <w:rPr>
                <w:sz w:val="13"/>
                <w:szCs w:val="13"/>
                <w:color w:val="auto"/>
              </w:rPr>
            </w:pPr>
          </w:p>
        </w:tc>
      </w:tr>
      <w:tr>
        <w:trPr>
          <w:trHeight w:val="156"/>
        </w:trPr>
        <w:tc>
          <w:tcPr>
            <w:tcW w:w="2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center"/>
              <w:ind w:right="46"/>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center"/>
              <w:ind w:right="25"/>
              <w:spacing w:after="0"/>
              <w:rPr>
                <w:sz w:val="20"/>
                <w:szCs w:val="20"/>
                <w:color w:val="auto"/>
              </w:rPr>
            </w:pPr>
            <w:r>
              <w:rPr>
                <w:rFonts w:ascii="Times New Roman" w:cs="Times New Roman" w:eastAsia="Times New Roman" w:hAnsi="Times New Roman"/>
                <w:sz w:val="13"/>
                <w:szCs w:val="13"/>
                <w:b w:val="1"/>
                <w:bCs w:val="1"/>
                <w:color w:val="auto"/>
              </w:rPr>
              <w:t>Goodwill</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in Foreign</w:t>
            </w:r>
          </w:p>
        </w:tc>
        <w:tc>
          <w:tcPr>
            <w:tcW w:w="80" w:type="dxa"/>
            <w:vAlign w:val="bottom"/>
          </w:tcPr>
          <w:p>
            <w:pPr>
              <w:spacing w:after="0"/>
              <w:rPr>
                <w:sz w:val="13"/>
                <w:szCs w:val="13"/>
                <w:color w:val="auto"/>
              </w:rPr>
            </w:pPr>
          </w:p>
        </w:tc>
        <w:tc>
          <w:tcPr>
            <w:tcW w:w="920" w:type="dxa"/>
            <w:vAlign w:val="bottom"/>
          </w:tcPr>
          <w:p>
            <w:pPr>
              <w:jc w:val="center"/>
              <w:ind w:right="26"/>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0" w:type="dxa"/>
            <w:vAlign w:val="bottom"/>
          </w:tcPr>
          <w:p>
            <w:pPr>
              <w:spacing w:after="0"/>
              <w:rPr>
                <w:sz w:val="13"/>
                <w:szCs w:val="13"/>
                <w:color w:val="auto"/>
              </w:rPr>
            </w:pPr>
          </w:p>
        </w:tc>
      </w:tr>
      <w:tr>
        <w:trPr>
          <w:trHeight w:val="170"/>
        </w:trPr>
        <w:tc>
          <w:tcPr>
            <w:tcW w:w="25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Merger / Portfolio Acquisition</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center"/>
              <w:ind w:right="6"/>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Acquisition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25"/>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Exchange Rates</w:t>
            </w:r>
          </w:p>
        </w:tc>
        <w:tc>
          <w:tcPr>
            <w:tcW w:w="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20" w:type="dxa"/>
            <w:vAlign w:val="bottom"/>
          </w:tcPr>
          <w:p>
            <w:pPr>
              <w:spacing w:after="0"/>
              <w:rPr>
                <w:sz w:val="14"/>
                <w:szCs w:val="14"/>
                <w:color w:val="auto"/>
              </w:rPr>
            </w:pPr>
          </w:p>
        </w:tc>
      </w:tr>
      <w:tr>
        <w:trPr>
          <w:trHeight w:val="172"/>
        </w:trPr>
        <w:tc>
          <w:tcPr>
            <w:tcW w:w="2560" w:type="dxa"/>
            <w:vAlign w:val="bottom"/>
            <w:tcBorders>
              <w:top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Telx Acquisition</w:t>
            </w:r>
          </w:p>
        </w:tc>
        <w:tc>
          <w:tcPr>
            <w:tcW w:w="1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330,845</w:t>
            </w: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330,845</w:t>
            </w:r>
          </w:p>
        </w:tc>
        <w:tc>
          <w:tcPr>
            <w:tcW w:w="20" w:type="dxa"/>
            <w:vAlign w:val="bottom"/>
            <w:tcBorders>
              <w:top w:val="single" w:sz="8" w:color="auto"/>
            </w:tcBorders>
            <w:shd w:val="clear" w:color="auto" w:fill="CCEEFF"/>
          </w:tcPr>
          <w:p>
            <w:pPr>
              <w:spacing w:after="0"/>
              <w:rPr>
                <w:sz w:val="14"/>
                <w:szCs w:val="14"/>
                <w:color w:val="auto"/>
              </w:rPr>
            </w:pPr>
          </w:p>
        </w:tc>
      </w:tr>
      <w:tr>
        <w:trPr>
          <w:trHeight w:val="180"/>
        </w:trPr>
        <w:tc>
          <w:tcPr>
            <w:tcW w:w="2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European Portfolio Acquisition</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429,510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(14,533)</w:t>
            </w:r>
          </w:p>
        </w:tc>
        <w:tc>
          <w:tcPr>
            <w:tcW w:w="8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414,977</w:t>
            </w:r>
          </w:p>
        </w:tc>
        <w:tc>
          <w:tcPr>
            <w:tcW w:w="20" w:type="dxa"/>
            <w:vAlign w:val="bottom"/>
          </w:tcPr>
          <w:p>
            <w:pPr>
              <w:spacing w:after="0"/>
              <w:rPr>
                <w:sz w:val="15"/>
                <w:szCs w:val="15"/>
                <w:color w:val="auto"/>
              </w:rPr>
            </w:pPr>
          </w:p>
        </w:tc>
      </w:tr>
      <w:tr>
        <w:trPr>
          <w:trHeight w:val="180"/>
        </w:trPr>
        <w:tc>
          <w:tcPr>
            <w:tcW w:w="25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DFT Merger</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2,592,147</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2,592,147</w:t>
            </w:r>
          </w:p>
        </w:tc>
        <w:tc>
          <w:tcPr>
            <w:tcW w:w="20" w:type="dxa"/>
            <w:vAlign w:val="bottom"/>
            <w:shd w:val="clear" w:color="auto" w:fill="CCEEFF"/>
          </w:tcPr>
          <w:p>
            <w:pPr>
              <w:spacing w:after="0"/>
              <w:rPr>
                <w:sz w:val="15"/>
                <w:szCs w:val="15"/>
                <w:color w:val="auto"/>
              </w:rPr>
            </w:pPr>
          </w:p>
        </w:tc>
      </w:tr>
      <w:tr>
        <w:trPr>
          <w:trHeight w:val="180"/>
        </w:trPr>
        <w:tc>
          <w:tcPr>
            <w:tcW w:w="2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Interxion Combination</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4,411,857</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598</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(259,139)</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4,153,316</w:t>
            </w:r>
          </w:p>
        </w:tc>
        <w:tc>
          <w:tcPr>
            <w:tcW w:w="20" w:type="dxa"/>
            <w:vAlign w:val="bottom"/>
          </w:tcPr>
          <w:p>
            <w:pPr>
              <w:spacing w:after="0"/>
              <w:rPr>
                <w:sz w:val="15"/>
                <w:szCs w:val="15"/>
                <w:color w:val="auto"/>
              </w:rPr>
            </w:pPr>
          </w:p>
        </w:tc>
      </w:tr>
      <w:tr>
        <w:trPr>
          <w:trHeight w:val="180"/>
        </w:trPr>
        <w:tc>
          <w:tcPr>
            <w:tcW w:w="25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Teraco Combination</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1,462,994</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(37,366)</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1,425,628</w:t>
            </w:r>
          </w:p>
        </w:tc>
        <w:tc>
          <w:tcPr>
            <w:tcW w:w="20" w:type="dxa"/>
            <w:vAlign w:val="bottom"/>
            <w:shd w:val="clear" w:color="auto" w:fill="CCEEFF"/>
          </w:tcPr>
          <w:p>
            <w:pPr>
              <w:spacing w:after="0"/>
              <w:rPr>
                <w:sz w:val="15"/>
                <w:szCs w:val="15"/>
                <w:color w:val="auto"/>
              </w:rPr>
            </w:pPr>
          </w:p>
        </w:tc>
      </w:tr>
      <w:tr>
        <w:trPr>
          <w:trHeight w:val="180"/>
        </w:trPr>
        <w:tc>
          <w:tcPr>
            <w:tcW w:w="2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Combination</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12,518</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12,518</w:t>
            </w:r>
          </w:p>
        </w:tc>
        <w:tc>
          <w:tcPr>
            <w:tcW w:w="20" w:type="dxa"/>
            <w:vAlign w:val="bottom"/>
          </w:tcPr>
          <w:p>
            <w:pPr>
              <w:spacing w:after="0"/>
              <w:rPr>
                <w:sz w:val="15"/>
                <w:szCs w:val="15"/>
                <w:color w:val="auto"/>
              </w:rPr>
            </w:pPr>
          </w:p>
        </w:tc>
      </w:tr>
      <w:tr>
        <w:trPr>
          <w:trHeight w:val="172"/>
        </w:trPr>
        <w:tc>
          <w:tcPr>
            <w:tcW w:w="2560" w:type="dxa"/>
            <w:vAlign w:val="bottom"/>
            <w:tcBorders>
              <w:top w:val="single" w:sz="8" w:color="CCEEFF"/>
              <w:bottom w:val="single" w:sz="8" w:color="CCEEFF"/>
            </w:tcBorders>
            <w:shd w:val="clear" w:color="auto" w:fill="CCEEFF"/>
          </w:tcPr>
          <w:p>
            <w:pPr>
              <w:ind w:left="100"/>
              <w:spacing w:after="0" w:line="172" w:lineRule="exact"/>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9,239,871</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598</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(311,038)</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8,929,431</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r>
      <w:tr>
        <w:trPr>
          <w:trHeight w:val="20"/>
        </w:trPr>
        <w:tc>
          <w:tcPr>
            <w:tcW w:w="2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98"/>
        </w:trPr>
        <w:tc>
          <w:tcPr>
            <w:tcW w:w="2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jc w:val="center"/>
              <w:ind w:right="46"/>
              <w:spacing w:after="0"/>
              <w:rPr>
                <w:sz w:val="20"/>
                <w:szCs w:val="20"/>
                <w:color w:val="auto"/>
              </w:rPr>
            </w:pPr>
            <w:r>
              <w:rPr>
                <w:rFonts w:ascii="Times New Roman" w:cs="Times New Roman" w:eastAsia="Times New Roman" w:hAnsi="Times New Roman"/>
                <w:sz w:val="13"/>
                <w:szCs w:val="13"/>
                <w:b w:val="1"/>
                <w:bCs w:val="1"/>
                <w:color w:val="auto"/>
              </w:rPr>
              <w:t>Balance as of</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Impact of Change</w:t>
            </w:r>
          </w:p>
        </w:tc>
        <w:tc>
          <w:tcPr>
            <w:tcW w:w="80" w:type="dxa"/>
            <w:vAlign w:val="bottom"/>
          </w:tcPr>
          <w:p>
            <w:pPr>
              <w:spacing w:after="0"/>
              <w:rPr>
                <w:sz w:val="24"/>
                <w:szCs w:val="24"/>
                <w:color w:val="auto"/>
              </w:rPr>
            </w:pPr>
          </w:p>
        </w:tc>
        <w:tc>
          <w:tcPr>
            <w:tcW w:w="920" w:type="dxa"/>
            <w:vAlign w:val="bottom"/>
          </w:tcPr>
          <w:p>
            <w:pPr>
              <w:jc w:val="center"/>
              <w:ind w:right="26"/>
              <w:spacing w:after="0"/>
              <w:rPr>
                <w:sz w:val="20"/>
                <w:szCs w:val="20"/>
                <w:color w:val="auto"/>
              </w:rPr>
            </w:pPr>
            <w:r>
              <w:rPr>
                <w:rFonts w:ascii="Times New Roman" w:cs="Times New Roman" w:eastAsia="Times New Roman" w:hAnsi="Times New Roman"/>
                <w:sz w:val="13"/>
                <w:szCs w:val="13"/>
                <w:b w:val="1"/>
                <w:bCs w:val="1"/>
                <w:color w:val="auto"/>
              </w:rPr>
              <w:t>Balance as of</w:t>
            </w:r>
          </w:p>
        </w:tc>
        <w:tc>
          <w:tcPr>
            <w:tcW w:w="20" w:type="dxa"/>
            <w:vAlign w:val="bottom"/>
          </w:tcPr>
          <w:p>
            <w:pPr>
              <w:spacing w:after="0"/>
              <w:rPr>
                <w:sz w:val="24"/>
                <w:szCs w:val="24"/>
                <w:color w:val="auto"/>
              </w:rPr>
            </w:pPr>
          </w:p>
        </w:tc>
      </w:tr>
      <w:tr>
        <w:trPr>
          <w:trHeight w:val="156"/>
        </w:trPr>
        <w:tc>
          <w:tcPr>
            <w:tcW w:w="2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center"/>
              <w:ind w:right="46"/>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center"/>
              <w:ind w:right="25"/>
              <w:spacing w:after="0"/>
              <w:rPr>
                <w:sz w:val="20"/>
                <w:szCs w:val="20"/>
                <w:color w:val="auto"/>
              </w:rPr>
            </w:pPr>
            <w:r>
              <w:rPr>
                <w:rFonts w:ascii="Times New Roman" w:cs="Times New Roman" w:eastAsia="Times New Roman" w:hAnsi="Times New Roman"/>
                <w:sz w:val="13"/>
                <w:szCs w:val="13"/>
                <w:b w:val="1"/>
                <w:bCs w:val="1"/>
                <w:color w:val="auto"/>
              </w:rPr>
              <w:t>Goodwill</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in Foreign</w:t>
            </w:r>
          </w:p>
        </w:tc>
        <w:tc>
          <w:tcPr>
            <w:tcW w:w="80" w:type="dxa"/>
            <w:vAlign w:val="bottom"/>
          </w:tcPr>
          <w:p>
            <w:pPr>
              <w:spacing w:after="0"/>
              <w:rPr>
                <w:sz w:val="13"/>
                <w:szCs w:val="13"/>
                <w:color w:val="auto"/>
              </w:rPr>
            </w:pPr>
          </w:p>
        </w:tc>
        <w:tc>
          <w:tcPr>
            <w:tcW w:w="920" w:type="dxa"/>
            <w:vAlign w:val="bottom"/>
          </w:tcPr>
          <w:p>
            <w:pPr>
              <w:jc w:val="center"/>
              <w:ind w:right="26"/>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0" w:type="dxa"/>
            <w:vAlign w:val="bottom"/>
          </w:tcPr>
          <w:p>
            <w:pPr>
              <w:spacing w:after="0"/>
              <w:rPr>
                <w:sz w:val="13"/>
                <w:szCs w:val="13"/>
                <w:color w:val="auto"/>
              </w:rPr>
            </w:pPr>
          </w:p>
        </w:tc>
      </w:tr>
      <w:tr>
        <w:trPr>
          <w:trHeight w:val="170"/>
        </w:trPr>
        <w:tc>
          <w:tcPr>
            <w:tcW w:w="25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Merger / Portfolio Acquisition</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center"/>
              <w:ind w:right="6"/>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Acquisition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25"/>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Exchange Rates</w:t>
            </w:r>
          </w:p>
        </w:tc>
        <w:tc>
          <w:tcPr>
            <w:tcW w:w="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20" w:type="dxa"/>
            <w:vAlign w:val="bottom"/>
          </w:tcPr>
          <w:p>
            <w:pPr>
              <w:spacing w:after="0"/>
              <w:rPr>
                <w:sz w:val="14"/>
                <w:szCs w:val="14"/>
                <w:color w:val="auto"/>
              </w:rPr>
            </w:pPr>
          </w:p>
        </w:tc>
      </w:tr>
      <w:tr>
        <w:trPr>
          <w:trHeight w:val="172"/>
        </w:trPr>
        <w:tc>
          <w:tcPr>
            <w:tcW w:w="2560" w:type="dxa"/>
            <w:vAlign w:val="bottom"/>
            <w:tcBorders>
              <w:top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Telx Acquisition</w:t>
            </w:r>
          </w:p>
        </w:tc>
        <w:tc>
          <w:tcPr>
            <w:tcW w:w="1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330,845</w:t>
            </w: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330,845</w:t>
            </w:r>
          </w:p>
        </w:tc>
        <w:tc>
          <w:tcPr>
            <w:tcW w:w="20" w:type="dxa"/>
            <w:vAlign w:val="bottom"/>
            <w:tcBorders>
              <w:top w:val="single" w:sz="8" w:color="auto"/>
            </w:tcBorders>
            <w:shd w:val="clear" w:color="auto" w:fill="CCEEFF"/>
          </w:tcPr>
          <w:p>
            <w:pPr>
              <w:spacing w:after="0"/>
              <w:rPr>
                <w:sz w:val="14"/>
                <w:szCs w:val="14"/>
                <w:color w:val="auto"/>
              </w:rPr>
            </w:pPr>
          </w:p>
        </w:tc>
      </w:tr>
      <w:tr>
        <w:trPr>
          <w:trHeight w:val="180"/>
        </w:trPr>
        <w:tc>
          <w:tcPr>
            <w:tcW w:w="2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European Portfolio Acquisition</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408,055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3,011</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18,444</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429,510</w:t>
            </w:r>
          </w:p>
        </w:tc>
        <w:tc>
          <w:tcPr>
            <w:tcW w:w="20" w:type="dxa"/>
            <w:vAlign w:val="bottom"/>
          </w:tcPr>
          <w:p>
            <w:pPr>
              <w:spacing w:after="0"/>
              <w:rPr>
                <w:sz w:val="15"/>
                <w:szCs w:val="15"/>
                <w:color w:val="auto"/>
              </w:rPr>
            </w:pPr>
          </w:p>
        </w:tc>
      </w:tr>
      <w:tr>
        <w:trPr>
          <w:trHeight w:val="180"/>
        </w:trPr>
        <w:tc>
          <w:tcPr>
            <w:tcW w:w="25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DFT Merger</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2,592,147</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2,592,147</w:t>
            </w:r>
          </w:p>
        </w:tc>
        <w:tc>
          <w:tcPr>
            <w:tcW w:w="20" w:type="dxa"/>
            <w:vAlign w:val="bottom"/>
            <w:shd w:val="clear" w:color="auto" w:fill="CCEEFF"/>
          </w:tcPr>
          <w:p>
            <w:pPr>
              <w:spacing w:after="0"/>
              <w:rPr>
                <w:sz w:val="15"/>
                <w:szCs w:val="15"/>
                <w:color w:val="auto"/>
              </w:rPr>
            </w:pPr>
          </w:p>
        </w:tc>
      </w:tr>
      <w:tr>
        <w:trPr>
          <w:trHeight w:val="180"/>
        </w:trPr>
        <w:tc>
          <w:tcPr>
            <w:tcW w:w="2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Interxion Combination</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4,288,208</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4,843</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118,806</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4,411,857</w:t>
            </w:r>
          </w:p>
        </w:tc>
        <w:tc>
          <w:tcPr>
            <w:tcW w:w="20" w:type="dxa"/>
            <w:vAlign w:val="bottom"/>
          </w:tcPr>
          <w:p>
            <w:pPr>
              <w:spacing w:after="0"/>
              <w:rPr>
                <w:sz w:val="15"/>
                <w:szCs w:val="15"/>
                <w:color w:val="auto"/>
              </w:rPr>
            </w:pPr>
          </w:p>
        </w:tc>
      </w:tr>
      <w:tr>
        <w:trPr>
          <w:trHeight w:val="180"/>
        </w:trPr>
        <w:tc>
          <w:tcPr>
            <w:tcW w:w="25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Teraco Combination</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1,576,704</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(113,710)</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1,462,994</w:t>
            </w:r>
          </w:p>
        </w:tc>
        <w:tc>
          <w:tcPr>
            <w:tcW w:w="20" w:type="dxa"/>
            <w:vAlign w:val="bottom"/>
            <w:shd w:val="clear" w:color="auto" w:fill="CCEEFF"/>
          </w:tcPr>
          <w:p>
            <w:pPr>
              <w:spacing w:after="0"/>
              <w:rPr>
                <w:sz w:val="15"/>
                <w:szCs w:val="15"/>
                <w:color w:val="auto"/>
              </w:rPr>
            </w:pPr>
          </w:p>
        </w:tc>
      </w:tr>
      <w:tr>
        <w:trPr>
          <w:trHeight w:val="180"/>
        </w:trPr>
        <w:tc>
          <w:tcPr>
            <w:tcW w:w="2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Combination</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12,538</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12,518</w:t>
            </w:r>
          </w:p>
        </w:tc>
        <w:tc>
          <w:tcPr>
            <w:tcW w:w="20" w:type="dxa"/>
            <w:vAlign w:val="bottom"/>
          </w:tcPr>
          <w:p>
            <w:pPr>
              <w:spacing w:after="0"/>
              <w:rPr>
                <w:sz w:val="15"/>
                <w:szCs w:val="15"/>
                <w:color w:val="auto"/>
              </w:rPr>
            </w:pPr>
          </w:p>
        </w:tc>
      </w:tr>
      <w:tr>
        <w:trPr>
          <w:trHeight w:val="172"/>
        </w:trPr>
        <w:tc>
          <w:tcPr>
            <w:tcW w:w="2560" w:type="dxa"/>
            <w:vAlign w:val="bottom"/>
            <w:tcBorders>
              <w:top w:val="single" w:sz="8" w:color="CCEEFF"/>
              <w:bottom w:val="single" w:sz="8" w:color="CCEEFF"/>
            </w:tcBorders>
            <w:shd w:val="clear" w:color="auto" w:fill="CCEEFF"/>
          </w:tcPr>
          <w:p>
            <w:pPr>
              <w:ind w:left="100"/>
              <w:spacing w:after="0" w:line="172" w:lineRule="exact"/>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9,208,497</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7,834</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23,540</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9,239,871</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r>
      <w:tr>
        <w:trPr>
          <w:trHeight w:val="20"/>
        </w:trPr>
        <w:tc>
          <w:tcPr>
            <w:tcW w:w="2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754"/>
        </w:trPr>
        <w:tc>
          <w:tcPr>
            <w:tcW w:w="2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128</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4"/>
        </w:trPr>
        <w:tc>
          <w:tcPr>
            <w:tcW w:w="2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40" w:orient="portrait"/>
          <w:cols w:equalWidth="0" w:num="1">
            <w:col w:w="9020"/>
          </w:cols>
          <w:pgMar w:left="1440" w:top="557" w:right="1440" w:bottom="1440" w:gutter="0" w:footer="0" w:header="0"/>
        </w:sectPr>
      </w:pPr>
    </w:p>
    <w:bookmarkStart w:id="133" w:name="page134"/>
    <w:bookmarkEnd w:id="133"/>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 and 2023</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10. Acquired Intangible Assets and Liabilities</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following table summarizes our acquired intangible assets and liabilities:</w:t>
      </w:r>
    </w:p>
    <w:p>
      <w:pPr>
        <w:spacing w:after="0" w:line="186" w:lineRule="exact"/>
        <w:rPr>
          <w:sz w:val="20"/>
          <w:szCs w:val="20"/>
          <w:color w:val="auto"/>
        </w:rPr>
      </w:pPr>
    </w:p>
    <w:tbl>
      <w:tblPr>
        <w:tblLayout w:type="fixed"/>
        <w:tblInd w:w="280" w:type="dxa"/>
        <w:tblCellMar>
          <w:top w:w="0" w:type="dxa"/>
          <w:left w:w="0" w:type="dxa"/>
          <w:bottom w:w="0" w:type="dxa"/>
          <w:right w:w="0" w:type="dxa"/>
        </w:tblCellMar>
      </w:tblPr>
      <w:tr>
        <w:trPr>
          <w:trHeight w:val="159"/>
        </w:trPr>
        <w:tc>
          <w:tcPr>
            <w:tcW w:w="1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5"/>
          </w:tcPr>
          <w:p>
            <w:pPr>
              <w:jc w:val="right"/>
              <w:ind w:right="840"/>
              <w:spacing w:after="0"/>
              <w:rPr>
                <w:sz w:val="20"/>
                <w:szCs w:val="20"/>
                <w:color w:val="auto"/>
              </w:rPr>
            </w:pPr>
            <w:r>
              <w:rPr>
                <w:rFonts w:ascii="Times New Roman" w:cs="Times New Roman" w:eastAsia="Times New Roman" w:hAnsi="Times New Roman"/>
                <w:sz w:val="12"/>
                <w:szCs w:val="12"/>
                <w:b w:val="1"/>
                <w:bCs w:val="1"/>
                <w:color w:val="auto"/>
              </w:rPr>
              <w:t>Balance as of</w:t>
            </w: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r>
      <w:tr>
        <w:trPr>
          <w:trHeight w:val="136"/>
        </w:trPr>
        <w:tc>
          <w:tcPr>
            <w:tcW w:w="1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3"/>
          </w:tcPr>
          <w:p>
            <w:pPr>
              <w:ind w:left="40"/>
              <w:spacing w:after="0" w:line="136" w:lineRule="exact"/>
              <w:rPr>
                <w:sz w:val="20"/>
                <w:szCs w:val="20"/>
                <w:color w:val="auto"/>
              </w:rPr>
            </w:pPr>
            <w:r>
              <w:rPr>
                <w:rFonts w:ascii="Times New Roman" w:cs="Times New Roman" w:eastAsia="Times New Roman" w:hAnsi="Times New Roman"/>
                <w:sz w:val="12"/>
                <w:szCs w:val="12"/>
                <w:b w:val="1"/>
                <w:bCs w:val="1"/>
                <w:color w:val="auto"/>
              </w:rPr>
              <w:t>December 31, 2024</w:t>
            </w: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3"/>
          </w:tcPr>
          <w:p>
            <w:pPr>
              <w:ind w:left="60"/>
              <w:spacing w:after="0" w:line="136" w:lineRule="exact"/>
              <w:rPr>
                <w:sz w:val="20"/>
                <w:szCs w:val="20"/>
                <w:color w:val="auto"/>
              </w:rPr>
            </w:pPr>
            <w:r>
              <w:rPr>
                <w:rFonts w:ascii="Times New Roman" w:cs="Times New Roman" w:eastAsia="Times New Roman" w:hAnsi="Times New Roman"/>
                <w:sz w:val="12"/>
                <w:szCs w:val="12"/>
                <w:b w:val="1"/>
                <w:bCs w:val="1"/>
                <w:color w:val="auto"/>
              </w:rPr>
              <w:t>December 31, 2023</w:t>
            </w:r>
          </w:p>
        </w:tc>
        <w:tc>
          <w:tcPr>
            <w:tcW w:w="1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r>
      <w:tr>
        <w:trPr>
          <w:trHeight w:val="121"/>
        </w:trPr>
        <w:tc>
          <w:tcPr>
            <w:tcW w:w="1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120"/>
              <w:spacing w:after="0" w:line="121" w:lineRule="exact"/>
              <w:rPr>
                <w:sz w:val="20"/>
                <w:szCs w:val="20"/>
                <w:color w:val="auto"/>
              </w:rPr>
            </w:pPr>
            <w:r>
              <w:rPr>
                <w:rFonts w:ascii="Times New Roman" w:cs="Times New Roman" w:eastAsia="Times New Roman" w:hAnsi="Times New Roman"/>
                <w:sz w:val="12"/>
                <w:szCs w:val="12"/>
                <w:b w:val="1"/>
                <w:bCs w:val="1"/>
                <w:color w:val="auto"/>
                <w:w w:val="99"/>
              </w:rPr>
              <w:t>Gross Carrying</w:t>
            </w:r>
          </w:p>
        </w:tc>
        <w:tc>
          <w:tcPr>
            <w:tcW w:w="140" w:type="dxa"/>
            <w:vAlign w:val="bottom"/>
          </w:tcPr>
          <w:p>
            <w:pPr>
              <w:spacing w:after="0"/>
              <w:rPr>
                <w:sz w:val="10"/>
                <w:szCs w:val="10"/>
                <w:color w:val="auto"/>
              </w:rPr>
            </w:pPr>
          </w:p>
        </w:tc>
        <w:tc>
          <w:tcPr>
            <w:tcW w:w="1040" w:type="dxa"/>
            <w:vAlign w:val="bottom"/>
            <w:gridSpan w:val="2"/>
          </w:tcPr>
          <w:p>
            <w:pPr>
              <w:ind w:left="100"/>
              <w:spacing w:after="0" w:line="121"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10"/>
                <w:szCs w:val="10"/>
                <w:color w:val="auto"/>
              </w:rPr>
            </w:pPr>
          </w:p>
        </w:tc>
        <w:tc>
          <w:tcPr>
            <w:tcW w:w="840" w:type="dxa"/>
            <w:vAlign w:val="bottom"/>
          </w:tcPr>
          <w:p>
            <w:pPr>
              <w:jc w:val="right"/>
              <w:ind w:right="36"/>
              <w:spacing w:after="0" w:line="121" w:lineRule="exact"/>
              <w:rPr>
                <w:sz w:val="20"/>
                <w:szCs w:val="20"/>
                <w:color w:val="auto"/>
              </w:rPr>
            </w:pPr>
            <w:r>
              <w:rPr>
                <w:rFonts w:ascii="Times New Roman" w:cs="Times New Roman" w:eastAsia="Times New Roman" w:hAnsi="Times New Roman"/>
                <w:sz w:val="12"/>
                <w:szCs w:val="12"/>
                <w:b w:val="1"/>
                <w:bCs w:val="1"/>
                <w:color w:val="auto"/>
              </w:rPr>
              <w:t>Net Carrying</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Times New Roman" w:cs="Times New Roman" w:eastAsia="Times New Roman" w:hAnsi="Times New Roman"/>
                <w:sz w:val="12"/>
                <w:szCs w:val="12"/>
                <w:b w:val="1"/>
                <w:bCs w:val="1"/>
                <w:color w:val="auto"/>
              </w:rPr>
              <w:t>Gross Carrying</w:t>
            </w:r>
          </w:p>
        </w:tc>
        <w:tc>
          <w:tcPr>
            <w:tcW w:w="160" w:type="dxa"/>
            <w:vAlign w:val="bottom"/>
          </w:tcPr>
          <w:p>
            <w:pPr>
              <w:spacing w:after="0"/>
              <w:rPr>
                <w:sz w:val="10"/>
                <w:szCs w:val="10"/>
                <w:color w:val="auto"/>
              </w:rPr>
            </w:pPr>
          </w:p>
        </w:tc>
        <w:tc>
          <w:tcPr>
            <w:tcW w:w="960" w:type="dxa"/>
            <w:vAlign w:val="bottom"/>
            <w:gridSpan w:val="2"/>
          </w:tcPr>
          <w:p>
            <w:pPr>
              <w:ind w:left="80"/>
              <w:spacing w:after="0" w:line="121"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60" w:type="dxa"/>
            <w:vAlign w:val="bottom"/>
          </w:tcPr>
          <w:p>
            <w:pPr>
              <w:spacing w:after="0"/>
              <w:rPr>
                <w:sz w:val="10"/>
                <w:szCs w:val="10"/>
                <w:color w:val="auto"/>
              </w:rPr>
            </w:pPr>
          </w:p>
        </w:tc>
        <w:tc>
          <w:tcPr>
            <w:tcW w:w="880" w:type="dxa"/>
            <w:vAlign w:val="bottom"/>
          </w:tcPr>
          <w:p>
            <w:pPr>
              <w:jc w:val="right"/>
              <w:ind w:right="56"/>
              <w:spacing w:after="0" w:line="121" w:lineRule="exact"/>
              <w:rPr>
                <w:sz w:val="20"/>
                <w:szCs w:val="20"/>
                <w:color w:val="auto"/>
              </w:rPr>
            </w:pPr>
            <w:r>
              <w:rPr>
                <w:rFonts w:ascii="Times New Roman" w:cs="Times New Roman" w:eastAsia="Times New Roman" w:hAnsi="Times New Roman"/>
                <w:sz w:val="12"/>
                <w:szCs w:val="12"/>
                <w:b w:val="1"/>
                <w:bCs w:val="1"/>
                <w:color w:val="auto"/>
              </w:rPr>
              <w:t>Net Carrying</w:t>
            </w:r>
          </w:p>
        </w:tc>
      </w:tr>
      <w:tr>
        <w:trPr>
          <w:trHeight w:val="159"/>
        </w:trPr>
        <w:tc>
          <w:tcPr>
            <w:tcW w:w="15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(Amounts in thousands)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140" w:type="dxa"/>
            <w:vAlign w:val="bottom"/>
          </w:tcPr>
          <w:p>
            <w:pPr>
              <w:spacing w:after="0"/>
              <w:rPr>
                <w:sz w:val="13"/>
                <w:szCs w:val="13"/>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Amortization</w:t>
            </w:r>
          </w:p>
        </w:tc>
        <w:tc>
          <w:tcPr>
            <w:tcW w:w="140" w:type="dxa"/>
            <w:vAlign w:val="bottom"/>
          </w:tcPr>
          <w:p>
            <w:pPr>
              <w:spacing w:after="0"/>
              <w:rPr>
                <w:sz w:val="13"/>
                <w:szCs w:val="13"/>
                <w:color w:val="auto"/>
              </w:rPr>
            </w:pPr>
          </w:p>
        </w:tc>
        <w:tc>
          <w:tcPr>
            <w:tcW w:w="840" w:type="dxa"/>
            <w:vAlign w:val="bottom"/>
          </w:tcPr>
          <w:p>
            <w:pPr>
              <w:jc w:val="right"/>
              <w:ind w:right="156"/>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60" w:type="dxa"/>
            <w:vAlign w:val="bottom"/>
          </w:tcPr>
          <w:p>
            <w:pPr>
              <w:spacing w:after="0"/>
              <w:rPr>
                <w:sz w:val="13"/>
                <w:szCs w:val="13"/>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Amortization</w:t>
            </w:r>
          </w:p>
        </w:tc>
        <w:tc>
          <w:tcPr>
            <w:tcW w:w="160" w:type="dxa"/>
            <w:vAlign w:val="bottom"/>
          </w:tcPr>
          <w:p>
            <w:pPr>
              <w:spacing w:after="0"/>
              <w:rPr>
                <w:sz w:val="13"/>
                <w:szCs w:val="13"/>
                <w:color w:val="auto"/>
              </w:rPr>
            </w:pPr>
          </w:p>
        </w:tc>
        <w:tc>
          <w:tcPr>
            <w:tcW w:w="880" w:type="dxa"/>
            <w:vAlign w:val="bottom"/>
          </w:tcPr>
          <w:p>
            <w:pPr>
              <w:jc w:val="right"/>
              <w:ind w:right="176"/>
              <w:spacing w:after="0"/>
              <w:rPr>
                <w:sz w:val="20"/>
                <w:szCs w:val="20"/>
                <w:color w:val="auto"/>
              </w:rPr>
            </w:pPr>
            <w:r>
              <w:rPr>
                <w:rFonts w:ascii="Times New Roman" w:cs="Times New Roman" w:eastAsia="Times New Roman" w:hAnsi="Times New Roman"/>
                <w:sz w:val="12"/>
                <w:szCs w:val="12"/>
                <w:b w:val="1"/>
                <w:bCs w:val="1"/>
                <w:color w:val="auto"/>
              </w:rPr>
              <w:t>Amount</w:t>
            </w:r>
          </w:p>
        </w:tc>
      </w:tr>
      <w:tr>
        <w:trPr>
          <w:trHeight w:val="148"/>
        </w:trPr>
        <w:tc>
          <w:tcPr>
            <w:tcW w:w="1580" w:type="dxa"/>
            <w:vAlign w:val="bottom"/>
            <w:tcBorders>
              <w:top w:val="single" w:sz="8" w:color="auto"/>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Customer relationship value</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2,783,428</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(1,080,547)</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1,702,881</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2,926,808</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(952,943)</w:t>
            </w: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1,973,865</w:t>
            </w:r>
          </w:p>
        </w:tc>
      </w:tr>
      <w:tr>
        <w:trPr>
          <w:trHeight w:val="156"/>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Acquired in-place lease value</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1,043,706</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(863,021)</w:t>
            </w: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180,685</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1,089,743</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(859,167)</w:t>
            </w: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230,576</w:t>
            </w:r>
          </w:p>
        </w:tc>
      </w:tr>
      <w:tr>
        <w:trPr>
          <w:trHeight w:val="156"/>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122,638</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(36,038)</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86,600</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108,744</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(33,483)</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75,261</w:t>
            </w:r>
          </w:p>
        </w:tc>
      </w:tr>
      <w:tr>
        <w:trPr>
          <w:trHeight w:val="144"/>
        </w:trPr>
        <w:tc>
          <w:tcPr>
            <w:tcW w:w="158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Acquired above-market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68"/>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leases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126,322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(122,714)</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3,608</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153,205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(150,344)</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2,861</w:t>
            </w:r>
          </w:p>
        </w:tc>
      </w:tr>
      <w:tr>
        <w:trPr>
          <w:trHeight w:val="144"/>
        </w:trPr>
        <w:tc>
          <w:tcPr>
            <w:tcW w:w="15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Acquired below-market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168"/>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leases</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(258,243)</w:t>
            </w: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219,672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(38,571)</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(273,951)</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226,840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(47,111)</w:t>
            </w:r>
          </w:p>
        </w:tc>
      </w:tr>
    </w:tbl>
    <w:p>
      <w:pPr>
        <w:spacing w:after="0" w:line="167" w:lineRule="exact"/>
        <w:rPr>
          <w:sz w:val="20"/>
          <w:szCs w:val="20"/>
          <w:color w:val="auto"/>
        </w:rPr>
      </w:pPr>
    </w:p>
    <w:p>
      <w:pPr>
        <w:ind w:left="320" w:right="380"/>
        <w:spacing w:after="0" w:line="247" w:lineRule="auto"/>
        <w:rPr>
          <w:sz w:val="20"/>
          <w:szCs w:val="20"/>
          <w:color w:val="auto"/>
        </w:rPr>
      </w:pPr>
      <w:r>
        <w:rPr>
          <w:rFonts w:ascii="Times New Roman" w:cs="Times New Roman" w:eastAsia="Times New Roman" w:hAnsi="Times New Roman"/>
          <w:sz w:val="16"/>
          <w:szCs w:val="16"/>
          <w:color w:val="auto"/>
        </w:rPr>
        <w:t>Amortization of customer relationship value, acquired in-place lease value and other intangibles (a component of depreciation and amortization expense) was approximately $240.4 million, $252.0 million and $253.3 million for the years ended December 31, 2024, 2023 and 2022, respectively.</w:t>
      </w:r>
    </w:p>
    <w:p>
      <w:pPr>
        <w:spacing w:after="0" w:line="152" w:lineRule="exact"/>
        <w:rPr>
          <w:sz w:val="20"/>
          <w:szCs w:val="20"/>
          <w:color w:val="auto"/>
        </w:rPr>
      </w:pPr>
    </w:p>
    <w:p>
      <w:pPr>
        <w:ind w:left="320" w:right="420"/>
        <w:spacing w:after="0" w:line="299" w:lineRule="auto"/>
        <w:rPr>
          <w:sz w:val="20"/>
          <w:szCs w:val="20"/>
          <w:color w:val="auto"/>
        </w:rPr>
      </w:pPr>
      <w:r>
        <w:rPr>
          <w:rFonts w:ascii="Times New Roman" w:cs="Times New Roman" w:eastAsia="Times New Roman" w:hAnsi="Times New Roman"/>
          <w:sz w:val="14"/>
          <w:szCs w:val="14"/>
          <w:color w:val="auto"/>
        </w:rPr>
        <w:t>Amortization of acquired below- market leases, net of acquired above- market leases, resulted in an increase in rental and other services revenue of $5.2 million, $ 6.5 million and $2.9 million for the years ended December 31, 2024, 2023 and 2022, respectively. Estimated annual amortization for each of the five succeeding years and thereafter, commencing January 1, 2025 is as follows:</w:t>
      </w:r>
    </w:p>
    <w:p>
      <w:pPr>
        <w:spacing w:after="0" w:line="129" w:lineRule="exact"/>
        <w:rPr>
          <w:sz w:val="20"/>
          <w:szCs w:val="20"/>
          <w:color w:val="auto"/>
        </w:rPr>
      </w:pPr>
    </w:p>
    <w:tbl>
      <w:tblPr>
        <w:tblLayout w:type="fixed"/>
        <w:tblInd w:w="320" w:type="dxa"/>
        <w:tblCellMar>
          <w:top w:w="0" w:type="dxa"/>
          <w:left w:w="0" w:type="dxa"/>
          <w:bottom w:w="0" w:type="dxa"/>
          <w:right w:w="0" w:type="dxa"/>
        </w:tblCellMar>
      </w:tblPr>
      <w:tr>
        <w:trPr>
          <w:trHeight w:val="168"/>
        </w:trPr>
        <w:tc>
          <w:tcPr>
            <w:tcW w:w="2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relationship</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Acquired in-</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Acquired above-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Acquired below-</w:t>
            </w:r>
          </w:p>
        </w:tc>
      </w:tr>
      <w:tr>
        <w:trPr>
          <w:trHeight w:val="182"/>
        </w:trPr>
        <w:tc>
          <w:tcPr>
            <w:tcW w:w="2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place lease value</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63"/>
              <w:spacing w:after="0" w:line="183" w:lineRule="exact"/>
              <w:rPr>
                <w:sz w:val="20"/>
                <w:szCs w:val="20"/>
                <w:color w:val="auto"/>
              </w:rPr>
            </w:pPr>
            <w:r>
              <w:rPr>
                <w:rFonts w:ascii="Times New Roman" w:cs="Times New Roman" w:eastAsia="Times New Roman" w:hAnsi="Times New Roman"/>
                <w:sz w:val="14"/>
                <w:szCs w:val="14"/>
                <w:b w:val="1"/>
                <w:bCs w:val="1"/>
                <w:color w:val="auto"/>
              </w:rPr>
              <w:t xml:space="preserve">Other </w:t>
            </w:r>
            <w:r>
              <w:rPr>
                <w:rFonts w:ascii="Times New Roman" w:cs="Times New Roman" w:eastAsia="Times New Roman" w:hAnsi="Times New Roman"/>
                <w:sz w:val="21"/>
                <w:szCs w:val="21"/>
                <w:b w:val="1"/>
                <w:bCs w:val="1"/>
                <w:color w:val="auto"/>
                <w:vertAlign w:val="superscript"/>
              </w:rPr>
              <w:t>(1)</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market leases</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market leases</w:t>
            </w:r>
          </w:p>
        </w:tc>
      </w:tr>
      <w:tr>
        <w:trPr>
          <w:trHeight w:val="172"/>
        </w:trPr>
        <w:tc>
          <w:tcPr>
            <w:tcW w:w="208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2025</w:t>
            </w:r>
          </w:p>
        </w:tc>
        <w:tc>
          <w:tcPr>
            <w:tcW w:w="42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2"/>
              <w:spacing w:after="0" w:line="172"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208,836</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52,481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2,717</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959</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(5,647)</w:t>
            </w:r>
          </w:p>
        </w:tc>
      </w:tr>
      <w:tr>
        <w:trPr>
          <w:trHeight w:val="180"/>
        </w:trPr>
        <w:tc>
          <w:tcPr>
            <w:tcW w:w="20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2026</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209,236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51,367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2,717</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840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(5,186)</w:t>
            </w:r>
          </w:p>
        </w:tc>
      </w:tr>
      <w:tr>
        <w:trPr>
          <w:trHeight w:val="180"/>
        </w:trPr>
        <w:tc>
          <w:tcPr>
            <w:tcW w:w="20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2027</w:t>
            </w: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209,011</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42,196</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2,717</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705</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(4,621)</w:t>
            </w:r>
          </w:p>
        </w:tc>
      </w:tr>
      <w:tr>
        <w:trPr>
          <w:trHeight w:val="180"/>
        </w:trPr>
        <w:tc>
          <w:tcPr>
            <w:tcW w:w="20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2028</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188,083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22,771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2,735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705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(4,544)</w:t>
            </w:r>
          </w:p>
        </w:tc>
      </w:tr>
      <w:tr>
        <w:trPr>
          <w:trHeight w:val="180"/>
        </w:trPr>
        <w:tc>
          <w:tcPr>
            <w:tcW w:w="20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2029</w:t>
            </w: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156,142</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11,476</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2,789</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399</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(4,544)</w:t>
            </w:r>
          </w:p>
        </w:tc>
      </w:tr>
      <w:tr>
        <w:trPr>
          <w:trHeight w:val="180"/>
        </w:trPr>
        <w:tc>
          <w:tcPr>
            <w:tcW w:w="2500" w:type="dxa"/>
            <w:vAlign w:val="bottom"/>
            <w:tcBorders>
              <w:bottom w:val="single" w:sz="8" w:color="CCEEFF"/>
            </w:tcBorders>
            <w:gridSpan w:val="2"/>
          </w:tcPr>
          <w:p>
            <w:pPr>
              <w:spacing w:after="0" w:line="180" w:lineRule="exact"/>
              <w:rPr>
                <w:sz w:val="20"/>
                <w:szCs w:val="20"/>
                <w:color w:val="auto"/>
              </w:rPr>
            </w:pPr>
            <w:r>
              <w:rPr>
                <w:rFonts w:ascii="Times New Roman" w:cs="Times New Roman" w:eastAsia="Times New Roman" w:hAnsi="Times New Roman"/>
                <w:sz w:val="16"/>
                <w:szCs w:val="16"/>
                <w:color w:val="auto"/>
              </w:rPr>
              <w:t>Thereafter</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731,573</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394</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3,545</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(14,029)</w:t>
            </w:r>
          </w:p>
        </w:tc>
      </w:tr>
      <w:tr>
        <w:trPr>
          <w:trHeight w:val="172"/>
        </w:trPr>
        <w:tc>
          <w:tcPr>
            <w:tcW w:w="2500" w:type="dxa"/>
            <w:vAlign w:val="bottom"/>
            <w:tcBorders>
              <w:bottom w:val="single" w:sz="8" w:color="CCEEFF"/>
            </w:tcBorders>
            <w:gridSpan w:val="2"/>
            <w:shd w:val="clear" w:color="auto" w:fill="CCEEFF"/>
          </w:tcPr>
          <w:p>
            <w:pPr>
              <w:ind w:left="100"/>
              <w:spacing w:after="0" w:line="172" w:lineRule="exact"/>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1,702,881</w:t>
            </w: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180,685</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6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17,220</w:t>
            </w: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3,608</w:t>
            </w: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(38,571)</w:t>
            </w:r>
          </w:p>
        </w:tc>
      </w:tr>
      <w:tr>
        <w:trPr>
          <w:trHeight w:val="20"/>
        </w:trPr>
        <w:tc>
          <w:tcPr>
            <w:tcW w:w="2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56"/>
        </w:trPr>
        <w:tc>
          <w:tcPr>
            <w:tcW w:w="2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80"/>
        </w:trPr>
        <w:tc>
          <w:tcPr>
            <w:tcW w:w="250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Remaining Contractual Life (in years)</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11.6</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1.9</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6.1</w:t>
            </w:r>
          </w:p>
        </w:tc>
      </w:tr>
      <w:tr>
        <w:trPr>
          <w:trHeight w:val="96"/>
        </w:trPr>
        <w:tc>
          <w:tcPr>
            <w:tcW w:w="20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r>
    </w:tbl>
    <w:p>
      <w:pPr>
        <w:spacing w:after="0" w:line="59" w:lineRule="exact"/>
        <w:rPr>
          <w:sz w:val="20"/>
          <w:szCs w:val="20"/>
          <w:color w:val="auto"/>
        </w:rPr>
      </w:pPr>
    </w:p>
    <w:p>
      <w:pPr>
        <w:ind w:left="600" w:right="400" w:hanging="282"/>
        <w:spacing w:after="0" w:line="259" w:lineRule="auto"/>
        <w:tabs>
          <w:tab w:leader="none" w:pos="60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power grid rights in the amount of approximately $69.4 million that are currently not being amortized. Amortization of these assets will begin once the data centers associated with the power grid rights are placed into service.</w:t>
      </w: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34" w:name="page135"/>
    <w:bookmarkEnd w:id="134"/>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 and 2023</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11. Debt of the Operating Partnership</w:t>
      </w:r>
    </w:p>
    <w:p>
      <w:pPr>
        <w:spacing w:after="0" w:line="190" w:lineRule="exact"/>
        <w:rPr>
          <w:sz w:val="20"/>
          <w:szCs w:val="20"/>
          <w:color w:val="auto"/>
        </w:rPr>
      </w:pPr>
    </w:p>
    <w:p>
      <w:pPr>
        <w:ind w:left="320" w:right="600"/>
        <w:spacing w:after="0" w:line="247" w:lineRule="auto"/>
        <w:rPr>
          <w:sz w:val="20"/>
          <w:szCs w:val="20"/>
          <w:color w:val="auto"/>
        </w:rPr>
      </w:pPr>
      <w:r>
        <w:rPr>
          <w:rFonts w:ascii="Times New Roman" w:cs="Times New Roman" w:eastAsia="Times New Roman" w:hAnsi="Times New Roman"/>
          <w:sz w:val="16"/>
          <w:szCs w:val="16"/>
          <w:color w:val="auto"/>
        </w:rPr>
        <w:t>All debt is currently owed by the OP or its consolidated subsidiaries, and the Parent is the guarantor or co-guarantor of the Global Revolving Credit Facility and the Yen Revolving Credit Facility, the unsecured term loans and the unsecured senior notes. A summary of outstanding indebtedness is as follows (in thousands):</w:t>
      </w:r>
    </w:p>
    <w:p>
      <w:pPr>
        <w:spacing w:after="0" w:line="176" w:lineRule="exact"/>
        <w:rPr>
          <w:sz w:val="20"/>
          <w:szCs w:val="20"/>
          <w:color w:val="auto"/>
        </w:rPr>
      </w:pPr>
    </w:p>
    <w:tbl>
      <w:tblPr>
        <w:tblLayout w:type="fixed"/>
        <w:tblInd w:w="320" w:type="dxa"/>
        <w:tblCellMar>
          <w:top w:w="0" w:type="dxa"/>
          <w:left w:w="0" w:type="dxa"/>
          <w:bottom w:w="0" w:type="dxa"/>
          <w:right w:w="0" w:type="dxa"/>
        </w:tblCellMar>
      </w:tblPr>
      <w:tr>
        <w:trPr>
          <w:trHeight w:val="170"/>
        </w:trPr>
        <w:tc>
          <w:tcPr>
            <w:tcW w:w="2860" w:type="dxa"/>
            <w:vAlign w:val="bottom"/>
          </w:tcPr>
          <w:p>
            <w:pPr>
              <w:spacing w:after="0"/>
              <w:rPr>
                <w:sz w:val="14"/>
                <w:szCs w:val="14"/>
                <w:color w:val="auto"/>
              </w:rPr>
            </w:pPr>
          </w:p>
        </w:tc>
        <w:tc>
          <w:tcPr>
            <w:tcW w:w="2820" w:type="dxa"/>
            <w:vAlign w:val="bottom"/>
            <w:tcBorders>
              <w:bottom w:val="single" w:sz="8" w:color="auto"/>
            </w:tcBorders>
            <w:gridSpan w:val="4"/>
          </w:tcPr>
          <w:p>
            <w:pPr>
              <w:jc w:val="right"/>
              <w:ind w:right="805"/>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240" w:type="dxa"/>
            <w:vAlign w:val="bottom"/>
          </w:tcPr>
          <w:p>
            <w:pPr>
              <w:spacing w:after="0"/>
              <w:rPr>
                <w:sz w:val="14"/>
                <w:szCs w:val="14"/>
                <w:color w:val="auto"/>
              </w:rPr>
            </w:pPr>
          </w:p>
        </w:tc>
        <w:tc>
          <w:tcPr>
            <w:tcW w:w="2460" w:type="dxa"/>
            <w:vAlign w:val="bottom"/>
            <w:tcBorders>
              <w:bottom w:val="single" w:sz="8" w:color="auto"/>
            </w:tcBorders>
            <w:gridSpan w:val="4"/>
          </w:tcPr>
          <w:p>
            <w:pPr>
              <w:jc w:val="right"/>
              <w:ind w:right="625"/>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34"/>
        </w:trPr>
        <w:tc>
          <w:tcPr>
            <w:tcW w:w="2860" w:type="dxa"/>
            <w:vAlign w:val="bottom"/>
          </w:tcPr>
          <w:p>
            <w:pPr>
              <w:spacing w:after="0"/>
              <w:rPr>
                <w:sz w:val="11"/>
                <w:szCs w:val="11"/>
                <w:color w:val="auto"/>
              </w:rPr>
            </w:pPr>
          </w:p>
        </w:tc>
        <w:tc>
          <w:tcPr>
            <w:tcW w:w="116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56"/>
        </w:trPr>
        <w:tc>
          <w:tcPr>
            <w:tcW w:w="286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ind w:right="405"/>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right"/>
              <w:ind w:right="365"/>
              <w:spacing w:after="0"/>
              <w:rPr>
                <w:sz w:val="20"/>
                <w:szCs w:val="20"/>
                <w:color w:val="auto"/>
              </w:rPr>
            </w:pPr>
            <w:r>
              <w:rPr>
                <w:rFonts w:ascii="Times New Roman" w:cs="Times New Roman" w:eastAsia="Times New Roman" w:hAnsi="Times New Roman"/>
                <w:sz w:val="13"/>
                <w:szCs w:val="13"/>
                <w:b w:val="1"/>
                <w:bCs w:val="1"/>
                <w:color w:val="auto"/>
              </w:rPr>
              <w:t>Amount</w:t>
            </w:r>
          </w:p>
        </w:tc>
      </w:tr>
      <w:tr>
        <w:trPr>
          <w:trHeight w:val="170"/>
        </w:trPr>
        <w:tc>
          <w:tcPr>
            <w:tcW w:w="286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interest rate</w:t>
            </w:r>
          </w:p>
        </w:tc>
        <w:tc>
          <w:tcPr>
            <w:tcW w:w="2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24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interest rate</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45"/>
              <w:spacing w:after="0"/>
              <w:rPr>
                <w:sz w:val="20"/>
                <w:szCs w:val="20"/>
                <w:color w:val="auto"/>
              </w:rPr>
            </w:pPr>
            <w:r>
              <w:rPr>
                <w:rFonts w:ascii="Times New Roman" w:cs="Times New Roman" w:eastAsia="Times New Roman" w:hAnsi="Times New Roman"/>
                <w:sz w:val="13"/>
                <w:szCs w:val="13"/>
                <w:b w:val="1"/>
                <w:bCs w:val="1"/>
                <w:color w:val="auto"/>
              </w:rPr>
              <w:t>Outstanding</w:t>
            </w:r>
          </w:p>
        </w:tc>
      </w:tr>
      <w:tr>
        <w:trPr>
          <w:trHeight w:val="172"/>
        </w:trPr>
        <w:tc>
          <w:tcPr>
            <w:tcW w:w="28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Global Revolving Credit Facilities</w:t>
            </w:r>
          </w:p>
        </w:tc>
        <w:tc>
          <w:tcPr>
            <w:tcW w:w="1160" w:type="dxa"/>
            <w:vAlign w:val="bottom"/>
            <w:shd w:val="clear" w:color="auto" w:fill="CCEEFF"/>
          </w:tcPr>
          <w:p>
            <w:pPr>
              <w:jc w:val="right"/>
              <w:ind w:right="127"/>
              <w:spacing w:after="0" w:line="172" w:lineRule="exact"/>
              <w:rPr>
                <w:sz w:val="20"/>
                <w:szCs w:val="20"/>
                <w:color w:val="auto"/>
              </w:rPr>
            </w:pPr>
            <w:r>
              <w:rPr>
                <w:rFonts w:ascii="Times New Roman" w:cs="Times New Roman" w:eastAsia="Times New Roman" w:hAnsi="Times New Roman"/>
                <w:sz w:val="16"/>
                <w:szCs w:val="16"/>
                <w:color w:val="auto"/>
              </w:rPr>
              <w:t>3.81 %</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1,637,922</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6"/>
                <w:szCs w:val="16"/>
                <w:color w:val="auto"/>
                <w:w w:val="96"/>
              </w:rPr>
              <w:t>4.33 %</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1,825,228</w:t>
            </w:r>
          </w:p>
        </w:tc>
      </w:tr>
      <w:tr>
        <w:trPr>
          <w:trHeight w:val="180"/>
        </w:trPr>
        <w:tc>
          <w:tcPr>
            <w:tcW w:w="28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Unsecured term loans</w:t>
            </w:r>
          </w:p>
        </w:tc>
        <w:tc>
          <w:tcPr>
            <w:tcW w:w="1160" w:type="dxa"/>
            <w:vAlign w:val="bottom"/>
          </w:tcPr>
          <w:p>
            <w:pPr>
              <w:jc w:val="right"/>
              <w:ind w:right="127"/>
              <w:spacing w:after="0" w:line="180" w:lineRule="exact"/>
              <w:rPr>
                <w:sz w:val="20"/>
                <w:szCs w:val="20"/>
                <w:color w:val="auto"/>
              </w:rPr>
            </w:pPr>
            <w:r>
              <w:rPr>
                <w:rFonts w:ascii="Times New Roman" w:cs="Times New Roman" w:eastAsia="Times New Roman" w:hAnsi="Times New Roman"/>
                <w:sz w:val="16"/>
                <w:szCs w:val="16"/>
                <w:color w:val="auto"/>
              </w:rPr>
              <w:t>3.23 %</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388,275</w:t>
            </w:r>
          </w:p>
        </w:tc>
        <w:tc>
          <w:tcPr>
            <w:tcW w:w="1120" w:type="dxa"/>
            <w:vAlign w:val="bottom"/>
            <w:gridSpan w:val="2"/>
          </w:tcPr>
          <w:p>
            <w:pPr>
              <w:jc w:val="center"/>
              <w:ind w:left="162"/>
              <w:spacing w:after="0" w:line="180" w:lineRule="exact"/>
              <w:rPr>
                <w:sz w:val="20"/>
                <w:szCs w:val="20"/>
                <w:color w:val="auto"/>
              </w:rPr>
            </w:pPr>
            <w:r>
              <w:rPr>
                <w:rFonts w:ascii="Times New Roman" w:cs="Times New Roman" w:eastAsia="Times New Roman" w:hAnsi="Times New Roman"/>
                <w:sz w:val="16"/>
                <w:szCs w:val="16"/>
                <w:color w:val="auto"/>
                <w:w w:val="96"/>
              </w:rPr>
              <w:t>4.76 %</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1,567,925</w:t>
            </w:r>
          </w:p>
        </w:tc>
      </w:tr>
      <w:tr>
        <w:trPr>
          <w:trHeight w:val="180"/>
        </w:trPr>
        <w:tc>
          <w:tcPr>
            <w:tcW w:w="28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Unsecured senior notes</w:t>
            </w:r>
          </w:p>
        </w:tc>
        <w:tc>
          <w:tcPr>
            <w:tcW w:w="1160" w:type="dxa"/>
            <w:vAlign w:val="bottom"/>
            <w:shd w:val="clear" w:color="auto" w:fill="CCEEFF"/>
          </w:tcPr>
          <w:p>
            <w:pPr>
              <w:jc w:val="right"/>
              <w:ind w:right="127"/>
              <w:spacing w:after="0" w:line="180" w:lineRule="exact"/>
              <w:rPr>
                <w:sz w:val="20"/>
                <w:szCs w:val="20"/>
                <w:color w:val="auto"/>
              </w:rPr>
            </w:pPr>
            <w:r>
              <w:rPr>
                <w:rFonts w:ascii="Times New Roman" w:cs="Times New Roman" w:eastAsia="Times New Roman" w:hAnsi="Times New Roman"/>
                <w:sz w:val="16"/>
                <w:szCs w:val="16"/>
                <w:color w:val="auto"/>
              </w:rPr>
              <w:t>2.26 %</w:t>
            </w: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14,059,415</w:t>
            </w:r>
          </w:p>
        </w:tc>
        <w:tc>
          <w:tcPr>
            <w:tcW w:w="1120" w:type="dxa"/>
            <w:vAlign w:val="bottom"/>
            <w:gridSpan w:val="2"/>
            <w:shd w:val="clear" w:color="auto" w:fill="CCEEFF"/>
          </w:tcPr>
          <w:p>
            <w:pPr>
              <w:jc w:val="center"/>
              <w:ind w:left="162"/>
              <w:spacing w:after="0" w:line="180" w:lineRule="exact"/>
              <w:rPr>
                <w:sz w:val="20"/>
                <w:szCs w:val="20"/>
                <w:color w:val="auto"/>
              </w:rPr>
            </w:pPr>
            <w:r>
              <w:rPr>
                <w:rFonts w:ascii="Times New Roman" w:cs="Times New Roman" w:eastAsia="Times New Roman" w:hAnsi="Times New Roman"/>
                <w:sz w:val="16"/>
                <w:szCs w:val="16"/>
                <w:color w:val="auto"/>
                <w:w w:val="96"/>
              </w:rPr>
              <w:t>2.24 %</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13,507,427</w:t>
            </w:r>
          </w:p>
        </w:tc>
      </w:tr>
      <w:tr>
        <w:trPr>
          <w:trHeight w:val="180"/>
        </w:trPr>
        <w:tc>
          <w:tcPr>
            <w:tcW w:w="286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Secured and other debt</w:t>
            </w:r>
          </w:p>
        </w:tc>
        <w:tc>
          <w:tcPr>
            <w:tcW w:w="1160" w:type="dxa"/>
            <w:vAlign w:val="bottom"/>
            <w:tcBorders>
              <w:bottom w:val="single" w:sz="8" w:color="CCEEFF"/>
            </w:tcBorders>
          </w:tcPr>
          <w:p>
            <w:pPr>
              <w:jc w:val="right"/>
              <w:ind w:right="127"/>
              <w:spacing w:after="0" w:line="180" w:lineRule="exact"/>
              <w:rPr>
                <w:sz w:val="20"/>
                <w:szCs w:val="20"/>
                <w:color w:val="auto"/>
              </w:rPr>
            </w:pPr>
            <w:r>
              <w:rPr>
                <w:rFonts w:ascii="Times New Roman" w:cs="Times New Roman" w:eastAsia="Times New Roman" w:hAnsi="Times New Roman"/>
                <w:sz w:val="16"/>
                <w:szCs w:val="16"/>
                <w:color w:val="auto"/>
              </w:rPr>
              <w:t>8.52 %</w:t>
            </w:r>
          </w:p>
        </w:tc>
        <w:tc>
          <w:tcPr>
            <w:tcW w:w="2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761,263</w:t>
            </w:r>
          </w:p>
        </w:tc>
        <w:tc>
          <w:tcPr>
            <w:tcW w:w="1120" w:type="dxa"/>
            <w:vAlign w:val="bottom"/>
            <w:tcBorders>
              <w:bottom w:val="single" w:sz="8" w:color="CCEEFF"/>
            </w:tcBorders>
            <w:gridSpan w:val="2"/>
          </w:tcPr>
          <w:p>
            <w:pPr>
              <w:jc w:val="center"/>
              <w:ind w:left="162"/>
              <w:spacing w:after="0" w:line="180" w:lineRule="exact"/>
              <w:rPr>
                <w:sz w:val="20"/>
                <w:szCs w:val="20"/>
                <w:color w:val="auto"/>
              </w:rPr>
            </w:pPr>
            <w:r>
              <w:rPr>
                <w:rFonts w:ascii="Times New Roman" w:cs="Times New Roman" w:eastAsia="Times New Roman" w:hAnsi="Times New Roman"/>
                <w:sz w:val="16"/>
                <w:szCs w:val="16"/>
                <w:color w:val="auto"/>
                <w:w w:val="96"/>
              </w:rPr>
              <w:t>8.07 %</w:t>
            </w:r>
          </w:p>
        </w:tc>
        <w:tc>
          <w:tcPr>
            <w:tcW w:w="2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637,072</w:t>
            </w:r>
          </w:p>
        </w:tc>
      </w:tr>
      <w:tr>
        <w:trPr>
          <w:trHeight w:val="172"/>
        </w:trPr>
        <w:tc>
          <w:tcPr>
            <w:tcW w:w="2860" w:type="dxa"/>
            <w:vAlign w:val="bottom"/>
            <w:tcBorders>
              <w:bottom w:val="single" w:sz="8" w:color="CCEEFF"/>
            </w:tcBorders>
            <w:shd w:val="clear" w:color="auto" w:fill="CCEEFF"/>
          </w:tcPr>
          <w:p>
            <w:pPr>
              <w:ind w:left="100"/>
              <w:spacing w:after="0" w:line="172" w:lineRule="exact"/>
              <w:rPr>
                <w:sz w:val="20"/>
                <w:szCs w:val="20"/>
                <w:color w:val="auto"/>
              </w:rPr>
            </w:pPr>
            <w:r>
              <w:rPr>
                <w:rFonts w:ascii="Times New Roman" w:cs="Times New Roman" w:eastAsia="Times New Roman" w:hAnsi="Times New Roman"/>
                <w:sz w:val="16"/>
                <w:szCs w:val="16"/>
                <w:color w:val="auto"/>
              </w:rPr>
              <w:t>Total</w:t>
            </w:r>
          </w:p>
        </w:tc>
        <w:tc>
          <w:tcPr>
            <w:tcW w:w="1160" w:type="dxa"/>
            <w:vAlign w:val="bottom"/>
            <w:tcBorders>
              <w:bottom w:val="single" w:sz="8" w:color="CCEEFF"/>
            </w:tcBorders>
            <w:shd w:val="clear" w:color="auto" w:fill="CCEEFF"/>
          </w:tcPr>
          <w:p>
            <w:pPr>
              <w:jc w:val="right"/>
              <w:ind w:right="127"/>
              <w:spacing w:after="0" w:line="172" w:lineRule="exact"/>
              <w:rPr>
                <w:sz w:val="20"/>
                <w:szCs w:val="20"/>
                <w:color w:val="auto"/>
              </w:rPr>
            </w:pPr>
            <w:r>
              <w:rPr>
                <w:rFonts w:ascii="Times New Roman" w:cs="Times New Roman" w:eastAsia="Times New Roman" w:hAnsi="Times New Roman"/>
                <w:sz w:val="16"/>
                <w:szCs w:val="16"/>
                <w:color w:val="auto"/>
              </w:rPr>
              <w:t>2.72 %</w:t>
            </w:r>
          </w:p>
        </w:tc>
        <w:tc>
          <w:tcPr>
            <w:tcW w:w="2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6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16,846,875</w:t>
            </w:r>
          </w:p>
        </w:tc>
        <w:tc>
          <w:tcPr>
            <w:tcW w:w="1120" w:type="dxa"/>
            <w:vAlign w:val="bottom"/>
            <w:tcBorders>
              <w:bottom w:val="single" w:sz="8" w:color="CCEEFF"/>
            </w:tcBorders>
            <w:gridSpan w:val="2"/>
            <w:shd w:val="clear" w:color="auto" w:fill="CCEEFF"/>
          </w:tcPr>
          <w:p>
            <w:pPr>
              <w:jc w:val="center"/>
              <w:ind w:left="162"/>
              <w:spacing w:after="0" w:line="172" w:lineRule="exact"/>
              <w:rPr>
                <w:sz w:val="20"/>
                <w:szCs w:val="20"/>
                <w:color w:val="auto"/>
              </w:rPr>
            </w:pPr>
            <w:r>
              <w:rPr>
                <w:rFonts w:ascii="Times New Roman" w:cs="Times New Roman" w:eastAsia="Times New Roman" w:hAnsi="Times New Roman"/>
                <w:sz w:val="16"/>
                <w:szCs w:val="16"/>
                <w:color w:val="auto"/>
                <w:w w:val="96"/>
              </w:rPr>
              <w:t>2.89 %</w:t>
            </w:r>
          </w:p>
        </w:tc>
        <w:tc>
          <w:tcPr>
            <w:tcW w:w="2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17,537,652</w:t>
            </w:r>
          </w:p>
        </w:tc>
      </w:tr>
      <w:tr>
        <w:trPr>
          <w:trHeight w:val="20"/>
        </w:trPr>
        <w:tc>
          <w:tcPr>
            <w:tcW w:w="2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320" w:right="460"/>
        <w:spacing w:after="0" w:line="289" w:lineRule="auto"/>
        <w:rPr>
          <w:sz w:val="20"/>
          <w:szCs w:val="20"/>
          <w:color w:val="auto"/>
        </w:rPr>
      </w:pPr>
      <w:r>
        <w:rPr>
          <w:rFonts w:ascii="Times New Roman" w:cs="Times New Roman" w:eastAsia="Times New Roman" w:hAnsi="Times New Roman"/>
          <w:sz w:val="14"/>
          <w:szCs w:val="14"/>
          <w:color w:val="auto"/>
        </w:rPr>
        <w:t>The weighted-average interest rates shown represent interest rates at the end of the periods for the debt outstanding and include the impact of designated interest rate swaps, which effectively fix the interest rates on certain variable rate debt, along with cross-currency interest rate swaps, which effectively convert a portion of our U.S. dollar-denominated fixed-rate debt to foreign currency-denominated fixed-rate debt in order to hedge the currency exposure associated with our net investment in foreign subsidiaries.</w:t>
      </w:r>
    </w:p>
    <w:p>
      <w:pPr>
        <w:spacing w:after="0" w:line="137" w:lineRule="exact"/>
        <w:rPr>
          <w:sz w:val="20"/>
          <w:szCs w:val="20"/>
          <w:color w:val="auto"/>
        </w:rPr>
      </w:pPr>
    </w:p>
    <w:p>
      <w:pPr>
        <w:ind w:left="320" w:right="880"/>
        <w:spacing w:after="0" w:line="259" w:lineRule="auto"/>
        <w:rPr>
          <w:sz w:val="20"/>
          <w:szCs w:val="20"/>
          <w:color w:val="auto"/>
        </w:rPr>
      </w:pPr>
      <w:r>
        <w:rPr>
          <w:rFonts w:ascii="Times New Roman" w:cs="Times New Roman" w:eastAsia="Times New Roman" w:hAnsi="Times New Roman"/>
          <w:sz w:val="16"/>
          <w:szCs w:val="16"/>
          <w:color w:val="auto"/>
        </w:rPr>
        <w:t>We primarily borrow in the functional currencies of the countries where we invest. Included in the outstanding balances were borrowings denominated in the following currencies (in thousands, U.S. dollars):</w:t>
      </w:r>
    </w:p>
    <w:p>
      <w:pPr>
        <w:spacing w:after="0" w:line="214" w:lineRule="exact"/>
        <w:rPr>
          <w:sz w:val="20"/>
          <w:szCs w:val="20"/>
          <w:color w:val="auto"/>
        </w:rPr>
      </w:pPr>
    </w:p>
    <w:tbl>
      <w:tblPr>
        <w:tblLayout w:type="fixed"/>
        <w:tblInd w:w="320" w:type="dxa"/>
        <w:tblCellMar>
          <w:top w:w="0" w:type="dxa"/>
          <w:left w:w="0" w:type="dxa"/>
          <w:bottom w:w="0" w:type="dxa"/>
          <w:right w:w="0" w:type="dxa"/>
        </w:tblCellMar>
      </w:tblPr>
      <w:tr>
        <w:trPr>
          <w:trHeight w:val="170"/>
        </w:trPr>
        <w:tc>
          <w:tcPr>
            <w:tcW w:w="2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3"/>
          </w:tcPr>
          <w:p>
            <w:pPr>
              <w:jc w:val="right"/>
              <w:ind w:right="628"/>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3"/>
          </w:tcPr>
          <w:p>
            <w:pPr>
              <w:jc w:val="right"/>
              <w:ind w:right="628"/>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0" w:type="dxa"/>
            <w:vAlign w:val="bottom"/>
            <w:tcBorders>
              <w:bottom w:val="single" w:sz="8" w:color="auto"/>
            </w:tcBorders>
          </w:tcPr>
          <w:p>
            <w:pPr>
              <w:spacing w:after="0"/>
              <w:rPr>
                <w:sz w:val="14"/>
                <w:szCs w:val="14"/>
                <w:color w:val="auto"/>
              </w:rPr>
            </w:pPr>
          </w:p>
        </w:tc>
      </w:tr>
      <w:tr>
        <w:trPr>
          <w:trHeight w:val="194"/>
        </w:trPr>
        <w:tc>
          <w:tcPr>
            <w:tcW w:w="2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326"/>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326"/>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0"/>
        </w:trPr>
        <w:tc>
          <w:tcPr>
            <w:tcW w:w="2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Denomination of Draw</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26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3"/>
                <w:szCs w:val="13"/>
                <w:b w:val="1"/>
                <w:bCs w:val="1"/>
                <w:color w:val="auto"/>
              </w:rPr>
              <w:t>% of Total</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26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3"/>
                <w:szCs w:val="13"/>
                <w:b w:val="1"/>
                <w:bCs w:val="1"/>
                <w:color w:val="auto"/>
              </w:rPr>
              <w:t>% of Total</w:t>
            </w:r>
          </w:p>
        </w:tc>
        <w:tc>
          <w:tcPr>
            <w:tcW w:w="20" w:type="dxa"/>
            <w:vAlign w:val="bottom"/>
            <w:tcBorders>
              <w:bottom w:val="single" w:sz="8" w:color="auto"/>
            </w:tcBorders>
          </w:tcPr>
          <w:p>
            <w:pPr>
              <w:spacing w:after="0"/>
              <w:rPr>
                <w:sz w:val="14"/>
                <w:szCs w:val="14"/>
                <w:color w:val="auto"/>
              </w:rPr>
            </w:pPr>
          </w:p>
        </w:tc>
      </w:tr>
      <w:tr>
        <w:trPr>
          <w:trHeight w:val="172"/>
        </w:trPr>
        <w:tc>
          <w:tcPr>
            <w:tcW w:w="290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U.S. dollar ($)</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2,852,102</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48"/>
              <w:spacing w:after="0" w:line="172" w:lineRule="exact"/>
              <w:rPr>
                <w:sz w:val="20"/>
                <w:szCs w:val="20"/>
                <w:color w:val="auto"/>
              </w:rPr>
            </w:pPr>
            <w:r>
              <w:rPr>
                <w:rFonts w:ascii="Times New Roman" w:cs="Times New Roman" w:eastAsia="Times New Roman" w:hAnsi="Times New Roman"/>
                <w:sz w:val="16"/>
                <w:szCs w:val="16"/>
                <w:color w:val="auto"/>
              </w:rPr>
              <w:t>16.9 %</w:t>
            </w: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2,784,875</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28"/>
              <w:spacing w:after="0" w:line="172" w:lineRule="exact"/>
              <w:rPr>
                <w:sz w:val="20"/>
                <w:szCs w:val="20"/>
                <w:color w:val="auto"/>
              </w:rPr>
            </w:pPr>
            <w:r>
              <w:rPr>
                <w:rFonts w:ascii="Times New Roman" w:cs="Times New Roman" w:eastAsia="Times New Roman" w:hAnsi="Times New Roman"/>
                <w:sz w:val="16"/>
                <w:szCs w:val="16"/>
                <w:color w:val="auto"/>
              </w:rPr>
              <w:t>15.9 %</w:t>
            </w:r>
          </w:p>
        </w:tc>
        <w:tc>
          <w:tcPr>
            <w:tcW w:w="20" w:type="dxa"/>
            <w:vAlign w:val="bottom"/>
            <w:shd w:val="clear" w:color="auto" w:fill="CCEEFF"/>
          </w:tcPr>
          <w:p>
            <w:pPr>
              <w:spacing w:after="0"/>
              <w:rPr>
                <w:sz w:val="14"/>
                <w:szCs w:val="14"/>
                <w:color w:val="auto"/>
              </w:rPr>
            </w:pPr>
          </w:p>
        </w:tc>
      </w:tr>
      <w:tr>
        <w:trPr>
          <w:trHeight w:val="180"/>
        </w:trPr>
        <w:tc>
          <w:tcPr>
            <w:tcW w:w="2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British pound sterling (£)</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1,627,080</w:t>
            </w:r>
          </w:p>
        </w:tc>
        <w:tc>
          <w:tcPr>
            <w:tcW w:w="1200" w:type="dxa"/>
            <w:vAlign w:val="bottom"/>
            <w:gridSpan w:val="2"/>
          </w:tcPr>
          <w:p>
            <w:pPr>
              <w:jc w:val="right"/>
              <w:ind w:right="48"/>
              <w:spacing w:after="0" w:line="180" w:lineRule="exact"/>
              <w:rPr>
                <w:sz w:val="20"/>
                <w:szCs w:val="20"/>
                <w:color w:val="auto"/>
              </w:rPr>
            </w:pPr>
            <w:r>
              <w:rPr>
                <w:rFonts w:ascii="Times New Roman" w:cs="Times New Roman" w:eastAsia="Times New Roman" w:hAnsi="Times New Roman"/>
                <w:sz w:val="16"/>
                <w:szCs w:val="16"/>
                <w:color w:val="auto"/>
              </w:rPr>
              <w:t>9.7 %</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1,973,305</w:t>
            </w:r>
          </w:p>
        </w:tc>
        <w:tc>
          <w:tcPr>
            <w:tcW w:w="1200" w:type="dxa"/>
            <w:vAlign w:val="bottom"/>
            <w:gridSpan w:val="2"/>
          </w:tcPr>
          <w:p>
            <w:pPr>
              <w:jc w:val="right"/>
              <w:ind w:right="28"/>
              <w:spacing w:after="0" w:line="180" w:lineRule="exact"/>
              <w:rPr>
                <w:sz w:val="20"/>
                <w:szCs w:val="20"/>
                <w:color w:val="auto"/>
              </w:rPr>
            </w:pPr>
            <w:r>
              <w:rPr>
                <w:rFonts w:ascii="Times New Roman" w:cs="Times New Roman" w:eastAsia="Times New Roman" w:hAnsi="Times New Roman"/>
                <w:sz w:val="16"/>
                <w:szCs w:val="16"/>
                <w:color w:val="auto"/>
              </w:rPr>
              <w:t>11.2 %</w:t>
            </w:r>
          </w:p>
        </w:tc>
        <w:tc>
          <w:tcPr>
            <w:tcW w:w="20" w:type="dxa"/>
            <w:vAlign w:val="bottom"/>
          </w:tcPr>
          <w:p>
            <w:pPr>
              <w:spacing w:after="0"/>
              <w:rPr>
                <w:sz w:val="15"/>
                <w:szCs w:val="15"/>
                <w:color w:val="auto"/>
              </w:rPr>
            </w:pPr>
          </w:p>
        </w:tc>
      </w:tr>
      <w:tr>
        <w:trPr>
          <w:trHeight w:val="204"/>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Euro (</w:t>
            </w:r>
            <w:r>
              <w:rPr>
                <w:rFonts w:ascii="Calibri" w:cs="Calibri" w:eastAsia="Calibri" w:hAnsi="Calibri"/>
                <w:sz w:val="16"/>
                <w:szCs w:val="16"/>
                <w:color w:val="auto"/>
              </w:rPr>
              <w:t>€</w:t>
            </w: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10,327,404</w:t>
            </w:r>
          </w:p>
        </w:tc>
        <w:tc>
          <w:tcPr>
            <w:tcW w:w="12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6"/>
                <w:szCs w:val="16"/>
                <w:color w:val="auto"/>
              </w:rPr>
              <w:t>61.3 %</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10,835,878</w:t>
            </w:r>
          </w:p>
        </w:tc>
        <w:tc>
          <w:tcPr>
            <w:tcW w:w="12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61.8 %</w:t>
            </w:r>
          </w:p>
        </w:tc>
        <w:tc>
          <w:tcPr>
            <w:tcW w:w="20" w:type="dxa"/>
            <w:vAlign w:val="bottom"/>
            <w:shd w:val="clear" w:color="auto" w:fill="CCEEFF"/>
          </w:tcPr>
          <w:p>
            <w:pPr>
              <w:spacing w:after="0"/>
              <w:rPr>
                <w:sz w:val="17"/>
                <w:szCs w:val="17"/>
                <w:color w:val="auto"/>
              </w:rPr>
            </w:pPr>
          </w:p>
        </w:tc>
      </w:tr>
      <w:tr>
        <w:trPr>
          <w:trHeight w:val="180"/>
        </w:trPr>
        <w:tc>
          <w:tcPr>
            <w:tcW w:w="290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2,040,289</w:t>
            </w:r>
          </w:p>
        </w:tc>
        <w:tc>
          <w:tcPr>
            <w:tcW w:w="1200" w:type="dxa"/>
            <w:vAlign w:val="bottom"/>
            <w:tcBorders>
              <w:bottom w:val="single" w:sz="8" w:color="CCEEFF"/>
            </w:tcBorders>
            <w:gridSpan w:val="2"/>
          </w:tcPr>
          <w:p>
            <w:pPr>
              <w:jc w:val="right"/>
              <w:ind w:right="48"/>
              <w:spacing w:after="0" w:line="180" w:lineRule="exact"/>
              <w:rPr>
                <w:sz w:val="20"/>
                <w:szCs w:val="20"/>
                <w:color w:val="auto"/>
              </w:rPr>
            </w:pPr>
            <w:r>
              <w:rPr>
                <w:rFonts w:ascii="Times New Roman" w:cs="Times New Roman" w:eastAsia="Times New Roman" w:hAnsi="Times New Roman"/>
                <w:sz w:val="16"/>
                <w:szCs w:val="16"/>
                <w:color w:val="auto"/>
              </w:rPr>
              <w:t>12.1 %</w:t>
            </w:r>
          </w:p>
        </w:tc>
        <w:tc>
          <w:tcPr>
            <w:tcW w:w="2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1,943,594</w:t>
            </w:r>
          </w:p>
        </w:tc>
        <w:tc>
          <w:tcPr>
            <w:tcW w:w="1200" w:type="dxa"/>
            <w:vAlign w:val="bottom"/>
            <w:tcBorders>
              <w:bottom w:val="single" w:sz="8" w:color="CCEEFF"/>
            </w:tcBorders>
            <w:gridSpan w:val="2"/>
          </w:tcPr>
          <w:p>
            <w:pPr>
              <w:jc w:val="right"/>
              <w:ind w:right="28"/>
              <w:spacing w:after="0" w:line="180" w:lineRule="exact"/>
              <w:rPr>
                <w:sz w:val="20"/>
                <w:szCs w:val="20"/>
                <w:color w:val="auto"/>
              </w:rPr>
            </w:pPr>
            <w:r>
              <w:rPr>
                <w:rFonts w:ascii="Times New Roman" w:cs="Times New Roman" w:eastAsia="Times New Roman" w:hAnsi="Times New Roman"/>
                <w:sz w:val="16"/>
                <w:szCs w:val="16"/>
                <w:color w:val="auto"/>
              </w:rPr>
              <w:t>11.1 %</w:t>
            </w:r>
          </w:p>
        </w:tc>
        <w:tc>
          <w:tcPr>
            <w:tcW w:w="20" w:type="dxa"/>
            <w:vAlign w:val="bottom"/>
            <w:tcBorders>
              <w:bottom w:val="single" w:sz="8" w:color="CCEEFF"/>
            </w:tcBorders>
          </w:tcPr>
          <w:p>
            <w:pPr>
              <w:spacing w:after="0"/>
              <w:rPr>
                <w:sz w:val="15"/>
                <w:szCs w:val="15"/>
                <w:color w:val="auto"/>
              </w:rPr>
            </w:pPr>
          </w:p>
        </w:tc>
      </w:tr>
      <w:tr>
        <w:trPr>
          <w:trHeight w:val="172"/>
        </w:trPr>
        <w:tc>
          <w:tcPr>
            <w:tcW w:w="2900" w:type="dxa"/>
            <w:vAlign w:val="bottom"/>
            <w:tcBorders>
              <w:bottom w:val="single" w:sz="8" w:color="CCEEFF"/>
            </w:tcBorders>
            <w:shd w:val="clear" w:color="auto" w:fill="CCEEFF"/>
          </w:tcPr>
          <w:p>
            <w:pPr>
              <w:ind w:left="100"/>
              <w:spacing w:after="0" w:line="172" w:lineRule="exact"/>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2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16,846,875</w:t>
            </w:r>
          </w:p>
        </w:tc>
        <w:tc>
          <w:tcPr>
            <w:tcW w:w="26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2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17,537,652</w:t>
            </w:r>
          </w:p>
        </w:tc>
        <w:tc>
          <w:tcPr>
            <w:tcW w:w="26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r>
      <w:tr>
        <w:trPr>
          <w:trHeight w:val="20"/>
        </w:trPr>
        <w:tc>
          <w:tcPr>
            <w:tcW w:w="2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30"/>
        </w:trPr>
        <w:tc>
          <w:tcPr>
            <w:tcW w:w="2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ind w:right="46"/>
              <w:spacing w:after="0"/>
              <w:rPr>
                <w:sz w:val="20"/>
                <w:szCs w:val="20"/>
                <w:color w:val="auto"/>
              </w:rPr>
            </w:pPr>
            <w:r>
              <w:rPr>
                <w:rFonts w:ascii="Times New Roman" w:cs="Times New Roman" w:eastAsia="Times New Roman" w:hAnsi="Times New Roman"/>
                <w:sz w:val="16"/>
                <w:szCs w:val="16"/>
                <w:color w:val="auto"/>
              </w:rPr>
              <w:t>130</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4"/>
        </w:trPr>
        <w:tc>
          <w:tcPr>
            <w:tcW w:w="2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40" w:orient="portrait"/>
          <w:cols w:equalWidth="0" w:num="1">
            <w:col w:w="9020"/>
          </w:cols>
          <w:pgMar w:left="1440" w:top="557" w:right="1440" w:bottom="1440" w:gutter="0" w:footer="0" w:header="0"/>
        </w:sectPr>
      </w:pPr>
    </w:p>
    <w:bookmarkStart w:id="135" w:name="page136"/>
    <w:bookmarkEnd w:id="135"/>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 and 2023</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table below summarizes our debt maturities and principal payments as of December 31, 2024 (in thousands):</w:t>
      </w:r>
    </w:p>
    <w:p>
      <w:pPr>
        <w:spacing w:after="0" w:line="186" w:lineRule="exact"/>
        <w:rPr>
          <w:sz w:val="20"/>
          <w:szCs w:val="20"/>
          <w:color w:val="auto"/>
        </w:rPr>
      </w:pPr>
    </w:p>
    <w:tbl>
      <w:tblPr>
        <w:tblLayout w:type="fixed"/>
        <w:tblInd w:w="320" w:type="dxa"/>
        <w:tblCellMar>
          <w:top w:w="0" w:type="dxa"/>
          <w:left w:w="0" w:type="dxa"/>
          <w:bottom w:w="0" w:type="dxa"/>
          <w:right w:w="0" w:type="dxa"/>
        </w:tblCellMar>
      </w:tblPr>
      <w:tr>
        <w:trPr>
          <w:trHeight w:val="144"/>
        </w:trPr>
        <w:tc>
          <w:tcPr>
            <w:tcW w:w="2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2"/>
                <w:szCs w:val="12"/>
                <w:b w:val="1"/>
                <w:bCs w:val="1"/>
                <w:color w:val="auto"/>
                <w:w w:val="98"/>
              </w:rPr>
              <w:t>Global Revolving</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Unsecured</w:t>
            </w:r>
          </w:p>
        </w:tc>
        <w:tc>
          <w:tcPr>
            <w:tcW w:w="120" w:type="dxa"/>
            <w:vAlign w:val="bottom"/>
          </w:tcPr>
          <w:p>
            <w:pPr>
              <w:spacing w:after="0"/>
              <w:rPr>
                <w:sz w:val="12"/>
                <w:szCs w:val="12"/>
                <w:color w:val="auto"/>
              </w:rPr>
            </w:pPr>
          </w:p>
        </w:tc>
        <w:tc>
          <w:tcPr>
            <w:tcW w:w="980" w:type="dxa"/>
            <w:vAlign w:val="bottom"/>
          </w:tcPr>
          <w:p>
            <w:pPr>
              <w:jc w:val="right"/>
              <w:ind w:right="215"/>
              <w:spacing w:after="0"/>
              <w:rPr>
                <w:sz w:val="20"/>
                <w:szCs w:val="20"/>
                <w:color w:val="auto"/>
              </w:rPr>
            </w:pPr>
            <w:r>
              <w:rPr>
                <w:rFonts w:ascii="Times New Roman" w:cs="Times New Roman" w:eastAsia="Times New Roman" w:hAnsi="Times New Roman"/>
                <w:sz w:val="12"/>
                <w:szCs w:val="12"/>
                <w:b w:val="1"/>
                <w:bCs w:val="1"/>
                <w:color w:val="auto"/>
              </w:rPr>
              <w:t>Unsecured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Secured and</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59"/>
        </w:trPr>
        <w:tc>
          <w:tcPr>
            <w:tcW w:w="2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ind w:left="40"/>
              <w:spacing w:after="0" w:line="159" w:lineRule="exact"/>
              <w:rPr>
                <w:sz w:val="20"/>
                <w:szCs w:val="20"/>
                <w:color w:val="auto"/>
              </w:rPr>
            </w:pPr>
            <w:r>
              <w:rPr>
                <w:rFonts w:ascii="Times New Roman" w:cs="Times New Roman" w:eastAsia="Times New Roman" w:hAnsi="Times New Roman"/>
                <w:sz w:val="12"/>
                <w:szCs w:val="12"/>
                <w:b w:val="1"/>
                <w:bCs w:val="1"/>
                <w:color w:val="auto"/>
                <w:w w:val="96"/>
              </w:rPr>
              <w:t xml:space="preserve">Credit Facilities </w:t>
            </w:r>
            <w:r>
              <w:rPr>
                <w:rFonts w:ascii="Times New Roman" w:cs="Times New Roman" w:eastAsia="Times New Roman" w:hAnsi="Times New Roman"/>
                <w:sz w:val="16"/>
                <w:szCs w:val="16"/>
                <w:b w:val="1"/>
                <w:bCs w:val="1"/>
                <w:color w:val="auto"/>
                <w:w w:val="96"/>
                <w:vertAlign w:val="superscript"/>
              </w:rPr>
              <w:t>(1)(2)</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340"/>
              <w:spacing w:after="0" w:line="159" w:lineRule="exact"/>
              <w:rPr>
                <w:sz w:val="20"/>
                <w:szCs w:val="20"/>
                <w:color w:val="auto"/>
              </w:rPr>
            </w:pPr>
            <w:r>
              <w:rPr>
                <w:rFonts w:ascii="Times New Roman" w:cs="Times New Roman" w:eastAsia="Times New Roman" w:hAnsi="Times New Roman"/>
                <w:sz w:val="12"/>
                <w:szCs w:val="12"/>
                <w:b w:val="1"/>
                <w:bCs w:val="1"/>
                <w:color w:val="auto"/>
              </w:rPr>
              <w:t>Term Loans</w:t>
            </w:r>
            <w:r>
              <w:rPr>
                <w:rFonts w:ascii="Times New Roman" w:cs="Times New Roman" w:eastAsia="Times New Roman" w:hAnsi="Times New Roman"/>
                <w:sz w:val="16"/>
                <w:szCs w:val="16"/>
                <w:b w:val="1"/>
                <w:bCs w:val="1"/>
                <w:color w:val="auto"/>
                <w:vertAlign w:val="superscript"/>
              </w:rPr>
              <w:t>(3)</w:t>
            </w:r>
          </w:p>
        </w:tc>
        <w:tc>
          <w:tcPr>
            <w:tcW w:w="120" w:type="dxa"/>
            <w:vAlign w:val="bottom"/>
          </w:tcPr>
          <w:p>
            <w:pPr>
              <w:spacing w:after="0"/>
              <w:rPr>
                <w:sz w:val="13"/>
                <w:szCs w:val="13"/>
                <w:color w:val="auto"/>
              </w:rPr>
            </w:pPr>
          </w:p>
        </w:tc>
        <w:tc>
          <w:tcPr>
            <w:tcW w:w="980" w:type="dxa"/>
            <w:vAlign w:val="bottom"/>
          </w:tcPr>
          <w:p>
            <w:pPr>
              <w:jc w:val="right"/>
              <w:ind w:right="115"/>
              <w:spacing w:after="0" w:line="159" w:lineRule="exact"/>
              <w:rPr>
                <w:sz w:val="20"/>
                <w:szCs w:val="20"/>
                <w:color w:val="auto"/>
              </w:rPr>
            </w:pPr>
            <w:r>
              <w:rPr>
                <w:rFonts w:ascii="Times New Roman" w:cs="Times New Roman" w:eastAsia="Times New Roman" w:hAnsi="Times New Roman"/>
                <w:sz w:val="12"/>
                <w:szCs w:val="12"/>
                <w:b w:val="1"/>
                <w:bCs w:val="1"/>
                <w:color w:val="auto"/>
              </w:rPr>
              <w:t>Senior Notes</w:t>
            </w:r>
            <w:r>
              <w:rPr>
                <w:rFonts w:ascii="Times New Roman" w:cs="Times New Roman" w:eastAsia="Times New Roman" w:hAnsi="Times New Roman"/>
                <w:sz w:val="16"/>
                <w:szCs w:val="16"/>
                <w:b w:val="1"/>
                <w:bCs w:val="1"/>
                <w:color w:val="auto"/>
                <w:vertAlign w:val="superscript"/>
              </w:rPr>
              <w:t>(4)</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Other Debt</w:t>
            </w:r>
          </w:p>
        </w:tc>
        <w:tc>
          <w:tcPr>
            <w:tcW w:w="160" w:type="dxa"/>
            <w:vAlign w:val="bottom"/>
          </w:tcPr>
          <w:p>
            <w:pPr>
              <w:spacing w:after="0"/>
              <w:rPr>
                <w:sz w:val="13"/>
                <w:szCs w:val="13"/>
                <w:color w:val="auto"/>
              </w:rPr>
            </w:pPr>
          </w:p>
        </w:tc>
        <w:tc>
          <w:tcPr>
            <w:tcW w:w="920" w:type="dxa"/>
            <w:vAlign w:val="bottom"/>
          </w:tcPr>
          <w:p>
            <w:pPr>
              <w:jc w:val="right"/>
              <w:ind w:right="215"/>
              <w:spacing w:after="0"/>
              <w:rPr>
                <w:sz w:val="20"/>
                <w:szCs w:val="20"/>
                <w:color w:val="auto"/>
              </w:rPr>
            </w:pPr>
            <w:r>
              <w:rPr>
                <w:rFonts w:ascii="Times New Roman" w:cs="Times New Roman" w:eastAsia="Times New Roman" w:hAnsi="Times New Roman"/>
                <w:sz w:val="12"/>
                <w:szCs w:val="12"/>
                <w:b w:val="1"/>
                <w:bCs w:val="1"/>
                <w:color w:val="auto"/>
              </w:rPr>
              <w:t>Total Debt</w:t>
            </w:r>
          </w:p>
        </w:tc>
      </w:tr>
      <w:tr>
        <w:trPr>
          <w:trHeight w:val="148"/>
        </w:trPr>
        <w:tc>
          <w:tcPr>
            <w:tcW w:w="208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2025</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388,275</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1,173,650</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14"/>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782</w:t>
            </w: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14"/>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1,562,707</w:t>
            </w:r>
          </w:p>
        </w:tc>
      </w:tr>
      <w:tr>
        <w:trPr>
          <w:trHeight w:val="156"/>
        </w:trPr>
        <w:tc>
          <w:tcPr>
            <w:tcW w:w="2080" w:type="dxa"/>
            <w:vAlign w:val="bottom"/>
          </w:tcPr>
          <w:p>
            <w:pPr>
              <w:spacing w:after="0"/>
              <w:rPr>
                <w:sz w:val="20"/>
                <w:szCs w:val="20"/>
                <w:color w:val="auto"/>
              </w:rPr>
            </w:pPr>
            <w:r>
              <w:rPr>
                <w:rFonts w:ascii="Times New Roman" w:cs="Times New Roman" w:eastAsia="Times New Roman" w:hAnsi="Times New Roman"/>
                <w:sz w:val="13"/>
                <w:szCs w:val="13"/>
                <w:color w:val="auto"/>
              </w:rPr>
              <w:t>2026</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1,416,042</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114,505</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1,530,547</w:t>
            </w:r>
          </w:p>
        </w:tc>
      </w:tr>
      <w:tr>
        <w:trPr>
          <w:trHeight w:val="15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2027</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1,165,265</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234,023</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1,399,288</w:t>
            </w:r>
          </w:p>
        </w:tc>
      </w:tr>
      <w:tr>
        <w:trPr>
          <w:trHeight w:val="156"/>
        </w:trPr>
        <w:tc>
          <w:tcPr>
            <w:tcW w:w="2080" w:type="dxa"/>
            <w:vAlign w:val="bottom"/>
          </w:tcPr>
          <w:p>
            <w:pPr>
              <w:spacing w:after="0"/>
              <w:rPr>
                <w:sz w:val="20"/>
                <w:szCs w:val="20"/>
                <w:color w:val="auto"/>
              </w:rPr>
            </w:pPr>
            <w:r>
              <w:rPr>
                <w:rFonts w:ascii="Times New Roman" w:cs="Times New Roman" w:eastAsia="Times New Roman" w:hAnsi="Times New Roman"/>
                <w:sz w:val="13"/>
                <w:szCs w:val="13"/>
                <w:color w:val="auto"/>
              </w:rPr>
              <w:t>2028</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2,067,700</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354,999</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2,422,699</w:t>
            </w:r>
          </w:p>
        </w:tc>
      </w:tr>
      <w:tr>
        <w:trPr>
          <w:trHeight w:val="15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2029</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1,637,922</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2,785,538</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13,946</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4,437,406</w:t>
            </w:r>
          </w:p>
        </w:tc>
      </w:tr>
      <w:tr>
        <w:trPr>
          <w:trHeight w:val="156"/>
        </w:trPr>
        <w:tc>
          <w:tcPr>
            <w:tcW w:w="22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Thereafter</w:t>
            </w: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5,451,220</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43,008</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5,494,228</w:t>
            </w:r>
          </w:p>
        </w:tc>
      </w:tr>
      <w:tr>
        <w:trPr>
          <w:trHeight w:val="148"/>
        </w:trPr>
        <w:tc>
          <w:tcPr>
            <w:tcW w:w="2260" w:type="dxa"/>
            <w:vAlign w:val="bottom"/>
            <w:tcBorders>
              <w:top w:val="single" w:sz="8" w:color="CCEEFF"/>
            </w:tcBorders>
            <w:gridSpan w:val="2"/>
            <w:shd w:val="clear" w:color="auto" w:fill="CCEEFF"/>
          </w:tcPr>
          <w:p>
            <w:pPr>
              <w:ind w:left="280"/>
              <w:spacing w:after="0" w:line="148" w:lineRule="exact"/>
              <w:rPr>
                <w:sz w:val="20"/>
                <w:szCs w:val="20"/>
                <w:color w:val="auto"/>
              </w:rPr>
            </w:pPr>
            <w:r>
              <w:rPr>
                <w:rFonts w:ascii="Times New Roman" w:cs="Times New Roman" w:eastAsia="Times New Roman" w:hAnsi="Times New Roman"/>
                <w:sz w:val="13"/>
                <w:szCs w:val="13"/>
                <w:color w:val="auto"/>
              </w:rPr>
              <w:t>Subtotal</w:t>
            </w:r>
          </w:p>
        </w:tc>
        <w:tc>
          <w:tcPr>
            <w:tcW w:w="1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1,637,922</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388,275</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14,059,415</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14"/>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761,263</w:t>
            </w: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14"/>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16,846,875</w:t>
            </w:r>
          </w:p>
        </w:tc>
      </w:tr>
      <w:tr>
        <w:trPr>
          <w:trHeight w:val="156"/>
        </w:trPr>
        <w:tc>
          <w:tcPr>
            <w:tcW w:w="22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Unamortized net discounts</w:t>
            </w: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(27,476)</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(3,658)</w:t>
            </w:r>
          </w:p>
        </w:tc>
        <w:tc>
          <w:tcPr>
            <w:tcW w:w="1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(31,134)</w:t>
            </w:r>
          </w:p>
        </w:tc>
      </w:tr>
      <w:tr>
        <w:trPr>
          <w:trHeight w:val="156"/>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Unamortized deferred financing costs</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(26,614)</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(1,372)</w:t>
            </w: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(69,087)</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(4,291)</w:t>
            </w: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(101,364)</w:t>
            </w:r>
          </w:p>
        </w:tc>
      </w:tr>
      <w:tr>
        <w:trPr>
          <w:trHeight w:val="148"/>
        </w:trPr>
        <w:tc>
          <w:tcPr>
            <w:tcW w:w="2260" w:type="dxa"/>
            <w:vAlign w:val="bottom"/>
            <w:gridSpan w:val="2"/>
          </w:tcPr>
          <w:p>
            <w:pPr>
              <w:ind w:left="480"/>
              <w:spacing w:after="0" w:line="148" w:lineRule="exact"/>
              <w:rPr>
                <w:sz w:val="20"/>
                <w:szCs w:val="20"/>
                <w:color w:val="auto"/>
              </w:rPr>
            </w:pPr>
            <w:r>
              <w:rPr>
                <w:rFonts w:ascii="Times New Roman" w:cs="Times New Roman" w:eastAsia="Times New Roman" w:hAnsi="Times New Roman"/>
                <w:sz w:val="13"/>
                <w:szCs w:val="13"/>
                <w:color w:val="auto"/>
              </w:rPr>
              <w:t>Total</w:t>
            </w:r>
          </w:p>
        </w:tc>
        <w:tc>
          <w:tcPr>
            <w:tcW w:w="1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1,611,308</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386,903</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13,962,852</w:t>
            </w: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14"/>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753,314</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14"/>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16,714,377</w:t>
            </w:r>
          </w:p>
        </w:tc>
      </w:tr>
      <w:tr>
        <w:trPr>
          <w:trHeight w:val="20"/>
        </w:trPr>
        <w:tc>
          <w:tcPr>
            <w:tcW w:w="2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72"/>
        </w:trPr>
        <w:tc>
          <w:tcPr>
            <w:tcW w:w="208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Pr>
          <w:p>
            <w:pPr>
              <w:spacing w:after="0"/>
              <w:rPr>
                <w:sz w:val="6"/>
                <w:szCs w:val="6"/>
                <w:color w:val="auto"/>
              </w:rPr>
            </w:pPr>
          </w:p>
        </w:tc>
      </w:tr>
    </w:tbl>
    <w:p>
      <w:pPr>
        <w:spacing w:after="0" w:line="59" w:lineRule="exact"/>
        <w:rPr>
          <w:sz w:val="20"/>
          <w:szCs w:val="20"/>
          <w:color w:val="auto"/>
        </w:rPr>
      </w:pPr>
    </w:p>
    <w:p>
      <w:pPr>
        <w:ind w:left="600" w:hanging="282"/>
        <w:spacing w:after="0"/>
        <w:tabs>
          <w:tab w:leader="none" w:pos="60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amounts outstanding for the Global Revolving Credit Facilities.</w:t>
      </w:r>
    </w:p>
    <w:p>
      <w:pPr>
        <w:spacing w:after="0" w:line="14" w:lineRule="exact"/>
        <w:rPr>
          <w:rFonts w:ascii="Times New Roman" w:cs="Times New Roman" w:eastAsia="Times New Roman" w:hAnsi="Times New Roman"/>
          <w:sz w:val="16"/>
          <w:szCs w:val="16"/>
          <w:color w:val="auto"/>
        </w:rPr>
      </w:pPr>
    </w:p>
    <w:p>
      <w:pPr>
        <w:jc w:val="both"/>
        <w:ind w:left="600" w:right="800" w:hanging="282"/>
        <w:spacing w:after="0" w:line="234" w:lineRule="auto"/>
        <w:tabs>
          <w:tab w:leader="none" w:pos="60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Global Revolving Credit Facilities are subject to two six-month extension options exercisable by us; provided that the Operating Partnership must pay a 0.0625% extension fee based on each lender’s revolving commitments then outstanding (whether funded or unfunded).</w:t>
      </w:r>
    </w:p>
    <w:p>
      <w:pPr>
        <w:spacing w:after="0" w:line="1" w:lineRule="exact"/>
        <w:rPr>
          <w:rFonts w:ascii="Times New Roman" w:cs="Times New Roman" w:eastAsia="Times New Roman" w:hAnsi="Times New Roman"/>
          <w:sz w:val="16"/>
          <w:szCs w:val="16"/>
          <w:color w:val="auto"/>
        </w:rPr>
      </w:pPr>
    </w:p>
    <w:p>
      <w:pPr>
        <w:ind w:left="600" w:right="840" w:hanging="282"/>
        <w:spacing w:after="0" w:line="234" w:lineRule="auto"/>
        <w:tabs>
          <w:tab w:leader="none" w:pos="60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€375.0 million 2025-27 Term Facility is subject to two maturity extension options of one year each, provided that the Operating Partnership must pay a 0.125% extension fee based on the then-outstanding principal amount of such facility commitments then outstanding.</w:t>
      </w:r>
    </w:p>
    <w:p>
      <w:pPr>
        <w:spacing w:after="0" w:line="1" w:lineRule="exact"/>
        <w:rPr>
          <w:rFonts w:ascii="Times New Roman" w:cs="Times New Roman" w:eastAsia="Times New Roman" w:hAnsi="Times New Roman"/>
          <w:sz w:val="16"/>
          <w:szCs w:val="16"/>
          <w:color w:val="auto"/>
        </w:rPr>
      </w:pPr>
    </w:p>
    <w:p>
      <w:pPr>
        <w:ind w:left="600" w:hanging="282"/>
        <w:spacing w:after="0"/>
        <w:tabs>
          <w:tab w:leader="none" w:pos="60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£400 million 4.250% unsecured senior note was paid at maturity on January 17, 2025.</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Global Revolving Credit Facilities</w:t>
      </w:r>
    </w:p>
    <w:p>
      <w:pPr>
        <w:spacing w:after="0" w:line="192" w:lineRule="exact"/>
        <w:rPr>
          <w:sz w:val="20"/>
          <w:szCs w:val="20"/>
          <w:color w:val="auto"/>
        </w:rPr>
      </w:pPr>
    </w:p>
    <w:p>
      <w:pPr>
        <w:ind w:left="320" w:right="340"/>
        <w:spacing w:after="0" w:line="247" w:lineRule="auto"/>
        <w:rPr>
          <w:sz w:val="20"/>
          <w:szCs w:val="20"/>
          <w:color w:val="auto"/>
        </w:rPr>
      </w:pPr>
      <w:r>
        <w:rPr>
          <w:rFonts w:ascii="Times New Roman" w:cs="Times New Roman" w:eastAsia="Times New Roman" w:hAnsi="Times New Roman"/>
          <w:sz w:val="16"/>
          <w:szCs w:val="16"/>
          <w:color w:val="auto"/>
        </w:rPr>
        <w:t>On September 24, 2024, we refinanced our Global Revolving Credit Facilities. The refinancing resulted in a loss on debt modification charge of approximately $1.1 million during the year ended December 31, 2024. Below are key terms for our Global Revolving Credit Facility and Yen Revolving Credit Facility.</w:t>
      </w:r>
    </w:p>
    <w:p>
      <w:pPr>
        <w:spacing w:after="0" w:line="164" w:lineRule="exact"/>
        <w:rPr>
          <w:sz w:val="20"/>
          <w:szCs w:val="20"/>
          <w:color w:val="auto"/>
        </w:rPr>
      </w:pPr>
    </w:p>
    <w:p>
      <w:pPr>
        <w:ind w:left="320" w:right="460"/>
        <w:spacing w:after="0" w:line="241" w:lineRule="auto"/>
        <w:rPr>
          <w:sz w:val="20"/>
          <w:szCs w:val="20"/>
          <w:color w:val="auto"/>
        </w:rPr>
      </w:pPr>
      <w:r>
        <w:rPr>
          <w:rFonts w:ascii="Times New Roman" w:cs="Times New Roman" w:eastAsia="Times New Roman" w:hAnsi="Times New Roman"/>
          <w:sz w:val="16"/>
          <w:szCs w:val="16"/>
          <w:color w:val="auto"/>
        </w:rPr>
        <w:t>We have a Global Revolving Credit Facility under which we may draw up to $4.1 billion equivalent on a revolving basis (subject to currency fluctuations). The Global Revolving Credit Facility can be drawn in Australian dollars, British pounds sterling, Canadian dollars, Euros, Hong Kong dollars, Indonesian rupiah, Japanese yen, Korean won, Singapore dollars, Swiss francs and U.S. dollars (with the ability to add other currencies in the future). As of December 31, 2024, approximately $114.5 million of letters of credit were issued.</w:t>
      </w:r>
    </w:p>
    <w:p>
      <w:pPr>
        <w:spacing w:after="0" w:line="169" w:lineRule="exact"/>
        <w:rPr>
          <w:sz w:val="20"/>
          <w:szCs w:val="20"/>
          <w:color w:val="auto"/>
        </w:rPr>
      </w:pPr>
    </w:p>
    <w:p>
      <w:pPr>
        <w:ind w:left="320" w:right="380"/>
        <w:spacing w:after="0" w:line="247" w:lineRule="auto"/>
        <w:rPr>
          <w:sz w:val="20"/>
          <w:szCs w:val="20"/>
          <w:color w:val="auto"/>
        </w:rPr>
      </w:pPr>
      <w:r>
        <w:rPr>
          <w:rFonts w:ascii="Times New Roman" w:cs="Times New Roman" w:eastAsia="Times New Roman" w:hAnsi="Times New Roman"/>
          <w:sz w:val="16"/>
          <w:szCs w:val="16"/>
          <w:color w:val="auto"/>
        </w:rPr>
        <w:t>We have the ability to increase the size of the Global Revolving Credit Facility by up to $1.8 billion, subject to the receipt of lender commitments and the satisfaction of certain customary conditions precedent. Other key terms of the Global Revolving Credit Facility are as follows:</w:t>
      </w:r>
    </w:p>
    <w:p>
      <w:pPr>
        <w:spacing w:after="0" w:line="164" w:lineRule="exact"/>
        <w:rPr>
          <w:sz w:val="20"/>
          <w:szCs w:val="20"/>
          <w:color w:val="auto"/>
        </w:rPr>
      </w:pPr>
    </w:p>
    <w:p>
      <w:pPr>
        <w:ind w:left="900" w:right="580" w:hanging="294"/>
        <w:spacing w:after="0" w:line="247" w:lineRule="auto"/>
        <w:tabs>
          <w:tab w:leader="none" w:pos="90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Maturity date: January 24, 2029, with two six-month extension options available. The bank group is obligated to grant the extension options provided we give proper notice, we make certain representations and warranties and no default exists under the Global Revolving Credit Facilities.</w:t>
      </w:r>
    </w:p>
    <w:p>
      <w:pPr>
        <w:spacing w:after="0" w:line="164" w:lineRule="exact"/>
        <w:rPr>
          <w:rFonts w:ascii="Times New Roman" w:cs="Times New Roman" w:eastAsia="Times New Roman" w:hAnsi="Times New Roman"/>
          <w:sz w:val="16"/>
          <w:szCs w:val="16"/>
          <w:color w:val="auto"/>
        </w:rPr>
      </w:pPr>
    </w:p>
    <w:p>
      <w:pPr>
        <w:ind w:left="900" w:right="380" w:hanging="294"/>
        <w:spacing w:after="0" w:line="259" w:lineRule="auto"/>
        <w:tabs>
          <w:tab w:leader="none" w:pos="90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rate: the applicable index plus a margin which is based on the credit ratings of our long-term debt and is currently85 basis points (subject to a sustainability-linked pricing component).</w:t>
      </w:r>
    </w:p>
    <w:p>
      <w:pPr>
        <w:spacing w:after="0" w:line="155" w:lineRule="exact"/>
        <w:rPr>
          <w:rFonts w:ascii="Times New Roman" w:cs="Times New Roman" w:eastAsia="Times New Roman" w:hAnsi="Times New Roman"/>
          <w:sz w:val="16"/>
          <w:szCs w:val="16"/>
          <w:color w:val="auto"/>
        </w:rPr>
      </w:pPr>
    </w:p>
    <w:p>
      <w:pPr>
        <w:ind w:left="900" w:right="700" w:hanging="294"/>
        <w:spacing w:after="0" w:line="259" w:lineRule="auto"/>
        <w:tabs>
          <w:tab w:leader="none" w:pos="90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 facility fee: based on the total commitment amount of the facility and the credit ratings of our long-term debt is currently 20 basis points (subject to a sustainability-linked pricing component) and is payable quarterly.</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36" w:name="page137"/>
    <w:bookmarkEnd w:id="136"/>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 and 2023</w:t>
      </w:r>
    </w:p>
    <w:p>
      <w:pPr>
        <w:spacing w:after="0" w:line="202" w:lineRule="exact"/>
        <w:rPr>
          <w:sz w:val="20"/>
          <w:szCs w:val="20"/>
          <w:color w:val="auto"/>
        </w:rPr>
      </w:pPr>
    </w:p>
    <w:p>
      <w:pPr>
        <w:ind w:left="900" w:right="640" w:hanging="294"/>
        <w:spacing w:after="0" w:line="259" w:lineRule="auto"/>
        <w:tabs>
          <w:tab w:leader="none" w:pos="90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Sustainability-linked pricing component: pricing can increase by up to 5 basis points or decrease by up to 5 basis points depending on whether or not the OP or its subsidiaries meet certain sustainability performance targets.</w:t>
      </w:r>
    </w:p>
    <w:p>
      <w:pPr>
        <w:spacing w:after="0" w:line="1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Yen Revolving Credit Facility</w:t>
      </w:r>
    </w:p>
    <w:p>
      <w:pPr>
        <w:spacing w:after="0" w:line="190" w:lineRule="exact"/>
        <w:rPr>
          <w:sz w:val="20"/>
          <w:szCs w:val="20"/>
          <w:color w:val="auto"/>
        </w:rPr>
      </w:pPr>
    </w:p>
    <w:p>
      <w:pPr>
        <w:ind w:left="320" w:right="280"/>
        <w:spacing w:after="0" w:line="241" w:lineRule="auto"/>
        <w:rPr>
          <w:sz w:val="20"/>
          <w:szCs w:val="20"/>
          <w:color w:val="auto"/>
        </w:rPr>
      </w:pPr>
      <w:r>
        <w:rPr>
          <w:rFonts w:ascii="Times New Roman" w:cs="Times New Roman" w:eastAsia="Times New Roman" w:hAnsi="Times New Roman"/>
          <w:sz w:val="16"/>
          <w:szCs w:val="16"/>
          <w:color w:val="auto"/>
        </w:rPr>
        <w:t>In addition to the Global Revolving Credit Facility, we have a revolving credit facility that provides for borrowings in Japanese Yen of up to ¥42.5 billion (approximately $296.8 million based on the exchange rate on September 24, 2024), hereafter referred to as the “Yen Revolving Credit Facility”). We have the ability from time to time to increase the size of the Yen Revolving Credit Facility to up to ¥102.5 billion, subject to receipt of lender commitments and other conditions precedent. Other key terms of the Yen Revolving Credit Facility are as follows:</w:t>
      </w:r>
    </w:p>
    <w:p>
      <w:pPr>
        <w:spacing w:after="0" w:line="169" w:lineRule="exact"/>
        <w:rPr>
          <w:sz w:val="20"/>
          <w:szCs w:val="20"/>
          <w:color w:val="auto"/>
        </w:rPr>
      </w:pPr>
    </w:p>
    <w:p>
      <w:pPr>
        <w:ind w:left="900" w:right="580" w:hanging="294"/>
        <w:spacing w:after="0" w:line="247" w:lineRule="auto"/>
        <w:tabs>
          <w:tab w:leader="none" w:pos="90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Maturity date: January 24, 2029, with two six-month extension options available. The bank group is obligated to grant the extension options provided we give proper notice, we make certain representations and warranties and no default exists under the Global Revolving Credit Facilities.</w:t>
      </w:r>
    </w:p>
    <w:p>
      <w:pPr>
        <w:spacing w:after="0" w:line="164" w:lineRule="exact"/>
        <w:rPr>
          <w:rFonts w:ascii="Times New Roman" w:cs="Times New Roman" w:eastAsia="Times New Roman" w:hAnsi="Times New Roman"/>
          <w:sz w:val="16"/>
          <w:szCs w:val="16"/>
          <w:color w:val="auto"/>
        </w:rPr>
      </w:pPr>
    </w:p>
    <w:p>
      <w:pPr>
        <w:ind w:left="900" w:right="380" w:hanging="294"/>
        <w:spacing w:after="0" w:line="259" w:lineRule="auto"/>
        <w:tabs>
          <w:tab w:leader="none" w:pos="90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rate: the applicable index plus a margin which is based on the credit ratings of our long-term debt and is currently50 basis points (subject to a sustainability-linked pricing component).</w:t>
      </w:r>
    </w:p>
    <w:p>
      <w:pPr>
        <w:spacing w:after="0" w:line="155" w:lineRule="exact"/>
        <w:rPr>
          <w:rFonts w:ascii="Times New Roman" w:cs="Times New Roman" w:eastAsia="Times New Roman" w:hAnsi="Times New Roman"/>
          <w:sz w:val="16"/>
          <w:szCs w:val="16"/>
          <w:color w:val="auto"/>
        </w:rPr>
      </w:pPr>
    </w:p>
    <w:p>
      <w:pPr>
        <w:ind w:left="900" w:right="520" w:hanging="294"/>
        <w:spacing w:after="0" w:line="247" w:lineRule="auto"/>
        <w:tabs>
          <w:tab w:leader="none" w:pos="90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Quarterly unused commitment fee: currently is 10 basis points (subject to a sustainability-linked pricing component), calculated using the average daily unused revolving credit commitment and is based on the credit ratings of our long-term debt.</w:t>
      </w:r>
    </w:p>
    <w:p>
      <w:pPr>
        <w:spacing w:after="0" w:line="164" w:lineRule="exact"/>
        <w:rPr>
          <w:rFonts w:ascii="Times New Roman" w:cs="Times New Roman" w:eastAsia="Times New Roman" w:hAnsi="Times New Roman"/>
          <w:sz w:val="16"/>
          <w:szCs w:val="16"/>
          <w:color w:val="auto"/>
        </w:rPr>
      </w:pPr>
    </w:p>
    <w:p>
      <w:pPr>
        <w:ind w:left="900" w:right="640" w:hanging="294"/>
        <w:spacing w:after="0" w:line="259" w:lineRule="auto"/>
        <w:tabs>
          <w:tab w:leader="none" w:pos="90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Sustainability-linked pricing component: pricing can increase by up to 5 basis points or decrease by up to 5 basis points depending on whether or not the OP or its subsidiaries meet certain sustainability performance targets.</w:t>
      </w:r>
    </w:p>
    <w:p>
      <w:pPr>
        <w:spacing w:after="0" w:line="1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Restrictive Covenants in Global Revolving Credit Facility and Yen Revolving Credit Facility</w:t>
      </w:r>
    </w:p>
    <w:p>
      <w:pPr>
        <w:spacing w:after="0" w:line="190" w:lineRule="exact"/>
        <w:rPr>
          <w:sz w:val="20"/>
          <w:szCs w:val="20"/>
          <w:color w:val="auto"/>
        </w:rPr>
      </w:pPr>
    </w:p>
    <w:p>
      <w:pPr>
        <w:ind w:left="320" w:right="380"/>
        <w:spacing w:after="0" w:line="278" w:lineRule="auto"/>
        <w:rPr>
          <w:sz w:val="20"/>
          <w:szCs w:val="20"/>
          <w:color w:val="auto"/>
        </w:rPr>
      </w:pPr>
      <w:r>
        <w:rPr>
          <w:rFonts w:ascii="Times New Roman" w:cs="Times New Roman" w:eastAsia="Times New Roman" w:hAnsi="Times New Roman"/>
          <w:sz w:val="14"/>
          <w:szCs w:val="14"/>
          <w:color w:val="auto"/>
        </w:rPr>
        <w:t>The Global Revolving Credit Facility and the Yen Revolving Credit Facility both contain various restrictive covenants, including limitations on our ability to incur additional indebtedness, make certain investments, or merge with another company. In addition, we are required to maintain financial coverage ratios, including with ratios respect to unencumbered assets. After the occurrence of and during the continuance of any event of default, these credit facilities restrict the Parent’s ability to make distributions to stockholders or redeem or otherwise repurchase shares of its capital stock, except in limited circumstances (such as those necessary to enable Digital Realty Trust, Inc. to maintain its qualification as a REIT and to minimize the payment of income or excise tax). As of December 31, 2024, we were in compliance with all of such covenants for both of these revolving credit facilities.</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Unsecured Term Loans</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Euro Term Loan Agreement</w:t>
      </w:r>
    </w:p>
    <w:p>
      <w:pPr>
        <w:spacing w:after="0" w:line="178" w:lineRule="exact"/>
        <w:rPr>
          <w:sz w:val="20"/>
          <w:szCs w:val="20"/>
          <w:color w:val="auto"/>
        </w:rPr>
      </w:pPr>
    </w:p>
    <w:p>
      <w:pPr>
        <w:ind w:left="320" w:right="520"/>
        <w:spacing w:after="0" w:line="243" w:lineRule="auto"/>
        <w:rPr>
          <w:sz w:val="20"/>
          <w:szCs w:val="20"/>
          <w:color w:val="auto"/>
        </w:rPr>
      </w:pPr>
      <w:r>
        <w:rPr>
          <w:rFonts w:ascii="Times New Roman" w:cs="Times New Roman" w:eastAsia="Times New Roman" w:hAnsi="Times New Roman"/>
          <w:sz w:val="16"/>
          <w:szCs w:val="16"/>
          <w:color w:val="auto"/>
        </w:rPr>
        <w:t>On August 11, 2022, the Company, the Operating Partnership, and certain of the Operating Partnership’s subsidiaries entered into a term loan agreement (the “Euro Term Loan Agreement”) which governs (i) a €375,000,000 three -year senior unsecured term loan facility (the “2025 Term Facility”), the entire amount of which was funded on such date, and (ii) a €375,000,000 five-year senior unsecured term loan facility (the “2025-27 Term Facility”</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37" w:name="page138"/>
    <w:bookmarkEnd w:id="137"/>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 and 2023</w:t>
      </w:r>
    </w:p>
    <w:p>
      <w:pPr>
        <w:spacing w:after="0" w:line="202" w:lineRule="exact"/>
        <w:rPr>
          <w:sz w:val="20"/>
          <w:szCs w:val="20"/>
          <w:color w:val="auto"/>
        </w:rPr>
      </w:pPr>
    </w:p>
    <w:p>
      <w:pPr>
        <w:ind w:left="320" w:right="460"/>
        <w:spacing w:after="0" w:line="275" w:lineRule="auto"/>
        <w:rPr>
          <w:sz w:val="20"/>
          <w:szCs w:val="20"/>
          <w:color w:val="auto"/>
        </w:rPr>
      </w:pPr>
      <w:r>
        <w:rPr>
          <w:rFonts w:ascii="Times New Roman" w:cs="Times New Roman" w:eastAsia="Times New Roman" w:hAnsi="Times New Roman"/>
          <w:sz w:val="14"/>
          <w:szCs w:val="14"/>
          <w:color w:val="auto"/>
        </w:rPr>
        <w:t>and, together with the 2025 Term Facility, collectively, the “Euro Term Loan Facilities”), comprised of € 125,000,000 of initial term loans, the entire amount of which was funded on such date, and €250,000,000 of delayed draw term loan commitments that were funded on September 9, 2023. The Euro Term Loan Facilities provide for borrowings in Euros. The 2025 Term Facility matures on August 11, 2025. The 2025-27 Term Facility matures on August 11, 2025, subject to two maturity extension options of one</w:t>
      </w:r>
    </w:p>
    <w:p>
      <w:pPr>
        <w:ind w:left="320" w:right="460"/>
        <w:spacing w:after="0" w:line="238" w:lineRule="auto"/>
        <w:rPr>
          <w:sz w:val="20"/>
          <w:szCs w:val="20"/>
          <w:color w:val="auto"/>
        </w:rPr>
      </w:pPr>
      <w:r>
        <w:rPr>
          <w:rFonts w:ascii="Times New Roman" w:cs="Times New Roman" w:eastAsia="Times New Roman" w:hAnsi="Times New Roman"/>
          <w:sz w:val="16"/>
          <w:szCs w:val="16"/>
          <w:color w:val="auto"/>
        </w:rPr>
        <w:t>year each; provided that the Operating Partnership must pay a 0.125% extension fee based on the then-outstanding principal amount of the 2025-27 Term Facility commitments then outstanding.</w:t>
      </w:r>
    </w:p>
    <w:p>
      <w:pPr>
        <w:spacing w:after="0" w:line="157" w:lineRule="exact"/>
        <w:rPr>
          <w:sz w:val="20"/>
          <w:szCs w:val="20"/>
          <w:color w:val="auto"/>
        </w:rPr>
      </w:pPr>
    </w:p>
    <w:p>
      <w:pPr>
        <w:ind w:left="320" w:right="380"/>
        <w:spacing w:after="0" w:line="247" w:lineRule="auto"/>
        <w:rPr>
          <w:sz w:val="20"/>
          <w:szCs w:val="20"/>
          <w:color w:val="auto"/>
        </w:rPr>
      </w:pPr>
      <w:r>
        <w:rPr>
          <w:rFonts w:ascii="Times New Roman" w:cs="Times New Roman" w:eastAsia="Times New Roman" w:hAnsi="Times New Roman"/>
          <w:sz w:val="16"/>
          <w:szCs w:val="16"/>
          <w:color w:val="auto"/>
        </w:rPr>
        <w:t>On September 13, 2024, we paid off the 2025 Term Facility on the Euro Term Loan Facilities, leaving the 2025-27 Term Facility outstanding. The paydown resulted in an early extinguishment charge of approximately $1.6 million during the year ended December 31, 2024.</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USD Term Loan Agreement</w:t>
      </w:r>
    </w:p>
    <w:p>
      <w:pPr>
        <w:spacing w:after="0" w:line="178" w:lineRule="exact"/>
        <w:rPr>
          <w:sz w:val="20"/>
          <w:szCs w:val="20"/>
          <w:color w:val="auto"/>
        </w:rPr>
      </w:pPr>
    </w:p>
    <w:p>
      <w:pPr>
        <w:ind w:left="320" w:right="320"/>
        <w:spacing w:after="0" w:line="271" w:lineRule="auto"/>
        <w:rPr>
          <w:sz w:val="20"/>
          <w:szCs w:val="20"/>
          <w:color w:val="auto"/>
        </w:rPr>
      </w:pPr>
      <w:r>
        <w:rPr>
          <w:rFonts w:ascii="Times New Roman" w:cs="Times New Roman" w:eastAsia="Times New Roman" w:hAnsi="Times New Roman"/>
          <w:sz w:val="14"/>
          <w:szCs w:val="14"/>
          <w:color w:val="auto"/>
        </w:rPr>
        <w:t>On October 25, 2022, the Company, the Operating Partnership, and certain of the Operating Partnership’s subsidiaries entered into an escrow agreement (the “Escrow Agreement”) with Bank of America, N.A., as administrative agent (the “Administrative Agent”), certain lenders (the “Lenders”), and Arnold &amp; Porter Kaye Scholer LLP, as escrow agent (the “Escrow Agent”), pursuant to which the Operating Partnership, the Company, the Administrative Agent and the Lenders delivered executed signature pages to a new term loan agreement among the Operating Partnership, the Company, the Lenders and the Administrative Agent (the “USD Term Loan Agreement”) to be held in escrow by the Escrow Agent and released by the Escrow Agent upon satisfaction of the terms described in the Escrow Agreement. On January 9, 2023, the terms and conditions of the Escrow Agreement were satisfied, and, on such date, the USD Term Loan Agreement was deemed executed and became effective. The USD Term Loan Agreement provides for a</w:t>
      </w:r>
    </w:p>
    <w:p>
      <w:pPr>
        <w:spacing w:after="0" w:line="4" w:lineRule="exact"/>
        <w:rPr>
          <w:sz w:val="20"/>
          <w:szCs w:val="20"/>
          <w:color w:val="auto"/>
        </w:rPr>
      </w:pPr>
    </w:p>
    <w:p>
      <w:pPr>
        <w:ind w:left="320" w:right="360"/>
        <w:spacing w:after="0" w:line="236" w:lineRule="auto"/>
        <w:rPr>
          <w:sz w:val="20"/>
          <w:szCs w:val="20"/>
          <w:color w:val="auto"/>
        </w:rPr>
      </w:pPr>
      <w:r>
        <w:rPr>
          <w:rFonts w:ascii="Times New Roman" w:cs="Times New Roman" w:eastAsia="Times New Roman" w:hAnsi="Times New Roman"/>
          <w:sz w:val="16"/>
          <w:szCs w:val="16"/>
          <w:color w:val="auto"/>
        </w:rPr>
        <w:t>$740 million senior unsecured term loan facility (the “USD Term Loan Facility”). The USD Term Loan Facility provides for borrowings in U.S. dollars. The USD Term Loan Facility will mature on March 31, 2025, subject to one twelve-month extension option at the Operating Partnership’s option; provided, that the Operating Partnership must pay a 0.1875% extension fee based on the then-outstanding principal amount of the term loans under the USD Term Loan Facility.</w:t>
      </w:r>
    </w:p>
    <w:p>
      <w:pPr>
        <w:spacing w:after="0" w:line="159" w:lineRule="exact"/>
        <w:rPr>
          <w:sz w:val="20"/>
          <w:szCs w:val="20"/>
          <w:color w:val="auto"/>
        </w:rPr>
      </w:pPr>
    </w:p>
    <w:p>
      <w:pPr>
        <w:ind w:left="320" w:right="380"/>
        <w:spacing w:after="0" w:line="247" w:lineRule="auto"/>
        <w:rPr>
          <w:sz w:val="20"/>
          <w:szCs w:val="20"/>
          <w:color w:val="auto"/>
        </w:rPr>
      </w:pPr>
      <w:r>
        <w:rPr>
          <w:rFonts w:ascii="Times New Roman" w:cs="Times New Roman" w:eastAsia="Times New Roman" w:hAnsi="Times New Roman"/>
          <w:sz w:val="16"/>
          <w:szCs w:val="16"/>
          <w:color w:val="auto"/>
        </w:rPr>
        <w:t>On January 9, 2024, we paid down $240 million on the USD Term Loan Facility, leaving $500 million outstanding. On November 15, 2024, we paid off the remaining $ 500 million on the USD Term Loan Facility. The paydowns resulted in an early extinguishment charge of approximately $3.2 million during the year ended December 31, 2024.</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38" w:name="page139"/>
    <w:bookmarkEnd w:id="138"/>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 and 2023</w:t>
      </w:r>
    </w:p>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Unsecured Senior Notes</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following table provides details of our unsecured senior notes (balances in thousands):</w:t>
      </w:r>
    </w:p>
    <w:p>
      <w:pPr>
        <w:spacing w:after="0" w:line="188" w:lineRule="exact"/>
        <w:rPr>
          <w:sz w:val="20"/>
          <w:szCs w:val="20"/>
          <w:color w:val="auto"/>
        </w:rPr>
      </w:pPr>
    </w:p>
    <w:tbl>
      <w:tblPr>
        <w:tblLayout w:type="fixed"/>
        <w:tblInd w:w="320" w:type="dxa"/>
        <w:tblCellMar>
          <w:top w:w="0" w:type="dxa"/>
          <w:left w:w="0" w:type="dxa"/>
          <w:bottom w:w="0" w:type="dxa"/>
          <w:right w:w="0" w:type="dxa"/>
        </w:tblCellMar>
      </w:tblPr>
      <w:tr>
        <w:trPr>
          <w:trHeight w:val="170"/>
        </w:trPr>
        <w:tc>
          <w:tcPr>
            <w:tcW w:w="1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20" w:type="dxa"/>
            <w:vAlign w:val="bottom"/>
            <w:gridSpan w:val="7"/>
          </w:tcPr>
          <w:p>
            <w:pPr>
              <w:ind w:left="80"/>
              <w:spacing w:after="0"/>
              <w:rPr>
                <w:sz w:val="20"/>
                <w:szCs w:val="20"/>
                <w:color w:val="auto"/>
              </w:rPr>
            </w:pPr>
            <w:r>
              <w:rPr>
                <w:rFonts w:ascii="Times New Roman" w:cs="Times New Roman" w:eastAsia="Times New Roman" w:hAnsi="Times New Roman"/>
                <w:sz w:val="13"/>
                <w:szCs w:val="13"/>
                <w:b w:val="1"/>
                <w:bCs w:val="1"/>
                <w:color w:val="auto"/>
              </w:rPr>
              <w:t>Aggregate Principal Amount at Issuance</w:t>
            </w: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Maturity Date</w:t>
            </w:r>
          </w:p>
        </w:tc>
        <w:tc>
          <w:tcPr>
            <w:tcW w:w="160" w:type="dxa"/>
            <w:vAlign w:val="bottom"/>
          </w:tcPr>
          <w:p>
            <w:pPr>
              <w:spacing w:after="0"/>
              <w:rPr>
                <w:sz w:val="14"/>
                <w:szCs w:val="14"/>
                <w:color w:val="auto"/>
              </w:rPr>
            </w:pPr>
          </w:p>
        </w:tc>
        <w:tc>
          <w:tcPr>
            <w:tcW w:w="2500" w:type="dxa"/>
            <w:vAlign w:val="bottom"/>
            <w:gridSpan w:val="4"/>
          </w:tcPr>
          <w:p>
            <w:pPr>
              <w:jc w:val="right"/>
              <w:ind w:right="894"/>
              <w:spacing w:after="0"/>
              <w:rPr>
                <w:sz w:val="20"/>
                <w:szCs w:val="20"/>
                <w:color w:val="auto"/>
              </w:rPr>
            </w:pPr>
            <w:r>
              <w:rPr>
                <w:rFonts w:ascii="Times New Roman" w:cs="Times New Roman" w:eastAsia="Times New Roman" w:hAnsi="Times New Roman"/>
                <w:sz w:val="13"/>
                <w:szCs w:val="13"/>
                <w:b w:val="1"/>
                <w:bCs w:val="1"/>
                <w:color w:val="auto"/>
              </w:rPr>
              <w:t>Balance as of</w:t>
            </w:r>
          </w:p>
        </w:tc>
        <w:tc>
          <w:tcPr>
            <w:tcW w:w="0" w:type="dxa"/>
            <w:vAlign w:val="bottom"/>
          </w:tcPr>
          <w:p>
            <w:pPr>
              <w:spacing w:after="0"/>
              <w:rPr>
                <w:sz w:val="1"/>
                <w:szCs w:val="1"/>
                <w:color w:val="auto"/>
              </w:rPr>
            </w:pPr>
          </w:p>
        </w:tc>
      </w:tr>
      <w:tr>
        <w:trPr>
          <w:trHeight w:val="136"/>
        </w:trPr>
        <w:tc>
          <w:tcPr>
            <w:tcW w:w="18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gridSpan w:val="2"/>
          </w:tcPr>
          <w:p>
            <w:pPr>
              <w:jc w:val="right"/>
              <w:ind w:right="314"/>
              <w:spacing w:after="0" w:line="136" w:lineRule="exact"/>
              <w:rPr>
                <w:sz w:val="20"/>
                <w:szCs w:val="20"/>
                <w:color w:val="auto"/>
              </w:rPr>
            </w:pPr>
            <w:r>
              <w:rPr>
                <w:rFonts w:ascii="Times New Roman" w:cs="Times New Roman" w:eastAsia="Times New Roman" w:hAnsi="Times New Roman"/>
                <w:sz w:val="12"/>
                <w:szCs w:val="12"/>
                <w:b w:val="1"/>
                <w:bCs w:val="1"/>
                <w:color w:val="auto"/>
              </w:rPr>
              <w:t>Borrowing Currency</w:t>
            </w:r>
          </w:p>
        </w:tc>
        <w:tc>
          <w:tcPr>
            <w:tcW w:w="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294"/>
              <w:spacing w:after="0" w:line="136" w:lineRule="exact"/>
              <w:rPr>
                <w:sz w:val="20"/>
                <w:szCs w:val="20"/>
                <w:color w:val="auto"/>
              </w:rPr>
            </w:pPr>
            <w:r>
              <w:rPr>
                <w:rFonts w:ascii="Times New Roman" w:cs="Times New Roman" w:eastAsia="Times New Roman" w:hAnsi="Times New Roman"/>
                <w:sz w:val="12"/>
                <w:szCs w:val="12"/>
                <w:b w:val="1"/>
                <w:bCs w:val="1"/>
                <w:color w:val="auto"/>
              </w:rPr>
              <w:t>USD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114"/>
              <w:spacing w:after="0" w:line="136" w:lineRule="exact"/>
              <w:rPr>
                <w:sz w:val="20"/>
                <w:szCs w:val="20"/>
                <w:color w:val="auto"/>
              </w:rPr>
            </w:pPr>
            <w:r>
              <w:rPr>
                <w:rFonts w:ascii="Times New Roman" w:cs="Times New Roman" w:eastAsia="Times New Roman" w:hAnsi="Times New Roman"/>
                <w:sz w:val="12"/>
                <w:szCs w:val="12"/>
                <w:b w:val="1"/>
                <w:bCs w:val="1"/>
                <w:color w:val="auto"/>
                <w:w w:val="98"/>
              </w:rPr>
              <w:t>December 31, 2024</w:t>
            </w: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114"/>
              <w:spacing w:after="0" w:line="136" w:lineRule="exact"/>
              <w:rPr>
                <w:sz w:val="20"/>
                <w:szCs w:val="20"/>
                <w:color w:val="auto"/>
              </w:rPr>
            </w:pPr>
            <w:r>
              <w:rPr>
                <w:rFonts w:ascii="Times New Roman" w:cs="Times New Roman" w:eastAsia="Times New Roman" w:hAnsi="Times New Roman"/>
                <w:sz w:val="12"/>
                <w:szCs w:val="12"/>
                <w:b w:val="1"/>
                <w:bCs w:val="1"/>
                <w:color w:val="auto"/>
                <w:w w:val="98"/>
              </w:rPr>
              <w:t>December 31, 2023</w:t>
            </w:r>
          </w:p>
        </w:tc>
        <w:tc>
          <w:tcPr>
            <w:tcW w:w="0" w:type="dxa"/>
            <w:vAlign w:val="bottom"/>
          </w:tcPr>
          <w:p>
            <w:pPr>
              <w:spacing w:after="0"/>
              <w:rPr>
                <w:sz w:val="1"/>
                <w:szCs w:val="1"/>
                <w:color w:val="auto"/>
              </w:rPr>
            </w:pPr>
          </w:p>
        </w:tc>
      </w:tr>
      <w:tr>
        <w:trPr>
          <w:trHeight w:val="148"/>
        </w:trPr>
        <w:tc>
          <w:tcPr>
            <w:tcW w:w="188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2"/>
                <w:szCs w:val="12"/>
                <w:color w:val="auto"/>
              </w:rPr>
              <w:t>2.625% notes due 2024</w:t>
            </w:r>
            <w:r>
              <w:rPr>
                <w:rFonts w:ascii="Times New Roman" w:cs="Times New Roman" w:eastAsia="Times New Roman" w:hAnsi="Times New Roman"/>
                <w:sz w:val="17"/>
                <w:szCs w:val="17"/>
                <w:color w:val="auto"/>
                <w:vertAlign w:val="superscript"/>
              </w:rPr>
              <w:t>(1)</w:t>
            </w:r>
          </w:p>
        </w:tc>
        <w:tc>
          <w:tcPr>
            <w:tcW w:w="2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ind w:right="234"/>
              <w:spacing w:after="0" w:line="148"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600,000</w:t>
            </w:r>
          </w:p>
        </w:tc>
        <w:tc>
          <w:tcPr>
            <w:tcW w:w="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34"/>
              <w:spacing w:after="0" w:line="148"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677,040</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Apr 15, 2024</w:t>
            </w: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662,340</w:t>
            </w:r>
          </w:p>
        </w:tc>
        <w:tc>
          <w:tcPr>
            <w:tcW w:w="0" w:type="dxa"/>
            <w:vAlign w:val="bottom"/>
          </w:tcPr>
          <w:p>
            <w:pPr>
              <w:spacing w:after="0"/>
              <w:rPr>
                <w:sz w:val="1"/>
                <w:szCs w:val="1"/>
                <w:color w:val="auto"/>
              </w:rPr>
            </w:pPr>
          </w:p>
        </w:tc>
      </w:tr>
      <w:tr>
        <w:trPr>
          <w:trHeight w:val="156"/>
        </w:trPr>
        <w:tc>
          <w:tcPr>
            <w:tcW w:w="1880" w:type="dxa"/>
            <w:vAlign w:val="bottom"/>
          </w:tcPr>
          <w:p>
            <w:pPr>
              <w:spacing w:after="0" w:line="156" w:lineRule="exact"/>
              <w:rPr>
                <w:sz w:val="20"/>
                <w:szCs w:val="20"/>
                <w:color w:val="auto"/>
              </w:rPr>
            </w:pPr>
            <w:r>
              <w:rPr>
                <w:rFonts w:ascii="Times New Roman" w:cs="Times New Roman" w:eastAsia="Times New Roman" w:hAnsi="Times New Roman"/>
                <w:sz w:val="13"/>
                <w:szCs w:val="13"/>
                <w:color w:val="auto"/>
              </w:rPr>
              <w:t>2.750% notes due 2024</w:t>
            </w:r>
            <w:r>
              <w:rPr>
                <w:rFonts w:ascii="Times New Roman" w:cs="Times New Roman" w:eastAsia="Times New Roman" w:hAnsi="Times New Roman"/>
                <w:sz w:val="18"/>
                <w:szCs w:val="18"/>
                <w:color w:val="auto"/>
                <w:vertAlign w:val="superscript"/>
              </w:rPr>
              <w:t>(2)</w:t>
            </w:r>
          </w:p>
        </w:tc>
        <w:tc>
          <w:tcPr>
            <w:tcW w:w="980" w:type="dxa"/>
            <w:vAlign w:val="bottom"/>
            <w:gridSpan w:val="2"/>
          </w:tcPr>
          <w:p>
            <w:pPr>
              <w:jc w:val="right"/>
              <w:ind w:right="23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250,000</w:t>
            </w:r>
          </w:p>
        </w:tc>
        <w:tc>
          <w:tcPr>
            <w:tcW w:w="28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324,925</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Jul 19, 2024</w:t>
            </w:r>
          </w:p>
        </w:tc>
        <w:tc>
          <w:tcPr>
            <w:tcW w:w="1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318,275</w:t>
            </w:r>
          </w:p>
        </w:tc>
        <w:tc>
          <w:tcPr>
            <w:tcW w:w="0" w:type="dxa"/>
            <w:vAlign w:val="bottom"/>
          </w:tcPr>
          <w:p>
            <w:pPr>
              <w:spacing w:after="0"/>
              <w:rPr>
                <w:sz w:val="1"/>
                <w:szCs w:val="1"/>
                <w:color w:val="auto"/>
              </w:rPr>
            </w:pPr>
          </w:p>
        </w:tc>
      </w:tr>
      <w:tr>
        <w:trPr>
          <w:trHeight w:val="156"/>
        </w:trPr>
        <w:tc>
          <w:tcPr>
            <w:tcW w:w="188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3"/>
                <w:szCs w:val="13"/>
                <w:color w:val="auto"/>
              </w:rPr>
              <w:t>4.250% notes due 2025</w:t>
            </w:r>
            <w:r>
              <w:rPr>
                <w:rFonts w:ascii="Times New Roman" w:cs="Times New Roman" w:eastAsia="Times New Roman" w:hAnsi="Times New Roman"/>
                <w:sz w:val="18"/>
                <w:szCs w:val="18"/>
                <w:color w:val="auto"/>
                <w:vertAlign w:val="superscript"/>
              </w:rPr>
              <w:t>(3)</w:t>
            </w:r>
          </w:p>
        </w:tc>
        <w:tc>
          <w:tcPr>
            <w:tcW w:w="980" w:type="dxa"/>
            <w:vAlign w:val="bottom"/>
            <w:gridSpan w:val="2"/>
            <w:shd w:val="clear" w:color="auto" w:fill="CCEEFF"/>
          </w:tcPr>
          <w:p>
            <w:pPr>
              <w:jc w:val="right"/>
              <w:ind w:right="23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400,000</w:t>
            </w:r>
          </w:p>
        </w:tc>
        <w:tc>
          <w:tcPr>
            <w:tcW w:w="28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634,480</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Jan 17, 2025</w:t>
            </w: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500,640</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509,240</w:t>
            </w:r>
          </w:p>
        </w:tc>
        <w:tc>
          <w:tcPr>
            <w:tcW w:w="0" w:type="dxa"/>
            <w:vAlign w:val="bottom"/>
          </w:tcPr>
          <w:p>
            <w:pPr>
              <w:spacing w:after="0"/>
              <w:rPr>
                <w:sz w:val="1"/>
                <w:szCs w:val="1"/>
                <w:color w:val="auto"/>
              </w:rPr>
            </w:pPr>
          </w:p>
        </w:tc>
      </w:tr>
      <w:tr>
        <w:trPr>
          <w:trHeight w:val="156"/>
        </w:trPr>
        <w:tc>
          <w:tcPr>
            <w:tcW w:w="1880" w:type="dxa"/>
            <w:vAlign w:val="bottom"/>
          </w:tcPr>
          <w:p>
            <w:pPr>
              <w:spacing w:after="0"/>
              <w:rPr>
                <w:sz w:val="20"/>
                <w:szCs w:val="20"/>
                <w:color w:val="auto"/>
              </w:rPr>
            </w:pPr>
            <w:r>
              <w:rPr>
                <w:rFonts w:ascii="Times New Roman" w:cs="Times New Roman" w:eastAsia="Times New Roman" w:hAnsi="Times New Roman"/>
                <w:sz w:val="13"/>
                <w:szCs w:val="13"/>
                <w:color w:val="auto"/>
              </w:rPr>
              <w:t>0.625% notes due 2025</w:t>
            </w:r>
          </w:p>
        </w:tc>
        <w:tc>
          <w:tcPr>
            <w:tcW w:w="200" w:type="dxa"/>
            <w:vAlign w:val="bottom"/>
          </w:tcPr>
          <w:p>
            <w:pPr>
              <w:spacing w:after="0"/>
              <w:rPr>
                <w:sz w:val="13"/>
                <w:szCs w:val="13"/>
                <w:color w:val="auto"/>
              </w:rPr>
            </w:pPr>
          </w:p>
        </w:tc>
        <w:tc>
          <w:tcPr>
            <w:tcW w:w="78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650,000</w:t>
            </w:r>
          </w:p>
        </w:tc>
        <w:tc>
          <w:tcPr>
            <w:tcW w:w="28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720,980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Jul 15, 2025</w:t>
            </w:r>
          </w:p>
        </w:tc>
        <w:tc>
          <w:tcPr>
            <w:tcW w:w="1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673,010</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717,535</w:t>
            </w:r>
          </w:p>
        </w:tc>
        <w:tc>
          <w:tcPr>
            <w:tcW w:w="0" w:type="dxa"/>
            <w:vAlign w:val="bottom"/>
          </w:tcPr>
          <w:p>
            <w:pPr>
              <w:spacing w:after="0"/>
              <w:rPr>
                <w:sz w:val="1"/>
                <w:szCs w:val="1"/>
                <w:color w:val="auto"/>
              </w:rPr>
            </w:pPr>
          </w:p>
        </w:tc>
      </w:tr>
      <w:tr>
        <w:trPr>
          <w:trHeight w:val="156"/>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2.500% notes due 2026</w:t>
            </w: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1,075,000</w:t>
            </w:r>
          </w:p>
        </w:tc>
        <w:tc>
          <w:tcPr>
            <w:tcW w:w="28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1,224,640</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Jan 16, 2026</w:t>
            </w: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1,113,055</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1,186,693</w:t>
            </w:r>
          </w:p>
        </w:tc>
        <w:tc>
          <w:tcPr>
            <w:tcW w:w="0" w:type="dxa"/>
            <w:vAlign w:val="bottom"/>
          </w:tcPr>
          <w:p>
            <w:pPr>
              <w:spacing w:after="0"/>
              <w:rPr>
                <w:sz w:val="1"/>
                <w:szCs w:val="1"/>
                <w:color w:val="auto"/>
              </w:rPr>
            </w:pPr>
          </w:p>
        </w:tc>
      </w:tr>
      <w:tr>
        <w:trPr>
          <w:trHeight w:val="156"/>
        </w:trPr>
        <w:tc>
          <w:tcPr>
            <w:tcW w:w="1880" w:type="dxa"/>
            <w:vAlign w:val="bottom"/>
          </w:tcPr>
          <w:p>
            <w:pPr>
              <w:spacing w:after="0"/>
              <w:rPr>
                <w:sz w:val="20"/>
                <w:szCs w:val="20"/>
                <w:color w:val="auto"/>
              </w:rPr>
            </w:pPr>
            <w:r>
              <w:rPr>
                <w:rFonts w:ascii="Times New Roman" w:cs="Times New Roman" w:eastAsia="Times New Roman" w:hAnsi="Times New Roman"/>
                <w:sz w:val="13"/>
                <w:szCs w:val="13"/>
                <w:color w:val="auto"/>
              </w:rPr>
              <w:t>0.200% notes due 2026</w:t>
            </w:r>
          </w:p>
        </w:tc>
        <w:tc>
          <w:tcPr>
            <w:tcW w:w="200" w:type="dxa"/>
            <w:vAlign w:val="bottom"/>
          </w:tcPr>
          <w:p>
            <w:pPr>
              <w:spacing w:after="0"/>
              <w:rPr>
                <w:sz w:val="13"/>
                <w:szCs w:val="13"/>
                <w:color w:val="auto"/>
              </w:rPr>
            </w:pPr>
          </w:p>
        </w:tc>
        <w:tc>
          <w:tcPr>
            <w:tcW w:w="78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CHF</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275,000</w:t>
            </w:r>
          </w:p>
        </w:tc>
        <w:tc>
          <w:tcPr>
            <w:tcW w:w="28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298,404</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Dec 15, 2026</w:t>
            </w:r>
          </w:p>
        </w:tc>
        <w:tc>
          <w:tcPr>
            <w:tcW w:w="1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302,987</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326,826</w:t>
            </w:r>
          </w:p>
        </w:tc>
        <w:tc>
          <w:tcPr>
            <w:tcW w:w="0" w:type="dxa"/>
            <w:vAlign w:val="bottom"/>
          </w:tcPr>
          <w:p>
            <w:pPr>
              <w:spacing w:after="0"/>
              <w:rPr>
                <w:sz w:val="1"/>
                <w:szCs w:val="1"/>
                <w:color w:val="auto"/>
              </w:rPr>
            </w:pPr>
          </w:p>
        </w:tc>
      </w:tr>
      <w:tr>
        <w:trPr>
          <w:trHeight w:val="156"/>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1.700% notes due 2027</w:t>
            </w: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3"/>
                <w:szCs w:val="13"/>
                <w:color w:val="auto"/>
              </w:rPr>
              <w:t>CHF</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150,000</w:t>
            </w:r>
          </w:p>
        </w:tc>
        <w:tc>
          <w:tcPr>
            <w:tcW w:w="28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162,465</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Mar 30, 2027</w:t>
            </w: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165,265</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178,269</w:t>
            </w:r>
          </w:p>
        </w:tc>
        <w:tc>
          <w:tcPr>
            <w:tcW w:w="0" w:type="dxa"/>
            <w:vAlign w:val="bottom"/>
          </w:tcPr>
          <w:p>
            <w:pPr>
              <w:spacing w:after="0"/>
              <w:rPr>
                <w:sz w:val="1"/>
                <w:szCs w:val="1"/>
                <w:color w:val="auto"/>
              </w:rPr>
            </w:pPr>
          </w:p>
        </w:tc>
      </w:tr>
      <w:tr>
        <w:trPr>
          <w:trHeight w:val="156"/>
        </w:trPr>
        <w:tc>
          <w:tcPr>
            <w:tcW w:w="1880" w:type="dxa"/>
            <w:vAlign w:val="bottom"/>
          </w:tcPr>
          <w:p>
            <w:pPr>
              <w:spacing w:after="0" w:line="156" w:lineRule="exact"/>
              <w:rPr>
                <w:sz w:val="20"/>
                <w:szCs w:val="20"/>
                <w:color w:val="auto"/>
              </w:rPr>
            </w:pPr>
            <w:r>
              <w:rPr>
                <w:rFonts w:ascii="Times New Roman" w:cs="Times New Roman" w:eastAsia="Times New Roman" w:hAnsi="Times New Roman"/>
                <w:sz w:val="13"/>
                <w:szCs w:val="13"/>
                <w:color w:val="auto"/>
              </w:rPr>
              <w:t>3.700% notes due 2027</w:t>
            </w:r>
            <w:r>
              <w:rPr>
                <w:rFonts w:ascii="Times New Roman" w:cs="Times New Roman" w:eastAsia="Times New Roman" w:hAnsi="Times New Roman"/>
                <w:sz w:val="18"/>
                <w:szCs w:val="18"/>
                <w:color w:val="auto"/>
                <w:vertAlign w:val="superscript"/>
              </w:rPr>
              <w:t>(4)</w:t>
            </w:r>
          </w:p>
        </w:tc>
        <w:tc>
          <w:tcPr>
            <w:tcW w:w="980" w:type="dxa"/>
            <w:vAlign w:val="bottom"/>
            <w:gridSpan w:val="2"/>
          </w:tcPr>
          <w:p>
            <w:pPr>
              <w:jc w:val="right"/>
              <w:ind w:right="23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1,000,000</w:t>
            </w:r>
          </w:p>
        </w:tc>
        <w:tc>
          <w:tcPr>
            <w:tcW w:w="28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1,000,000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Aug 15, 2027</w:t>
            </w:r>
          </w:p>
        </w:tc>
        <w:tc>
          <w:tcPr>
            <w:tcW w:w="1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1,000,000</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1,000,000</w:t>
            </w:r>
          </w:p>
        </w:tc>
        <w:tc>
          <w:tcPr>
            <w:tcW w:w="0" w:type="dxa"/>
            <w:vAlign w:val="bottom"/>
          </w:tcPr>
          <w:p>
            <w:pPr>
              <w:spacing w:after="0"/>
              <w:rPr>
                <w:sz w:val="1"/>
                <w:szCs w:val="1"/>
                <w:color w:val="auto"/>
              </w:rPr>
            </w:pPr>
          </w:p>
        </w:tc>
      </w:tr>
      <w:tr>
        <w:trPr>
          <w:trHeight w:val="156"/>
        </w:trPr>
        <w:tc>
          <w:tcPr>
            <w:tcW w:w="188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3"/>
                <w:szCs w:val="13"/>
                <w:color w:val="auto"/>
              </w:rPr>
              <w:t>5.550% notes due 2028</w:t>
            </w:r>
            <w:r>
              <w:rPr>
                <w:rFonts w:ascii="Times New Roman" w:cs="Times New Roman" w:eastAsia="Times New Roman" w:hAnsi="Times New Roman"/>
                <w:sz w:val="18"/>
                <w:szCs w:val="18"/>
                <w:color w:val="auto"/>
                <w:vertAlign w:val="superscript"/>
              </w:rPr>
              <w:t>(4)</w:t>
            </w:r>
          </w:p>
        </w:tc>
        <w:tc>
          <w:tcPr>
            <w:tcW w:w="980" w:type="dxa"/>
            <w:vAlign w:val="bottom"/>
            <w:gridSpan w:val="2"/>
            <w:shd w:val="clear" w:color="auto" w:fill="CCEEFF"/>
          </w:tcPr>
          <w:p>
            <w:pPr>
              <w:jc w:val="right"/>
              <w:ind w:right="23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900,000</w:t>
            </w:r>
          </w:p>
        </w:tc>
        <w:tc>
          <w:tcPr>
            <w:tcW w:w="28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900,000</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Jan 15, 2028</w:t>
            </w: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900,000</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900,000</w:t>
            </w:r>
          </w:p>
        </w:tc>
        <w:tc>
          <w:tcPr>
            <w:tcW w:w="0" w:type="dxa"/>
            <w:vAlign w:val="bottom"/>
          </w:tcPr>
          <w:p>
            <w:pPr>
              <w:spacing w:after="0"/>
              <w:rPr>
                <w:sz w:val="1"/>
                <w:szCs w:val="1"/>
                <w:color w:val="auto"/>
              </w:rPr>
            </w:pPr>
          </w:p>
        </w:tc>
      </w:tr>
      <w:tr>
        <w:trPr>
          <w:trHeight w:val="156"/>
        </w:trPr>
        <w:tc>
          <w:tcPr>
            <w:tcW w:w="1880" w:type="dxa"/>
            <w:vAlign w:val="bottom"/>
          </w:tcPr>
          <w:p>
            <w:pPr>
              <w:spacing w:after="0"/>
              <w:rPr>
                <w:sz w:val="20"/>
                <w:szCs w:val="20"/>
                <w:color w:val="auto"/>
              </w:rPr>
            </w:pPr>
            <w:r>
              <w:rPr>
                <w:rFonts w:ascii="Times New Roman" w:cs="Times New Roman" w:eastAsia="Times New Roman" w:hAnsi="Times New Roman"/>
                <w:sz w:val="13"/>
                <w:szCs w:val="13"/>
                <w:color w:val="auto"/>
              </w:rPr>
              <w:t>1.125% notes due 2028</w:t>
            </w:r>
          </w:p>
        </w:tc>
        <w:tc>
          <w:tcPr>
            <w:tcW w:w="200" w:type="dxa"/>
            <w:vAlign w:val="bottom"/>
          </w:tcPr>
          <w:p>
            <w:pPr>
              <w:spacing w:after="0"/>
              <w:rPr>
                <w:sz w:val="13"/>
                <w:szCs w:val="13"/>
                <w:color w:val="auto"/>
              </w:rPr>
            </w:pPr>
          </w:p>
        </w:tc>
        <w:tc>
          <w:tcPr>
            <w:tcW w:w="78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500,000</w:t>
            </w:r>
          </w:p>
        </w:tc>
        <w:tc>
          <w:tcPr>
            <w:tcW w:w="28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548,550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Apr 09, 2028</w:t>
            </w:r>
          </w:p>
        </w:tc>
        <w:tc>
          <w:tcPr>
            <w:tcW w:w="1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517,700</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551,950</w:t>
            </w:r>
          </w:p>
        </w:tc>
        <w:tc>
          <w:tcPr>
            <w:tcW w:w="0" w:type="dxa"/>
            <w:vAlign w:val="bottom"/>
          </w:tcPr>
          <w:p>
            <w:pPr>
              <w:spacing w:after="0"/>
              <w:rPr>
                <w:sz w:val="1"/>
                <w:szCs w:val="1"/>
                <w:color w:val="auto"/>
              </w:rPr>
            </w:pPr>
          </w:p>
        </w:tc>
      </w:tr>
      <w:tr>
        <w:trPr>
          <w:trHeight w:val="156"/>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4.450% notes due 2028</w:t>
            </w:r>
          </w:p>
        </w:tc>
        <w:tc>
          <w:tcPr>
            <w:tcW w:w="980" w:type="dxa"/>
            <w:vAlign w:val="bottom"/>
            <w:gridSpan w:val="2"/>
            <w:shd w:val="clear" w:color="auto" w:fill="CCEEFF"/>
          </w:tcPr>
          <w:p>
            <w:pPr>
              <w:jc w:val="right"/>
              <w:ind w:right="23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650,000</w:t>
            </w:r>
          </w:p>
        </w:tc>
        <w:tc>
          <w:tcPr>
            <w:tcW w:w="28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650,000</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Jul 15, 2028</w:t>
            </w: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650,000</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650,000</w:t>
            </w:r>
          </w:p>
        </w:tc>
        <w:tc>
          <w:tcPr>
            <w:tcW w:w="0" w:type="dxa"/>
            <w:vAlign w:val="bottom"/>
          </w:tcPr>
          <w:p>
            <w:pPr>
              <w:spacing w:after="0"/>
              <w:rPr>
                <w:sz w:val="1"/>
                <w:szCs w:val="1"/>
                <w:color w:val="auto"/>
              </w:rPr>
            </w:pPr>
          </w:p>
        </w:tc>
      </w:tr>
      <w:tr>
        <w:trPr>
          <w:trHeight w:val="156"/>
        </w:trPr>
        <w:tc>
          <w:tcPr>
            <w:tcW w:w="1880" w:type="dxa"/>
            <w:vAlign w:val="bottom"/>
          </w:tcPr>
          <w:p>
            <w:pPr>
              <w:spacing w:after="0"/>
              <w:rPr>
                <w:sz w:val="20"/>
                <w:szCs w:val="20"/>
                <w:color w:val="auto"/>
              </w:rPr>
            </w:pPr>
            <w:r>
              <w:rPr>
                <w:rFonts w:ascii="Times New Roman" w:cs="Times New Roman" w:eastAsia="Times New Roman" w:hAnsi="Times New Roman"/>
                <w:sz w:val="13"/>
                <w:szCs w:val="13"/>
                <w:color w:val="auto"/>
              </w:rPr>
              <w:t>0.550% notes due 2029</w:t>
            </w:r>
          </w:p>
        </w:tc>
        <w:tc>
          <w:tcPr>
            <w:tcW w:w="200" w:type="dxa"/>
            <w:vAlign w:val="bottom"/>
          </w:tcPr>
          <w:p>
            <w:pPr>
              <w:spacing w:after="0"/>
              <w:rPr>
                <w:sz w:val="13"/>
                <w:szCs w:val="13"/>
                <w:color w:val="auto"/>
              </w:rPr>
            </w:pPr>
          </w:p>
        </w:tc>
        <w:tc>
          <w:tcPr>
            <w:tcW w:w="78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CHF</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270,000</w:t>
            </w:r>
          </w:p>
        </w:tc>
        <w:tc>
          <w:tcPr>
            <w:tcW w:w="28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292,478</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Apr 16, 2029</w:t>
            </w:r>
          </w:p>
        </w:tc>
        <w:tc>
          <w:tcPr>
            <w:tcW w:w="1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297,478</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320,884</w:t>
            </w:r>
          </w:p>
        </w:tc>
        <w:tc>
          <w:tcPr>
            <w:tcW w:w="0" w:type="dxa"/>
            <w:vAlign w:val="bottom"/>
          </w:tcPr>
          <w:p>
            <w:pPr>
              <w:spacing w:after="0"/>
              <w:rPr>
                <w:sz w:val="1"/>
                <w:szCs w:val="1"/>
                <w:color w:val="auto"/>
              </w:rPr>
            </w:pPr>
          </w:p>
        </w:tc>
      </w:tr>
      <w:tr>
        <w:trPr>
          <w:trHeight w:val="156"/>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3.600% notes due 2029</w:t>
            </w:r>
          </w:p>
        </w:tc>
        <w:tc>
          <w:tcPr>
            <w:tcW w:w="980" w:type="dxa"/>
            <w:vAlign w:val="bottom"/>
            <w:gridSpan w:val="2"/>
            <w:shd w:val="clear" w:color="auto" w:fill="CCEEFF"/>
          </w:tcPr>
          <w:p>
            <w:pPr>
              <w:jc w:val="right"/>
              <w:ind w:right="23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900,000</w:t>
            </w:r>
          </w:p>
        </w:tc>
        <w:tc>
          <w:tcPr>
            <w:tcW w:w="28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900,000</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Jul 01, 2029</w:t>
            </w: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900,000</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900,000</w:t>
            </w:r>
          </w:p>
        </w:tc>
        <w:tc>
          <w:tcPr>
            <w:tcW w:w="0" w:type="dxa"/>
            <w:vAlign w:val="bottom"/>
          </w:tcPr>
          <w:p>
            <w:pPr>
              <w:spacing w:after="0"/>
              <w:rPr>
                <w:sz w:val="1"/>
                <w:szCs w:val="1"/>
                <w:color w:val="auto"/>
              </w:rPr>
            </w:pPr>
          </w:p>
        </w:tc>
      </w:tr>
      <w:tr>
        <w:trPr>
          <w:trHeight w:val="156"/>
        </w:trPr>
        <w:tc>
          <w:tcPr>
            <w:tcW w:w="1880" w:type="dxa"/>
            <w:vAlign w:val="bottom"/>
          </w:tcPr>
          <w:p>
            <w:pPr>
              <w:spacing w:after="0"/>
              <w:rPr>
                <w:sz w:val="20"/>
                <w:szCs w:val="20"/>
                <w:color w:val="auto"/>
              </w:rPr>
            </w:pPr>
            <w:r>
              <w:rPr>
                <w:rFonts w:ascii="Times New Roman" w:cs="Times New Roman" w:eastAsia="Times New Roman" w:hAnsi="Times New Roman"/>
                <w:sz w:val="13"/>
                <w:szCs w:val="13"/>
                <w:color w:val="auto"/>
              </w:rPr>
              <w:t>3.300% notes due 2029</w:t>
            </w:r>
          </w:p>
        </w:tc>
        <w:tc>
          <w:tcPr>
            <w:tcW w:w="980" w:type="dxa"/>
            <w:vAlign w:val="bottom"/>
            <w:gridSpan w:val="2"/>
          </w:tcPr>
          <w:p>
            <w:pPr>
              <w:jc w:val="right"/>
              <w:ind w:right="23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350,000</w:t>
            </w:r>
          </w:p>
        </w:tc>
        <w:tc>
          <w:tcPr>
            <w:tcW w:w="28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454,895</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Jul 19, 2029</w:t>
            </w:r>
          </w:p>
        </w:tc>
        <w:tc>
          <w:tcPr>
            <w:tcW w:w="1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438,060</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445,585</w:t>
            </w:r>
          </w:p>
        </w:tc>
        <w:tc>
          <w:tcPr>
            <w:tcW w:w="0" w:type="dxa"/>
            <w:vAlign w:val="bottom"/>
          </w:tcPr>
          <w:p>
            <w:pPr>
              <w:spacing w:after="0"/>
              <w:rPr>
                <w:sz w:val="1"/>
                <w:szCs w:val="1"/>
                <w:color w:val="auto"/>
              </w:rPr>
            </w:pPr>
          </w:p>
        </w:tc>
      </w:tr>
      <w:tr>
        <w:trPr>
          <w:trHeight w:val="156"/>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1.875% notes due 2029</w:t>
            </w:r>
          </w:p>
        </w:tc>
        <w:tc>
          <w:tcPr>
            <w:tcW w:w="980" w:type="dxa"/>
            <w:vAlign w:val="bottom"/>
            <w:gridSpan w:val="2"/>
            <w:shd w:val="clear" w:color="auto" w:fill="CCEEFF"/>
          </w:tcPr>
          <w:p>
            <w:pPr>
              <w:jc w:val="right"/>
              <w:ind w:right="23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1,150,000</w:t>
            </w:r>
          </w:p>
        </w:tc>
        <w:tc>
          <w:tcPr>
            <w:tcW w:w="28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1,150,000</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Nov 15, 2029</w:t>
            </w: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1,150,000</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1880" w:type="dxa"/>
            <w:vAlign w:val="bottom"/>
          </w:tcPr>
          <w:p>
            <w:pPr>
              <w:spacing w:after="0"/>
              <w:rPr>
                <w:sz w:val="20"/>
                <w:szCs w:val="20"/>
                <w:color w:val="auto"/>
              </w:rPr>
            </w:pPr>
            <w:r>
              <w:rPr>
                <w:rFonts w:ascii="Times New Roman" w:cs="Times New Roman" w:eastAsia="Times New Roman" w:hAnsi="Times New Roman"/>
                <w:sz w:val="13"/>
                <w:szCs w:val="13"/>
                <w:color w:val="auto"/>
              </w:rPr>
              <w:t>1.500% notes due 2030</w:t>
            </w:r>
          </w:p>
        </w:tc>
        <w:tc>
          <w:tcPr>
            <w:tcW w:w="200" w:type="dxa"/>
            <w:vAlign w:val="bottom"/>
          </w:tcPr>
          <w:p>
            <w:pPr>
              <w:spacing w:after="0"/>
              <w:rPr>
                <w:sz w:val="13"/>
                <w:szCs w:val="13"/>
                <w:color w:val="auto"/>
              </w:rPr>
            </w:pPr>
          </w:p>
        </w:tc>
        <w:tc>
          <w:tcPr>
            <w:tcW w:w="78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750,000</w:t>
            </w:r>
          </w:p>
        </w:tc>
        <w:tc>
          <w:tcPr>
            <w:tcW w:w="28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831,900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Mar 15, 2030</w:t>
            </w:r>
          </w:p>
        </w:tc>
        <w:tc>
          <w:tcPr>
            <w:tcW w:w="1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776,550</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827,925</w:t>
            </w:r>
          </w:p>
        </w:tc>
        <w:tc>
          <w:tcPr>
            <w:tcW w:w="0" w:type="dxa"/>
            <w:vAlign w:val="bottom"/>
          </w:tcPr>
          <w:p>
            <w:pPr>
              <w:spacing w:after="0"/>
              <w:rPr>
                <w:sz w:val="1"/>
                <w:szCs w:val="1"/>
                <w:color w:val="auto"/>
              </w:rPr>
            </w:pPr>
          </w:p>
        </w:tc>
      </w:tr>
      <w:tr>
        <w:trPr>
          <w:trHeight w:val="156"/>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3.750% notes due 2030</w:t>
            </w:r>
          </w:p>
        </w:tc>
        <w:tc>
          <w:tcPr>
            <w:tcW w:w="980" w:type="dxa"/>
            <w:vAlign w:val="bottom"/>
            <w:gridSpan w:val="2"/>
            <w:shd w:val="clear" w:color="auto" w:fill="CCEEFF"/>
          </w:tcPr>
          <w:p>
            <w:pPr>
              <w:jc w:val="right"/>
              <w:ind w:right="23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550,000</w:t>
            </w:r>
          </w:p>
        </w:tc>
        <w:tc>
          <w:tcPr>
            <w:tcW w:w="28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719,825</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Oct 17, 2030</w:t>
            </w: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688,380</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700,205</w:t>
            </w:r>
          </w:p>
        </w:tc>
        <w:tc>
          <w:tcPr>
            <w:tcW w:w="0" w:type="dxa"/>
            <w:vAlign w:val="bottom"/>
          </w:tcPr>
          <w:p>
            <w:pPr>
              <w:spacing w:after="0"/>
              <w:rPr>
                <w:sz w:val="1"/>
                <w:szCs w:val="1"/>
                <w:color w:val="auto"/>
              </w:rPr>
            </w:pPr>
          </w:p>
        </w:tc>
      </w:tr>
      <w:tr>
        <w:trPr>
          <w:trHeight w:val="156"/>
        </w:trPr>
        <w:tc>
          <w:tcPr>
            <w:tcW w:w="1880" w:type="dxa"/>
            <w:vAlign w:val="bottom"/>
          </w:tcPr>
          <w:p>
            <w:pPr>
              <w:spacing w:after="0"/>
              <w:rPr>
                <w:sz w:val="20"/>
                <w:szCs w:val="20"/>
                <w:color w:val="auto"/>
              </w:rPr>
            </w:pPr>
            <w:r>
              <w:rPr>
                <w:rFonts w:ascii="Times New Roman" w:cs="Times New Roman" w:eastAsia="Times New Roman" w:hAnsi="Times New Roman"/>
                <w:sz w:val="13"/>
                <w:szCs w:val="13"/>
                <w:color w:val="auto"/>
              </w:rPr>
              <w:t>1.250% notes due 2031</w:t>
            </w:r>
          </w:p>
        </w:tc>
        <w:tc>
          <w:tcPr>
            <w:tcW w:w="200" w:type="dxa"/>
            <w:vAlign w:val="bottom"/>
          </w:tcPr>
          <w:p>
            <w:pPr>
              <w:spacing w:after="0"/>
              <w:rPr>
                <w:sz w:val="13"/>
                <w:szCs w:val="13"/>
                <w:color w:val="auto"/>
              </w:rPr>
            </w:pPr>
          </w:p>
        </w:tc>
        <w:tc>
          <w:tcPr>
            <w:tcW w:w="78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500,000</w:t>
            </w:r>
          </w:p>
        </w:tc>
        <w:tc>
          <w:tcPr>
            <w:tcW w:w="28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560,950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Feb 01, 2031</w:t>
            </w:r>
          </w:p>
        </w:tc>
        <w:tc>
          <w:tcPr>
            <w:tcW w:w="1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517,700</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551,950</w:t>
            </w:r>
          </w:p>
        </w:tc>
        <w:tc>
          <w:tcPr>
            <w:tcW w:w="0" w:type="dxa"/>
            <w:vAlign w:val="bottom"/>
          </w:tcPr>
          <w:p>
            <w:pPr>
              <w:spacing w:after="0"/>
              <w:rPr>
                <w:sz w:val="1"/>
                <w:szCs w:val="1"/>
                <w:color w:val="auto"/>
              </w:rPr>
            </w:pPr>
          </w:p>
        </w:tc>
      </w:tr>
      <w:tr>
        <w:trPr>
          <w:trHeight w:val="156"/>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0.625% notes due 2031</w:t>
            </w: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1,000,000</w:t>
            </w:r>
          </w:p>
        </w:tc>
        <w:tc>
          <w:tcPr>
            <w:tcW w:w="28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1,220,700</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Jul 15, 2031</w:t>
            </w: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1,035,400</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1,103,900</w:t>
            </w:r>
          </w:p>
        </w:tc>
        <w:tc>
          <w:tcPr>
            <w:tcW w:w="0" w:type="dxa"/>
            <w:vAlign w:val="bottom"/>
          </w:tcPr>
          <w:p>
            <w:pPr>
              <w:spacing w:after="0"/>
              <w:rPr>
                <w:sz w:val="1"/>
                <w:szCs w:val="1"/>
                <w:color w:val="auto"/>
              </w:rPr>
            </w:pPr>
          </w:p>
        </w:tc>
      </w:tr>
      <w:tr>
        <w:trPr>
          <w:trHeight w:val="156"/>
        </w:trPr>
        <w:tc>
          <w:tcPr>
            <w:tcW w:w="1880" w:type="dxa"/>
            <w:vAlign w:val="bottom"/>
          </w:tcPr>
          <w:p>
            <w:pPr>
              <w:spacing w:after="0"/>
              <w:rPr>
                <w:sz w:val="20"/>
                <w:szCs w:val="20"/>
                <w:color w:val="auto"/>
              </w:rPr>
            </w:pPr>
            <w:r>
              <w:rPr>
                <w:rFonts w:ascii="Times New Roman" w:cs="Times New Roman" w:eastAsia="Times New Roman" w:hAnsi="Times New Roman"/>
                <w:sz w:val="13"/>
                <w:szCs w:val="13"/>
                <w:color w:val="auto"/>
              </w:rPr>
              <w:t>1.000% notes due 2032</w:t>
            </w:r>
          </w:p>
        </w:tc>
        <w:tc>
          <w:tcPr>
            <w:tcW w:w="200" w:type="dxa"/>
            <w:vAlign w:val="bottom"/>
          </w:tcPr>
          <w:p>
            <w:pPr>
              <w:spacing w:after="0"/>
              <w:rPr>
                <w:sz w:val="13"/>
                <w:szCs w:val="13"/>
                <w:color w:val="auto"/>
              </w:rPr>
            </w:pPr>
          </w:p>
        </w:tc>
        <w:tc>
          <w:tcPr>
            <w:tcW w:w="78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750,000</w:t>
            </w:r>
          </w:p>
        </w:tc>
        <w:tc>
          <w:tcPr>
            <w:tcW w:w="28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874,500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Jan 15, 2032</w:t>
            </w:r>
          </w:p>
        </w:tc>
        <w:tc>
          <w:tcPr>
            <w:tcW w:w="1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776,550</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827,925</w:t>
            </w:r>
          </w:p>
        </w:tc>
        <w:tc>
          <w:tcPr>
            <w:tcW w:w="0" w:type="dxa"/>
            <w:vAlign w:val="bottom"/>
          </w:tcPr>
          <w:p>
            <w:pPr>
              <w:spacing w:after="0"/>
              <w:rPr>
                <w:sz w:val="1"/>
                <w:szCs w:val="1"/>
                <w:color w:val="auto"/>
              </w:rPr>
            </w:pPr>
          </w:p>
        </w:tc>
      </w:tr>
      <w:tr>
        <w:trPr>
          <w:trHeight w:val="156"/>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1.375% notes due 2032</w:t>
            </w: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750,000</w:t>
            </w:r>
          </w:p>
        </w:tc>
        <w:tc>
          <w:tcPr>
            <w:tcW w:w="28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849,375</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Jul 18, 2032</w:t>
            </w: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776,550</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827,925</w:t>
            </w:r>
          </w:p>
        </w:tc>
        <w:tc>
          <w:tcPr>
            <w:tcW w:w="0" w:type="dxa"/>
            <w:vAlign w:val="bottom"/>
          </w:tcPr>
          <w:p>
            <w:pPr>
              <w:spacing w:after="0"/>
              <w:rPr>
                <w:sz w:val="1"/>
                <w:szCs w:val="1"/>
                <w:color w:val="auto"/>
              </w:rPr>
            </w:pPr>
          </w:p>
        </w:tc>
      </w:tr>
      <w:tr>
        <w:trPr>
          <w:trHeight w:val="156"/>
        </w:trPr>
        <w:tc>
          <w:tcPr>
            <w:tcW w:w="1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3.875% notes due 2033</w:t>
            </w:r>
          </w:p>
        </w:tc>
        <w:tc>
          <w:tcPr>
            <w:tcW w:w="200" w:type="dxa"/>
            <w:vAlign w:val="bottom"/>
            <w:tcBorders>
              <w:bottom w:val="single" w:sz="8" w:color="CCEEFF"/>
            </w:tcBorders>
          </w:tcPr>
          <w:p>
            <w:pPr>
              <w:spacing w:after="0"/>
              <w:rPr>
                <w:sz w:val="13"/>
                <w:szCs w:val="13"/>
                <w:color w:val="auto"/>
              </w:rPr>
            </w:pPr>
          </w:p>
        </w:tc>
        <w:tc>
          <w:tcPr>
            <w:tcW w:w="780" w:type="dxa"/>
            <w:vAlign w:val="bottom"/>
            <w:tcBorders>
              <w:bottom w:val="single" w:sz="8" w:color="CCEEFF"/>
            </w:tcBorders>
          </w:tcPr>
          <w:p>
            <w:pPr>
              <w:jc w:val="right"/>
              <w:ind w:right="23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850,000</w:t>
            </w:r>
          </w:p>
        </w:tc>
        <w:tc>
          <w:tcPr>
            <w:tcW w:w="280" w:type="dxa"/>
            <w:vAlign w:val="bottom"/>
            <w:tcBorders>
              <w:bottom w:val="single" w:sz="8" w:color="CCEEFF"/>
            </w:tcBorders>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941,375</w:t>
            </w:r>
          </w:p>
        </w:tc>
        <w:tc>
          <w:tcPr>
            <w:tcW w:w="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92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Sep 13, 2033</w:t>
            </w: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880,090</w:t>
            </w:r>
          </w:p>
        </w:tc>
        <w:tc>
          <w:tcPr>
            <w:tcW w:w="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18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14,059,415</w:t>
            </w:r>
          </w:p>
        </w:tc>
        <w:tc>
          <w:tcPr>
            <w:tcW w:w="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13,507,427</w:t>
            </w:r>
          </w:p>
        </w:tc>
        <w:tc>
          <w:tcPr>
            <w:tcW w:w="0" w:type="dxa"/>
            <w:vAlign w:val="bottom"/>
          </w:tcPr>
          <w:p>
            <w:pPr>
              <w:spacing w:after="0"/>
              <w:rPr>
                <w:sz w:val="1"/>
                <w:szCs w:val="1"/>
                <w:color w:val="auto"/>
              </w:rPr>
            </w:pPr>
          </w:p>
        </w:tc>
      </w:tr>
      <w:tr>
        <w:trPr>
          <w:trHeight w:val="20"/>
        </w:trPr>
        <w:tc>
          <w:tcPr>
            <w:tcW w:w="28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3"/>
                <w:szCs w:val="13"/>
                <w:color w:val="auto"/>
              </w:rPr>
              <w:t>Unamortized discounts, net of premiums</w:t>
            </w: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860" w:type="dxa"/>
            <w:vAlign w:val="bottom"/>
            <w:gridSpan w:val="3"/>
            <w:vMerge w:val="continue"/>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(27,476)</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(33,324)</w:t>
            </w:r>
          </w:p>
        </w:tc>
        <w:tc>
          <w:tcPr>
            <w:tcW w:w="0" w:type="dxa"/>
            <w:vAlign w:val="bottom"/>
          </w:tcPr>
          <w:p>
            <w:pPr>
              <w:spacing w:after="0"/>
              <w:rPr>
                <w:sz w:val="1"/>
                <w:szCs w:val="1"/>
                <w:color w:val="auto"/>
              </w:rPr>
            </w:pPr>
          </w:p>
        </w:tc>
      </w:tr>
      <w:tr>
        <w:trPr>
          <w:trHeight w:val="156"/>
        </w:trPr>
        <w:tc>
          <w:tcPr>
            <w:tcW w:w="1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Deferred financing costs, net</w:t>
            </w: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(69,087)</w:t>
            </w:r>
          </w:p>
        </w:tc>
        <w:tc>
          <w:tcPr>
            <w:tcW w:w="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(51,761)</w:t>
            </w:r>
          </w:p>
        </w:tc>
        <w:tc>
          <w:tcPr>
            <w:tcW w:w="0" w:type="dxa"/>
            <w:vAlign w:val="bottom"/>
          </w:tcPr>
          <w:p>
            <w:pPr>
              <w:spacing w:after="0"/>
              <w:rPr>
                <w:sz w:val="1"/>
                <w:szCs w:val="1"/>
                <w:color w:val="auto"/>
              </w:rPr>
            </w:pPr>
          </w:p>
        </w:tc>
      </w:tr>
      <w:tr>
        <w:trPr>
          <w:trHeight w:val="148"/>
        </w:trPr>
        <w:tc>
          <w:tcPr>
            <w:tcW w:w="4800" w:type="dxa"/>
            <w:vAlign w:val="bottom"/>
            <w:gridSpan w:val="9"/>
          </w:tcPr>
          <w:p>
            <w:pPr>
              <w:ind w:left="880"/>
              <w:spacing w:after="0" w:line="148" w:lineRule="exact"/>
              <w:rPr>
                <w:sz w:val="20"/>
                <w:szCs w:val="20"/>
                <w:color w:val="auto"/>
              </w:rPr>
            </w:pPr>
            <w:r>
              <w:rPr>
                <w:rFonts w:ascii="Times New Roman" w:cs="Times New Roman" w:eastAsia="Times New Roman" w:hAnsi="Times New Roman"/>
                <w:sz w:val="13"/>
                <w:szCs w:val="13"/>
                <w:color w:val="auto"/>
              </w:rPr>
              <w:t>Total unsecured senior notes, net of discount and deferred financing costs</w:t>
            </w: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13,962,852</w:t>
            </w:r>
          </w:p>
        </w:tc>
        <w:tc>
          <w:tcPr>
            <w:tcW w:w="20" w:type="dxa"/>
            <w:vAlign w:val="bottom"/>
          </w:tcPr>
          <w:p>
            <w:pPr>
              <w:spacing w:after="0"/>
              <w:rPr>
                <w:sz w:val="12"/>
                <w:szCs w:val="12"/>
                <w:color w:val="auto"/>
              </w:rPr>
            </w:pPr>
          </w:p>
        </w:tc>
        <w:tc>
          <w:tcPr>
            <w:tcW w:w="16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13,422,342</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18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8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88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600" w:hanging="282"/>
        <w:spacing w:after="0"/>
        <w:tabs>
          <w:tab w:leader="none" w:pos="60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Paid at maturity on April 15, 2024.</w:t>
      </w:r>
    </w:p>
    <w:p>
      <w:pPr>
        <w:spacing w:after="0" w:line="14" w:lineRule="exact"/>
        <w:rPr>
          <w:rFonts w:ascii="Times New Roman" w:cs="Times New Roman" w:eastAsia="Times New Roman" w:hAnsi="Times New Roman"/>
          <w:sz w:val="16"/>
          <w:szCs w:val="16"/>
          <w:color w:val="auto"/>
        </w:rPr>
      </w:pPr>
    </w:p>
    <w:p>
      <w:pPr>
        <w:ind w:left="600" w:hanging="282"/>
        <w:spacing w:after="0" w:line="234" w:lineRule="auto"/>
        <w:tabs>
          <w:tab w:leader="none" w:pos="60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Paid at maturity on July 19, 2024.</w:t>
      </w:r>
    </w:p>
    <w:p>
      <w:pPr>
        <w:ind w:left="600" w:hanging="282"/>
        <w:spacing w:after="0" w:line="234" w:lineRule="auto"/>
        <w:tabs>
          <w:tab w:leader="none" w:pos="60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Paid at maturity on January 17, 2025.</w:t>
      </w:r>
    </w:p>
    <w:p>
      <w:pPr>
        <w:ind w:left="600" w:hanging="282"/>
        <w:spacing w:after="0"/>
        <w:tabs>
          <w:tab w:leader="none" w:pos="60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cross-currency swaps.</w:t>
      </w:r>
    </w:p>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Restrictive Covenants in Unsecured Senior Notes</w:t>
      </w:r>
    </w:p>
    <w:p>
      <w:pPr>
        <w:spacing w:after="0" w:line="178" w:lineRule="exact"/>
        <w:rPr>
          <w:sz w:val="20"/>
          <w:szCs w:val="20"/>
          <w:color w:val="auto"/>
        </w:rPr>
      </w:pPr>
    </w:p>
    <w:p>
      <w:pPr>
        <w:ind w:left="320" w:right="320"/>
        <w:spacing w:after="0" w:line="243" w:lineRule="auto"/>
        <w:rPr>
          <w:sz w:val="20"/>
          <w:szCs w:val="20"/>
          <w:color w:val="auto"/>
        </w:rPr>
      </w:pPr>
      <w:r>
        <w:rPr>
          <w:rFonts w:ascii="Times New Roman" w:cs="Times New Roman" w:eastAsia="Times New Roman" w:hAnsi="Times New Roman"/>
          <w:sz w:val="16"/>
          <w:szCs w:val="16"/>
          <w:color w:val="auto"/>
        </w:rPr>
        <w:t>The indentures governing our senior notes contain certain covenants, including (1) a leverage ratio not to exceed 60%, (2) a secured debt leverage ratio not to exceed 40% and (3) an interest coverage ratio of greater than 1.50. The covenants also require us to maintain total unencumbered assets of not less than 150% of the aggregate principal amount of unsecured debt. At December 31, 2024, we were in compliance with each of these financial covenants.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39" w:name="page140"/>
    <w:bookmarkEnd w:id="139"/>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 and 2023</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Issuance of Unsecured Senior Notes</w:t>
      </w:r>
    </w:p>
    <w:p>
      <w:pPr>
        <w:spacing w:after="0" w:line="178" w:lineRule="exact"/>
        <w:rPr>
          <w:sz w:val="20"/>
          <w:szCs w:val="20"/>
          <w:color w:val="auto"/>
        </w:rPr>
      </w:pPr>
    </w:p>
    <w:p>
      <w:pPr>
        <w:ind w:left="320" w:right="440"/>
        <w:spacing w:after="0" w:line="243" w:lineRule="auto"/>
        <w:rPr>
          <w:sz w:val="20"/>
          <w:szCs w:val="20"/>
          <w:color w:val="auto"/>
        </w:rPr>
      </w:pPr>
      <w:r>
        <w:rPr>
          <w:rFonts w:ascii="Times New Roman" w:cs="Times New Roman" w:eastAsia="Times New Roman" w:hAnsi="Times New Roman"/>
          <w:sz w:val="16"/>
          <w:szCs w:val="16"/>
          <w:color w:val="auto"/>
        </w:rPr>
        <w:t>On September 13, 2024, Digital Dutch Finco B.V., an indirect wholly owned finance subsidiary of the Operating Partnership, issued and sold €850 million aggregate principal amount of 3.875% Guaranteed Notes due 2033 (the “2033 Notes”). Net proceeds from the offering were approximately €843 million (approximately $933 million based on the exchange rate on September 13, 2024) after deducting managers’ discounts and estimated offering expenses.</w:t>
      </w:r>
    </w:p>
    <w:p>
      <w:pPr>
        <w:spacing w:after="0" w:line="155" w:lineRule="exact"/>
        <w:rPr>
          <w:sz w:val="20"/>
          <w:szCs w:val="20"/>
          <w:color w:val="auto"/>
        </w:rPr>
      </w:pPr>
    </w:p>
    <w:p>
      <w:pPr>
        <w:ind w:left="320" w:right="320"/>
        <w:spacing w:after="0" w:line="273" w:lineRule="auto"/>
        <w:rPr>
          <w:sz w:val="20"/>
          <w:szCs w:val="20"/>
          <w:color w:val="auto"/>
        </w:rPr>
      </w:pPr>
      <w:r>
        <w:rPr>
          <w:rFonts w:ascii="Times New Roman" w:cs="Times New Roman" w:eastAsia="Times New Roman" w:hAnsi="Times New Roman"/>
          <w:sz w:val="14"/>
          <w:szCs w:val="14"/>
          <w:color w:val="auto"/>
        </w:rPr>
        <w:t>On November 12, 2024, Digital Realty Trust, L.P. issued $1,150,000,000 principal amount of its 1.875% Exchangeable Senior Notes due 2029 (the “Exchangeable Notes”). Net proceeds from the offering were approximately $1.13 billion after deducting managers’ discounts and offering expenses. The holders of the Exchangeable Notes will have the right to exchange their notes on or after August 15, 2029 and in certain other circumstances prior to this date. Upon exchange, the Company may choose to pay or deliver cash or a combination of cash and shares of the Company’s common stock. Pursuant to the terms of the Exchangeable Notes, the principal of the notes must always be cash settled, while the excess may be settled via cash, shares, or a combination at the Company’s election. The Exchangeable Notes will also be subject to redemption at the Company’s option, on or after November 22, 2027, through September 19, 2029, but only if the last reported sale price per share of the Company’s common stock exceeds 130% of the exchange price for a specified period of time and certain other conditions are satisfied. The initial exchange rate is 4.7998 shares of our common stock per $1,000 principal amount of the Exchangeable Notes, which represents an initial exchange price of approximately $208.34 per share of our common stock. The initial exchange price represents a premium of approximately 20.0% over the last reported sale price of $173.62 per share of our common stock on November 6, 2024. We account for our Exchangeable Notes in accordance with ASC 470-20, Debt with Conversion and Other Options (Subtopic 470-20) and ASC 815-40, Derivatives and Hedging</w:t>
      </w:r>
    </w:p>
    <w:p>
      <w:pPr>
        <w:spacing w:after="0" w:line="161" w:lineRule="exact"/>
        <w:rPr>
          <w:sz w:val="20"/>
          <w:szCs w:val="20"/>
          <w:color w:val="auto"/>
        </w:rPr>
      </w:pPr>
    </w:p>
    <w:p>
      <w:pPr>
        <w:ind w:left="320" w:right="360" w:hanging="2"/>
        <w:spacing w:after="0" w:line="236" w:lineRule="auto"/>
        <w:tabs>
          <w:tab w:leader="none" w:pos="411"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Contracts in Entity's Own Equity. The embedded exchange feature is eligible for an exception from derivative accounting because it is indexed to our own stock and meets the equity classification under ASC 815-40; therefore, the exchange feature is not bifurcated. At each reporting period, we calculate the effect of the Exchangeable Notes on our dilutive earnings per common share and per common unit using the if-converted method.</w:t>
      </w:r>
    </w:p>
    <w:p>
      <w:pPr>
        <w:spacing w:after="0" w:line="159" w:lineRule="exact"/>
        <w:rPr>
          <w:sz w:val="20"/>
          <w:szCs w:val="20"/>
          <w:color w:val="auto"/>
        </w:rPr>
      </w:pPr>
    </w:p>
    <w:p>
      <w:pPr>
        <w:ind w:left="320" w:right="300"/>
        <w:spacing w:after="0" w:line="237" w:lineRule="auto"/>
        <w:rPr>
          <w:sz w:val="20"/>
          <w:szCs w:val="20"/>
          <w:color w:val="auto"/>
        </w:rPr>
      </w:pPr>
      <w:r>
        <w:rPr>
          <w:rFonts w:ascii="Times New Roman" w:cs="Times New Roman" w:eastAsia="Times New Roman" w:hAnsi="Times New Roman"/>
          <w:sz w:val="16"/>
          <w:szCs w:val="16"/>
          <w:color w:val="auto"/>
        </w:rPr>
        <w:t>In connection with the offering of Exchangeable Notes, we entered into a registration rights agreement pursuant to which we agreed to register the resale of the shares of our common stock, if any, deliverable upon exchange of the Exchangeable Notes. If certain conditions relating to our obligations under the registration rights agreement are not satisfied, then we will pay additional interest on the Exchangeable Notes, in certain circumstances, at a rate per annum not exceeding 0.5%. In addition, if those conditions are not satisfied after the regular record date immediately preceding the maturity date of Exchangeable Notes, then we will pay an additional interest payment at maturity for an amount equal to 3% of principal of Exchangeable Notes. We account for such additional interest amounts as contingent obligations in accordance with ASC Subtopic 825-20: Financial Instrument - Registration Payment Arrangements, which are measured separately in accordance with ASC Subtopic 450-20: Loss Contingencies. Because payment of such additional interest amounts is not probable as of December 31, 2024, they have not been recognized or included in the allocation of the proceeds from Exchangeable Notes as of December 31, 2024.</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Early Extinguishment of Unsecured Senior Notes</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We recognized the following losses on early extinguishment of unsecured notes:</w:t>
      </w:r>
    </w:p>
    <w:p>
      <w:pPr>
        <w:spacing w:after="0" w:line="188" w:lineRule="exact"/>
        <w:rPr>
          <w:sz w:val="20"/>
          <w:szCs w:val="20"/>
          <w:color w:val="auto"/>
        </w:rPr>
      </w:pPr>
    </w:p>
    <w:p>
      <w:pPr>
        <w:ind w:left="900" w:right="700" w:hanging="294"/>
        <w:spacing w:after="0" w:line="259" w:lineRule="auto"/>
        <w:tabs>
          <w:tab w:leader="none" w:pos="90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year ended December 31, 2022: $51.1 million primarily due to redemption of the 4.750% Notes due 2025 in February 2022.</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40" w:name="page141"/>
    <w:bookmarkEnd w:id="140"/>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 and 2023</w:t>
      </w:r>
    </w:p>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Secured and Other Debt</w:t>
      </w:r>
    </w:p>
    <w:p>
      <w:pPr>
        <w:spacing w:after="0" w:line="180" w:lineRule="exact"/>
        <w:rPr>
          <w:sz w:val="20"/>
          <w:szCs w:val="20"/>
          <w:color w:val="auto"/>
        </w:rPr>
      </w:pPr>
    </w:p>
    <w:p>
      <w:pPr>
        <w:ind w:left="320" w:right="380"/>
        <w:spacing w:after="0" w:line="243" w:lineRule="auto"/>
        <w:rPr>
          <w:sz w:val="20"/>
          <w:szCs w:val="20"/>
          <w:color w:val="auto"/>
        </w:rPr>
      </w:pPr>
      <w:r>
        <w:rPr>
          <w:rFonts w:ascii="Times New Roman" w:cs="Times New Roman" w:eastAsia="Times New Roman" w:hAnsi="Times New Roman"/>
          <w:sz w:val="16"/>
          <w:szCs w:val="16"/>
          <w:color w:val="auto"/>
        </w:rPr>
        <w:t>This amount consists of a variety of loans at fixed and floating rates ranging from 3.29% to 14.50%. The largest component of the balance is Teraco debt facilities in the amount of $ 537.7 million, with an effective interest rate of 9.68%, along with a $135.0 million mortgage loan for the Company’s Westin building in Seattle – which bears interest at 3.29%. The loan bearing interest ranging from 11.65% to 14.50% is an unsecured loan with a balance of approximately $16 million.</w:t>
      </w:r>
    </w:p>
    <w:p>
      <w:pPr>
        <w:spacing w:after="0" w:line="1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12. Earnings per Common Share or Unit</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following is a summary of basic and diluted income per share/unit (in thousands, except per share/unit amounts):</w:t>
      </w:r>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Digital Realty Trust, Inc. Earnings per Common Share</w:t>
      </w:r>
    </w:p>
    <w:p>
      <w:pPr>
        <w:spacing w:after="0" w:line="192" w:lineRule="exact"/>
        <w:rPr>
          <w:sz w:val="20"/>
          <w:szCs w:val="20"/>
          <w:color w:val="auto"/>
        </w:rPr>
      </w:pPr>
    </w:p>
    <w:tbl>
      <w:tblPr>
        <w:tblLayout w:type="fixed"/>
        <w:tblInd w:w="320" w:type="dxa"/>
        <w:tblCellMar>
          <w:top w:w="0" w:type="dxa"/>
          <w:left w:w="0" w:type="dxa"/>
          <w:bottom w:w="0" w:type="dxa"/>
          <w:right w:w="0" w:type="dxa"/>
        </w:tblCellMar>
      </w:tblPr>
      <w:tr>
        <w:trPr>
          <w:trHeight w:val="170"/>
        </w:trPr>
        <w:tc>
          <w:tcPr>
            <w:tcW w:w="3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Numerator:</w:t>
            </w:r>
          </w:p>
        </w:tc>
        <w:tc>
          <w:tcPr>
            <w:tcW w:w="1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463"/>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463"/>
              <w:spacing w:after="0" w:line="148" w:lineRule="exact"/>
              <w:rPr>
                <w:sz w:val="20"/>
                <w:szCs w:val="20"/>
                <w:color w:val="auto"/>
              </w:rPr>
            </w:pPr>
            <w:r>
              <w:rPr>
                <w:rFonts w:ascii="Times New Roman" w:cs="Times New Roman" w:eastAsia="Times New Roman" w:hAnsi="Times New Roman"/>
                <w:sz w:val="13"/>
                <w:szCs w:val="13"/>
                <w:b w:val="1"/>
                <w:bCs w:val="1"/>
                <w:color w:val="auto"/>
              </w:rPr>
              <w:t>2023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443"/>
              <w:spacing w:after="0" w:line="148" w:lineRule="exact"/>
              <w:rPr>
                <w:sz w:val="20"/>
                <w:szCs w:val="20"/>
                <w:color w:val="auto"/>
              </w:rPr>
            </w:pPr>
            <w:r>
              <w:rPr>
                <w:rFonts w:ascii="Times New Roman" w:cs="Times New Roman" w:eastAsia="Times New Roman" w:hAnsi="Times New Roman"/>
                <w:sz w:val="13"/>
                <w:szCs w:val="13"/>
                <w:b w:val="1"/>
                <w:bCs w:val="1"/>
                <w:color w:val="auto"/>
              </w:rPr>
              <w:t>2022</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8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Net income available to common stockholders</w:t>
            </w: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561,766</w:t>
            </w:r>
          </w:p>
        </w:tc>
        <w:tc>
          <w:tcPr>
            <w:tcW w:w="10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908,114</w:t>
            </w:r>
          </w:p>
        </w:tc>
        <w:tc>
          <w:tcPr>
            <w:tcW w:w="16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336,960</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0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 xml:space="preserve">Loss attributable to redeemable noncontrolling interest </w:t>
            </w:r>
            <w:r>
              <w:rPr>
                <w:rFonts w:ascii="Times New Roman" w:cs="Times New Roman" w:eastAsia="Times New Roman" w:hAnsi="Times New Roman"/>
                <w:sz w:val="20"/>
                <w:szCs w:val="20"/>
                <w:color w:val="auto"/>
                <w:vertAlign w:val="superscript"/>
              </w:rPr>
              <w:t>(1)</w:t>
            </w:r>
          </w:p>
        </w:tc>
        <w:tc>
          <w:tcPr>
            <w:tcW w:w="140" w:type="dxa"/>
            <w:vAlign w:val="bottom"/>
          </w:tcPr>
          <w:p>
            <w:pPr>
              <w:spacing w:after="0"/>
              <w:rPr>
                <w:sz w:val="15"/>
                <w:szCs w:val="15"/>
                <w:color w:val="auto"/>
              </w:rPr>
            </w:pPr>
          </w:p>
        </w:tc>
        <w:tc>
          <w:tcPr>
            <w:tcW w:w="13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(27,059)</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(18,093)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(4,839)</w:t>
            </w:r>
          </w:p>
        </w:tc>
        <w:tc>
          <w:tcPr>
            <w:tcW w:w="0" w:type="dxa"/>
            <w:vAlign w:val="bottom"/>
          </w:tcPr>
          <w:p>
            <w:pPr>
              <w:spacing w:after="0"/>
              <w:rPr>
                <w:sz w:val="1"/>
                <w:szCs w:val="1"/>
                <w:color w:val="auto"/>
              </w:rPr>
            </w:pPr>
          </w:p>
        </w:tc>
      </w:tr>
      <w:tr>
        <w:trPr>
          <w:trHeight w:val="147"/>
        </w:trPr>
        <w:tc>
          <w:tcPr>
            <w:tcW w:w="3800" w:type="dxa"/>
            <w:vAlign w:val="bottom"/>
            <w:tcBorders>
              <w:top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6"/>
                <w:szCs w:val="16"/>
                <w:color w:val="auto"/>
              </w:rPr>
              <w:t>Net income available to common stockholders - diluted</w:t>
            </w:r>
          </w:p>
        </w:tc>
        <w:tc>
          <w:tcPr>
            <w:tcW w:w="14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534,707</w:t>
            </w: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890,021</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332,121</w:t>
            </w:r>
          </w:p>
        </w:tc>
        <w:tc>
          <w:tcPr>
            <w:tcW w:w="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00" w:type="dxa"/>
            <w:vAlign w:val="bottom"/>
            <w:tcBorders>
              <w:bottom w:val="single" w:sz="8" w:color="CCEEFF"/>
            </w:tcBorders>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EPS</w:t>
            </w:r>
          </w:p>
        </w:tc>
        <w:tc>
          <w:tcPr>
            <w:tcW w:w="14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auto"/>
            </w:tcBorders>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auto"/>
            </w:tcBorders>
            <w:vMerge w:val="continue"/>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8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i w:val="1"/>
                <w:iCs w:val="1"/>
                <w:color w:val="auto"/>
              </w:rPr>
              <w:t>Denominator:</w:t>
            </w: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Weighted average shares outstanding—basic</w:t>
            </w:r>
          </w:p>
        </w:tc>
        <w:tc>
          <w:tcPr>
            <w:tcW w:w="140" w:type="dxa"/>
            <w:vAlign w:val="bottom"/>
          </w:tcPr>
          <w:p>
            <w:pPr>
              <w:spacing w:after="0"/>
              <w:rPr>
                <w:sz w:val="15"/>
                <w:szCs w:val="15"/>
                <w:color w:val="auto"/>
              </w:rPr>
            </w:pPr>
          </w:p>
        </w:tc>
        <w:tc>
          <w:tcPr>
            <w:tcW w:w="12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323,336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298,603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286,334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Potentially dilutive common shares:</w:t>
            </w: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00" w:type="dxa"/>
            <w:vAlign w:val="bottom"/>
          </w:tcPr>
          <w:p>
            <w:pPr>
              <w:ind w:left="280"/>
              <w:spacing w:after="0" w:line="180" w:lineRule="exact"/>
              <w:rPr>
                <w:sz w:val="20"/>
                <w:szCs w:val="20"/>
                <w:color w:val="auto"/>
              </w:rPr>
            </w:pPr>
            <w:r>
              <w:rPr>
                <w:rFonts w:ascii="Times New Roman" w:cs="Times New Roman" w:eastAsia="Times New Roman" w:hAnsi="Times New Roman"/>
                <w:sz w:val="16"/>
                <w:szCs w:val="16"/>
                <w:color w:val="auto"/>
              </w:rPr>
              <w:t>Unvested incentive units</w:t>
            </w:r>
          </w:p>
        </w:tc>
        <w:tc>
          <w:tcPr>
            <w:tcW w:w="140" w:type="dxa"/>
            <w:vAlign w:val="bottom"/>
          </w:tcPr>
          <w:p>
            <w:pPr>
              <w:spacing w:after="0"/>
              <w:rPr>
                <w:sz w:val="15"/>
                <w:szCs w:val="15"/>
                <w:color w:val="auto"/>
              </w:rPr>
            </w:pPr>
          </w:p>
        </w:tc>
        <w:tc>
          <w:tcPr>
            <w:tcW w:w="12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118</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00" w:type="dxa"/>
            <w:vAlign w:val="bottom"/>
            <w:shd w:val="clear" w:color="auto" w:fill="CCEEFF"/>
          </w:tcPr>
          <w:p>
            <w:pPr>
              <w:ind w:left="280"/>
              <w:spacing w:after="0" w:line="180" w:lineRule="exact"/>
              <w:rPr>
                <w:sz w:val="20"/>
                <w:szCs w:val="20"/>
                <w:color w:val="auto"/>
              </w:rPr>
            </w:pPr>
            <w:r>
              <w:rPr>
                <w:rFonts w:ascii="Times New Roman" w:cs="Times New Roman" w:eastAsia="Times New Roman" w:hAnsi="Times New Roman"/>
                <w:sz w:val="16"/>
                <w:szCs w:val="16"/>
                <w:color w:val="auto"/>
              </w:rPr>
              <w:t>Unvested restricted stock</w:t>
            </w: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45</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00" w:type="dxa"/>
            <w:vAlign w:val="bottom"/>
          </w:tcPr>
          <w:p>
            <w:pPr>
              <w:ind w:left="280"/>
              <w:spacing w:after="0" w:line="180" w:lineRule="exact"/>
              <w:rPr>
                <w:sz w:val="20"/>
                <w:szCs w:val="20"/>
                <w:color w:val="auto"/>
              </w:rPr>
            </w:pPr>
            <w:r>
              <w:rPr>
                <w:rFonts w:ascii="Times New Roman" w:cs="Times New Roman" w:eastAsia="Times New Roman" w:hAnsi="Times New Roman"/>
                <w:sz w:val="16"/>
                <w:szCs w:val="16"/>
                <w:color w:val="auto"/>
              </w:rPr>
              <w:t>Forward equity offering</w:t>
            </w:r>
          </w:p>
        </w:tc>
        <w:tc>
          <w:tcPr>
            <w:tcW w:w="140" w:type="dxa"/>
            <w:vAlign w:val="bottom"/>
          </w:tcPr>
          <w:p>
            <w:pPr>
              <w:spacing w:after="0"/>
              <w:rPr>
                <w:sz w:val="15"/>
                <w:szCs w:val="15"/>
                <w:color w:val="auto"/>
              </w:rPr>
            </w:pPr>
          </w:p>
        </w:tc>
        <w:tc>
          <w:tcPr>
            <w:tcW w:w="130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248</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3800" w:type="dxa"/>
            <w:vAlign w:val="bottom"/>
            <w:shd w:val="clear" w:color="auto" w:fill="CCEEFF"/>
          </w:tcPr>
          <w:p>
            <w:pPr>
              <w:ind w:left="280"/>
              <w:spacing w:after="0" w:line="180" w:lineRule="exact"/>
              <w:rPr>
                <w:sz w:val="20"/>
                <w:szCs w:val="20"/>
                <w:color w:val="auto"/>
              </w:rPr>
            </w:pPr>
            <w:r>
              <w:rPr>
                <w:rFonts w:ascii="Times New Roman" w:cs="Times New Roman" w:eastAsia="Times New Roman" w:hAnsi="Times New Roman"/>
                <w:sz w:val="16"/>
                <w:szCs w:val="16"/>
                <w:color w:val="auto"/>
              </w:rPr>
              <w:t>Market performance-based awards</w:t>
            </w: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271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112</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103</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00" w:type="dxa"/>
            <w:vAlign w:val="bottom"/>
            <w:tcBorders>
              <w:bottom w:val="single" w:sz="8" w:color="CCEEFF"/>
            </w:tcBorders>
          </w:tcPr>
          <w:p>
            <w:pPr>
              <w:ind w:left="280"/>
              <w:spacing w:after="0" w:line="180" w:lineRule="exact"/>
              <w:rPr>
                <w:sz w:val="20"/>
                <w:szCs w:val="20"/>
                <w:color w:val="auto"/>
              </w:rPr>
            </w:pPr>
            <w:r>
              <w:rPr>
                <w:rFonts w:ascii="Times New Roman" w:cs="Times New Roman" w:eastAsia="Times New Roman" w:hAnsi="Times New Roman"/>
                <w:sz w:val="15"/>
                <w:szCs w:val="15"/>
                <w:color w:val="auto"/>
              </w:rPr>
              <w:t xml:space="preserve">Redeemable noncontrolling interest shares </w:t>
            </w:r>
            <w:r>
              <w:rPr>
                <w:rFonts w:ascii="Times New Roman" w:cs="Times New Roman" w:eastAsia="Times New Roman" w:hAnsi="Times New Roman"/>
                <w:sz w:val="20"/>
                <w:szCs w:val="20"/>
                <w:color w:val="auto"/>
                <w:vertAlign w:val="superscript"/>
              </w:rPr>
              <w:t>(1)</w:t>
            </w:r>
          </w:p>
        </w:tc>
        <w:tc>
          <w:tcPr>
            <w:tcW w:w="14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7,798</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9,975</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11,180</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800" w:type="dxa"/>
            <w:vAlign w:val="bottom"/>
            <w:tcBorders>
              <w:bottom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Weighted average shares outstanding—diluted</w:t>
            </w:r>
          </w:p>
        </w:tc>
        <w:tc>
          <w:tcPr>
            <w:tcW w:w="14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331,547</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309,065</w:t>
            </w:r>
          </w:p>
        </w:tc>
        <w:tc>
          <w:tcPr>
            <w:tcW w:w="1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297,919</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Income per share:</w:t>
            </w: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800" w:type="dxa"/>
            <w:vAlign w:val="bottom"/>
            <w:shd w:val="clear" w:color="auto" w:fill="CCEEFF"/>
          </w:tcPr>
          <w:p>
            <w:pPr>
              <w:ind w:left="280"/>
              <w:spacing w:after="0" w:line="180" w:lineRule="exact"/>
              <w:rPr>
                <w:sz w:val="20"/>
                <w:szCs w:val="20"/>
                <w:color w:val="auto"/>
              </w:rPr>
            </w:pPr>
            <w:r>
              <w:rPr>
                <w:rFonts w:ascii="Times New Roman" w:cs="Times New Roman" w:eastAsia="Times New Roman" w:hAnsi="Times New Roman"/>
                <w:sz w:val="16"/>
                <w:szCs w:val="16"/>
                <w:color w:val="auto"/>
              </w:rPr>
              <w:t>Basic</w:t>
            </w: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1.74</w:t>
            </w:r>
          </w:p>
        </w:tc>
        <w:tc>
          <w:tcPr>
            <w:tcW w:w="10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3.04</w:t>
            </w:r>
          </w:p>
        </w:tc>
        <w:tc>
          <w:tcPr>
            <w:tcW w:w="16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1.18</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bottom w:val="single" w:sz="8" w:color="CCEEFF"/>
            </w:tcBorders>
            <w:vMerge w:val="restart"/>
          </w:tcPr>
          <w:p>
            <w:pPr>
              <w:ind w:left="280"/>
              <w:spacing w:after="0" w:line="196" w:lineRule="exact"/>
              <w:rPr>
                <w:sz w:val="20"/>
                <w:szCs w:val="20"/>
                <w:color w:val="auto"/>
              </w:rPr>
            </w:pPr>
            <w:r>
              <w:rPr>
                <w:rFonts w:ascii="Times New Roman" w:cs="Times New Roman" w:eastAsia="Times New Roman" w:hAnsi="Times New Roman"/>
                <w:sz w:val="16"/>
                <w:szCs w:val="16"/>
                <w:color w:val="auto"/>
              </w:rPr>
              <w:t>Diluted</w:t>
            </w:r>
            <w:r>
              <w:rPr>
                <w:rFonts w:ascii="Times New Roman" w:cs="Times New Roman" w:eastAsia="Times New Roman" w:hAnsi="Times New Roman"/>
                <w:sz w:val="21"/>
                <w:szCs w:val="21"/>
                <w:color w:val="auto"/>
                <w:vertAlign w:val="superscript"/>
              </w:rPr>
              <w:t>(2)</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00" w:type="dxa"/>
            <w:vAlign w:val="bottom"/>
            <w:vMerge w:val="continue"/>
          </w:tcPr>
          <w:p>
            <w:pPr>
              <w:spacing w:after="0"/>
              <w:rPr>
                <w:sz w:val="13"/>
                <w:szCs w:val="13"/>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6"/>
                <w:szCs w:val="16"/>
                <w:color w:val="auto"/>
              </w:rPr>
              <w:t>1.61</w:t>
            </w:r>
          </w:p>
        </w:tc>
        <w:tc>
          <w:tcPr>
            <w:tcW w:w="10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6"/>
                <w:szCs w:val="16"/>
                <w:color w:val="auto"/>
              </w:rPr>
              <w:t>2.88</w:t>
            </w:r>
          </w:p>
        </w:tc>
        <w:tc>
          <w:tcPr>
            <w:tcW w:w="16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6"/>
                <w:szCs w:val="16"/>
                <w:color w:val="auto"/>
              </w:rPr>
              <w:t>1.11</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3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jc w:val="right"/>
              <w:ind w:right="763"/>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3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020"/>
          </w:cols>
          <w:pgMar w:left="1440" w:top="557" w:right="1440" w:bottom="1440" w:gutter="0" w:footer="0" w:header="0"/>
        </w:sectPr>
      </w:pPr>
    </w:p>
    <w:bookmarkStart w:id="141" w:name="page142"/>
    <w:bookmarkEnd w:id="141"/>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 and 2023</w:t>
      </w:r>
    </w:p>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Digital Realty Trust, L.P. Earnings per Unit</w:t>
      </w:r>
    </w:p>
    <w:p>
      <w:pPr>
        <w:spacing w:after="0" w:line="192" w:lineRule="exact"/>
        <w:rPr>
          <w:sz w:val="20"/>
          <w:szCs w:val="20"/>
          <w:color w:val="auto"/>
        </w:rPr>
      </w:pPr>
    </w:p>
    <w:tbl>
      <w:tblPr>
        <w:tblLayout w:type="fixed"/>
        <w:tblInd w:w="320" w:type="dxa"/>
        <w:tblCellMar>
          <w:top w:w="0" w:type="dxa"/>
          <w:left w:w="0" w:type="dxa"/>
          <w:bottom w:w="0" w:type="dxa"/>
          <w:right w:w="0" w:type="dxa"/>
        </w:tblCellMar>
      </w:tblPr>
      <w:tr>
        <w:trPr>
          <w:trHeight w:val="170"/>
        </w:trPr>
        <w:tc>
          <w:tcPr>
            <w:tcW w:w="20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Numerator:</w:t>
            </w:r>
          </w:p>
        </w:tc>
        <w:tc>
          <w:tcPr>
            <w:tcW w:w="880" w:type="dxa"/>
            <w:vAlign w:val="bottom"/>
            <w:tcBorders>
              <w:bottom w:val="single" w:sz="8" w:color="auto"/>
            </w:tcBorders>
            <w:gridSpan w:val="2"/>
          </w:tcPr>
          <w:p>
            <w:pPr>
              <w:jc w:val="right"/>
              <w:ind w:right="20"/>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c>
          <w:tcPr>
            <w:tcW w:w="5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523"/>
              <w:spacing w:after="0" w:line="148" w:lineRule="exact"/>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543"/>
              <w:spacing w:after="0" w:line="148" w:lineRule="exact"/>
              <w:rPr>
                <w:sz w:val="20"/>
                <w:szCs w:val="20"/>
                <w:color w:val="auto"/>
              </w:rPr>
            </w:pPr>
            <w:r>
              <w:rPr>
                <w:rFonts w:ascii="Times New Roman" w:cs="Times New Roman" w:eastAsia="Times New Roman" w:hAnsi="Times New Roman"/>
                <w:sz w:val="13"/>
                <w:szCs w:val="13"/>
                <w:b w:val="1"/>
                <w:bCs w:val="1"/>
                <w:color w:val="auto"/>
              </w:rPr>
              <w:t>2022</w:t>
            </w:r>
          </w:p>
        </w:tc>
        <w:tc>
          <w:tcPr>
            <w:tcW w:w="0" w:type="dxa"/>
            <w:vAlign w:val="bottom"/>
          </w:tcPr>
          <w:p>
            <w:pPr>
              <w:spacing w:after="0"/>
              <w:rPr>
                <w:sz w:val="1"/>
                <w:szCs w:val="1"/>
                <w:color w:val="auto"/>
              </w:rPr>
            </w:pPr>
          </w:p>
        </w:tc>
      </w:tr>
      <w:tr>
        <w:trPr>
          <w:trHeight w:val="172"/>
        </w:trPr>
        <w:tc>
          <w:tcPr>
            <w:tcW w:w="34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4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Net income available to common unitholders</w:t>
            </w:r>
          </w:p>
        </w:tc>
        <w:tc>
          <w:tcPr>
            <w:tcW w:w="1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574,466</w:t>
            </w:r>
          </w:p>
        </w:tc>
        <w:tc>
          <w:tcPr>
            <w:tcW w:w="120" w:type="dxa"/>
            <w:vAlign w:val="bottom"/>
            <w:shd w:val="clear" w:color="auto" w:fill="CCEEFF"/>
          </w:tcPr>
          <w:p>
            <w:pPr>
              <w:spacing w:after="0"/>
              <w:rPr>
                <w:sz w:val="15"/>
                <w:szCs w:val="15"/>
                <w:color w:val="auto"/>
              </w:rPr>
            </w:pPr>
          </w:p>
        </w:tc>
        <w:tc>
          <w:tcPr>
            <w:tcW w:w="260" w:type="dxa"/>
            <w:vAlign w:val="bottom"/>
            <w:gridSpan w:val="2"/>
            <w:shd w:val="clear" w:color="auto" w:fill="CCEEFF"/>
          </w:tcPr>
          <w:p>
            <w:pPr>
              <w:ind w:lef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928,824</w:t>
            </w:r>
          </w:p>
        </w:tc>
        <w:tc>
          <w:tcPr>
            <w:tcW w:w="14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345,060</w:t>
            </w:r>
          </w:p>
        </w:tc>
        <w:tc>
          <w:tcPr>
            <w:tcW w:w="0" w:type="dxa"/>
            <w:vAlign w:val="bottom"/>
          </w:tcPr>
          <w:p>
            <w:pPr>
              <w:spacing w:after="0"/>
              <w:rPr>
                <w:sz w:val="1"/>
                <w:szCs w:val="1"/>
                <w:color w:val="auto"/>
              </w:rPr>
            </w:pPr>
          </w:p>
        </w:tc>
      </w:tr>
      <w:tr>
        <w:trPr>
          <w:trHeight w:val="167"/>
        </w:trPr>
        <w:tc>
          <w:tcPr>
            <w:tcW w:w="3480" w:type="dxa"/>
            <w:vAlign w:val="bottom"/>
            <w:gridSpan w:val="2"/>
          </w:tcPr>
          <w:p>
            <w:pPr>
              <w:spacing w:after="0" w:line="167" w:lineRule="exact"/>
              <w:rPr>
                <w:sz w:val="20"/>
                <w:szCs w:val="20"/>
                <w:color w:val="auto"/>
              </w:rPr>
            </w:pPr>
            <w:r>
              <w:rPr>
                <w:rFonts w:ascii="Times New Roman" w:cs="Times New Roman" w:eastAsia="Times New Roman" w:hAnsi="Times New Roman"/>
                <w:sz w:val="16"/>
                <w:szCs w:val="16"/>
                <w:color w:val="auto"/>
              </w:rPr>
              <w:t>Loss attributable to redeemable noncontrolling</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480" w:type="dxa"/>
            <w:vAlign w:val="bottom"/>
            <w:gridSpan w:val="2"/>
          </w:tcPr>
          <w:p>
            <w:pPr>
              <w:spacing w:after="0" w:line="193" w:lineRule="exact"/>
              <w:rPr>
                <w:sz w:val="20"/>
                <w:szCs w:val="20"/>
                <w:color w:val="auto"/>
              </w:rPr>
            </w:pPr>
            <w:r>
              <w:rPr>
                <w:rFonts w:ascii="Times New Roman" w:cs="Times New Roman" w:eastAsia="Times New Roman" w:hAnsi="Times New Roman"/>
                <w:sz w:val="16"/>
                <w:szCs w:val="16"/>
                <w:color w:val="auto"/>
              </w:rPr>
              <w:t xml:space="preserve">interest </w:t>
            </w:r>
            <w:r>
              <w:rPr>
                <w:rFonts w:ascii="Times New Roman" w:cs="Times New Roman" w:eastAsia="Times New Roman" w:hAnsi="Times New Roman"/>
                <w:sz w:val="21"/>
                <w:szCs w:val="21"/>
                <w:color w:val="auto"/>
                <w:vertAlign w:val="superscript"/>
              </w:rPr>
              <w:t>(1)</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(27,059)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(18,093)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(4,839)</w:t>
            </w:r>
          </w:p>
        </w:tc>
        <w:tc>
          <w:tcPr>
            <w:tcW w:w="0" w:type="dxa"/>
            <w:vAlign w:val="bottom"/>
          </w:tcPr>
          <w:p>
            <w:pPr>
              <w:spacing w:after="0"/>
              <w:rPr>
                <w:sz w:val="1"/>
                <w:szCs w:val="1"/>
                <w:color w:val="auto"/>
              </w:rPr>
            </w:pPr>
          </w:p>
        </w:tc>
      </w:tr>
      <w:tr>
        <w:trPr>
          <w:trHeight w:val="147"/>
        </w:trPr>
        <w:tc>
          <w:tcPr>
            <w:tcW w:w="3480" w:type="dxa"/>
            <w:vAlign w:val="bottom"/>
            <w:tcBorders>
              <w:top w:val="single" w:sz="8" w:color="CCEEFF"/>
            </w:tcBorders>
            <w:gridSpan w:val="2"/>
            <w:shd w:val="clear" w:color="auto" w:fill="CCEEFF"/>
          </w:tcPr>
          <w:p>
            <w:pPr>
              <w:spacing w:after="0" w:line="147" w:lineRule="exact"/>
              <w:rPr>
                <w:sz w:val="20"/>
                <w:szCs w:val="20"/>
                <w:color w:val="auto"/>
              </w:rPr>
            </w:pPr>
            <w:r>
              <w:rPr>
                <w:rFonts w:ascii="Times New Roman" w:cs="Times New Roman" w:eastAsia="Times New Roman" w:hAnsi="Times New Roman"/>
                <w:sz w:val="16"/>
                <w:szCs w:val="16"/>
                <w:color w:val="auto"/>
              </w:rPr>
              <w:t>Net income available to common unitholders -</w:t>
            </w:r>
          </w:p>
        </w:tc>
        <w:tc>
          <w:tcPr>
            <w:tcW w:w="1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547,407</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3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910,731</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340,221</w:t>
            </w:r>
          </w:p>
        </w:tc>
        <w:tc>
          <w:tcPr>
            <w:tcW w:w="0" w:type="dxa"/>
            <w:vAlign w:val="bottom"/>
          </w:tcPr>
          <w:p>
            <w:pPr>
              <w:spacing w:after="0"/>
              <w:rPr>
                <w:sz w:val="1"/>
                <w:szCs w:val="1"/>
                <w:color w:val="auto"/>
              </w:rPr>
            </w:pPr>
          </w:p>
        </w:tc>
      </w:tr>
      <w:tr>
        <w:trPr>
          <w:trHeight w:val="181"/>
        </w:trPr>
        <w:tc>
          <w:tcPr>
            <w:tcW w:w="3480" w:type="dxa"/>
            <w:vAlign w:val="bottom"/>
            <w:tcBorders>
              <w:bottom w:val="single" w:sz="8" w:color="CCEEFF"/>
            </w:tcBorders>
            <w:gridSpan w:val="2"/>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diluted EPS</w:t>
            </w:r>
          </w:p>
        </w:tc>
        <w:tc>
          <w:tcPr>
            <w:tcW w:w="1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4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i w:val="1"/>
                <w:iCs w:val="1"/>
                <w:color w:val="auto"/>
              </w:rPr>
              <w:t>Denominator:</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Weighted average units outstanding—basic</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329,485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304,651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292,123</w:t>
            </w:r>
          </w:p>
        </w:tc>
        <w:tc>
          <w:tcPr>
            <w:tcW w:w="0" w:type="dxa"/>
            <w:vAlign w:val="bottom"/>
          </w:tcPr>
          <w:p>
            <w:pPr>
              <w:spacing w:after="0"/>
              <w:rPr>
                <w:sz w:val="1"/>
                <w:szCs w:val="1"/>
                <w:color w:val="auto"/>
              </w:rPr>
            </w:pPr>
          </w:p>
        </w:tc>
      </w:tr>
      <w:tr>
        <w:trPr>
          <w:trHeight w:val="180"/>
        </w:trPr>
        <w:tc>
          <w:tcPr>
            <w:tcW w:w="34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Potentially dilutive common units:</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80" w:type="dxa"/>
            <w:vAlign w:val="bottom"/>
            <w:gridSpan w:val="2"/>
          </w:tcPr>
          <w:p>
            <w:pPr>
              <w:ind w:left="280"/>
              <w:spacing w:after="0" w:line="180" w:lineRule="exact"/>
              <w:rPr>
                <w:sz w:val="20"/>
                <w:szCs w:val="20"/>
                <w:color w:val="auto"/>
              </w:rPr>
            </w:pPr>
            <w:r>
              <w:rPr>
                <w:rFonts w:ascii="Times New Roman" w:cs="Times New Roman" w:eastAsia="Times New Roman" w:hAnsi="Times New Roman"/>
                <w:sz w:val="16"/>
                <w:szCs w:val="16"/>
                <w:color w:val="auto"/>
              </w:rPr>
              <w:t>Unvested incentive units</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257</w:t>
            </w:r>
          </w:p>
        </w:tc>
        <w:tc>
          <w:tcPr>
            <w:tcW w:w="0" w:type="dxa"/>
            <w:vAlign w:val="bottom"/>
          </w:tcPr>
          <w:p>
            <w:pPr>
              <w:spacing w:after="0"/>
              <w:rPr>
                <w:sz w:val="1"/>
                <w:szCs w:val="1"/>
                <w:color w:val="auto"/>
              </w:rPr>
            </w:pPr>
          </w:p>
        </w:tc>
      </w:tr>
      <w:tr>
        <w:trPr>
          <w:trHeight w:val="180"/>
        </w:trPr>
        <w:tc>
          <w:tcPr>
            <w:tcW w:w="3480" w:type="dxa"/>
            <w:vAlign w:val="bottom"/>
            <w:gridSpan w:val="2"/>
            <w:shd w:val="clear" w:color="auto" w:fill="CCEEFF"/>
          </w:tcPr>
          <w:p>
            <w:pPr>
              <w:ind w:left="280"/>
              <w:spacing w:after="0" w:line="180" w:lineRule="exact"/>
              <w:rPr>
                <w:sz w:val="20"/>
                <w:szCs w:val="20"/>
                <w:color w:val="auto"/>
              </w:rPr>
            </w:pPr>
            <w:r>
              <w:rPr>
                <w:rFonts w:ascii="Times New Roman" w:cs="Times New Roman" w:eastAsia="Times New Roman" w:hAnsi="Times New Roman"/>
                <w:sz w:val="16"/>
                <w:szCs w:val="16"/>
                <w:color w:val="auto"/>
              </w:rPr>
              <w:t>Unvested restricted units</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180"/>
        </w:trPr>
        <w:tc>
          <w:tcPr>
            <w:tcW w:w="3480" w:type="dxa"/>
            <w:vAlign w:val="bottom"/>
            <w:gridSpan w:val="2"/>
          </w:tcPr>
          <w:p>
            <w:pPr>
              <w:ind w:left="280"/>
              <w:spacing w:after="0" w:line="180" w:lineRule="exact"/>
              <w:rPr>
                <w:sz w:val="20"/>
                <w:szCs w:val="20"/>
                <w:color w:val="auto"/>
              </w:rPr>
            </w:pPr>
            <w:r>
              <w:rPr>
                <w:rFonts w:ascii="Times New Roman" w:cs="Times New Roman" w:eastAsia="Times New Roman" w:hAnsi="Times New Roman"/>
                <w:sz w:val="16"/>
                <w:szCs w:val="16"/>
                <w:color w:val="auto"/>
              </w:rPr>
              <w:t>Forward equity offering</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3480" w:type="dxa"/>
            <w:vAlign w:val="bottom"/>
            <w:gridSpan w:val="2"/>
            <w:shd w:val="clear" w:color="auto" w:fill="CCEEFF"/>
          </w:tcPr>
          <w:p>
            <w:pPr>
              <w:ind w:left="280"/>
              <w:spacing w:after="0" w:line="180" w:lineRule="exact"/>
              <w:rPr>
                <w:sz w:val="20"/>
                <w:szCs w:val="20"/>
                <w:color w:val="auto"/>
              </w:rPr>
            </w:pPr>
            <w:r>
              <w:rPr>
                <w:rFonts w:ascii="Times New Roman" w:cs="Times New Roman" w:eastAsia="Times New Roman" w:hAnsi="Times New Roman"/>
                <w:sz w:val="16"/>
                <w:szCs w:val="16"/>
                <w:color w:val="auto"/>
              </w:rPr>
              <w:t>Market performance-based awards</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271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112</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180"/>
        </w:trPr>
        <w:tc>
          <w:tcPr>
            <w:tcW w:w="3480" w:type="dxa"/>
            <w:vAlign w:val="bottom"/>
            <w:tcBorders>
              <w:bottom w:val="single" w:sz="8" w:color="CCEEFF"/>
            </w:tcBorders>
            <w:gridSpan w:val="2"/>
          </w:tcPr>
          <w:p>
            <w:pPr>
              <w:ind w:left="280"/>
              <w:spacing w:after="0" w:line="180" w:lineRule="exact"/>
              <w:rPr>
                <w:sz w:val="20"/>
                <w:szCs w:val="20"/>
                <w:color w:val="auto"/>
              </w:rPr>
            </w:pPr>
            <w:r>
              <w:rPr>
                <w:rFonts w:ascii="Times New Roman" w:cs="Times New Roman" w:eastAsia="Times New Roman" w:hAnsi="Times New Roman"/>
                <w:sz w:val="15"/>
                <w:szCs w:val="15"/>
                <w:color w:val="auto"/>
              </w:rPr>
              <w:t xml:space="preserve">Redeemable noncontrolling interest shares </w:t>
            </w:r>
            <w:r>
              <w:rPr>
                <w:rFonts w:ascii="Times New Roman" w:cs="Times New Roman" w:eastAsia="Times New Roman" w:hAnsi="Times New Roman"/>
                <w:sz w:val="20"/>
                <w:szCs w:val="20"/>
                <w:color w:val="auto"/>
                <w:vertAlign w:val="superscript"/>
              </w:rPr>
              <w:t>(1)</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7,798</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9,975</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11,180</w:t>
            </w:r>
          </w:p>
        </w:tc>
        <w:tc>
          <w:tcPr>
            <w:tcW w:w="0" w:type="dxa"/>
            <w:vAlign w:val="bottom"/>
          </w:tcPr>
          <w:p>
            <w:pPr>
              <w:spacing w:after="0"/>
              <w:rPr>
                <w:sz w:val="1"/>
                <w:szCs w:val="1"/>
                <w:color w:val="auto"/>
              </w:rPr>
            </w:pPr>
          </w:p>
        </w:tc>
      </w:tr>
      <w:tr>
        <w:trPr>
          <w:trHeight w:val="172"/>
        </w:trPr>
        <w:tc>
          <w:tcPr>
            <w:tcW w:w="3480" w:type="dxa"/>
            <w:vAlign w:val="bottom"/>
            <w:tcBorders>
              <w:bottom w:val="single" w:sz="8" w:color="CCEEFF"/>
            </w:tcBorders>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Weighted average units outstanding—diluted</w:t>
            </w: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99"/>
              </w:rPr>
              <w:t>337,696</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315,113</w:t>
            </w: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303,708</w:t>
            </w:r>
          </w:p>
        </w:tc>
        <w:tc>
          <w:tcPr>
            <w:tcW w:w="0" w:type="dxa"/>
            <w:vAlign w:val="bottom"/>
          </w:tcPr>
          <w:p>
            <w:pPr>
              <w:spacing w:after="0"/>
              <w:rPr>
                <w:sz w:val="1"/>
                <w:szCs w:val="1"/>
                <w:color w:val="auto"/>
              </w:rPr>
            </w:pPr>
          </w:p>
        </w:tc>
      </w:tr>
      <w:tr>
        <w:trPr>
          <w:trHeight w:val="20"/>
        </w:trPr>
        <w:tc>
          <w:tcPr>
            <w:tcW w:w="34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Income per unit:</w:t>
            </w: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480" w:type="dxa"/>
            <w:vAlign w:val="bottom"/>
            <w:gridSpan w:val="2"/>
            <w:shd w:val="clear" w:color="auto" w:fill="CCEEFF"/>
          </w:tcPr>
          <w:p>
            <w:pPr>
              <w:ind w:left="280"/>
              <w:spacing w:after="0" w:line="180" w:lineRule="exact"/>
              <w:rPr>
                <w:sz w:val="20"/>
                <w:szCs w:val="20"/>
                <w:color w:val="auto"/>
              </w:rPr>
            </w:pPr>
            <w:r>
              <w:rPr>
                <w:rFonts w:ascii="Times New Roman" w:cs="Times New Roman" w:eastAsia="Times New Roman" w:hAnsi="Times New Roman"/>
                <w:sz w:val="16"/>
                <w:szCs w:val="16"/>
                <w:color w:val="auto"/>
              </w:rPr>
              <w:t>Basic</w:t>
            </w:r>
          </w:p>
        </w:tc>
        <w:tc>
          <w:tcPr>
            <w:tcW w:w="1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1.74</w:t>
            </w:r>
          </w:p>
        </w:tc>
        <w:tc>
          <w:tcPr>
            <w:tcW w:w="120" w:type="dxa"/>
            <w:vAlign w:val="bottom"/>
            <w:shd w:val="clear" w:color="auto" w:fill="CCEEFF"/>
          </w:tcPr>
          <w:p>
            <w:pPr>
              <w:spacing w:after="0"/>
              <w:rPr>
                <w:sz w:val="15"/>
                <w:szCs w:val="15"/>
                <w:color w:val="auto"/>
              </w:rPr>
            </w:pPr>
          </w:p>
        </w:tc>
        <w:tc>
          <w:tcPr>
            <w:tcW w:w="260" w:type="dxa"/>
            <w:vAlign w:val="bottom"/>
            <w:gridSpan w:val="2"/>
            <w:shd w:val="clear" w:color="auto" w:fill="CCEEFF"/>
          </w:tcPr>
          <w:p>
            <w:pPr>
              <w:ind w:lef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3.05</w:t>
            </w:r>
          </w:p>
        </w:tc>
        <w:tc>
          <w:tcPr>
            <w:tcW w:w="14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bottom w:val="single" w:sz="8" w:color="CCEEFF"/>
            </w:tcBorders>
            <w:gridSpan w:val="2"/>
            <w:vMerge w:val="restart"/>
          </w:tcPr>
          <w:p>
            <w:pPr>
              <w:ind w:left="280"/>
              <w:spacing w:after="0" w:line="196" w:lineRule="exact"/>
              <w:rPr>
                <w:sz w:val="20"/>
                <w:szCs w:val="20"/>
                <w:color w:val="auto"/>
              </w:rPr>
            </w:pPr>
            <w:r>
              <w:rPr>
                <w:rFonts w:ascii="Times New Roman" w:cs="Times New Roman" w:eastAsia="Times New Roman" w:hAnsi="Times New Roman"/>
                <w:sz w:val="16"/>
                <w:szCs w:val="16"/>
                <w:color w:val="auto"/>
              </w:rPr>
              <w:t>Diluted</w:t>
            </w:r>
            <w:r>
              <w:rPr>
                <w:rFonts w:ascii="Times New Roman" w:cs="Times New Roman" w:eastAsia="Times New Roman" w:hAnsi="Times New Roman"/>
                <w:sz w:val="21"/>
                <w:szCs w:val="21"/>
                <w:color w:val="auto"/>
                <w:vertAlign w:val="superscript"/>
              </w:rPr>
              <w:t>(2)</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80" w:type="dxa"/>
            <w:vAlign w:val="bottom"/>
            <w:gridSpan w:val="2"/>
            <w:vMerge w:val="continue"/>
          </w:tcPr>
          <w:p>
            <w:pPr>
              <w:spacing w:after="0"/>
              <w:rPr>
                <w:sz w:val="13"/>
                <w:szCs w:val="13"/>
                <w:color w:val="auto"/>
              </w:rPr>
            </w:pPr>
          </w:p>
        </w:tc>
        <w:tc>
          <w:tcPr>
            <w:tcW w:w="1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6"/>
                <w:szCs w:val="16"/>
                <w:color w:val="auto"/>
              </w:rPr>
              <w:t>1.62</w:t>
            </w:r>
          </w:p>
        </w:tc>
        <w:tc>
          <w:tcPr>
            <w:tcW w:w="12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140" w:type="dxa"/>
            <w:vAlign w:val="bottom"/>
            <w:tcBorders>
              <w:bottom w:val="single" w:sz="8" w:color="auto"/>
            </w:tcBorders>
          </w:tcPr>
          <w:p>
            <w:pPr>
              <w:spacing w:after="0" w:line="156"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6"/>
                <w:szCs w:val="16"/>
                <w:color w:val="auto"/>
              </w:rPr>
              <w:t>2.89</w:t>
            </w:r>
          </w:p>
        </w:tc>
        <w:tc>
          <w:tcPr>
            <w:tcW w:w="14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1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2080" w:type="dxa"/>
            <w:vAlign w:val="bottom"/>
            <w:tcBorders>
              <w:bottom w:val="single" w:sz="8" w:color="auto"/>
            </w:tcBorders>
          </w:tcPr>
          <w:p>
            <w:pPr>
              <w:spacing w:after="0"/>
              <w:rPr>
                <w:sz w:val="6"/>
                <w:szCs w:val="6"/>
                <w:color w:val="auto"/>
              </w:rPr>
            </w:pPr>
          </w:p>
        </w:tc>
        <w:tc>
          <w:tcPr>
            <w:tcW w:w="1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600" w:right="560" w:hanging="282"/>
        <w:spacing w:after="0" w:line="271" w:lineRule="auto"/>
        <w:tabs>
          <w:tab w:leader="none" w:pos="60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the Put/Call Agreement with the Rollover Shareholders who remained after the Teraco Acquisition, the Rollover Shareholders have a put right on the Remaining Interest of Teraco that can be settled by the Company in Digital Realty Trust, Inc. shares, in cash, or a combination of cash and shares. Under U.S. GAAP, diluted earnings per share must be reflected in a manner that assumes such put right was exercised at the beginning of the respective periods and settled entirely in shares. The amounts shown represent the redemption value of the Remaining Interest of Teraco divided by Digital Realty Trust, Inc.’s average share price for the respective periods. The put right is exercisable by the Rollover Shareholders for a two-year period commencing on February 1, 2026. For additional information regarding the Teraco Acquisition and the defined terms used above, see Note 3. “Business Combinations” to Consolidated Financial Statements contained herein.</w:t>
      </w:r>
    </w:p>
    <w:p>
      <w:pPr>
        <w:spacing w:after="0" w:line="4" w:lineRule="exact"/>
        <w:rPr>
          <w:rFonts w:ascii="Times New Roman" w:cs="Times New Roman" w:eastAsia="Times New Roman" w:hAnsi="Times New Roman"/>
          <w:sz w:val="14"/>
          <w:szCs w:val="14"/>
          <w:color w:val="auto"/>
        </w:rPr>
      </w:pPr>
    </w:p>
    <w:p>
      <w:pPr>
        <w:ind w:left="600" w:right="580" w:hanging="282"/>
        <w:spacing w:after="0" w:line="268" w:lineRule="auto"/>
        <w:tabs>
          <w:tab w:leader="none" w:pos="60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made an adjustment to previously reported amounts to correct an immaterial error in the computation of diluted earnings per share and diluted earnings per unit in each of the interim periods ended June 30, 2023 and September 30, 2023, and for the year ended December 31, 2023. The correction appropriately reduces net income available to common</w:t>
      </w:r>
    </w:p>
    <w:p>
      <w:pPr>
        <w:spacing w:after="0" w:line="1" w:lineRule="exact"/>
        <w:rPr>
          <w:sz w:val="20"/>
          <w:szCs w:val="20"/>
          <w:color w:val="auto"/>
        </w:rPr>
      </w:pPr>
    </w:p>
    <w:p>
      <w:pPr>
        <w:ind w:left="600" w:right="640"/>
        <w:spacing w:after="0" w:line="238" w:lineRule="auto"/>
        <w:rPr>
          <w:sz w:val="20"/>
          <w:szCs w:val="20"/>
          <w:color w:val="auto"/>
        </w:rPr>
      </w:pPr>
      <w:r>
        <w:rPr>
          <w:rFonts w:ascii="Times New Roman" w:cs="Times New Roman" w:eastAsia="Times New Roman" w:hAnsi="Times New Roman"/>
          <w:sz w:val="16"/>
          <w:szCs w:val="16"/>
          <w:color w:val="auto"/>
        </w:rPr>
        <w:t>stockholders and unitholders, as applicable, for the loss attributable to the non-controlling interests in Teraco. The impact to earnings per share and earnings per unit for each respective period is summarized in the table below:</w:t>
      </w:r>
    </w:p>
    <w:tbl>
      <w:tblPr>
        <w:tblLayout w:type="fixed"/>
        <w:tblInd w:w="940" w:type="dxa"/>
        <w:tblCellMar>
          <w:top w:w="0" w:type="dxa"/>
          <w:left w:w="0" w:type="dxa"/>
          <w:bottom w:w="0" w:type="dxa"/>
          <w:right w:w="0" w:type="dxa"/>
        </w:tblCellMar>
      </w:tblPr>
      <w:tr>
        <w:trPr>
          <w:trHeight w:val="154"/>
        </w:trPr>
        <w:tc>
          <w:tcPr>
            <w:tcW w:w="2660" w:type="dxa"/>
            <w:vAlign w:val="bottom"/>
          </w:tcPr>
          <w:p>
            <w:pPr>
              <w:spacing w:after="0"/>
              <w:rPr>
                <w:sz w:val="13"/>
                <w:szCs w:val="13"/>
                <w:color w:val="auto"/>
              </w:rPr>
            </w:pPr>
          </w:p>
        </w:tc>
        <w:tc>
          <w:tcPr>
            <w:tcW w:w="1720" w:type="dxa"/>
            <w:vAlign w:val="bottom"/>
            <w:gridSpan w:val="3"/>
          </w:tcPr>
          <w:p>
            <w:pPr>
              <w:jc w:val="center"/>
              <w:spacing w:after="0" w:line="154" w:lineRule="exact"/>
              <w:rPr>
                <w:sz w:val="20"/>
                <w:szCs w:val="20"/>
                <w:color w:val="auto"/>
              </w:rPr>
            </w:pPr>
            <w:r>
              <w:rPr>
                <w:rFonts w:ascii="Times New Roman" w:cs="Times New Roman" w:eastAsia="Times New Roman" w:hAnsi="Times New Roman"/>
                <w:sz w:val="14"/>
                <w:szCs w:val="14"/>
                <w:b w:val="1"/>
                <w:bCs w:val="1"/>
                <w:i w:val="1"/>
                <w:iCs w:val="1"/>
                <w:color w:val="auto"/>
              </w:rPr>
              <w:t>Digital Realty Trust, Inc.</w:t>
            </w:r>
          </w:p>
        </w:tc>
        <w:tc>
          <w:tcPr>
            <w:tcW w:w="120" w:type="dxa"/>
            <w:vAlign w:val="bottom"/>
          </w:tcPr>
          <w:p>
            <w:pPr>
              <w:spacing w:after="0"/>
              <w:rPr>
                <w:sz w:val="13"/>
                <w:szCs w:val="13"/>
                <w:color w:val="auto"/>
              </w:rPr>
            </w:pPr>
          </w:p>
        </w:tc>
        <w:tc>
          <w:tcPr>
            <w:tcW w:w="1700" w:type="dxa"/>
            <w:vAlign w:val="bottom"/>
            <w:gridSpan w:val="3"/>
          </w:tcPr>
          <w:p>
            <w:pPr>
              <w:jc w:val="right"/>
              <w:ind w:right="48"/>
              <w:spacing w:after="0" w:line="154" w:lineRule="exact"/>
              <w:rPr>
                <w:sz w:val="20"/>
                <w:szCs w:val="20"/>
                <w:color w:val="auto"/>
              </w:rPr>
            </w:pPr>
            <w:r>
              <w:rPr>
                <w:rFonts w:ascii="Times New Roman" w:cs="Times New Roman" w:eastAsia="Times New Roman" w:hAnsi="Times New Roman"/>
                <w:sz w:val="14"/>
                <w:szCs w:val="14"/>
                <w:b w:val="1"/>
                <w:bCs w:val="1"/>
                <w:i w:val="1"/>
                <w:iCs w:val="1"/>
                <w:color w:val="auto"/>
              </w:rPr>
              <w:t>Digital Realty Trust, L.P.</w:t>
            </w:r>
          </w:p>
        </w:tc>
        <w:tc>
          <w:tcPr>
            <w:tcW w:w="0" w:type="dxa"/>
            <w:vAlign w:val="bottom"/>
          </w:tcPr>
          <w:p>
            <w:pPr>
              <w:spacing w:after="0"/>
              <w:rPr>
                <w:sz w:val="1"/>
                <w:szCs w:val="1"/>
                <w:color w:val="auto"/>
              </w:rPr>
            </w:pPr>
          </w:p>
        </w:tc>
      </w:tr>
      <w:tr>
        <w:trPr>
          <w:trHeight w:val="168"/>
        </w:trPr>
        <w:tc>
          <w:tcPr>
            <w:tcW w:w="2660" w:type="dxa"/>
            <w:vAlign w:val="bottom"/>
          </w:tcPr>
          <w:p>
            <w:pPr>
              <w:spacing w:after="0"/>
              <w:rPr>
                <w:sz w:val="14"/>
                <w:szCs w:val="14"/>
                <w:color w:val="auto"/>
              </w:rPr>
            </w:pP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Diluted Earnings per</w:t>
            </w:r>
          </w:p>
        </w:tc>
        <w:tc>
          <w:tcPr>
            <w:tcW w:w="120" w:type="dxa"/>
            <w:vAlign w:val="bottom"/>
          </w:tcPr>
          <w:p>
            <w:pPr>
              <w:spacing w:after="0"/>
              <w:rPr>
                <w:sz w:val="14"/>
                <w:szCs w:val="14"/>
                <w:color w:val="auto"/>
              </w:rPr>
            </w:pPr>
          </w:p>
        </w:tc>
        <w:tc>
          <w:tcPr>
            <w:tcW w:w="1700" w:type="dxa"/>
            <w:vAlign w:val="bottom"/>
            <w:gridSpan w:val="3"/>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i w:val="1"/>
                <w:iCs w:val="1"/>
                <w:color w:val="auto"/>
              </w:rPr>
              <w:t>Diluted Earnings per Unit</w:t>
            </w:r>
          </w:p>
        </w:tc>
        <w:tc>
          <w:tcPr>
            <w:tcW w:w="0" w:type="dxa"/>
            <w:vAlign w:val="bottom"/>
          </w:tcPr>
          <w:p>
            <w:pPr>
              <w:spacing w:after="0"/>
              <w:rPr>
                <w:sz w:val="1"/>
                <w:szCs w:val="1"/>
                <w:color w:val="auto"/>
              </w:rPr>
            </w:pPr>
          </w:p>
        </w:tc>
      </w:tr>
      <w:tr>
        <w:trPr>
          <w:trHeight w:val="108"/>
        </w:trPr>
        <w:tc>
          <w:tcPr>
            <w:tcW w:w="2660" w:type="dxa"/>
            <w:vAlign w:val="bottom"/>
          </w:tcPr>
          <w:p>
            <w:pPr>
              <w:spacing w:after="0"/>
              <w:rPr>
                <w:sz w:val="9"/>
                <w:szCs w:val="9"/>
                <w:color w:val="auto"/>
              </w:rPr>
            </w:pPr>
          </w:p>
        </w:tc>
        <w:tc>
          <w:tcPr>
            <w:tcW w:w="17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Common Share</w:t>
            </w:r>
          </w:p>
        </w:tc>
        <w:tc>
          <w:tcPr>
            <w:tcW w:w="120" w:type="dxa"/>
            <w:vAlign w:val="bottom"/>
          </w:tcPr>
          <w:p>
            <w:pPr>
              <w:spacing w:after="0"/>
              <w:rPr>
                <w:sz w:val="9"/>
                <w:szCs w:val="9"/>
                <w:color w:val="auto"/>
              </w:rPr>
            </w:pPr>
          </w:p>
        </w:tc>
        <w:tc>
          <w:tcPr>
            <w:tcW w:w="17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2660" w:type="dxa"/>
            <w:vAlign w:val="bottom"/>
          </w:tcPr>
          <w:p>
            <w:pPr>
              <w:spacing w:after="0"/>
              <w:rPr>
                <w:sz w:val="6"/>
                <w:szCs w:val="6"/>
                <w:color w:val="auto"/>
              </w:rPr>
            </w:pPr>
          </w:p>
        </w:tc>
        <w:tc>
          <w:tcPr>
            <w:tcW w:w="1720" w:type="dxa"/>
            <w:vAlign w:val="bottom"/>
            <w:tcBorders>
              <w:bottom w:val="single" w:sz="8" w:color="auto"/>
            </w:tcBorders>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266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2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12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2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0" w:type="dxa"/>
            <w:vAlign w:val="bottom"/>
          </w:tcPr>
          <w:p>
            <w:pPr>
              <w:spacing w:after="0"/>
              <w:rPr>
                <w:sz w:val="1"/>
                <w:szCs w:val="1"/>
                <w:color w:val="auto"/>
              </w:rPr>
            </w:pPr>
          </w:p>
        </w:tc>
      </w:tr>
      <w:tr>
        <w:trPr>
          <w:trHeight w:val="160"/>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Three months ended June 30, 2023</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$0.37</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$0.37</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0" w:type="dxa"/>
            <w:vAlign w:val="bottom"/>
          </w:tcPr>
          <w:p>
            <w:pPr>
              <w:spacing w:after="0"/>
              <w:rPr>
                <w:sz w:val="1"/>
                <w:szCs w:val="1"/>
                <w:color w:val="auto"/>
              </w:rPr>
            </w:pPr>
          </w:p>
        </w:tc>
      </w:tr>
      <w:tr>
        <w:trPr>
          <w:trHeight w:val="168"/>
        </w:trPr>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Six months ended June 30, 2023</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$0.52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$0.57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$0.52</w:t>
            </w:r>
          </w:p>
        </w:tc>
        <w:tc>
          <w:tcPr>
            <w:tcW w:w="0" w:type="dxa"/>
            <w:vAlign w:val="bottom"/>
          </w:tcPr>
          <w:p>
            <w:pPr>
              <w:spacing w:after="0"/>
              <w:rPr>
                <w:sz w:val="1"/>
                <w:szCs w:val="1"/>
                <w:color w:val="auto"/>
              </w:rPr>
            </w:pPr>
          </w:p>
        </w:tc>
      </w:tr>
      <w:tr>
        <w:trPr>
          <w:trHeight w:val="168"/>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Three months ended September 30, 2023</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0" w:type="dxa"/>
            <w:vAlign w:val="bottom"/>
          </w:tcPr>
          <w:p>
            <w:pPr>
              <w:spacing w:after="0"/>
              <w:rPr>
                <w:sz w:val="1"/>
                <w:szCs w:val="1"/>
                <w:color w:val="auto"/>
              </w:rPr>
            </w:pPr>
          </w:p>
        </w:tc>
      </w:tr>
      <w:tr>
        <w:trPr>
          <w:trHeight w:val="168"/>
        </w:trPr>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Nine months ended September 30, 2023</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0" w:type="dxa"/>
            <w:vAlign w:val="bottom"/>
          </w:tcPr>
          <w:p>
            <w:pPr>
              <w:spacing w:after="0"/>
              <w:rPr>
                <w:sz w:val="1"/>
                <w:szCs w:val="1"/>
                <w:color w:val="auto"/>
              </w:rPr>
            </w:pPr>
          </w:p>
        </w:tc>
      </w:tr>
      <w:tr>
        <w:trPr>
          <w:trHeight w:val="168"/>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Fiscal year ended December 31, 2023</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0" w:type="dxa"/>
            <w:vAlign w:val="bottom"/>
          </w:tcPr>
          <w:p>
            <w:pPr>
              <w:spacing w:after="0"/>
              <w:rPr>
                <w:sz w:val="1"/>
                <w:szCs w:val="1"/>
                <w:color w:val="auto"/>
              </w:rPr>
            </w:pPr>
          </w:p>
        </w:tc>
      </w:tr>
    </w:tbl>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42" w:name="page143"/>
    <w:bookmarkEnd w:id="142"/>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 and 2023</w:t>
      </w:r>
    </w:p>
    <w:p>
      <w:pPr>
        <w:spacing w:after="0" w:line="382" w:lineRule="exact"/>
        <w:rPr>
          <w:sz w:val="20"/>
          <w:szCs w:val="20"/>
          <w:color w:val="auto"/>
        </w:rPr>
      </w:pPr>
    </w:p>
    <w:p>
      <w:pPr>
        <w:ind w:left="320" w:right="380"/>
        <w:spacing w:after="0" w:line="237" w:lineRule="auto"/>
        <w:rPr>
          <w:sz w:val="20"/>
          <w:szCs w:val="20"/>
          <w:color w:val="auto"/>
        </w:rPr>
      </w:pPr>
      <w:r>
        <w:rPr>
          <w:rFonts w:ascii="Times New Roman" w:cs="Times New Roman" w:eastAsia="Times New Roman" w:hAnsi="Times New Roman"/>
          <w:sz w:val="16"/>
          <w:szCs w:val="16"/>
          <w:color w:val="auto"/>
        </w:rPr>
        <w:t>As of December 31, 2024, the holders of the Exchangeable Notes will have an option on or after August 15, 2029, or at an earlier date under certain circumstances, to exchange the notes. The Company must always cash settle the principal amount of the Exchangeable Notes, while any excess may be settled via cash, common shares or a combination at the election of the Company. Accordingly, the Company applies the if converted method to determine the dilutive impact on EPS related to the Exchangeable Notes. There is no interest expense adjustment to the numerator as the principal will always be cash settled. In order to compute the dilutive effect, the number of shares included in the denominator of diluted EPS is determined by dividing the “conversion spread value” of the share-settled portion (value above principal and interest component) of the instrument by the average share price during the period. The “conversion spread value” is the value that would be delivered to the holders in shares based on the terms of the Exchangeable Notes upon an assumed conversion. As of December 31, 2024, the conversion spread value is currently zero, since the weighted average price of our common stock does not exceed the conversion rate (strike price) and is “out-of-the-money”, resulting in no impact on diluted EPS.</w:t>
      </w:r>
    </w:p>
    <w:p>
      <w:pPr>
        <w:spacing w:after="0" w:line="162" w:lineRule="exact"/>
        <w:rPr>
          <w:sz w:val="20"/>
          <w:szCs w:val="20"/>
          <w:color w:val="auto"/>
        </w:rPr>
      </w:pPr>
    </w:p>
    <w:p>
      <w:pPr>
        <w:ind w:left="320" w:right="500"/>
        <w:spacing w:after="0" w:line="243" w:lineRule="auto"/>
        <w:rPr>
          <w:sz w:val="20"/>
          <w:szCs w:val="20"/>
          <w:color w:val="auto"/>
        </w:rPr>
      </w:pPr>
      <w:r>
        <w:rPr>
          <w:rFonts w:ascii="Times New Roman" w:cs="Times New Roman" w:eastAsia="Times New Roman" w:hAnsi="Times New Roman"/>
          <w:sz w:val="16"/>
          <w:szCs w:val="16"/>
          <w:color w:val="auto"/>
        </w:rPr>
        <w:t>The below table shows the securities that would be antidilutive or not dilutive to the calculation of earnings per share and unit. Common units of the Operating Partnership not owned by Digital Realty Trust, Inc. were excluded only from the calculation of earnings per share as they are not applicable to the calculation of earnings per unit. All other securities shown below were excluded from the calculation of both earnings per share and earnings per unit (in thousands).</w:t>
      </w:r>
    </w:p>
    <w:p>
      <w:pPr>
        <w:spacing w:after="0" w:line="16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3"/>
          <w:szCs w:val="13"/>
          <w:b w:val="1"/>
          <w:bCs w:val="1"/>
          <w:color w:val="auto"/>
        </w:rPr>
        <w:t>Year Ended December 31,</w:t>
      </w:r>
    </w:p>
    <w:p>
      <w:pPr>
        <w:spacing w:after="0" w:line="20" w:lineRule="exact"/>
        <w:rPr>
          <w:sz w:val="20"/>
          <w:szCs w:val="20"/>
          <w:color w:val="auto"/>
        </w:rPr>
      </w:pPr>
    </w:p>
    <w:tbl>
      <w:tblPr>
        <w:tblLayout w:type="fixed"/>
        <w:tblInd w:w="320" w:type="dxa"/>
        <w:tblCellMar>
          <w:top w:w="0" w:type="dxa"/>
          <w:left w:w="0" w:type="dxa"/>
          <w:bottom w:w="0" w:type="dxa"/>
          <w:right w:w="0" w:type="dxa"/>
        </w:tblCellMar>
      </w:tblPr>
      <w:tr>
        <w:trPr>
          <w:trHeight w:val="148"/>
        </w:trPr>
        <w:tc>
          <w:tcPr>
            <w:tcW w:w="4420" w:type="dxa"/>
            <w:vAlign w:val="bottom"/>
          </w:tcPr>
          <w:p>
            <w:pPr>
              <w:spacing w:after="0"/>
              <w:rPr>
                <w:sz w:val="12"/>
                <w:szCs w:val="12"/>
                <w:color w:val="auto"/>
              </w:rPr>
            </w:pPr>
          </w:p>
        </w:tc>
        <w:tc>
          <w:tcPr>
            <w:tcW w:w="740" w:type="dxa"/>
            <w:vAlign w:val="bottom"/>
            <w:tcBorders>
              <w:top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c>
          <w:tcPr>
            <w:tcW w:w="44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2"/>
          </w:tcPr>
          <w:p>
            <w:pPr>
              <w:jc w:val="right"/>
              <w:ind w:right="394"/>
              <w:spacing w:after="0" w:line="148" w:lineRule="exact"/>
              <w:rPr>
                <w:sz w:val="20"/>
                <w:szCs w:val="20"/>
                <w:color w:val="auto"/>
              </w:rPr>
            </w:pPr>
            <w:r>
              <w:rPr>
                <w:rFonts w:ascii="Times New Roman" w:cs="Times New Roman" w:eastAsia="Times New Roman" w:hAnsi="Times New Roman"/>
                <w:sz w:val="13"/>
                <w:szCs w:val="13"/>
                <w:b w:val="1"/>
                <w:bCs w:val="1"/>
                <w:color w:val="auto"/>
              </w:rPr>
              <w:t>2023</w:t>
            </w:r>
          </w:p>
        </w:tc>
        <w:tc>
          <w:tcPr>
            <w:tcW w:w="1400" w:type="dxa"/>
            <w:vAlign w:val="bottom"/>
            <w:tcBorders>
              <w:top w:val="single" w:sz="8" w:color="auto"/>
            </w:tcBorders>
            <w:gridSpan w:val="2"/>
          </w:tcPr>
          <w:p>
            <w:pPr>
              <w:jc w:val="right"/>
              <w:ind w:right="394"/>
              <w:spacing w:after="0" w:line="148" w:lineRule="exact"/>
              <w:rPr>
                <w:sz w:val="20"/>
                <w:szCs w:val="20"/>
                <w:color w:val="auto"/>
              </w:rPr>
            </w:pPr>
            <w:r>
              <w:rPr>
                <w:rFonts w:ascii="Times New Roman" w:cs="Times New Roman" w:eastAsia="Times New Roman" w:hAnsi="Times New Roman"/>
                <w:sz w:val="13"/>
                <w:szCs w:val="13"/>
                <w:b w:val="1"/>
                <w:bCs w:val="1"/>
                <w:color w:val="auto"/>
              </w:rPr>
              <w:t>2022</w:t>
            </w:r>
          </w:p>
        </w:tc>
      </w:tr>
      <w:tr>
        <w:trPr>
          <w:trHeight w:val="148"/>
        </w:trPr>
        <w:tc>
          <w:tcPr>
            <w:tcW w:w="4420" w:type="dxa"/>
            <w:vAlign w:val="bottom"/>
          </w:tcPr>
          <w:p>
            <w:pPr>
              <w:spacing w:after="0" w:line="148" w:lineRule="exact"/>
              <w:rPr>
                <w:sz w:val="20"/>
                <w:szCs w:val="20"/>
                <w:color w:val="auto"/>
              </w:rPr>
            </w:pPr>
            <w:r>
              <w:rPr>
                <w:rFonts w:ascii="Times New Roman" w:cs="Times New Roman" w:eastAsia="Times New Roman" w:hAnsi="Times New Roman"/>
                <w:sz w:val="13"/>
                <w:szCs w:val="13"/>
                <w:color w:val="auto"/>
              </w:rPr>
              <w:t>Exchangeable Notes</w:t>
            </w:r>
          </w:p>
        </w:tc>
        <w:tc>
          <w:tcPr>
            <w:tcW w:w="7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6,624</w:t>
            </w:r>
          </w:p>
        </w:tc>
        <w:tc>
          <w:tcPr>
            <w:tcW w:w="200" w:type="dxa"/>
            <w:vAlign w:val="bottom"/>
          </w:tcPr>
          <w:p>
            <w:pPr>
              <w:spacing w:after="0"/>
              <w:rPr>
                <w:sz w:val="12"/>
                <w:szCs w:val="12"/>
                <w:color w:val="auto"/>
              </w:rPr>
            </w:pPr>
          </w:p>
        </w:tc>
        <w:tc>
          <w:tcPr>
            <w:tcW w:w="1180" w:type="dxa"/>
            <w:vAlign w:val="bottom"/>
            <w:tcBorders>
              <w:top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200" w:type="dxa"/>
            <w:vAlign w:val="bottom"/>
            <w:tcBorders>
              <w:top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r>
      <w:tr>
        <w:trPr>
          <w:trHeight w:val="144"/>
        </w:trPr>
        <w:tc>
          <w:tcPr>
            <w:tcW w:w="516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Weighted average of Operating Partnership common units not owned by</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r>
      <w:tr>
        <w:trPr>
          <w:trHeight w:val="168"/>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Digital Realty Trust, Inc.</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6,149</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6,048</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5,789</w:t>
            </w:r>
          </w:p>
        </w:tc>
      </w:tr>
      <w:tr>
        <w:trPr>
          <w:trHeight w:val="156"/>
        </w:trPr>
        <w:tc>
          <w:tcPr>
            <w:tcW w:w="5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Potentially dilutive Series J Cumulative Redeemable Preferred Stock</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1,794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1,736</w:t>
            </w:r>
          </w:p>
        </w:tc>
      </w:tr>
      <w:tr>
        <w:trPr>
          <w:trHeight w:val="15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Potentially dilutive Series K Cumulative Redeemable Preferred Stock</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1,365</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1,887</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1,825</w:t>
            </w:r>
          </w:p>
        </w:tc>
      </w:tr>
      <w:tr>
        <w:trPr>
          <w:trHeight w:val="156"/>
        </w:trPr>
        <w:tc>
          <w:tcPr>
            <w:tcW w:w="4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Potentially dilutive Series L Cumulative Redeemable Preferred Stock</w:t>
            </w:r>
          </w:p>
        </w:tc>
        <w:tc>
          <w:tcPr>
            <w:tcW w:w="7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2,238</w:t>
            </w:r>
          </w:p>
        </w:tc>
        <w:tc>
          <w:tcPr>
            <w:tcW w:w="20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3,095</w:t>
            </w:r>
          </w:p>
        </w:tc>
        <w:tc>
          <w:tcPr>
            <w:tcW w:w="20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2,993</w:t>
            </w:r>
          </w:p>
        </w:tc>
      </w:tr>
      <w:tr>
        <w:trPr>
          <w:trHeight w:val="148"/>
        </w:trPr>
        <w:tc>
          <w:tcPr>
            <w:tcW w:w="5160" w:type="dxa"/>
            <w:vAlign w:val="bottom"/>
            <w:gridSpan w:val="2"/>
            <w:shd w:val="clear" w:color="auto" w:fill="CCEEFF"/>
          </w:tcPr>
          <w:p>
            <w:pPr>
              <w:ind w:left="100"/>
              <w:spacing w:after="0" w:line="148" w:lineRule="exact"/>
              <w:rPr>
                <w:sz w:val="20"/>
                <w:szCs w:val="20"/>
                <w:color w:val="auto"/>
              </w:rPr>
            </w:pPr>
            <w:r>
              <w:rPr>
                <w:rFonts w:ascii="Times New Roman" w:cs="Times New Roman" w:eastAsia="Times New Roman" w:hAnsi="Times New Roman"/>
                <w:sz w:val="13"/>
                <w:szCs w:val="13"/>
                <w:color w:val="auto"/>
              </w:rPr>
              <w:t>Total</w:t>
            </w:r>
          </w:p>
        </w:tc>
        <w:tc>
          <w:tcPr>
            <w:tcW w:w="4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17,674</w:t>
            </w:r>
          </w:p>
        </w:tc>
        <w:tc>
          <w:tcPr>
            <w:tcW w:w="2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12,824</w:t>
            </w:r>
          </w:p>
        </w:tc>
        <w:tc>
          <w:tcPr>
            <w:tcW w:w="20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12,343</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13. Income Taxes</w:t>
      </w:r>
    </w:p>
    <w:p>
      <w:pPr>
        <w:spacing w:after="0" w:line="190" w:lineRule="exact"/>
        <w:rPr>
          <w:sz w:val="20"/>
          <w:szCs w:val="20"/>
          <w:color w:val="auto"/>
        </w:rPr>
      </w:pPr>
    </w:p>
    <w:p>
      <w:pPr>
        <w:ind w:left="320" w:right="420"/>
        <w:spacing w:after="0" w:line="284" w:lineRule="auto"/>
        <w:rPr>
          <w:sz w:val="20"/>
          <w:szCs w:val="20"/>
          <w:color w:val="auto"/>
        </w:rPr>
      </w:pPr>
      <w:r>
        <w:rPr>
          <w:rFonts w:ascii="Times New Roman" w:cs="Times New Roman" w:eastAsia="Times New Roman" w:hAnsi="Times New Roman"/>
          <w:sz w:val="14"/>
          <w:szCs w:val="14"/>
          <w:color w:val="auto"/>
        </w:rPr>
        <w:t>Digital Realty Trust, Inc. has elected to be treated and believes that it has been organized and has operated in a manner that has enabled it to qualify as a REIT for U.S. federal income tax purposes. As a REIT, Digital Realty Trust, Inc. is generally not subject to corporate level U.S. federal income taxes on taxable income distributed currently to its stockholders. Since inception, Digital Realty Trust, Inc. has distributed at least 100% of its taxable income annually. As such, no provision for U.S. federal income taxes has been included in the Company’s accompanying Consolidated Financial Statements years ended December 31, 2024, 2023 and 2022.</w:t>
      </w:r>
    </w:p>
    <w:p>
      <w:pPr>
        <w:spacing w:after="0" w:line="140" w:lineRule="exact"/>
        <w:rPr>
          <w:sz w:val="20"/>
          <w:szCs w:val="20"/>
          <w:color w:val="auto"/>
        </w:rPr>
      </w:pPr>
    </w:p>
    <w:p>
      <w:pPr>
        <w:jc w:val="both"/>
        <w:ind w:left="320" w:right="460"/>
        <w:spacing w:after="0" w:line="247" w:lineRule="auto"/>
        <w:rPr>
          <w:sz w:val="20"/>
          <w:szCs w:val="20"/>
          <w:color w:val="auto"/>
        </w:rPr>
      </w:pPr>
      <w:r>
        <w:rPr>
          <w:rFonts w:ascii="Times New Roman" w:cs="Times New Roman" w:eastAsia="Times New Roman" w:hAnsi="Times New Roman"/>
          <w:sz w:val="16"/>
          <w:szCs w:val="16"/>
          <w:color w:val="auto"/>
        </w:rPr>
        <w:t>The Operating Partnership is a partnership and is not required to pay U.S. federal income tax. Instead, taxable income is allocated to its partners, who include such amounts on their U.S. federal income tax returns. As such, no provision for U.S. federal income taxes has been included in the Operating Partnership’s accompanying Consolidated Financial Statements.</w:t>
      </w:r>
    </w:p>
    <w:p>
      <w:pPr>
        <w:spacing w:after="0" w:line="164" w:lineRule="exact"/>
        <w:rPr>
          <w:sz w:val="20"/>
          <w:szCs w:val="20"/>
          <w:color w:val="auto"/>
        </w:rPr>
      </w:pPr>
    </w:p>
    <w:p>
      <w:pPr>
        <w:ind w:left="320" w:right="360"/>
        <w:spacing w:after="0" w:line="247" w:lineRule="auto"/>
        <w:rPr>
          <w:sz w:val="20"/>
          <w:szCs w:val="20"/>
          <w:color w:val="auto"/>
        </w:rPr>
      </w:pPr>
      <w:r>
        <w:rPr>
          <w:rFonts w:ascii="Times New Roman" w:cs="Times New Roman" w:eastAsia="Times New Roman" w:hAnsi="Times New Roman"/>
          <w:sz w:val="16"/>
          <w:szCs w:val="16"/>
          <w:color w:val="auto"/>
        </w:rPr>
        <w:t>We have elected taxable REIT subsidiary (“TRS”) status for some of our consolidated subsidiaries. In general, a TRS may provide services that would otherwise be considered impermissible for REITs to provide and may hold assets that REITs cannot hold directly. Income taxes for TRS entities were accrued, as necessary, for the years ended December 31, 2024, 2023 and 2022.</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43" w:name="page144"/>
    <w:bookmarkEnd w:id="143"/>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 and 2023</w:t>
      </w:r>
    </w:p>
    <w:p>
      <w:pPr>
        <w:spacing w:after="0" w:line="202" w:lineRule="exact"/>
        <w:rPr>
          <w:sz w:val="20"/>
          <w:szCs w:val="20"/>
          <w:color w:val="auto"/>
        </w:rPr>
      </w:pPr>
    </w:p>
    <w:p>
      <w:pPr>
        <w:ind w:left="320" w:right="380"/>
        <w:spacing w:after="0" w:line="238" w:lineRule="auto"/>
        <w:rPr>
          <w:sz w:val="20"/>
          <w:szCs w:val="20"/>
          <w:color w:val="auto"/>
        </w:rPr>
      </w:pPr>
      <w:r>
        <w:rPr>
          <w:rFonts w:ascii="Times New Roman" w:cs="Times New Roman" w:eastAsia="Times New Roman" w:hAnsi="Times New Roman"/>
          <w:sz w:val="16"/>
          <w:szCs w:val="16"/>
          <w:color w:val="auto"/>
        </w:rPr>
        <w:t>For our TRS entities and foreign subsidiaries that are subject to U.S. federal, state, local and foreign income taxes, deferred tax assets and liabilities are established for temporary differences between the financial reporting basis and the tax basis of assets and liabilities at the enacted tax rates expected to be in effect when the temporary differences reverse. A valuation allowance for deferred tax assets is provided if we believe it is more likely than not that the deferred tax asset may not be realized, based on available evidence at the time the determination is made. An increase or decrease in the valuation allowance that results from the change in circumstances that causes a change in our judgment about the realizability of the related deferred tax asset is included in the income statement. Deferred tax assets (net of valuation allowance) and liabilities for our TRS entities and foreign subsidiaries were accrued, as necessary, for the years ended December 31, 2024, 2023 and 2022.</w:t>
      </w:r>
    </w:p>
    <w:p>
      <w:pPr>
        <w:spacing w:after="0" w:line="173" w:lineRule="exact"/>
        <w:rPr>
          <w:sz w:val="20"/>
          <w:szCs w:val="20"/>
          <w:color w:val="auto"/>
        </w:rPr>
      </w:pPr>
    </w:p>
    <w:p>
      <w:pPr>
        <w:ind w:left="320" w:right="300"/>
        <w:spacing w:after="0" w:line="239" w:lineRule="auto"/>
        <w:rPr>
          <w:sz w:val="20"/>
          <w:szCs w:val="20"/>
          <w:color w:val="auto"/>
        </w:rPr>
      </w:pPr>
      <w:r>
        <w:rPr>
          <w:rFonts w:ascii="Times New Roman" w:cs="Times New Roman" w:eastAsia="Times New Roman" w:hAnsi="Times New Roman"/>
          <w:sz w:val="16"/>
          <w:szCs w:val="16"/>
          <w:color w:val="auto"/>
        </w:rPr>
        <w:t>As of December 31, 2024 and 2023, we had deferred tax liabilities net of deferred tax assets of approximately $1,081.1 million and $1,144.9 million, respectively, primarily related to our foreign properties, classified within Other assets (deferred tax assets) and separately stated Deferred tax liabilities in the consolidated balance sheet. The majority of our net deferred tax liability relates to differences between foreign tax basis and book basis of the assets acquired in the Teraco Acquisition in August 2022 and Interxion Combination in March 2020. The valuation allowance against the deferred tax assets as of December 31, 2024 and 2023 relate primarily to net operating loss carryforwards, nondeductible interest expense carryforwards and hybrid attributes that we do not expect to utilize attributable to certain foreign jurisdictions.</w:t>
      </w:r>
    </w:p>
    <w:p>
      <w:pPr>
        <w:spacing w:after="0" w:line="170" w:lineRule="exact"/>
        <w:rPr>
          <w:sz w:val="20"/>
          <w:szCs w:val="20"/>
          <w:color w:val="auto"/>
        </w:rPr>
      </w:pPr>
    </w:p>
    <w:p>
      <w:pPr>
        <w:ind w:left="320" w:right="940"/>
        <w:spacing w:after="0" w:line="259" w:lineRule="auto"/>
        <w:rPr>
          <w:sz w:val="20"/>
          <w:szCs w:val="20"/>
          <w:color w:val="auto"/>
        </w:rPr>
      </w:pPr>
      <w:r>
        <w:rPr>
          <w:rFonts w:ascii="Times New Roman" w:cs="Times New Roman" w:eastAsia="Times New Roman" w:hAnsi="Times New Roman"/>
          <w:sz w:val="16"/>
          <w:szCs w:val="16"/>
          <w:color w:val="auto"/>
        </w:rPr>
        <w:t>As of December 31, 2024, we are under examination for various years in Germany, Indonesia, Kenya, Mauritius, Singapore, Switzerland, United Kingdom, and the United States.</w:t>
      </w:r>
    </w:p>
    <w:p>
      <w:pPr>
        <w:spacing w:after="0" w:line="155" w:lineRule="exact"/>
        <w:rPr>
          <w:sz w:val="20"/>
          <w:szCs w:val="20"/>
          <w:color w:val="auto"/>
        </w:rPr>
      </w:pPr>
    </w:p>
    <w:p>
      <w:pPr>
        <w:ind w:left="320" w:right="460"/>
        <w:spacing w:after="0" w:line="259" w:lineRule="auto"/>
        <w:rPr>
          <w:sz w:val="20"/>
          <w:szCs w:val="20"/>
          <w:color w:val="auto"/>
        </w:rPr>
      </w:pPr>
      <w:r>
        <w:rPr>
          <w:rFonts w:ascii="Times New Roman" w:cs="Times New Roman" w:eastAsia="Times New Roman" w:hAnsi="Times New Roman"/>
          <w:sz w:val="16"/>
          <w:szCs w:val="16"/>
          <w:color w:val="auto"/>
        </w:rPr>
        <w:t>The amount of gross unrecognized tax benefits as of December 31, 2024, was $41.2 million, which includes $1.2 million of accrued interest and penalties.</w:t>
      </w:r>
    </w:p>
    <w:p>
      <w:pPr>
        <w:spacing w:after="0" w:line="1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Deferred income tax assets and liabilities as of December 31, 2024 and 2023 were as follows (in thousands):</w:t>
      </w:r>
    </w:p>
    <w:p>
      <w:pPr>
        <w:spacing w:after="0" w:line="186" w:lineRule="exact"/>
        <w:rPr>
          <w:sz w:val="20"/>
          <w:szCs w:val="20"/>
          <w:color w:val="auto"/>
        </w:rPr>
      </w:pPr>
    </w:p>
    <w:tbl>
      <w:tblPr>
        <w:tblLayout w:type="fixed"/>
        <w:tblInd w:w="320" w:type="dxa"/>
        <w:tblCellMar>
          <w:top w:w="0" w:type="dxa"/>
          <w:left w:w="0" w:type="dxa"/>
          <w:bottom w:w="0" w:type="dxa"/>
          <w:right w:w="0" w:type="dxa"/>
        </w:tblCellMar>
      </w:tblPr>
      <w:tr>
        <w:trPr>
          <w:trHeight w:val="195"/>
        </w:trPr>
        <w:tc>
          <w:tcPr>
            <w:tcW w:w="2080" w:type="dxa"/>
            <w:vAlign w:val="bottom"/>
            <w:tcBorders>
              <w:bottom w:val="single" w:sz="8" w:color="CCEEFF"/>
            </w:tcBorders>
          </w:tcPr>
          <w:p>
            <w:pPr>
              <w:spacing w:after="0"/>
              <w:rPr>
                <w:sz w:val="16"/>
                <w:szCs w:val="16"/>
                <w:color w:val="auto"/>
              </w:rPr>
            </w:pPr>
          </w:p>
        </w:tc>
        <w:tc>
          <w:tcPr>
            <w:tcW w:w="33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72"/>
        </w:trPr>
        <w:tc>
          <w:tcPr>
            <w:tcW w:w="5440" w:type="dxa"/>
            <w:vAlign w:val="bottom"/>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Gross deferred income tax assets:</w:t>
            </w: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80"/>
        </w:trPr>
        <w:tc>
          <w:tcPr>
            <w:tcW w:w="544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Net operating loss carryforwards</w:t>
            </w:r>
          </w:p>
        </w:tc>
        <w:tc>
          <w:tcPr>
            <w:tcW w:w="280" w:type="dxa"/>
            <w:vAlign w:val="bottom"/>
            <w:gridSpan w:val="2"/>
          </w:tcPr>
          <w:p>
            <w:pPr>
              <w:jc w:val="right"/>
              <w:ind w:right="144"/>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197,039</w:t>
            </w:r>
          </w:p>
        </w:tc>
        <w:tc>
          <w:tcPr>
            <w:tcW w:w="560" w:type="dxa"/>
            <w:vAlign w:val="bottom"/>
            <w:gridSpan w:val="2"/>
          </w:tcPr>
          <w:p>
            <w:pPr>
              <w:jc w:val="right"/>
              <w:ind w:right="16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188,735</w:t>
            </w:r>
          </w:p>
        </w:tc>
      </w:tr>
      <w:tr>
        <w:trPr>
          <w:trHeight w:val="180"/>
        </w:trPr>
        <w:tc>
          <w:tcPr>
            <w:tcW w:w="544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Basis difference - real estate property</w:t>
            </w: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17,363</w:t>
            </w: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18,035</w:t>
            </w:r>
          </w:p>
        </w:tc>
      </w:tr>
      <w:tr>
        <w:trPr>
          <w:trHeight w:val="180"/>
        </w:trPr>
        <w:tc>
          <w:tcPr>
            <w:tcW w:w="544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Basis difference - intangibles</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12,561</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7,744</w:t>
            </w:r>
          </w:p>
        </w:tc>
      </w:tr>
      <w:tr>
        <w:trPr>
          <w:trHeight w:val="180"/>
        </w:trPr>
        <w:tc>
          <w:tcPr>
            <w:tcW w:w="544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Tax credit carryforward</w:t>
            </w: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2,407</w:t>
            </w: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2,056</w:t>
            </w:r>
          </w:p>
        </w:tc>
      </w:tr>
      <w:tr>
        <w:trPr>
          <w:trHeight w:val="180"/>
        </w:trPr>
        <w:tc>
          <w:tcPr>
            <w:tcW w:w="5440" w:type="dxa"/>
            <w:vAlign w:val="bottom"/>
            <w:tcBorders>
              <w:bottom w:val="single" w:sz="8" w:color="CCEEFF"/>
            </w:tcBorders>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Other - temporary differences</w:t>
            </w:r>
          </w:p>
        </w:tc>
        <w:tc>
          <w:tcPr>
            <w:tcW w:w="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237,342</w:t>
            </w:r>
          </w:p>
        </w:tc>
        <w:tc>
          <w:tcPr>
            <w:tcW w:w="2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180,316</w:t>
            </w:r>
          </w:p>
        </w:tc>
      </w:tr>
      <w:tr>
        <w:trPr>
          <w:trHeight w:val="172"/>
        </w:trPr>
        <w:tc>
          <w:tcPr>
            <w:tcW w:w="5440" w:type="dxa"/>
            <w:vAlign w:val="bottom"/>
            <w:gridSpan w:val="2"/>
            <w:shd w:val="clear" w:color="auto" w:fill="CCEEFF"/>
          </w:tcPr>
          <w:p>
            <w:pPr>
              <w:ind w:left="280"/>
              <w:spacing w:after="0" w:line="172" w:lineRule="exact"/>
              <w:rPr>
                <w:sz w:val="20"/>
                <w:szCs w:val="20"/>
                <w:color w:val="auto"/>
              </w:rPr>
            </w:pPr>
            <w:r>
              <w:rPr>
                <w:rFonts w:ascii="Times New Roman" w:cs="Times New Roman" w:eastAsia="Times New Roman" w:hAnsi="Times New Roman"/>
                <w:sz w:val="16"/>
                <w:szCs w:val="16"/>
                <w:color w:val="auto"/>
              </w:rPr>
              <w:t>Total gross deferred income tax assets</w:t>
            </w: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466,711</w:t>
            </w: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396,886</w:t>
            </w:r>
          </w:p>
        </w:tc>
      </w:tr>
      <w:tr>
        <w:trPr>
          <w:trHeight w:val="180"/>
        </w:trPr>
        <w:tc>
          <w:tcPr>
            <w:tcW w:w="5440" w:type="dxa"/>
            <w:vAlign w:val="bottom"/>
            <w:tcBorders>
              <w:bottom w:val="single" w:sz="8" w:color="CCEEFF"/>
            </w:tcBorders>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Valuation allowance</w:t>
            </w:r>
          </w:p>
        </w:tc>
        <w:tc>
          <w:tcPr>
            <w:tcW w:w="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(213,984)</w:t>
            </w:r>
          </w:p>
        </w:tc>
        <w:tc>
          <w:tcPr>
            <w:tcW w:w="2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(176,268)</w:t>
            </w:r>
          </w:p>
        </w:tc>
      </w:tr>
      <w:tr>
        <w:trPr>
          <w:trHeight w:val="172"/>
        </w:trPr>
        <w:tc>
          <w:tcPr>
            <w:tcW w:w="5440" w:type="dxa"/>
            <w:vAlign w:val="bottom"/>
            <w:gridSpan w:val="2"/>
            <w:shd w:val="clear" w:color="auto" w:fill="CCEEFF"/>
          </w:tcPr>
          <w:p>
            <w:pPr>
              <w:ind w:left="280"/>
              <w:spacing w:after="0" w:line="172" w:lineRule="exact"/>
              <w:rPr>
                <w:sz w:val="20"/>
                <w:szCs w:val="20"/>
                <w:color w:val="auto"/>
              </w:rPr>
            </w:pPr>
            <w:r>
              <w:rPr>
                <w:rFonts w:ascii="Times New Roman" w:cs="Times New Roman" w:eastAsia="Times New Roman" w:hAnsi="Times New Roman"/>
                <w:sz w:val="16"/>
                <w:szCs w:val="16"/>
                <w:color w:val="auto"/>
              </w:rPr>
              <w:t>Total deferred income tax assets, net of valuation allowance</w:t>
            </w:r>
          </w:p>
        </w:tc>
        <w:tc>
          <w:tcPr>
            <w:tcW w:w="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252,728</w:t>
            </w:r>
          </w:p>
        </w:tc>
        <w:tc>
          <w:tcPr>
            <w:tcW w:w="2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220,618</w:t>
            </w:r>
          </w:p>
        </w:tc>
      </w:tr>
      <w:tr>
        <w:trPr>
          <w:trHeight w:val="172"/>
        </w:trPr>
        <w:tc>
          <w:tcPr>
            <w:tcW w:w="5440" w:type="dxa"/>
            <w:vAlign w:val="bottom"/>
            <w:gridSpan w:val="2"/>
          </w:tcPr>
          <w:p>
            <w:pPr>
              <w:spacing w:after="0" w:line="172" w:lineRule="exact"/>
              <w:rPr>
                <w:sz w:val="20"/>
                <w:szCs w:val="20"/>
                <w:color w:val="auto"/>
              </w:rPr>
            </w:pPr>
            <w:r>
              <w:rPr>
                <w:rFonts w:ascii="Times New Roman" w:cs="Times New Roman" w:eastAsia="Times New Roman" w:hAnsi="Times New Roman"/>
                <w:sz w:val="16"/>
                <w:szCs w:val="16"/>
                <w:color w:val="auto"/>
              </w:rPr>
              <w:t>Gross deferred income tax liabilities:</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80"/>
        </w:trPr>
        <w:tc>
          <w:tcPr>
            <w:tcW w:w="544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Basis difference - real estate property</w:t>
            </w: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1,138,120</w:t>
            </w: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1,162,143</w:t>
            </w:r>
          </w:p>
        </w:tc>
      </w:tr>
      <w:tr>
        <w:trPr>
          <w:trHeight w:val="180"/>
        </w:trPr>
        <w:tc>
          <w:tcPr>
            <w:tcW w:w="544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Basis difference - intangibles</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175,267</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190,607</w:t>
            </w:r>
          </w:p>
        </w:tc>
      </w:tr>
      <w:tr>
        <w:trPr>
          <w:trHeight w:val="180"/>
        </w:trPr>
        <w:tc>
          <w:tcPr>
            <w:tcW w:w="544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Straight line rent</w:t>
            </w: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9,970</w:t>
            </w: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5,992</w:t>
            </w:r>
          </w:p>
        </w:tc>
      </w:tr>
      <w:tr>
        <w:trPr>
          <w:trHeight w:val="180"/>
        </w:trPr>
        <w:tc>
          <w:tcPr>
            <w:tcW w:w="5440" w:type="dxa"/>
            <w:vAlign w:val="bottom"/>
            <w:tcBorders>
              <w:bottom w:val="single" w:sz="8" w:color="CCEEFF"/>
            </w:tcBorders>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Other - temporary differences</w:t>
            </w:r>
          </w:p>
        </w:tc>
        <w:tc>
          <w:tcPr>
            <w:tcW w:w="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10,466</w:t>
            </w:r>
          </w:p>
        </w:tc>
        <w:tc>
          <w:tcPr>
            <w:tcW w:w="2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6,750</w:t>
            </w:r>
          </w:p>
        </w:tc>
      </w:tr>
      <w:tr>
        <w:trPr>
          <w:trHeight w:val="172"/>
        </w:trPr>
        <w:tc>
          <w:tcPr>
            <w:tcW w:w="5440" w:type="dxa"/>
            <w:vAlign w:val="bottom"/>
            <w:gridSpan w:val="2"/>
            <w:shd w:val="clear" w:color="auto" w:fill="CCEEFF"/>
          </w:tcPr>
          <w:p>
            <w:pPr>
              <w:ind w:left="280"/>
              <w:spacing w:after="0" w:line="172" w:lineRule="exact"/>
              <w:rPr>
                <w:sz w:val="20"/>
                <w:szCs w:val="20"/>
                <w:color w:val="auto"/>
              </w:rPr>
            </w:pPr>
            <w:r>
              <w:rPr>
                <w:rFonts w:ascii="Times New Roman" w:cs="Times New Roman" w:eastAsia="Times New Roman" w:hAnsi="Times New Roman"/>
                <w:sz w:val="16"/>
                <w:szCs w:val="16"/>
                <w:color w:val="auto"/>
              </w:rPr>
              <w:t>Total gross deferred income tax liabilities</w:t>
            </w:r>
          </w:p>
        </w:tc>
        <w:tc>
          <w:tcPr>
            <w:tcW w:w="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1,333,822</w:t>
            </w:r>
          </w:p>
        </w:tc>
        <w:tc>
          <w:tcPr>
            <w:tcW w:w="2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1,365,492</w:t>
            </w:r>
          </w:p>
        </w:tc>
      </w:tr>
      <w:tr>
        <w:trPr>
          <w:trHeight w:val="172"/>
        </w:trPr>
        <w:tc>
          <w:tcPr>
            <w:tcW w:w="5440" w:type="dxa"/>
            <w:vAlign w:val="bottom"/>
            <w:gridSpan w:val="2"/>
          </w:tcPr>
          <w:p>
            <w:pPr>
              <w:spacing w:after="0" w:line="173" w:lineRule="exact"/>
              <w:rPr>
                <w:sz w:val="20"/>
                <w:szCs w:val="20"/>
                <w:color w:val="auto"/>
              </w:rPr>
            </w:pPr>
            <w:r>
              <w:rPr>
                <w:rFonts w:ascii="Times New Roman" w:cs="Times New Roman" w:eastAsia="Times New Roman" w:hAnsi="Times New Roman"/>
                <w:sz w:val="13"/>
                <w:szCs w:val="13"/>
                <w:b w:val="1"/>
                <w:bCs w:val="1"/>
                <w:color w:val="auto"/>
              </w:rPr>
              <w:t>Net deferred income tax liabilities</w:t>
            </w:r>
            <w:r>
              <w:rPr>
                <w:rFonts w:ascii="Times New Roman" w:cs="Times New Roman" w:eastAsia="Times New Roman" w:hAnsi="Times New Roman"/>
                <w:sz w:val="19"/>
                <w:szCs w:val="19"/>
                <w:b w:val="1"/>
                <w:bCs w:val="1"/>
                <w:color w:val="auto"/>
                <w:vertAlign w:val="superscript"/>
              </w:rPr>
              <w:t>(1)</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1,081,094</w:t>
            </w:r>
          </w:p>
        </w:tc>
        <w:tc>
          <w:tcPr>
            <w:tcW w:w="280" w:type="dxa"/>
            <w:vAlign w:val="bottom"/>
          </w:tcPr>
          <w:p>
            <w:pPr>
              <w:spacing w:after="0"/>
              <w:rPr>
                <w:sz w:val="14"/>
                <w:szCs w:val="14"/>
                <w:color w:val="auto"/>
              </w:rPr>
            </w:pPr>
          </w:p>
        </w:tc>
        <w:tc>
          <w:tcPr>
            <w:tcW w:w="2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1,144,874</w:t>
            </w:r>
          </w:p>
        </w:tc>
      </w:tr>
      <w:tr>
        <w:trPr>
          <w:trHeight w:val="20"/>
        </w:trPr>
        <w:tc>
          <w:tcPr>
            <w:tcW w:w="20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96"/>
        </w:trPr>
        <w:tc>
          <w:tcPr>
            <w:tcW w:w="2080" w:type="dxa"/>
            <w:vAlign w:val="bottom"/>
            <w:tcBorders>
              <w:bottom w:val="single" w:sz="8" w:color="auto"/>
            </w:tcBorders>
          </w:tcPr>
          <w:p>
            <w:pPr>
              <w:spacing w:after="0"/>
              <w:rPr>
                <w:sz w:val="8"/>
                <w:szCs w:val="8"/>
                <w:color w:val="auto"/>
              </w:rPr>
            </w:pPr>
          </w:p>
        </w:tc>
        <w:tc>
          <w:tcPr>
            <w:tcW w:w="3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r>
    </w:tbl>
    <w:p>
      <w:pPr>
        <w:spacing w:after="0" w:line="59" w:lineRule="exact"/>
        <w:rPr>
          <w:sz w:val="20"/>
          <w:szCs w:val="20"/>
          <w:color w:val="auto"/>
        </w:rPr>
      </w:pPr>
    </w:p>
    <w:p>
      <w:pPr>
        <w:ind w:left="4380" w:right="1360" w:hanging="3774"/>
        <w:spacing w:after="0" w:line="760" w:lineRule="auto"/>
        <w:tabs>
          <w:tab w:leader="none" w:pos="887"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of deferred tax assets of $3.5 million and $6.2 million for the years ended December 31, 2024 and 2023, 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45720</wp:posOffset>
            </wp:positionV>
            <wp:extent cx="5312410" cy="152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44" w:name="page145"/>
    <w:bookmarkEnd w:id="144"/>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December 31, 2024 and 2023</w:t>
      </w:r>
    </w:p>
    <w:p>
      <w:pPr>
        <w:spacing w:after="0" w:line="20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respectively.</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14. Equity and Capital</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Equity Distribution Agreement</w:t>
      </w:r>
    </w:p>
    <w:p>
      <w:pPr>
        <w:spacing w:after="0" w:line="182" w:lineRule="exact"/>
        <w:rPr>
          <w:sz w:val="20"/>
          <w:szCs w:val="20"/>
          <w:color w:val="auto"/>
        </w:rPr>
      </w:pPr>
    </w:p>
    <w:p>
      <w:pPr>
        <w:ind w:left="320" w:right="380"/>
        <w:spacing w:after="0" w:line="226" w:lineRule="auto"/>
        <w:rPr>
          <w:sz w:val="20"/>
          <w:szCs w:val="20"/>
          <w:color w:val="auto"/>
        </w:rPr>
      </w:pPr>
      <w:r>
        <w:rPr>
          <w:rFonts w:ascii="Times New Roman" w:cs="Times New Roman" w:eastAsia="Times New Roman" w:hAnsi="Times New Roman"/>
          <w:sz w:val="16"/>
          <w:szCs w:val="16"/>
          <w:color w:val="auto"/>
        </w:rPr>
        <w:t>Digital Realty Trust, Inc. and Digital Realty Trust, L.P. were parties to an ATM Equity Offering</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6"/>
          <w:szCs w:val="16"/>
          <w:color w:val="auto"/>
        </w:rPr>
        <w:t xml:space="preserve"> Sales Agreement dated August 4, 2023 (the “2023 Sales Agreement”). Pursuant to the 2023 Sales Agreement, Digital Realty Trust, Inc. could issue and sell common stock having an aggregate offering price of up to $1.5 billion through various named agents from time to time. From January 1, 2024 through February 23, 2024, Digital Realty Trust, Inc. generated net proceeds of approximately $99 million from the issuance of approximately 0.6 million common shares under the 2023 Sales Agreement at an average price of $133.43 per share after payment of approximately $0.6 million of commissions to the agents. The proceeds from the issuances under the 2023 Sales Agreement for the year ended December 31, 2024, were contributed to our Operating Partnership in exchange for the issuance of approximately 0.6 million common units to our Parent Company.</w:t>
      </w:r>
    </w:p>
    <w:p>
      <w:pPr>
        <w:spacing w:after="0" w:line="170" w:lineRule="exact"/>
        <w:rPr>
          <w:sz w:val="20"/>
          <w:szCs w:val="20"/>
          <w:color w:val="auto"/>
        </w:rPr>
      </w:pPr>
    </w:p>
    <w:p>
      <w:pPr>
        <w:ind w:left="320" w:right="380"/>
        <w:spacing w:after="0" w:line="238" w:lineRule="auto"/>
        <w:rPr>
          <w:sz w:val="20"/>
          <w:szCs w:val="20"/>
          <w:color w:val="auto"/>
        </w:rPr>
      </w:pPr>
      <w:r>
        <w:rPr>
          <w:rFonts w:ascii="Times New Roman" w:cs="Times New Roman" w:eastAsia="Times New Roman" w:hAnsi="Times New Roman"/>
          <w:sz w:val="16"/>
          <w:szCs w:val="16"/>
          <w:color w:val="auto"/>
        </w:rPr>
        <w:t>The 2023 Sales Agreement was amended on February 23, 2024 (the “Sales Agreement Amendment”). At the time of the amendment, $258.3 million remained unsold under the 2023 Sales Agreement. Following the Sales Agreement Amendment, Digital Realty Trust, Inc. could issue and sell common stock having an aggregate offering price of up to $2.0 billion through various named agents from time to time pursuant to the 2023 Sales Agreement. During the year ended December 31, 2024, Digital Realty Trust, Inc. generated net proceeds of approximately $1.9 billion from the issuance of approximately 11.4 million common shares under the 2023 Sales Agreement at an average price, net of commissions, of $166.85 per share. Commissions to the agents amounted to approximately $17.4 million. The proceeds from the issuances under the 2023 Sales Agreement for the year ended December 31, 2024, were contributed to our Operating Partnership in exchange for the issuance of approximately 11.4 million common units to our Parent Company.</w:t>
      </w:r>
    </w:p>
    <w:p>
      <w:pPr>
        <w:spacing w:after="0" w:line="161" w:lineRule="exact"/>
        <w:rPr>
          <w:sz w:val="20"/>
          <w:szCs w:val="20"/>
          <w:color w:val="auto"/>
        </w:rPr>
      </w:pPr>
    </w:p>
    <w:p>
      <w:pPr>
        <w:ind w:left="320" w:right="520"/>
        <w:spacing w:after="0" w:line="234" w:lineRule="auto"/>
        <w:rPr>
          <w:sz w:val="20"/>
          <w:szCs w:val="20"/>
          <w:color w:val="auto"/>
        </w:rPr>
      </w:pPr>
      <w:r>
        <w:rPr>
          <w:rFonts w:ascii="Times New Roman" w:cs="Times New Roman" w:eastAsia="Times New Roman" w:hAnsi="Times New Roman"/>
          <w:sz w:val="15"/>
          <w:szCs w:val="15"/>
          <w:color w:val="auto"/>
        </w:rPr>
        <w:t>On December 23, 2024, our Parent and our Operating Partnership entered into a new an ATM Equity Offering</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5"/>
          <w:szCs w:val="15"/>
          <w:color w:val="auto"/>
        </w:rPr>
        <w:t xml:space="preserve"> Sales Agreement (the “2024 Sales Agreement”), pursuant to which, Digital Realty Trust, Inc. can issue and sell common stock having an aggregate offering price of up to $3.0 billion through various named agents from time to time. The 2023 Sales Agreement was terminated in connection with entry into the 2024 Sales Agreement, and at the time of such termination, $76.5 million remained unsold under the 2024 Sales Agreement. As of December 31, 2024, $3.0 billion remains available for future sales under the 2024 Sales Agreement.</w:t>
      </w:r>
    </w:p>
    <w:p>
      <w:pPr>
        <w:spacing w:after="0" w:line="172" w:lineRule="exact"/>
        <w:rPr>
          <w:sz w:val="20"/>
          <w:szCs w:val="20"/>
          <w:color w:val="auto"/>
        </w:rPr>
      </w:pPr>
    </w:p>
    <w:p>
      <w:pPr>
        <w:ind w:left="320" w:right="340"/>
        <w:spacing w:after="0" w:line="241" w:lineRule="auto"/>
        <w:rPr>
          <w:sz w:val="20"/>
          <w:szCs w:val="20"/>
          <w:color w:val="auto"/>
        </w:rPr>
      </w:pPr>
      <w:r>
        <w:rPr>
          <w:rFonts w:ascii="Times New Roman" w:cs="Times New Roman" w:eastAsia="Times New Roman" w:hAnsi="Times New Roman"/>
          <w:sz w:val="16"/>
          <w:szCs w:val="16"/>
          <w:color w:val="auto"/>
        </w:rPr>
        <w:t>The sales of common stock made under the 2024 Sales Agreement will be made in “at the market” offerings as defined in Rule 415 of the Securities Act. Our Parent has used and intends to use the net proceeds from the program to temporarily repay borrowings under our Operating Partnership’s Global Revolving Credit Facilities, to acquire additional properties or businesses, to fund development opportunities and for working capital and other general corporate purposes, including potentially for the repayment of other debt or the repurchase, redemption or retirement of outstanding debt securities.</w:t>
      </w:r>
    </w:p>
    <w:p>
      <w:pPr>
        <w:spacing w:after="0" w:line="169" w:lineRule="exact"/>
        <w:rPr>
          <w:sz w:val="20"/>
          <w:szCs w:val="20"/>
          <w:color w:val="auto"/>
        </w:rPr>
      </w:pPr>
    </w:p>
    <w:p>
      <w:pPr>
        <w:ind w:left="320" w:right="400"/>
        <w:spacing w:after="0" w:line="239" w:lineRule="auto"/>
        <w:rPr>
          <w:sz w:val="20"/>
          <w:szCs w:val="20"/>
          <w:color w:val="auto"/>
        </w:rPr>
      </w:pPr>
      <w:r>
        <w:rPr>
          <w:rFonts w:ascii="Times New Roman" w:cs="Times New Roman" w:eastAsia="Times New Roman" w:hAnsi="Times New Roman"/>
          <w:sz w:val="16"/>
          <w:szCs w:val="16"/>
          <w:color w:val="auto"/>
        </w:rPr>
        <w:t>For the year ended December 31, 2023, Digital Realty Trust, Inc. generated net proceeds of approximately $1.1 billion from the issuance of approximately 8.7 million common shares under the 2023 Sales Agreement at an average price of $133.21 per share after payment of approximately $11.4 million of commissions to the agents. As of December 31, 2023, approximately $343.4 million remained available for future sales under the 2023 Sales Agreement. The proceeds from the issuances under the 2023 Sales Agreement for the year ended December 31, 2023 were contributed to our Operating Partnership in exchange for the issuance of approximately 8.7 million common units to our Parent Company.</w:t>
      </w: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45" w:name="page146"/>
    <w:bookmarkEnd w:id="145"/>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 and 2023</w:t>
      </w:r>
    </w:p>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Equity Offering</w:t>
      </w:r>
    </w:p>
    <w:p>
      <w:pPr>
        <w:spacing w:after="0" w:line="192" w:lineRule="exact"/>
        <w:rPr>
          <w:sz w:val="20"/>
          <w:szCs w:val="20"/>
          <w:color w:val="auto"/>
        </w:rPr>
      </w:pPr>
    </w:p>
    <w:p>
      <w:pPr>
        <w:ind w:left="320" w:right="320"/>
        <w:spacing w:after="0" w:line="284" w:lineRule="auto"/>
        <w:rPr>
          <w:sz w:val="20"/>
          <w:szCs w:val="20"/>
          <w:color w:val="auto"/>
        </w:rPr>
      </w:pPr>
      <w:r>
        <w:rPr>
          <w:rFonts w:ascii="Times New Roman" w:cs="Times New Roman" w:eastAsia="Times New Roman" w:hAnsi="Times New Roman"/>
          <w:sz w:val="14"/>
          <w:szCs w:val="14"/>
          <w:color w:val="auto"/>
        </w:rPr>
        <w:t>On May 7, 2024, our Parent and our Operating Partnership entered into an underwriting agreement with BofA Securities, Inc., Citigroup Global Markets Inc. and J.P. Morgan Securities LLC, as representatives of the several underwriters relating to the sale of up to approximately 12.1 million shares of common stock (including approximately 1.6 million additional shares that the underwriters had the option to purchase, and which option was exercised in full on May 8, 2024), at a purchase price to the underwriters of $136.66 per share. The offering closed on May 10, 2024, and we received net proceeds of approximately $1.7 billion.</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Redeemable Preferred Stock</w:t>
      </w:r>
    </w:p>
    <w:p>
      <w:pPr>
        <w:spacing w:after="0" w:line="180" w:lineRule="exact"/>
        <w:rPr>
          <w:sz w:val="20"/>
          <w:szCs w:val="20"/>
          <w:color w:val="auto"/>
        </w:rPr>
      </w:pPr>
    </w:p>
    <w:p>
      <w:pPr>
        <w:jc w:val="both"/>
        <w:ind w:left="320" w:right="460"/>
        <w:spacing w:after="0" w:line="247" w:lineRule="auto"/>
        <w:rPr>
          <w:sz w:val="20"/>
          <w:szCs w:val="20"/>
          <w:color w:val="auto"/>
        </w:rPr>
      </w:pPr>
      <w:r>
        <w:rPr>
          <w:rFonts w:ascii="Times New Roman" w:cs="Times New Roman" w:eastAsia="Times New Roman" w:hAnsi="Times New Roman"/>
          <w:sz w:val="16"/>
          <w:szCs w:val="16"/>
          <w:color w:val="auto"/>
        </w:rPr>
        <w:t>The Company has issued and outstanding the following series of cumulative redeemable preferred stock, which are governed by the articles supplementary for the applicable series of preferred stock as of December 31, 2024 and 2023 (in thousands, except for share cap and annual dividend rate).</w:t>
      </w:r>
    </w:p>
    <w:p>
      <w:pPr>
        <w:spacing w:after="0" w:line="116" w:lineRule="exact"/>
        <w:rPr>
          <w:sz w:val="20"/>
          <w:szCs w:val="20"/>
          <w:color w:val="auto"/>
        </w:rPr>
      </w:pPr>
    </w:p>
    <w:tbl>
      <w:tblPr>
        <w:tblLayout w:type="fixed"/>
        <w:tblInd w:w="320" w:type="dxa"/>
        <w:tblCellMar>
          <w:top w:w="0" w:type="dxa"/>
          <w:left w:w="0" w:type="dxa"/>
          <w:bottom w:w="0" w:type="dxa"/>
          <w:right w:w="0" w:type="dxa"/>
        </w:tblCellMar>
      </w:tblPr>
      <w:tr>
        <w:trPr>
          <w:trHeight w:val="120"/>
        </w:trPr>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center"/>
              <w:ind w:right="29"/>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100" w:type="dxa"/>
            <w:vAlign w:val="bottom"/>
          </w:tcPr>
          <w:p>
            <w:pPr>
              <w:spacing w:after="0"/>
              <w:rPr>
                <w:sz w:val="10"/>
                <w:szCs w:val="10"/>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4"/>
              </w:rPr>
              <w:t>Annual</w:t>
            </w:r>
          </w:p>
        </w:tc>
        <w:tc>
          <w:tcPr>
            <w:tcW w:w="1260" w:type="dxa"/>
            <w:vAlign w:val="bottom"/>
            <w:gridSpan w:val="3"/>
          </w:tcPr>
          <w:p>
            <w:pPr>
              <w:jc w:val="right"/>
              <w:ind w:right="66"/>
              <w:spacing w:after="0"/>
              <w:rPr>
                <w:sz w:val="20"/>
                <w:szCs w:val="20"/>
                <w:color w:val="auto"/>
              </w:rPr>
            </w:pPr>
            <w:r>
              <w:rPr>
                <w:rFonts w:ascii="Times New Roman" w:cs="Times New Roman" w:eastAsia="Times New Roman" w:hAnsi="Times New Roman"/>
                <w:sz w:val="10"/>
                <w:szCs w:val="10"/>
                <w:b w:val="1"/>
                <w:bCs w:val="1"/>
                <w:color w:val="auto"/>
              </w:rPr>
              <w:t>Shares Outstanding as of</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20" w:type="dxa"/>
            <w:vAlign w:val="bottom"/>
            <w:gridSpan w:val="4"/>
          </w:tcPr>
          <w:p>
            <w:pPr>
              <w:jc w:val="right"/>
              <w:ind w:right="167"/>
              <w:spacing w:after="0"/>
              <w:rPr>
                <w:sz w:val="20"/>
                <w:szCs w:val="20"/>
                <w:color w:val="auto"/>
              </w:rPr>
            </w:pPr>
            <w:r>
              <w:rPr>
                <w:rFonts w:ascii="Times New Roman" w:cs="Times New Roman" w:eastAsia="Times New Roman" w:hAnsi="Times New Roman"/>
                <w:sz w:val="10"/>
                <w:szCs w:val="10"/>
                <w:b w:val="1"/>
                <w:bCs w:val="1"/>
                <w:color w:val="auto"/>
                <w:w w:val="99"/>
              </w:rPr>
              <w:t>Balance (net of issuance costs)</w:t>
            </w:r>
          </w:p>
        </w:tc>
      </w:tr>
      <w:tr>
        <w:trPr>
          <w:trHeight w:val="122"/>
        </w:trPr>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Date(s)</w:t>
            </w:r>
          </w:p>
        </w:tc>
        <w:tc>
          <w:tcPr>
            <w:tcW w:w="100" w:type="dxa"/>
            <w:vAlign w:val="bottom"/>
          </w:tcPr>
          <w:p>
            <w:pPr>
              <w:spacing w:after="0"/>
              <w:rPr>
                <w:sz w:val="10"/>
                <w:szCs w:val="1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Initial Date to</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center"/>
              <w:ind w:right="9"/>
              <w:spacing w:after="0"/>
              <w:rPr>
                <w:sz w:val="20"/>
                <w:szCs w:val="20"/>
                <w:color w:val="auto"/>
              </w:rPr>
            </w:pPr>
            <w:r>
              <w:rPr>
                <w:rFonts w:ascii="Times New Roman" w:cs="Times New Roman" w:eastAsia="Times New Roman" w:hAnsi="Times New Roman"/>
                <w:sz w:val="10"/>
                <w:szCs w:val="10"/>
                <w:b w:val="1"/>
                <w:bCs w:val="1"/>
                <w:color w:val="auto"/>
                <w:w w:val="94"/>
              </w:rPr>
              <w:t>Liquidation</w:t>
            </w:r>
          </w:p>
        </w:tc>
        <w:tc>
          <w:tcPr>
            <w:tcW w:w="100" w:type="dxa"/>
            <w:vAlign w:val="bottom"/>
          </w:tcPr>
          <w:p>
            <w:pPr>
              <w:spacing w:after="0"/>
              <w:rPr>
                <w:sz w:val="10"/>
                <w:szCs w:val="10"/>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7"/>
              </w:rPr>
              <w:t>Dividend</w:t>
            </w:r>
          </w:p>
        </w:tc>
        <w:tc>
          <w:tcPr>
            <w:tcW w:w="1260" w:type="dxa"/>
            <w:vAlign w:val="bottom"/>
            <w:tcBorders>
              <w:bottom w:val="single" w:sz="8" w:color="auto"/>
            </w:tcBorders>
            <w:gridSpan w:val="3"/>
          </w:tcPr>
          <w:p>
            <w:pPr>
              <w:jc w:val="right"/>
              <w:ind w:right="306"/>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gridSpan w:val="4"/>
          </w:tcPr>
          <w:p>
            <w:pPr>
              <w:jc w:val="right"/>
              <w:ind w:right="387"/>
              <w:spacing w:after="0"/>
              <w:rPr>
                <w:sz w:val="20"/>
                <w:szCs w:val="20"/>
                <w:color w:val="auto"/>
              </w:rPr>
            </w:pPr>
            <w:r>
              <w:rPr>
                <w:rFonts w:ascii="Times New Roman" w:cs="Times New Roman" w:eastAsia="Times New Roman" w:hAnsi="Times New Roman"/>
                <w:sz w:val="10"/>
                <w:szCs w:val="10"/>
                <w:b w:val="1"/>
                <w:bCs w:val="1"/>
                <w:color w:val="auto"/>
              </w:rPr>
              <w:t>as of December 31,</w:t>
            </w:r>
          </w:p>
        </w:tc>
      </w:tr>
      <w:tr>
        <w:trPr>
          <w:trHeight w:val="112"/>
        </w:trPr>
        <w:tc>
          <w:tcPr>
            <w:tcW w:w="1340" w:type="dxa"/>
            <w:vAlign w:val="bottom"/>
          </w:tcPr>
          <w:p>
            <w:pPr>
              <w:spacing w:after="0" w:line="112" w:lineRule="exact"/>
              <w:rPr>
                <w:sz w:val="20"/>
                <w:szCs w:val="20"/>
                <w:color w:val="auto"/>
              </w:rPr>
            </w:pPr>
            <w:r>
              <w:rPr>
                <w:rFonts w:ascii="Times New Roman" w:cs="Times New Roman" w:eastAsia="Times New Roman" w:hAnsi="Times New Roman"/>
                <w:sz w:val="8"/>
                <w:szCs w:val="8"/>
                <w:b w:val="1"/>
                <w:bCs w:val="1"/>
                <w:color w:val="auto"/>
              </w:rPr>
              <w:t xml:space="preserve">Preferred Stock </w:t>
            </w:r>
            <w:r>
              <w:rPr>
                <w:rFonts w:ascii="Times New Roman" w:cs="Times New Roman" w:eastAsia="Times New Roman" w:hAnsi="Times New Roman"/>
                <w:sz w:val="12"/>
                <w:szCs w:val="12"/>
                <w:b w:val="1"/>
                <w:bCs w:val="1"/>
                <w:color w:val="auto"/>
                <w:vertAlign w:val="superscript"/>
              </w:rPr>
              <w:t>(1)</w:t>
            </w:r>
          </w:p>
        </w:tc>
        <w:tc>
          <w:tcPr>
            <w:tcW w:w="80" w:type="dxa"/>
            <w:vAlign w:val="bottom"/>
          </w:tcPr>
          <w:p>
            <w:pPr>
              <w:spacing w:after="0"/>
              <w:rPr>
                <w:sz w:val="9"/>
                <w:szCs w:val="9"/>
                <w:color w:val="auto"/>
              </w:rPr>
            </w:pPr>
          </w:p>
        </w:tc>
        <w:tc>
          <w:tcPr>
            <w:tcW w:w="680" w:type="dxa"/>
            <w:vAlign w:val="bottom"/>
            <w:gridSpan w:val="2"/>
          </w:tcPr>
          <w:p>
            <w:pPr>
              <w:jc w:val="center"/>
              <w:spacing w:after="0" w:line="112" w:lineRule="exact"/>
              <w:rPr>
                <w:sz w:val="20"/>
                <w:szCs w:val="20"/>
                <w:color w:val="auto"/>
              </w:rPr>
            </w:pPr>
            <w:r>
              <w:rPr>
                <w:rFonts w:ascii="Times New Roman" w:cs="Times New Roman" w:eastAsia="Times New Roman" w:hAnsi="Times New Roman"/>
                <w:sz w:val="10"/>
                <w:szCs w:val="10"/>
                <w:b w:val="1"/>
                <w:bCs w:val="1"/>
                <w:color w:val="auto"/>
                <w:w w:val="95"/>
              </w:rPr>
              <w:t>Issued</w:t>
            </w:r>
          </w:p>
        </w:tc>
        <w:tc>
          <w:tcPr>
            <w:tcW w:w="100" w:type="dxa"/>
            <w:vAlign w:val="bottom"/>
          </w:tcPr>
          <w:p>
            <w:pPr>
              <w:spacing w:after="0"/>
              <w:rPr>
                <w:sz w:val="9"/>
                <w:szCs w:val="9"/>
                <w:color w:val="auto"/>
              </w:rPr>
            </w:pPr>
          </w:p>
        </w:tc>
        <w:tc>
          <w:tcPr>
            <w:tcW w:w="660" w:type="dxa"/>
            <w:vAlign w:val="bottom"/>
          </w:tcPr>
          <w:p>
            <w:pPr>
              <w:jc w:val="center"/>
              <w:spacing w:after="0" w:line="112" w:lineRule="exact"/>
              <w:rPr>
                <w:sz w:val="20"/>
                <w:szCs w:val="20"/>
                <w:color w:val="auto"/>
              </w:rPr>
            </w:pPr>
            <w:r>
              <w:rPr>
                <w:rFonts w:ascii="Times New Roman" w:cs="Times New Roman" w:eastAsia="Times New Roman" w:hAnsi="Times New Roman"/>
                <w:sz w:val="8"/>
                <w:szCs w:val="8"/>
                <w:b w:val="1"/>
                <w:bCs w:val="1"/>
                <w:color w:val="auto"/>
              </w:rPr>
              <w:t xml:space="preserve">Redeem </w:t>
            </w:r>
            <w:r>
              <w:rPr>
                <w:rFonts w:ascii="Times New Roman" w:cs="Times New Roman" w:eastAsia="Times New Roman" w:hAnsi="Times New Roman"/>
                <w:sz w:val="12"/>
                <w:szCs w:val="12"/>
                <w:b w:val="1"/>
                <w:bCs w:val="1"/>
                <w:color w:val="auto"/>
                <w:vertAlign w:val="superscript"/>
              </w:rPr>
              <w:t>(2)</w:t>
            </w:r>
          </w:p>
        </w:tc>
        <w:tc>
          <w:tcPr>
            <w:tcW w:w="100" w:type="dxa"/>
            <w:vAlign w:val="bottom"/>
          </w:tcPr>
          <w:p>
            <w:pPr>
              <w:spacing w:after="0"/>
              <w:rPr>
                <w:sz w:val="9"/>
                <w:szCs w:val="9"/>
                <w:color w:val="auto"/>
              </w:rPr>
            </w:pPr>
          </w:p>
        </w:tc>
        <w:tc>
          <w:tcPr>
            <w:tcW w:w="680" w:type="dxa"/>
            <w:vAlign w:val="bottom"/>
          </w:tcPr>
          <w:p>
            <w:pPr>
              <w:jc w:val="right"/>
              <w:ind w:right="38"/>
              <w:spacing w:after="0" w:line="112" w:lineRule="exact"/>
              <w:rPr>
                <w:sz w:val="20"/>
                <w:szCs w:val="20"/>
                <w:color w:val="auto"/>
              </w:rPr>
            </w:pPr>
            <w:r>
              <w:rPr>
                <w:rFonts w:ascii="Times New Roman" w:cs="Times New Roman" w:eastAsia="Times New Roman" w:hAnsi="Times New Roman"/>
                <w:sz w:val="8"/>
                <w:szCs w:val="8"/>
                <w:b w:val="1"/>
                <w:bCs w:val="1"/>
                <w:color w:val="auto"/>
              </w:rPr>
              <w:t xml:space="preserve">Share Cap </w:t>
            </w:r>
            <w:r>
              <w:rPr>
                <w:rFonts w:ascii="Times New Roman" w:cs="Times New Roman" w:eastAsia="Times New Roman" w:hAnsi="Times New Roman"/>
                <w:sz w:val="12"/>
                <w:szCs w:val="12"/>
                <w:b w:val="1"/>
                <w:bCs w:val="1"/>
                <w:color w:val="auto"/>
                <w:vertAlign w:val="superscript"/>
              </w:rPr>
              <w:t>(3)</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jc w:val="center"/>
              <w:ind w:right="29"/>
              <w:spacing w:after="0" w:line="112" w:lineRule="exact"/>
              <w:rPr>
                <w:sz w:val="20"/>
                <w:szCs w:val="20"/>
                <w:color w:val="auto"/>
              </w:rPr>
            </w:pPr>
            <w:r>
              <w:rPr>
                <w:rFonts w:ascii="Times New Roman" w:cs="Times New Roman" w:eastAsia="Times New Roman" w:hAnsi="Times New Roman"/>
                <w:sz w:val="8"/>
                <w:szCs w:val="8"/>
                <w:b w:val="1"/>
                <w:bCs w:val="1"/>
                <w:color w:val="auto"/>
              </w:rPr>
              <w:t xml:space="preserve">Value </w:t>
            </w:r>
            <w:r>
              <w:rPr>
                <w:rFonts w:ascii="Times New Roman" w:cs="Times New Roman" w:eastAsia="Times New Roman" w:hAnsi="Times New Roman"/>
                <w:sz w:val="12"/>
                <w:szCs w:val="12"/>
                <w:b w:val="1"/>
                <w:bCs w:val="1"/>
                <w:color w:val="auto"/>
                <w:vertAlign w:val="superscript"/>
              </w:rPr>
              <w:t>(4)</w:t>
            </w:r>
          </w:p>
        </w:tc>
        <w:tc>
          <w:tcPr>
            <w:tcW w:w="100" w:type="dxa"/>
            <w:vAlign w:val="bottom"/>
          </w:tcPr>
          <w:p>
            <w:pPr>
              <w:spacing w:after="0"/>
              <w:rPr>
                <w:sz w:val="9"/>
                <w:szCs w:val="9"/>
                <w:color w:val="auto"/>
              </w:rPr>
            </w:pPr>
          </w:p>
        </w:tc>
        <w:tc>
          <w:tcPr>
            <w:tcW w:w="840" w:type="dxa"/>
            <w:vAlign w:val="bottom"/>
            <w:gridSpan w:val="2"/>
          </w:tcPr>
          <w:p>
            <w:pPr>
              <w:ind w:left="240"/>
              <w:spacing w:after="0" w:line="112" w:lineRule="exact"/>
              <w:rPr>
                <w:sz w:val="20"/>
                <w:szCs w:val="20"/>
                <w:color w:val="auto"/>
              </w:rPr>
            </w:pPr>
            <w:r>
              <w:rPr>
                <w:rFonts w:ascii="Times New Roman" w:cs="Times New Roman" w:eastAsia="Times New Roman" w:hAnsi="Times New Roman"/>
                <w:sz w:val="8"/>
                <w:szCs w:val="8"/>
                <w:b w:val="1"/>
                <w:bCs w:val="1"/>
                <w:color w:val="auto"/>
              </w:rPr>
              <w:t xml:space="preserve">Rate </w:t>
            </w:r>
            <w:r>
              <w:rPr>
                <w:rFonts w:ascii="Times New Roman" w:cs="Times New Roman" w:eastAsia="Times New Roman" w:hAnsi="Times New Roman"/>
                <w:sz w:val="12"/>
                <w:szCs w:val="12"/>
                <w:b w:val="1"/>
                <w:bCs w:val="1"/>
                <w:color w:val="auto"/>
                <w:vertAlign w:val="superscript"/>
              </w:rPr>
              <w:t>(5)</w:t>
            </w:r>
          </w:p>
        </w:tc>
        <w:tc>
          <w:tcPr>
            <w:tcW w:w="560" w:type="dxa"/>
            <w:vAlign w:val="bottom"/>
          </w:tcPr>
          <w:p>
            <w:pPr>
              <w:jc w:val="right"/>
              <w:ind w:right="129"/>
              <w:spacing w:after="0" w:line="112" w:lineRule="exact"/>
              <w:rPr>
                <w:sz w:val="20"/>
                <w:szCs w:val="20"/>
                <w:color w:val="auto"/>
              </w:rPr>
            </w:pPr>
            <w:r>
              <w:rPr>
                <w:rFonts w:ascii="Times New Roman" w:cs="Times New Roman" w:eastAsia="Times New Roman" w:hAnsi="Times New Roman"/>
                <w:sz w:val="10"/>
                <w:szCs w:val="10"/>
                <w:b w:val="1"/>
                <w:bCs w:val="1"/>
                <w:color w:val="auto"/>
              </w:rPr>
              <w:t>2024</w:t>
            </w:r>
          </w:p>
        </w:tc>
        <w:tc>
          <w:tcPr>
            <w:tcW w:w="700" w:type="dxa"/>
            <w:vAlign w:val="bottom"/>
            <w:gridSpan w:val="2"/>
          </w:tcPr>
          <w:p>
            <w:pPr>
              <w:jc w:val="right"/>
              <w:ind w:right="126"/>
              <w:spacing w:after="0" w:line="112" w:lineRule="exact"/>
              <w:rPr>
                <w:sz w:val="20"/>
                <w:szCs w:val="20"/>
                <w:color w:val="auto"/>
              </w:rPr>
            </w:pPr>
            <w:r>
              <w:rPr>
                <w:rFonts w:ascii="Times New Roman" w:cs="Times New Roman" w:eastAsia="Times New Roman" w:hAnsi="Times New Roman"/>
                <w:sz w:val="10"/>
                <w:szCs w:val="10"/>
                <w:b w:val="1"/>
                <w:bCs w:val="1"/>
                <w:color w:val="auto"/>
              </w:rPr>
              <w:t>2023</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jc w:val="right"/>
              <w:ind w:right="229"/>
              <w:spacing w:after="0" w:line="112" w:lineRule="exact"/>
              <w:rPr>
                <w:sz w:val="20"/>
                <w:szCs w:val="20"/>
                <w:color w:val="auto"/>
              </w:rPr>
            </w:pPr>
            <w:r>
              <w:rPr>
                <w:rFonts w:ascii="Times New Roman" w:cs="Times New Roman" w:eastAsia="Times New Roman" w:hAnsi="Times New Roman"/>
                <w:sz w:val="10"/>
                <w:szCs w:val="10"/>
                <w:b w:val="1"/>
                <w:bCs w:val="1"/>
                <w:color w:val="auto"/>
              </w:rPr>
              <w:t>2024</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jc w:val="right"/>
              <w:ind w:right="247"/>
              <w:spacing w:after="0" w:line="112" w:lineRule="exact"/>
              <w:rPr>
                <w:sz w:val="20"/>
                <w:szCs w:val="20"/>
                <w:color w:val="auto"/>
              </w:rPr>
            </w:pPr>
            <w:r>
              <w:rPr>
                <w:rFonts w:ascii="Times New Roman" w:cs="Times New Roman" w:eastAsia="Times New Roman" w:hAnsi="Times New Roman"/>
                <w:sz w:val="10"/>
                <w:szCs w:val="10"/>
                <w:b w:val="1"/>
                <w:bCs w:val="1"/>
                <w:color w:val="auto"/>
              </w:rPr>
              <w:t>2023</w:t>
            </w:r>
          </w:p>
        </w:tc>
      </w:tr>
      <w:tr>
        <w:trPr>
          <w:trHeight w:val="124"/>
        </w:trPr>
        <w:tc>
          <w:tcPr>
            <w:tcW w:w="1340" w:type="dxa"/>
            <w:vAlign w:val="bottom"/>
            <w:tcBorders>
              <w:top w:val="single" w:sz="8" w:color="auto"/>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color w:val="auto"/>
              </w:rPr>
              <w:t>5.250% Series J Cumulative</w:t>
            </w:r>
          </w:p>
        </w:tc>
        <w:tc>
          <w:tcPr>
            <w:tcW w:w="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r>
      <w:tr>
        <w:trPr>
          <w:trHeight w:val="132"/>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Redeemable Preferred Stock</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8"/>
              </w:rPr>
              <w:t>Aug 7, 2017</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8"/>
              </w:rPr>
              <w:t>Aug 7, 2022</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0.4252100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200,000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1.31250</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8,000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8,000</w:t>
            </w:r>
          </w:p>
        </w:tc>
        <w:tc>
          <w:tcPr>
            <w:tcW w:w="24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193,540</w:t>
            </w:r>
          </w:p>
        </w:tc>
        <w:tc>
          <w:tcPr>
            <w:tcW w:w="30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193,540</w:t>
            </w:r>
          </w:p>
        </w:tc>
      </w:tr>
      <w:tr>
        <w:trPr>
          <w:trHeight w:val="132"/>
        </w:trPr>
        <w:tc>
          <w:tcPr>
            <w:tcW w:w="1340" w:type="dxa"/>
            <w:vAlign w:val="bottom"/>
          </w:tcPr>
          <w:p>
            <w:pPr>
              <w:spacing w:after="0"/>
              <w:rPr>
                <w:sz w:val="20"/>
                <w:szCs w:val="20"/>
                <w:color w:val="auto"/>
              </w:rPr>
            </w:pPr>
            <w:r>
              <w:rPr>
                <w:rFonts w:ascii="Times New Roman" w:cs="Times New Roman" w:eastAsia="Times New Roman" w:hAnsi="Times New Roman"/>
                <w:sz w:val="11"/>
                <w:szCs w:val="11"/>
                <w:color w:val="auto"/>
              </w:rPr>
              <w:t>5.850% Series K Cumulative</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32"/>
        </w:trPr>
        <w:tc>
          <w:tcPr>
            <w:tcW w:w="1340" w:type="dxa"/>
            <w:vAlign w:val="bottom"/>
          </w:tcPr>
          <w:p>
            <w:pPr>
              <w:spacing w:after="0"/>
              <w:rPr>
                <w:sz w:val="20"/>
                <w:szCs w:val="20"/>
                <w:color w:val="auto"/>
              </w:rPr>
            </w:pPr>
            <w:r>
              <w:rPr>
                <w:rFonts w:ascii="Times New Roman" w:cs="Times New Roman" w:eastAsia="Times New Roman" w:hAnsi="Times New Roman"/>
                <w:sz w:val="11"/>
                <w:szCs w:val="11"/>
                <w:color w:val="auto"/>
              </w:rPr>
              <w:t>Redeemable Preferred Stock</w:t>
            </w:r>
          </w:p>
        </w:tc>
        <w:tc>
          <w:tcPr>
            <w:tcW w:w="80" w:type="dxa"/>
            <w:vAlign w:val="bottom"/>
          </w:tcPr>
          <w:p>
            <w:pPr>
              <w:spacing w:after="0"/>
              <w:rPr>
                <w:sz w:val="11"/>
                <w:szCs w:val="11"/>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w w:val="97"/>
              </w:rPr>
              <w:t>Mar 13, 2019</w:t>
            </w:r>
          </w:p>
        </w:tc>
        <w:tc>
          <w:tcPr>
            <w:tcW w:w="10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Mar 13, 2024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0.4361100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210,000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1.46250</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8,400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8,400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203,264</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203,264</w:t>
            </w:r>
          </w:p>
        </w:tc>
      </w:tr>
      <w:tr>
        <w:trPr>
          <w:trHeight w:val="132"/>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5.200% Series L Cumulative</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r>
      <w:tr>
        <w:trPr>
          <w:trHeight w:val="132"/>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Redeemable Preferred Stock</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7"/>
              </w:rPr>
              <w:t>Oct 10, 2019</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7"/>
              </w:rPr>
              <w:t>Oct 10, 2024</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0.3851800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345,000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1.30000</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13,800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13,800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334,886</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334,886</w:t>
            </w:r>
          </w:p>
        </w:tc>
      </w:tr>
      <w:tr>
        <w:trPr>
          <w:trHeight w:val="124"/>
        </w:trPr>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755,000</w:t>
            </w: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30,200</w:t>
            </w:r>
          </w:p>
        </w:tc>
        <w:tc>
          <w:tcPr>
            <w:tcW w:w="120" w:type="dxa"/>
            <w:vAlign w:val="bottom"/>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30,200</w:t>
            </w:r>
          </w:p>
        </w:tc>
        <w:tc>
          <w:tcPr>
            <w:tcW w:w="10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26"/>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731,690</w:t>
            </w:r>
          </w:p>
        </w:tc>
        <w:tc>
          <w:tcPr>
            <w:tcW w:w="120" w:type="dxa"/>
            <w:vAlign w:val="bottom"/>
          </w:tcPr>
          <w:p>
            <w:pPr>
              <w:spacing w:after="0"/>
              <w:rPr>
                <w:sz w:val="10"/>
                <w:szCs w:val="10"/>
                <w:color w:val="auto"/>
              </w:rPr>
            </w:pPr>
          </w:p>
        </w:tc>
        <w:tc>
          <w:tcPr>
            <w:tcW w:w="180" w:type="dxa"/>
            <w:vAlign w:val="bottom"/>
            <w:tcBorders>
              <w:top w:val="single" w:sz="8" w:color="auto"/>
              <w:bottom w:val="single" w:sz="8" w:color="auto"/>
            </w:tcBorders>
          </w:tcPr>
          <w:p>
            <w:pPr>
              <w:jc w:val="right"/>
              <w:ind w:right="66"/>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731,690</w:t>
            </w:r>
          </w:p>
        </w:tc>
      </w:tr>
      <w:tr>
        <w:trPr>
          <w:trHeight w:val="20"/>
        </w:trPr>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72"/>
        </w:trPr>
        <w:tc>
          <w:tcPr>
            <w:tcW w:w="13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r>
    </w:tbl>
    <w:p>
      <w:pPr>
        <w:spacing w:after="0" w:line="59" w:lineRule="exact"/>
        <w:rPr>
          <w:sz w:val="20"/>
          <w:szCs w:val="20"/>
          <w:color w:val="auto"/>
        </w:rPr>
      </w:pPr>
    </w:p>
    <w:p>
      <w:pPr>
        <w:ind w:left="600" w:right="400" w:hanging="282"/>
        <w:spacing w:after="0" w:line="239" w:lineRule="auto"/>
        <w:tabs>
          <w:tab w:leader="none" w:pos="60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series of preferred stock do not have a stated maturity date and are not subject to any sinking fund or mandatory redemption provisions. Upon liquidation, dissolution or winding up, each series of preferred stock will rank senior to Digital Realty Trust, Inc. common stock and on parity with the other series of preferred stock. Holders of each series of preferred stock generally have no voting rights except for limited voting rights if Digital Realty Trust, Inc. fails to pay dividends for six or more quarterly periods (whether or not consecutive) and in certain other circumstances.</w:t>
      </w:r>
    </w:p>
    <w:p>
      <w:pPr>
        <w:spacing w:after="0" w:line="2" w:lineRule="exact"/>
        <w:rPr>
          <w:rFonts w:ascii="Times New Roman" w:cs="Times New Roman" w:eastAsia="Times New Roman" w:hAnsi="Times New Roman"/>
          <w:sz w:val="16"/>
          <w:szCs w:val="16"/>
          <w:color w:val="auto"/>
        </w:rPr>
      </w:pPr>
    </w:p>
    <w:p>
      <w:pPr>
        <w:ind w:left="600" w:right="660" w:hanging="282"/>
        <w:spacing w:after="0" w:line="234" w:lineRule="auto"/>
        <w:tabs>
          <w:tab w:leader="none" w:pos="60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in limited circumstances, reflects earliest date that Digital Realty Trust, Inc. may exercise its option to redeem the preferred stock, at a redemption price of $25.00 per share, plus accrued and unpaid dividends up to but excluding the date of redemption.</w:t>
      </w:r>
    </w:p>
    <w:p>
      <w:pPr>
        <w:spacing w:after="0" w:line="1" w:lineRule="exact"/>
        <w:rPr>
          <w:rFonts w:ascii="Times New Roman" w:cs="Times New Roman" w:eastAsia="Times New Roman" w:hAnsi="Times New Roman"/>
          <w:sz w:val="16"/>
          <w:szCs w:val="16"/>
          <w:color w:val="auto"/>
        </w:rPr>
      </w:pPr>
    </w:p>
    <w:p>
      <w:pPr>
        <w:ind w:left="600" w:right="320" w:hanging="282"/>
        <w:spacing w:after="0" w:line="235" w:lineRule="auto"/>
        <w:tabs>
          <w:tab w:leader="none" w:pos="60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occurrence of specified changes of control, as a result of which neither Digital Realty Trust, Inc.’s common stock nor the common securities of the acquiring or surviving entity (or American Depositary Receipts representing such securities) is listed on the New York Stock Exchange, the NYSE MKT, LLC or the NASDAQ Stock Market or listed or quoted on a successor exchange or quotation system, each holder of preferred stock will have the right (unless, prior to the change of control conversion date specified in the applicable Articles Supplementary governing the preferred stock, Digital Realty Trust, Inc. has provided or provides notice of its election to redeem the preferred stock) to convert some or all of the preferred stock held by it into a number of shares of Digital Realty Trust, Inc.’s common stock per share of preferred stock to be converted equal to the lesser of (i) the quotient obtained by dividing (a) the sum of the $25.00 liquidation preference plus the amount of any accrued and unpaid dividends to, but not including, the change of control conversion date (unless the change of control conversion date is after a record date for a preferred stock dividend payment and prior to the corresponding dividend payment date, in which case no additional amount for such accrued and unpaid dividend will be included in this sum) by (b) the common stock price specified in the applicable Articles Supplementary governing the preferred stock; and (ii) the Share Cap, subject to certain adjustments; subject, in each case, to provisions for the receipt of alternative consideration as described in the applicable Articles Supplementary governing the preferred stock. Except in connection with specified change of control transactions, the preferred stock is not convertible into</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46" w:name="page147"/>
    <w:bookmarkEnd w:id="146"/>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 and 2023</w:t>
      </w:r>
    </w:p>
    <w:p>
      <w:pPr>
        <w:spacing w:after="0" w:line="20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or exchangeable for any other property or securities of Digital Realty Trust, Inc.</w:t>
      </w:r>
    </w:p>
    <w:p>
      <w:pPr>
        <w:spacing w:after="0" w:line="10" w:lineRule="exact"/>
        <w:rPr>
          <w:sz w:val="20"/>
          <w:szCs w:val="20"/>
          <w:color w:val="auto"/>
        </w:rPr>
      </w:pPr>
    </w:p>
    <w:p>
      <w:pPr>
        <w:ind w:left="600" w:hanging="282"/>
        <w:spacing w:after="0"/>
        <w:tabs>
          <w:tab w:leader="none" w:pos="60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Liquidation preference is $25.00 per share.</w:t>
      </w:r>
    </w:p>
    <w:p>
      <w:pPr>
        <w:ind w:left="600" w:hanging="282"/>
        <w:spacing w:after="0"/>
        <w:tabs>
          <w:tab w:leader="none" w:pos="60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Dividends on preferred shares are cumulative and payable quarterly in arrears.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Noncontrolling Interests in Operating Partnership</w:t>
      </w:r>
    </w:p>
    <w:p>
      <w:pPr>
        <w:spacing w:after="0" w:line="192" w:lineRule="exact"/>
        <w:rPr>
          <w:sz w:val="20"/>
          <w:szCs w:val="20"/>
          <w:color w:val="auto"/>
        </w:rPr>
      </w:pPr>
    </w:p>
    <w:p>
      <w:pPr>
        <w:ind w:left="320" w:right="400"/>
        <w:spacing w:after="0" w:line="331" w:lineRule="auto"/>
        <w:rPr>
          <w:sz w:val="20"/>
          <w:szCs w:val="20"/>
          <w:color w:val="auto"/>
        </w:rPr>
      </w:pPr>
      <w:r>
        <w:rPr>
          <w:rFonts w:ascii="Times New Roman" w:cs="Times New Roman" w:eastAsia="Times New Roman" w:hAnsi="Times New Roman"/>
          <w:sz w:val="14"/>
          <w:szCs w:val="14"/>
          <w:color w:val="auto"/>
        </w:rPr>
        <w:t>Noncontrolling interests in the Operating Partnership relate to the proportion of entities consolidated by the Company that are owned by third parties. The following table shows the ownership interest in the Operating Partnership as of December 31, 2024 and 2023:</w:t>
      </w:r>
    </w:p>
    <w:p>
      <w:pPr>
        <w:spacing w:after="0" w:line="107" w:lineRule="exact"/>
        <w:rPr>
          <w:sz w:val="20"/>
          <w:szCs w:val="20"/>
          <w:color w:val="auto"/>
        </w:rPr>
      </w:pPr>
    </w:p>
    <w:tbl>
      <w:tblPr>
        <w:tblLayout w:type="fixed"/>
        <w:tblInd w:w="320" w:type="dxa"/>
        <w:tblCellMar>
          <w:top w:w="0" w:type="dxa"/>
          <w:left w:w="0" w:type="dxa"/>
          <w:bottom w:w="0" w:type="dxa"/>
          <w:right w:w="0" w:type="dxa"/>
        </w:tblCellMar>
      </w:tblPr>
      <w:tr>
        <w:trPr>
          <w:trHeight w:val="170"/>
        </w:trPr>
        <w:tc>
          <w:tcPr>
            <w:tcW w:w="4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tcBorders>
              <w:bottom w:val="single" w:sz="8" w:color="auto"/>
            </w:tcBorders>
            <w:gridSpan w:val="3"/>
          </w:tcPr>
          <w:p>
            <w:pPr>
              <w:jc w:val="right"/>
              <w:ind w:right="348"/>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200" w:type="dxa"/>
            <w:vAlign w:val="bottom"/>
          </w:tcPr>
          <w:p>
            <w:pPr>
              <w:spacing w:after="0"/>
              <w:rPr>
                <w:sz w:val="14"/>
                <w:szCs w:val="14"/>
                <w:color w:val="auto"/>
              </w:rPr>
            </w:pPr>
          </w:p>
        </w:tc>
        <w:tc>
          <w:tcPr>
            <w:tcW w:w="1800" w:type="dxa"/>
            <w:vAlign w:val="bottom"/>
            <w:tcBorders>
              <w:bottom w:val="single" w:sz="8" w:color="auto"/>
            </w:tcBorders>
            <w:gridSpan w:val="3"/>
          </w:tcPr>
          <w:p>
            <w:pPr>
              <w:jc w:val="right"/>
              <w:ind w:right="308"/>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34"/>
        </w:trPr>
        <w:tc>
          <w:tcPr>
            <w:tcW w:w="4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ind w:right="7"/>
              <w:spacing w:after="0" w:line="134"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40" w:type="dxa"/>
            <w:vAlign w:val="bottom"/>
          </w:tcPr>
          <w:p>
            <w:pPr>
              <w:spacing w:after="0"/>
              <w:rPr>
                <w:sz w:val="11"/>
                <w:szCs w:val="11"/>
                <w:color w:val="auto"/>
              </w:rPr>
            </w:pPr>
          </w:p>
        </w:tc>
        <w:tc>
          <w:tcPr>
            <w:tcW w:w="980" w:type="dxa"/>
            <w:vAlign w:val="bottom"/>
          </w:tcPr>
          <w:p>
            <w:pPr>
              <w:jc w:val="right"/>
              <w:ind w:right="48"/>
              <w:spacing w:after="0" w:line="134" w:lineRule="exact"/>
              <w:rPr>
                <w:sz w:val="20"/>
                <w:szCs w:val="20"/>
                <w:color w:val="auto"/>
              </w:rPr>
            </w:pPr>
            <w:r>
              <w:rPr>
                <w:rFonts w:ascii="Times New Roman" w:cs="Times New Roman" w:eastAsia="Times New Roman" w:hAnsi="Times New Roman"/>
                <w:sz w:val="13"/>
                <w:szCs w:val="13"/>
                <w:b w:val="1"/>
                <w:bCs w:val="1"/>
                <w:color w:val="auto"/>
              </w:rPr>
              <w:t>Percentage of</w:t>
            </w:r>
          </w:p>
        </w:tc>
        <w:tc>
          <w:tcPr>
            <w:tcW w:w="200" w:type="dxa"/>
            <w:vAlign w:val="bottom"/>
          </w:tcPr>
          <w:p>
            <w:pPr>
              <w:spacing w:after="0"/>
              <w:rPr>
                <w:sz w:val="11"/>
                <w:szCs w:val="11"/>
                <w:color w:val="auto"/>
              </w:rPr>
            </w:pPr>
          </w:p>
        </w:tc>
        <w:tc>
          <w:tcPr>
            <w:tcW w:w="760" w:type="dxa"/>
            <w:vAlign w:val="bottom"/>
          </w:tcPr>
          <w:p>
            <w:pPr>
              <w:jc w:val="right"/>
              <w:ind w:right="9"/>
              <w:spacing w:after="0" w:line="134"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40" w:type="dxa"/>
            <w:vAlign w:val="bottom"/>
          </w:tcPr>
          <w:p>
            <w:pPr>
              <w:spacing w:after="0"/>
              <w:rPr>
                <w:sz w:val="11"/>
                <w:szCs w:val="11"/>
                <w:color w:val="auto"/>
              </w:rPr>
            </w:pPr>
          </w:p>
        </w:tc>
        <w:tc>
          <w:tcPr>
            <w:tcW w:w="900" w:type="dxa"/>
            <w:vAlign w:val="bottom"/>
          </w:tcPr>
          <w:p>
            <w:pPr>
              <w:jc w:val="right"/>
              <w:ind w:right="8"/>
              <w:spacing w:after="0" w:line="134" w:lineRule="exact"/>
              <w:rPr>
                <w:sz w:val="20"/>
                <w:szCs w:val="20"/>
                <w:color w:val="auto"/>
              </w:rPr>
            </w:pPr>
            <w:r>
              <w:rPr>
                <w:rFonts w:ascii="Times New Roman" w:cs="Times New Roman" w:eastAsia="Times New Roman" w:hAnsi="Times New Roman"/>
                <w:sz w:val="13"/>
                <w:szCs w:val="13"/>
                <w:b w:val="1"/>
                <w:bCs w:val="1"/>
                <w:color w:val="auto"/>
              </w:rPr>
              <w:t>Percentage of</w:t>
            </w:r>
          </w:p>
        </w:tc>
      </w:tr>
      <w:tr>
        <w:trPr>
          <w:trHeight w:val="170"/>
        </w:trPr>
        <w:tc>
          <w:tcPr>
            <w:tcW w:w="45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(Units in thousands)</w:t>
            </w:r>
          </w:p>
        </w:tc>
        <w:tc>
          <w:tcPr>
            <w:tcW w:w="760" w:type="dxa"/>
            <w:vAlign w:val="bottom"/>
          </w:tcPr>
          <w:p>
            <w:pPr>
              <w:jc w:val="right"/>
              <w:ind w:right="167"/>
              <w:spacing w:after="0"/>
              <w:rPr>
                <w:sz w:val="20"/>
                <w:szCs w:val="20"/>
                <w:color w:val="auto"/>
              </w:rPr>
            </w:pPr>
            <w:r>
              <w:rPr>
                <w:rFonts w:ascii="Times New Roman" w:cs="Times New Roman" w:eastAsia="Times New Roman" w:hAnsi="Times New Roman"/>
                <w:sz w:val="13"/>
                <w:szCs w:val="13"/>
                <w:b w:val="1"/>
                <w:bCs w:val="1"/>
                <w:color w:val="auto"/>
              </w:rPr>
              <w:t>units</w:t>
            </w:r>
          </w:p>
        </w:tc>
        <w:tc>
          <w:tcPr>
            <w:tcW w:w="140" w:type="dxa"/>
            <w:vAlign w:val="bottom"/>
          </w:tcPr>
          <w:p>
            <w:pPr>
              <w:spacing w:after="0"/>
              <w:rPr>
                <w:sz w:val="14"/>
                <w:szCs w:val="14"/>
                <w:color w:val="auto"/>
              </w:rPr>
            </w:pPr>
          </w:p>
        </w:tc>
        <w:tc>
          <w:tcPr>
            <w:tcW w:w="980" w:type="dxa"/>
            <w:vAlign w:val="bottom"/>
          </w:tcPr>
          <w:p>
            <w:pPr>
              <w:jc w:val="right"/>
              <w:ind w:right="288"/>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00" w:type="dxa"/>
            <w:vAlign w:val="bottom"/>
          </w:tcPr>
          <w:p>
            <w:pPr>
              <w:spacing w:after="0"/>
              <w:rPr>
                <w:sz w:val="14"/>
                <w:szCs w:val="14"/>
                <w:color w:val="auto"/>
              </w:rPr>
            </w:pPr>
          </w:p>
        </w:tc>
        <w:tc>
          <w:tcPr>
            <w:tcW w:w="760" w:type="dxa"/>
            <w:vAlign w:val="bottom"/>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units</w:t>
            </w:r>
          </w:p>
        </w:tc>
        <w:tc>
          <w:tcPr>
            <w:tcW w:w="140" w:type="dxa"/>
            <w:vAlign w:val="bottom"/>
          </w:tcPr>
          <w:p>
            <w:pPr>
              <w:spacing w:after="0"/>
              <w:rPr>
                <w:sz w:val="14"/>
                <w:szCs w:val="14"/>
                <w:color w:val="auto"/>
              </w:rPr>
            </w:pPr>
          </w:p>
        </w:tc>
        <w:tc>
          <w:tcPr>
            <w:tcW w:w="900" w:type="dxa"/>
            <w:vAlign w:val="bottom"/>
          </w:tcPr>
          <w:p>
            <w:pPr>
              <w:jc w:val="right"/>
              <w:ind w:right="248"/>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2"/>
        </w:trPr>
        <w:tc>
          <w:tcPr>
            <w:tcW w:w="4300" w:type="dxa"/>
            <w:vAlign w:val="bottom"/>
            <w:tcBorders>
              <w:top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Digital Realty Trust, Inc.</w:t>
            </w:r>
          </w:p>
        </w:tc>
        <w:tc>
          <w:tcPr>
            <w:tcW w:w="20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336,637</w:t>
            </w:r>
          </w:p>
        </w:tc>
        <w:tc>
          <w:tcPr>
            <w:tcW w:w="14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ind w:right="108"/>
              <w:spacing w:after="0" w:line="172" w:lineRule="exact"/>
              <w:rPr>
                <w:sz w:val="20"/>
                <w:szCs w:val="20"/>
                <w:color w:val="auto"/>
              </w:rPr>
            </w:pPr>
            <w:r>
              <w:rPr>
                <w:rFonts w:ascii="Times New Roman" w:cs="Times New Roman" w:eastAsia="Times New Roman" w:hAnsi="Times New Roman"/>
                <w:sz w:val="16"/>
                <w:szCs w:val="16"/>
                <w:color w:val="auto"/>
              </w:rPr>
              <w:t>98.2 %</w:t>
            </w:r>
          </w:p>
        </w:tc>
        <w:tc>
          <w:tcPr>
            <w:tcW w:w="20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311,608</w:t>
            </w:r>
          </w:p>
        </w:tc>
        <w:tc>
          <w:tcPr>
            <w:tcW w:w="14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98.0 %</w:t>
            </w:r>
          </w:p>
        </w:tc>
      </w:tr>
      <w:tr>
        <w:trPr>
          <w:trHeight w:val="180"/>
        </w:trPr>
        <w:tc>
          <w:tcPr>
            <w:tcW w:w="45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Noncontrolling interests consist of:</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0"/>
        </w:trPr>
        <w:tc>
          <w:tcPr>
            <w:tcW w:w="450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Common units held by third parties</w:t>
            </w: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4,049</w:t>
            </w:r>
          </w:p>
        </w:tc>
        <w:tc>
          <w:tcPr>
            <w:tcW w:w="1120" w:type="dxa"/>
            <w:vAlign w:val="bottom"/>
            <w:gridSpan w:val="2"/>
            <w:shd w:val="clear" w:color="auto" w:fill="CCEEFF"/>
          </w:tcPr>
          <w:p>
            <w:pPr>
              <w:jc w:val="right"/>
              <w:ind w:right="108"/>
              <w:spacing w:after="0" w:line="180" w:lineRule="exact"/>
              <w:rPr>
                <w:sz w:val="20"/>
                <w:szCs w:val="20"/>
                <w:color w:val="auto"/>
              </w:rPr>
            </w:pPr>
            <w:r>
              <w:rPr>
                <w:rFonts w:ascii="Times New Roman" w:cs="Times New Roman" w:eastAsia="Times New Roman" w:hAnsi="Times New Roman"/>
                <w:sz w:val="16"/>
                <w:szCs w:val="16"/>
                <w:color w:val="auto"/>
              </w:rPr>
              <w:t>1.2 %</w:t>
            </w:r>
          </w:p>
        </w:tc>
        <w:tc>
          <w:tcPr>
            <w:tcW w:w="96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4,343</w:t>
            </w:r>
          </w:p>
        </w:tc>
        <w:tc>
          <w:tcPr>
            <w:tcW w:w="1040" w:type="dxa"/>
            <w:vAlign w:val="bottom"/>
            <w:gridSpan w:val="2"/>
            <w:shd w:val="clear" w:color="auto" w:fill="CCEEFF"/>
          </w:tcPr>
          <w:p>
            <w:pPr>
              <w:jc w:val="right"/>
              <w:ind w:right="28"/>
              <w:spacing w:after="0" w:line="180" w:lineRule="exact"/>
              <w:rPr>
                <w:sz w:val="20"/>
                <w:szCs w:val="20"/>
                <w:color w:val="auto"/>
              </w:rPr>
            </w:pPr>
            <w:r>
              <w:rPr>
                <w:rFonts w:ascii="Times New Roman" w:cs="Times New Roman" w:eastAsia="Times New Roman" w:hAnsi="Times New Roman"/>
                <w:sz w:val="16"/>
                <w:szCs w:val="16"/>
                <w:color w:val="auto"/>
              </w:rPr>
              <w:t>1.3 %</w:t>
            </w:r>
          </w:p>
        </w:tc>
      </w:tr>
      <w:tr>
        <w:trPr>
          <w:trHeight w:val="167"/>
        </w:trPr>
        <w:tc>
          <w:tcPr>
            <w:tcW w:w="4500" w:type="dxa"/>
            <w:vAlign w:val="bottom"/>
            <w:gridSpan w:val="2"/>
          </w:tcPr>
          <w:p>
            <w:pPr>
              <w:ind w:left="100"/>
              <w:spacing w:after="0" w:line="167" w:lineRule="exact"/>
              <w:rPr>
                <w:sz w:val="20"/>
                <w:szCs w:val="20"/>
                <w:color w:val="auto"/>
              </w:rPr>
            </w:pPr>
            <w:r>
              <w:rPr>
                <w:rFonts w:ascii="Times New Roman" w:cs="Times New Roman" w:eastAsia="Times New Roman" w:hAnsi="Times New Roman"/>
                <w:sz w:val="16"/>
                <w:szCs w:val="16"/>
                <w:color w:val="auto"/>
              </w:rPr>
              <w:t>Incentive units held by employees and directors (see Note 16.</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93"/>
        </w:trPr>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''Incentive Plans'')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2,086</w:t>
            </w:r>
          </w:p>
        </w:tc>
        <w:tc>
          <w:tcPr>
            <w:tcW w:w="1120" w:type="dxa"/>
            <w:vAlign w:val="bottom"/>
            <w:gridSpan w:val="2"/>
          </w:tcPr>
          <w:p>
            <w:pPr>
              <w:jc w:val="right"/>
              <w:ind w:right="108"/>
              <w:spacing w:after="0"/>
              <w:rPr>
                <w:sz w:val="20"/>
                <w:szCs w:val="20"/>
                <w:color w:val="auto"/>
              </w:rPr>
            </w:pPr>
            <w:r>
              <w:rPr>
                <w:rFonts w:ascii="Times New Roman" w:cs="Times New Roman" w:eastAsia="Times New Roman" w:hAnsi="Times New Roman"/>
                <w:sz w:val="16"/>
                <w:szCs w:val="16"/>
                <w:color w:val="auto"/>
              </w:rPr>
              <w:t>0.6 %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2,106</w:t>
            </w: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0.7 %</w:t>
            </w:r>
          </w:p>
        </w:tc>
      </w:tr>
      <w:tr>
        <w:trPr>
          <w:trHeight w:val="172"/>
        </w:trPr>
        <w:tc>
          <w:tcPr>
            <w:tcW w:w="430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342,772</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ind w:right="88"/>
              <w:spacing w:after="0" w:line="172" w:lineRule="exact"/>
              <w:rPr>
                <w:sz w:val="20"/>
                <w:szCs w:val="20"/>
                <w:color w:val="auto"/>
              </w:rPr>
            </w:pPr>
            <w:r>
              <w:rPr>
                <w:rFonts w:ascii="Times New Roman" w:cs="Times New Roman" w:eastAsia="Times New Roman" w:hAnsi="Times New Roman"/>
                <w:sz w:val="16"/>
                <w:szCs w:val="16"/>
                <w:b w:val="1"/>
                <w:bCs w:val="1"/>
                <w:color w:val="auto"/>
              </w:rPr>
              <w:t>100.0 %</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318,057</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ind w:right="8"/>
              <w:spacing w:after="0" w:line="172" w:lineRule="exact"/>
              <w:rPr>
                <w:sz w:val="20"/>
                <w:szCs w:val="20"/>
                <w:color w:val="auto"/>
              </w:rPr>
            </w:pPr>
            <w:r>
              <w:rPr>
                <w:rFonts w:ascii="Times New Roman" w:cs="Times New Roman" w:eastAsia="Times New Roman" w:hAnsi="Times New Roman"/>
                <w:sz w:val="16"/>
                <w:szCs w:val="16"/>
                <w:b w:val="1"/>
                <w:bCs w:val="1"/>
                <w:color w:val="auto"/>
              </w:rPr>
              <w:t>100.0 %</w:t>
            </w:r>
          </w:p>
        </w:tc>
      </w:tr>
      <w:tr>
        <w:trPr>
          <w:trHeight w:val="20"/>
        </w:trPr>
        <w:tc>
          <w:tcPr>
            <w:tcW w:w="4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320" w:right="320"/>
        <w:spacing w:after="0" w:line="238" w:lineRule="auto"/>
        <w:rPr>
          <w:sz w:val="20"/>
          <w:szCs w:val="20"/>
          <w:color w:val="auto"/>
        </w:rPr>
      </w:pPr>
      <w:r>
        <w:rPr>
          <w:rFonts w:ascii="Times New Roman" w:cs="Times New Roman" w:eastAsia="Times New Roman" w:hAnsi="Times New Roman"/>
          <w:sz w:val="16"/>
          <w:szCs w:val="16"/>
          <w:color w:val="auto"/>
        </w:rPr>
        <w:t>Limited partners have the right to require the Operating Partnership to redeem all or a portion of their common units for cash based on the fair market value of an equivalent number of shares of Digital Realty Trust, Inc. common stock at the time of redemption. Alternatively, Digital Realty Trust, Inc. may elect to acquire those common units in exchange for shares of its common stock on a one-for-one basis, subject to adjustment in the event of stock splits, stock dividends, issuance of stock rights, specified extraordinary distributions and similar events. The common units and incentive units of the Operating Partnership are classified within equity, except for certain common units issued to certain former DuPont Fabros Technology, L.P. unitholders in the Company’s acquisition of DuPont Fabros Technology, Inc., which are subject to certain restrictions and, accordingly, are not presented as permanent equity in the consolidated balance sheet.</w:t>
      </w:r>
    </w:p>
    <w:p>
      <w:pPr>
        <w:spacing w:after="0" w:line="173" w:lineRule="exact"/>
        <w:rPr>
          <w:sz w:val="20"/>
          <w:szCs w:val="20"/>
          <w:color w:val="auto"/>
        </w:rPr>
      </w:pPr>
    </w:p>
    <w:p>
      <w:pPr>
        <w:ind w:left="320" w:right="540"/>
        <w:spacing w:after="0" w:line="247" w:lineRule="auto"/>
        <w:rPr>
          <w:sz w:val="20"/>
          <w:szCs w:val="20"/>
          <w:color w:val="auto"/>
        </w:rPr>
      </w:pPr>
      <w:r>
        <w:rPr>
          <w:rFonts w:ascii="Times New Roman" w:cs="Times New Roman" w:eastAsia="Times New Roman" w:hAnsi="Times New Roman"/>
          <w:sz w:val="16"/>
          <w:szCs w:val="16"/>
          <w:color w:val="auto"/>
        </w:rPr>
        <w:t>The redemption value of the noncontrolling Operating Partnership common units and the vested incentive units was approximately $1,090.4 million and $834.1 million based on the closing market price of Digital Realty Trust, Inc. common stock on December 31, 2024 and December 31, 2023, respectively.</w:t>
      </w:r>
    </w:p>
    <w:p>
      <w:pPr>
        <w:spacing w:after="0" w:line="164" w:lineRule="exact"/>
        <w:rPr>
          <w:sz w:val="20"/>
          <w:szCs w:val="20"/>
          <w:color w:val="auto"/>
        </w:rPr>
      </w:pPr>
    </w:p>
    <w:p>
      <w:pPr>
        <w:ind w:left="320" w:right="620"/>
        <w:spacing w:after="0" w:line="259" w:lineRule="auto"/>
        <w:rPr>
          <w:sz w:val="20"/>
          <w:szCs w:val="20"/>
          <w:color w:val="auto"/>
        </w:rPr>
      </w:pPr>
      <w:r>
        <w:rPr>
          <w:rFonts w:ascii="Times New Roman" w:cs="Times New Roman" w:eastAsia="Times New Roman" w:hAnsi="Times New Roman"/>
          <w:sz w:val="16"/>
          <w:szCs w:val="16"/>
          <w:color w:val="auto"/>
        </w:rPr>
        <w:t>The following table shows activity for the noncontrolling interests in the Operating Partnership for the years ended December 31, 2024 and 2023:</w:t>
      </w:r>
    </w:p>
    <w:p>
      <w:pPr>
        <w:spacing w:after="0" w:line="166" w:lineRule="exact"/>
        <w:rPr>
          <w:sz w:val="20"/>
          <w:szCs w:val="20"/>
          <w:color w:val="auto"/>
        </w:rPr>
      </w:pPr>
    </w:p>
    <w:tbl>
      <w:tblPr>
        <w:tblLayout w:type="fixed"/>
        <w:tblInd w:w="320" w:type="dxa"/>
        <w:tblCellMar>
          <w:top w:w="0" w:type="dxa"/>
          <w:left w:w="0" w:type="dxa"/>
          <w:bottom w:w="0" w:type="dxa"/>
          <w:right w:w="0" w:type="dxa"/>
        </w:tblCellMar>
      </w:tblPr>
      <w:tr>
        <w:trPr>
          <w:trHeight w:val="170"/>
        </w:trPr>
        <w:tc>
          <w:tcPr>
            <w:tcW w:w="4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(Units in thousands)</w:t>
            </w:r>
          </w:p>
        </w:tc>
        <w:tc>
          <w:tcPr>
            <w:tcW w:w="18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Common Units</w:t>
            </w:r>
          </w:p>
        </w:tc>
        <w:tc>
          <w:tcPr>
            <w:tcW w:w="18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Incentive Units</w:t>
            </w:r>
          </w:p>
        </w:tc>
        <w:tc>
          <w:tcPr>
            <w:tcW w:w="20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48"/>
        </w:trPr>
        <w:tc>
          <w:tcPr>
            <w:tcW w:w="4220" w:type="dxa"/>
            <w:vAlign w:val="bottom"/>
            <w:gridSpan w:val="2"/>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As of December 31, 2023</w:t>
            </w:r>
          </w:p>
        </w:tc>
        <w:tc>
          <w:tcPr>
            <w:tcW w:w="18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4,343</w:t>
            </w: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2,106</w:t>
            </w:r>
          </w:p>
        </w:tc>
        <w:tc>
          <w:tcPr>
            <w:tcW w:w="2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6,449</w:t>
            </w:r>
          </w:p>
        </w:tc>
      </w:tr>
      <w:tr>
        <w:trPr>
          <w:trHeight w:val="144"/>
        </w:trPr>
        <w:tc>
          <w:tcPr>
            <w:tcW w:w="4220" w:type="dxa"/>
            <w:vAlign w:val="bottom"/>
            <w:gridSpan w:val="2"/>
          </w:tcPr>
          <w:p>
            <w:pPr>
              <w:spacing w:after="0" w:line="144" w:lineRule="exact"/>
              <w:rPr>
                <w:sz w:val="20"/>
                <w:szCs w:val="20"/>
                <w:color w:val="auto"/>
              </w:rPr>
            </w:pPr>
            <w:r>
              <w:rPr>
                <w:rFonts w:ascii="Times New Roman" w:cs="Times New Roman" w:eastAsia="Times New Roman" w:hAnsi="Times New Roman"/>
                <w:sz w:val="13"/>
                <w:szCs w:val="13"/>
                <w:color w:val="auto"/>
              </w:rPr>
              <w:t>Conversion of incentive units held by employees and directors for shares of</w:t>
            </w: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68"/>
        </w:trPr>
        <w:tc>
          <w:tcPr>
            <w:tcW w:w="4220" w:type="dxa"/>
            <w:vAlign w:val="bottom"/>
            <w:gridSpan w:val="2"/>
          </w:tcPr>
          <w:p>
            <w:pPr>
              <w:spacing w:after="0" w:line="168" w:lineRule="exact"/>
              <w:rPr>
                <w:sz w:val="20"/>
                <w:szCs w:val="20"/>
                <w:color w:val="auto"/>
              </w:rPr>
            </w:pPr>
            <w:r>
              <w:rPr>
                <w:rFonts w:ascii="Times New Roman" w:cs="Times New Roman" w:eastAsia="Times New Roman" w:hAnsi="Times New Roman"/>
                <w:sz w:val="13"/>
                <w:szCs w:val="13"/>
                <w:color w:val="auto"/>
              </w:rPr>
              <w:t xml:space="preserve">Digital Realty Trust, Inc. common stock </w:t>
            </w:r>
            <w:r>
              <w:rPr>
                <w:rFonts w:ascii="Times New Roman" w:cs="Times New Roman" w:eastAsia="Times New Roman" w:hAnsi="Times New Roman"/>
                <w:sz w:val="19"/>
                <w:szCs w:val="19"/>
                <w:color w:val="auto"/>
                <w:vertAlign w:val="superscript"/>
              </w:rPr>
              <w:t>(1)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(553)</w:t>
            </w:r>
          </w:p>
        </w:tc>
      </w:tr>
      <w:tr>
        <w:trPr>
          <w:trHeight w:val="156"/>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Incentive units issued upon achievement of market performance condition</w:t>
            </w:r>
          </w:p>
        </w:tc>
        <w:tc>
          <w:tcPr>
            <w:tcW w:w="18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w:t>
            </w:r>
          </w:p>
        </w:tc>
      </w:tr>
      <w:tr>
        <w:trPr>
          <w:trHeight w:val="156"/>
        </w:trPr>
        <w:tc>
          <w:tcPr>
            <w:tcW w:w="4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Grant of incentive units to employees and directors</w:t>
            </w:r>
          </w:p>
        </w:tc>
        <w:tc>
          <w:tcPr>
            <w:tcW w:w="1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155</w:t>
            </w:r>
          </w:p>
        </w:tc>
      </w:tr>
      <w:tr>
        <w:trPr>
          <w:trHeight w:val="156"/>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Cancellation / forfeitures of incentive units held by employees and directors</w:t>
            </w:r>
          </w:p>
        </w:tc>
        <w:tc>
          <w:tcPr>
            <w:tcW w:w="18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48"/>
        </w:trPr>
        <w:tc>
          <w:tcPr>
            <w:tcW w:w="4220" w:type="dxa"/>
            <w:vAlign w:val="bottom"/>
            <w:gridSpan w:val="2"/>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As of December 31, 2024</w:t>
            </w:r>
          </w:p>
        </w:tc>
        <w:tc>
          <w:tcPr>
            <w:tcW w:w="180" w:type="dxa"/>
            <w:vAlign w:val="bottom"/>
          </w:tcPr>
          <w:p>
            <w:pPr>
              <w:spacing w:after="0"/>
              <w:rPr>
                <w:sz w:val="12"/>
                <w:szCs w:val="12"/>
                <w:color w:val="auto"/>
              </w:rPr>
            </w:pPr>
          </w:p>
        </w:tc>
        <w:tc>
          <w:tcPr>
            <w:tcW w:w="126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4,049</w:t>
            </w:r>
          </w:p>
        </w:tc>
        <w:tc>
          <w:tcPr>
            <w:tcW w:w="180" w:type="dxa"/>
            <w:vAlign w:val="bottom"/>
          </w:tcPr>
          <w:p>
            <w:pPr>
              <w:spacing w:after="0"/>
              <w:rPr>
                <w:sz w:val="12"/>
                <w:szCs w:val="12"/>
                <w:color w:val="auto"/>
              </w:rPr>
            </w:pPr>
          </w:p>
        </w:tc>
        <w:tc>
          <w:tcPr>
            <w:tcW w:w="116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2,086</w:t>
            </w:r>
          </w:p>
        </w:tc>
        <w:tc>
          <w:tcPr>
            <w:tcW w:w="200" w:type="dxa"/>
            <w:vAlign w:val="bottom"/>
          </w:tcPr>
          <w:p>
            <w:pPr>
              <w:spacing w:after="0"/>
              <w:rPr>
                <w:sz w:val="12"/>
                <w:szCs w:val="12"/>
                <w:color w:val="auto"/>
              </w:rPr>
            </w:pPr>
          </w:p>
        </w:tc>
        <w:tc>
          <w:tcPr>
            <w:tcW w:w="118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6,135</w:t>
            </w:r>
          </w:p>
        </w:tc>
      </w:tr>
      <w:tr>
        <w:trPr>
          <w:trHeight w:val="20"/>
        </w:trPr>
        <w:tc>
          <w:tcPr>
            <w:tcW w:w="20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72"/>
        </w:trPr>
        <w:tc>
          <w:tcPr>
            <w:tcW w:w="2080" w:type="dxa"/>
            <w:vAlign w:val="bottom"/>
            <w:tcBorders>
              <w:bottom w:val="single" w:sz="8" w:color="auto"/>
            </w:tcBorders>
          </w:tcPr>
          <w:p>
            <w:pPr>
              <w:spacing w:after="0"/>
              <w:rPr>
                <w:sz w:val="6"/>
                <w:szCs w:val="6"/>
                <w:color w:val="auto"/>
              </w:rPr>
            </w:pPr>
          </w:p>
        </w:tc>
        <w:tc>
          <w:tcPr>
            <w:tcW w:w="2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80" w:type="dxa"/>
            <w:vAlign w:val="bottom"/>
          </w:tcPr>
          <w:p>
            <w:pPr>
              <w:spacing w:after="0"/>
              <w:rPr>
                <w:sz w:val="6"/>
                <w:szCs w:val="6"/>
                <w:color w:val="auto"/>
              </w:rPr>
            </w:pPr>
          </w:p>
        </w:tc>
      </w:tr>
    </w:tbl>
    <w:p>
      <w:pPr>
        <w:spacing w:after="0" w:line="59" w:lineRule="exact"/>
        <w:rPr>
          <w:sz w:val="20"/>
          <w:szCs w:val="20"/>
          <w:color w:val="auto"/>
        </w:rPr>
      </w:pPr>
    </w:p>
    <w:p>
      <w:pPr>
        <w:ind w:left="600" w:right="420" w:hanging="282"/>
        <w:spacing w:after="0" w:line="259" w:lineRule="auto"/>
        <w:tabs>
          <w:tab w:leader="none" w:pos="60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redemptions and conversions were recorded as a reduction to noncontrolling interests in the Operating Partnership and an increase to common stock and additional paid in capital based on the book value per unit in the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47" w:name="page148"/>
    <w:bookmarkEnd w:id="147"/>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 and 2023</w:t>
      </w:r>
    </w:p>
    <w:p>
      <w:pPr>
        <w:spacing w:after="0" w:line="20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accompanying consolidated balance sheets of Digital Realty Trust, Inc.</w:t>
      </w:r>
    </w:p>
    <w:p>
      <w:pPr>
        <w:spacing w:after="0" w:line="1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Dividends and Distributions</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Digital Realty Trust, Inc. Dividends</w:t>
      </w:r>
    </w:p>
    <w:p>
      <w:pPr>
        <w:spacing w:after="0" w:line="178" w:lineRule="exact"/>
        <w:rPr>
          <w:sz w:val="20"/>
          <w:szCs w:val="20"/>
          <w:color w:val="auto"/>
        </w:rPr>
      </w:pPr>
    </w:p>
    <w:p>
      <w:pPr>
        <w:ind w:left="320" w:right="340"/>
        <w:spacing w:after="0" w:line="259" w:lineRule="auto"/>
        <w:rPr>
          <w:sz w:val="20"/>
          <w:szCs w:val="20"/>
          <w:color w:val="auto"/>
        </w:rPr>
      </w:pPr>
      <w:r>
        <w:rPr>
          <w:rFonts w:ascii="Times New Roman" w:cs="Times New Roman" w:eastAsia="Times New Roman" w:hAnsi="Times New Roman"/>
          <w:sz w:val="16"/>
          <w:szCs w:val="16"/>
          <w:color w:val="auto"/>
        </w:rPr>
        <w:t>We have declared and paid the following dividends on our common and preferred stock for the years ended December 31, 2024, 2023 and 2022 (in thousands, except per share data):</w:t>
      </w:r>
    </w:p>
    <w:p>
      <w:pPr>
        <w:spacing w:after="0" w:line="190" w:lineRule="exact"/>
        <w:rPr>
          <w:sz w:val="20"/>
          <w:szCs w:val="20"/>
          <w:color w:val="auto"/>
        </w:rPr>
      </w:pPr>
    </w:p>
    <w:tbl>
      <w:tblPr>
        <w:tblLayout w:type="fixed"/>
        <w:tblInd w:w="320" w:type="dxa"/>
        <w:tblCellMar>
          <w:top w:w="0" w:type="dxa"/>
          <w:left w:w="0" w:type="dxa"/>
          <w:bottom w:w="0" w:type="dxa"/>
          <w:right w:w="0" w:type="dxa"/>
        </w:tblCellMar>
      </w:tblPr>
      <w:tr>
        <w:trPr>
          <w:trHeight w:val="142"/>
        </w:trPr>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center"/>
              <w:ind w:right="146"/>
              <w:spacing w:after="0"/>
              <w:rPr>
                <w:sz w:val="20"/>
                <w:szCs w:val="20"/>
                <w:color w:val="auto"/>
              </w:rPr>
            </w:pPr>
            <w:r>
              <w:rPr>
                <w:rFonts w:ascii="Times New Roman" w:cs="Times New Roman" w:eastAsia="Times New Roman" w:hAnsi="Times New Roman"/>
                <w:sz w:val="11"/>
                <w:szCs w:val="11"/>
                <w:b w:val="1"/>
                <w:bCs w:val="1"/>
                <w:color w:val="auto"/>
                <w:w w:val="98"/>
              </w:rPr>
              <w:t>Series J</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ind w:right="126"/>
              <w:spacing w:after="0"/>
              <w:rPr>
                <w:sz w:val="20"/>
                <w:szCs w:val="20"/>
                <w:color w:val="auto"/>
              </w:rPr>
            </w:pPr>
            <w:r>
              <w:rPr>
                <w:rFonts w:ascii="Times New Roman" w:cs="Times New Roman" w:eastAsia="Times New Roman" w:hAnsi="Times New Roman"/>
                <w:sz w:val="11"/>
                <w:szCs w:val="11"/>
                <w:b w:val="1"/>
                <w:bCs w:val="1"/>
                <w:color w:val="auto"/>
              </w:rPr>
              <w:t>Series K</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ind w:right="106"/>
              <w:spacing w:after="0"/>
              <w:rPr>
                <w:sz w:val="20"/>
                <w:szCs w:val="20"/>
                <w:color w:val="auto"/>
              </w:rPr>
            </w:pPr>
            <w:r>
              <w:rPr>
                <w:rFonts w:ascii="Times New Roman" w:cs="Times New Roman" w:eastAsia="Times New Roman" w:hAnsi="Times New Roman"/>
                <w:sz w:val="11"/>
                <w:szCs w:val="11"/>
                <w:b w:val="1"/>
                <w:bCs w:val="1"/>
                <w:color w:val="auto"/>
                <w:w w:val="99"/>
              </w:rPr>
              <w:t>Series L</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56"/>
        </w:trPr>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center"/>
              <w:ind w:right="126"/>
              <w:spacing w:after="0"/>
              <w:rPr>
                <w:sz w:val="20"/>
                <w:szCs w:val="20"/>
                <w:color w:val="auto"/>
              </w:rPr>
            </w:pPr>
            <w:r>
              <w:rPr>
                <w:rFonts w:ascii="Times New Roman" w:cs="Times New Roman" w:eastAsia="Times New Roman" w:hAnsi="Times New Roman"/>
                <w:sz w:val="11"/>
                <w:szCs w:val="11"/>
                <w:b w:val="1"/>
                <w:bCs w:val="1"/>
                <w:color w:val="auto"/>
              </w:rPr>
              <w:t>Preferred</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center"/>
              <w:ind w:right="126"/>
              <w:spacing w:after="0"/>
              <w:rPr>
                <w:sz w:val="20"/>
                <w:szCs w:val="20"/>
                <w:color w:val="auto"/>
              </w:rPr>
            </w:pPr>
            <w:r>
              <w:rPr>
                <w:rFonts w:ascii="Times New Roman" w:cs="Times New Roman" w:eastAsia="Times New Roman" w:hAnsi="Times New Roman"/>
                <w:sz w:val="11"/>
                <w:szCs w:val="11"/>
                <w:b w:val="1"/>
                <w:bCs w:val="1"/>
                <w:color w:val="auto"/>
                <w:w w:val="95"/>
              </w:rPr>
              <w:t>Preferred</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center"/>
              <w:ind w:right="106"/>
              <w:spacing w:after="0"/>
              <w:rPr>
                <w:sz w:val="20"/>
                <w:szCs w:val="20"/>
                <w:color w:val="auto"/>
              </w:rPr>
            </w:pPr>
            <w:r>
              <w:rPr>
                <w:rFonts w:ascii="Times New Roman" w:cs="Times New Roman" w:eastAsia="Times New Roman" w:hAnsi="Times New Roman"/>
                <w:sz w:val="11"/>
                <w:szCs w:val="11"/>
                <w:b w:val="1"/>
                <w:bCs w:val="1"/>
                <w:color w:val="auto"/>
              </w:rPr>
              <w:t>Preferred</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1"/>
                <w:szCs w:val="11"/>
                <w:b w:val="1"/>
                <w:bCs w:val="1"/>
                <w:color w:val="auto"/>
              </w:rPr>
              <w:t>Common</w:t>
            </w:r>
          </w:p>
        </w:tc>
      </w:tr>
      <w:tr>
        <w:trPr>
          <w:trHeight w:val="148"/>
        </w:trPr>
        <w:tc>
          <w:tcPr>
            <w:tcW w:w="16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Date dividend declared</w:t>
            </w: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Dividend payment date</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center"/>
              <w:ind w:right="126"/>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ind w:right="126"/>
              <w:spacing w:after="0"/>
              <w:rPr>
                <w:sz w:val="20"/>
                <w:szCs w:val="20"/>
                <w:color w:val="auto"/>
              </w:rPr>
            </w:pPr>
            <w:r>
              <w:rPr>
                <w:rFonts w:ascii="Times New Roman" w:cs="Times New Roman" w:eastAsia="Times New Roman" w:hAnsi="Times New Roman"/>
                <w:sz w:val="11"/>
                <w:szCs w:val="11"/>
                <w:b w:val="1"/>
                <w:bCs w:val="1"/>
                <w:color w:val="auto"/>
                <w:w w:val="91"/>
              </w:rPr>
              <w:t>Stock</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ind w:right="106"/>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620"/>
              <w:spacing w:after="0"/>
              <w:rPr>
                <w:sz w:val="20"/>
                <w:szCs w:val="20"/>
                <w:color w:val="auto"/>
              </w:rPr>
            </w:pPr>
            <w:r>
              <w:rPr>
                <w:rFonts w:ascii="Times New Roman" w:cs="Times New Roman" w:eastAsia="Times New Roman" w:hAnsi="Times New Roman"/>
                <w:sz w:val="11"/>
                <w:szCs w:val="11"/>
                <w:b w:val="1"/>
                <w:bCs w:val="1"/>
                <w:color w:val="auto"/>
              </w:rPr>
              <w:t>Stock</w:t>
            </w:r>
          </w:p>
        </w:tc>
      </w:tr>
      <w:tr>
        <w:trPr>
          <w:trHeight w:val="124"/>
        </w:trPr>
        <w:tc>
          <w:tcPr>
            <w:tcW w:w="16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4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r>
      <w:tr>
        <w:trPr>
          <w:trHeight w:val="132"/>
        </w:trPr>
        <w:tc>
          <w:tcPr>
            <w:tcW w:w="1620" w:type="dxa"/>
            <w:vAlign w:val="bottom"/>
          </w:tcPr>
          <w:p>
            <w:pPr>
              <w:spacing w:after="0"/>
              <w:rPr>
                <w:sz w:val="20"/>
                <w:szCs w:val="20"/>
                <w:color w:val="auto"/>
              </w:rPr>
            </w:pPr>
            <w:r>
              <w:rPr>
                <w:rFonts w:ascii="Times New Roman" w:cs="Times New Roman" w:eastAsia="Times New Roman" w:hAnsi="Times New Roman"/>
                <w:sz w:val="11"/>
                <w:szCs w:val="11"/>
                <w:color w:val="auto"/>
              </w:rPr>
              <w:t>March 3, 2022</w:t>
            </w: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March 31, 2022</w:t>
            </w:r>
          </w:p>
        </w:tc>
        <w:tc>
          <w:tcPr>
            <w:tcW w:w="38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2,625</w:t>
            </w:r>
          </w:p>
        </w:tc>
        <w:tc>
          <w:tcPr>
            <w:tcW w:w="380" w:type="dxa"/>
            <w:vAlign w:val="bottom"/>
            <w:gridSpan w:val="2"/>
          </w:tcPr>
          <w:p>
            <w:pPr>
              <w:jc w:val="right"/>
              <w:ind w:right="11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3,071</w:t>
            </w:r>
          </w:p>
        </w:tc>
        <w:tc>
          <w:tcPr>
            <w:tcW w:w="38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4,485</w:t>
            </w:r>
          </w:p>
        </w:tc>
        <w:tc>
          <w:tcPr>
            <w:tcW w:w="400" w:type="dxa"/>
            <w:vAlign w:val="bottom"/>
            <w:gridSpan w:val="2"/>
          </w:tcPr>
          <w:p>
            <w:pPr>
              <w:jc w:val="right"/>
              <w:ind w:right="11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 xml:space="preserve">348,025 </w:t>
            </w:r>
            <w:r>
              <w:rPr>
                <w:rFonts w:ascii="Times New Roman" w:cs="Times New Roman" w:eastAsia="Times New Roman" w:hAnsi="Times New Roman"/>
                <w:sz w:val="7"/>
                <w:szCs w:val="7"/>
                <w:color w:val="auto"/>
              </w:rPr>
              <w:t>(1)</w:t>
            </w:r>
          </w:p>
        </w:tc>
      </w:tr>
      <w:tr>
        <w:trPr>
          <w:trHeight w:val="132"/>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May 24, 2022</w:t>
            </w:r>
          </w:p>
        </w:tc>
        <w:tc>
          <w:tcPr>
            <w:tcW w:w="1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June 30, 2022</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2,625</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3,071</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4,485</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 xml:space="preserve">348,077 </w:t>
            </w:r>
            <w:r>
              <w:rPr>
                <w:rFonts w:ascii="Times New Roman" w:cs="Times New Roman" w:eastAsia="Times New Roman" w:hAnsi="Times New Roman"/>
                <w:sz w:val="7"/>
                <w:szCs w:val="7"/>
                <w:color w:val="auto"/>
              </w:rPr>
              <w:t>(1)</w:t>
            </w:r>
          </w:p>
        </w:tc>
      </w:tr>
      <w:tr>
        <w:trPr>
          <w:trHeight w:val="132"/>
        </w:trPr>
        <w:tc>
          <w:tcPr>
            <w:tcW w:w="1620" w:type="dxa"/>
            <w:vAlign w:val="bottom"/>
          </w:tcPr>
          <w:p>
            <w:pPr>
              <w:spacing w:after="0"/>
              <w:rPr>
                <w:sz w:val="20"/>
                <w:szCs w:val="20"/>
                <w:color w:val="auto"/>
              </w:rPr>
            </w:pPr>
            <w:r>
              <w:rPr>
                <w:rFonts w:ascii="Times New Roman" w:cs="Times New Roman" w:eastAsia="Times New Roman" w:hAnsi="Times New Roman"/>
                <w:sz w:val="11"/>
                <w:szCs w:val="11"/>
                <w:color w:val="auto"/>
              </w:rPr>
              <w:t>August 17, 2022</w:t>
            </w: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September 30, 2022</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2,625</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3,071</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4,485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 xml:space="preserve">351,410 </w:t>
            </w:r>
            <w:r>
              <w:rPr>
                <w:rFonts w:ascii="Times New Roman" w:cs="Times New Roman" w:eastAsia="Times New Roman" w:hAnsi="Times New Roman"/>
                <w:sz w:val="7"/>
                <w:szCs w:val="7"/>
                <w:color w:val="auto"/>
              </w:rPr>
              <w:t>(1)</w:t>
            </w:r>
          </w:p>
        </w:tc>
      </w:tr>
      <w:tr>
        <w:trPr>
          <w:trHeight w:val="132"/>
        </w:trPr>
        <w:tc>
          <w:tcPr>
            <w:tcW w:w="1620" w:type="dxa"/>
            <w:vAlign w:val="bottom"/>
            <w:shd w:val="clear" w:color="auto" w:fill="CCEEFF"/>
          </w:tcPr>
          <w:p>
            <w:pPr>
              <w:spacing w:after="0"/>
              <w:rPr>
                <w:sz w:val="11"/>
                <w:szCs w:val="11"/>
                <w:color w:val="auto"/>
              </w:rPr>
            </w:pPr>
          </w:p>
        </w:tc>
        <w:tc>
          <w:tcPr>
            <w:tcW w:w="1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December 31, 2022 for</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32"/>
        </w:trPr>
        <w:tc>
          <w:tcPr>
            <w:tcW w:w="1620" w:type="dxa"/>
            <w:vAlign w:val="bottom"/>
            <w:shd w:val="clear" w:color="auto" w:fill="CCEEFF"/>
          </w:tcPr>
          <w:p>
            <w:pPr>
              <w:spacing w:after="0"/>
              <w:rPr>
                <w:sz w:val="11"/>
                <w:szCs w:val="11"/>
                <w:color w:val="auto"/>
              </w:rPr>
            </w:pPr>
          </w:p>
        </w:tc>
        <w:tc>
          <w:tcPr>
            <w:tcW w:w="1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Preferred Stock; January 13,</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32"/>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November 29, 2022</w:t>
            </w:r>
          </w:p>
        </w:tc>
        <w:tc>
          <w:tcPr>
            <w:tcW w:w="1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2023 for Common Stock</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2,625</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3,071</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4,485</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 xml:space="preserve">355,832 </w:t>
            </w:r>
            <w:r>
              <w:rPr>
                <w:rFonts w:ascii="Times New Roman" w:cs="Times New Roman" w:eastAsia="Times New Roman" w:hAnsi="Times New Roman"/>
                <w:sz w:val="7"/>
                <w:szCs w:val="7"/>
                <w:color w:val="auto"/>
              </w:rPr>
              <w:t>(1)</w:t>
            </w:r>
          </w:p>
        </w:tc>
      </w:tr>
      <w:tr>
        <w:trPr>
          <w:trHeight w:val="164"/>
        </w:trPr>
        <w:tc>
          <w:tcPr>
            <w:tcW w:w="16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66"/>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10,500</w:t>
            </w:r>
          </w:p>
        </w:tc>
        <w:tc>
          <w:tcPr>
            <w:tcW w:w="20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5"/>
                <w:szCs w:val="5"/>
                <w:color w:val="auto"/>
                <w:w w:val="78"/>
              </w:rPr>
              <w:t>$</w:t>
            </w:r>
          </w:p>
        </w:tc>
        <w:tc>
          <w:tcPr>
            <w:tcW w:w="86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12,284</w:t>
            </w:r>
          </w:p>
        </w:tc>
        <w:tc>
          <w:tcPr>
            <w:tcW w:w="20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66"/>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17,940</w:t>
            </w:r>
          </w:p>
        </w:tc>
        <w:tc>
          <w:tcPr>
            <w:tcW w:w="22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5"/>
                <w:szCs w:val="5"/>
                <w:color w:val="auto"/>
                <w:w w:val="78"/>
              </w:rPr>
              <w:t>$</w:t>
            </w:r>
          </w:p>
        </w:tc>
        <w:tc>
          <w:tcPr>
            <w:tcW w:w="88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1,403,344</w:t>
            </w:r>
          </w:p>
        </w:tc>
        <w:tc>
          <w:tcPr>
            <w:tcW w:w="220" w:type="dxa"/>
            <w:vAlign w:val="bottom"/>
            <w:tcBorders>
              <w:bottom w:val="single" w:sz="8" w:color="CCEEFF"/>
            </w:tcBorders>
          </w:tcPr>
          <w:p>
            <w:pPr>
              <w:spacing w:after="0"/>
              <w:rPr>
                <w:sz w:val="14"/>
                <w:szCs w:val="14"/>
                <w:color w:val="auto"/>
              </w:rPr>
            </w:pPr>
          </w:p>
        </w:tc>
      </w:tr>
      <w:tr>
        <w:trPr>
          <w:trHeight w:val="108"/>
        </w:trPr>
        <w:tc>
          <w:tcPr>
            <w:tcW w:w="1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r>
      <w:tr>
        <w:trPr>
          <w:trHeight w:val="132"/>
        </w:trPr>
        <w:tc>
          <w:tcPr>
            <w:tcW w:w="1620" w:type="dxa"/>
            <w:vAlign w:val="bottom"/>
          </w:tcPr>
          <w:p>
            <w:pPr>
              <w:spacing w:after="0"/>
              <w:rPr>
                <w:sz w:val="20"/>
                <w:szCs w:val="20"/>
                <w:color w:val="auto"/>
              </w:rPr>
            </w:pPr>
            <w:r>
              <w:rPr>
                <w:rFonts w:ascii="Times New Roman" w:cs="Times New Roman" w:eastAsia="Times New Roman" w:hAnsi="Times New Roman"/>
                <w:sz w:val="11"/>
                <w:szCs w:val="11"/>
                <w:color w:val="auto"/>
              </w:rPr>
              <w:t>February 22, 2023</w:t>
            </w: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March 31, 2023</w:t>
            </w:r>
          </w:p>
        </w:tc>
        <w:tc>
          <w:tcPr>
            <w:tcW w:w="38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2,625</w:t>
            </w:r>
          </w:p>
        </w:tc>
        <w:tc>
          <w:tcPr>
            <w:tcW w:w="380" w:type="dxa"/>
            <w:vAlign w:val="bottom"/>
            <w:gridSpan w:val="2"/>
          </w:tcPr>
          <w:p>
            <w:pPr>
              <w:jc w:val="right"/>
              <w:ind w:right="11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3,071</w:t>
            </w:r>
          </w:p>
        </w:tc>
        <w:tc>
          <w:tcPr>
            <w:tcW w:w="38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4,485</w:t>
            </w:r>
          </w:p>
        </w:tc>
        <w:tc>
          <w:tcPr>
            <w:tcW w:w="400" w:type="dxa"/>
            <w:vAlign w:val="bottom"/>
            <w:gridSpan w:val="2"/>
          </w:tcPr>
          <w:p>
            <w:pPr>
              <w:jc w:val="right"/>
              <w:ind w:right="11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 xml:space="preserve">356,214 </w:t>
            </w:r>
            <w:r>
              <w:rPr>
                <w:rFonts w:ascii="Times New Roman" w:cs="Times New Roman" w:eastAsia="Times New Roman" w:hAnsi="Times New Roman"/>
                <w:sz w:val="7"/>
                <w:szCs w:val="7"/>
                <w:color w:val="auto"/>
              </w:rPr>
              <w:t>(1)</w:t>
            </w:r>
          </w:p>
        </w:tc>
      </w:tr>
      <w:tr>
        <w:trPr>
          <w:trHeight w:val="132"/>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May 24, 2023</w:t>
            </w:r>
          </w:p>
        </w:tc>
        <w:tc>
          <w:tcPr>
            <w:tcW w:w="1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June 30, 2023</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2,625</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3,071</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4,485</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 xml:space="preserve">365,937 </w:t>
            </w:r>
            <w:r>
              <w:rPr>
                <w:rFonts w:ascii="Times New Roman" w:cs="Times New Roman" w:eastAsia="Times New Roman" w:hAnsi="Times New Roman"/>
                <w:sz w:val="7"/>
                <w:szCs w:val="7"/>
                <w:color w:val="auto"/>
              </w:rPr>
              <w:t>(1)</w:t>
            </w:r>
          </w:p>
        </w:tc>
      </w:tr>
      <w:tr>
        <w:trPr>
          <w:trHeight w:val="132"/>
        </w:trPr>
        <w:tc>
          <w:tcPr>
            <w:tcW w:w="1620" w:type="dxa"/>
            <w:vAlign w:val="bottom"/>
          </w:tcPr>
          <w:p>
            <w:pPr>
              <w:spacing w:after="0"/>
              <w:rPr>
                <w:sz w:val="20"/>
                <w:szCs w:val="20"/>
                <w:color w:val="auto"/>
              </w:rPr>
            </w:pPr>
            <w:r>
              <w:rPr>
                <w:rFonts w:ascii="Times New Roman" w:cs="Times New Roman" w:eastAsia="Times New Roman" w:hAnsi="Times New Roman"/>
                <w:sz w:val="11"/>
                <w:szCs w:val="11"/>
                <w:color w:val="auto"/>
              </w:rPr>
              <w:t>August 8, 2023</w:t>
            </w: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September 29, 2023</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2,625</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3,071</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4,485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 xml:space="preserve">370,278 </w:t>
            </w:r>
            <w:r>
              <w:rPr>
                <w:rFonts w:ascii="Times New Roman" w:cs="Times New Roman" w:eastAsia="Times New Roman" w:hAnsi="Times New Roman"/>
                <w:sz w:val="7"/>
                <w:szCs w:val="7"/>
                <w:color w:val="auto"/>
              </w:rPr>
              <w:t>(1)</w:t>
            </w:r>
          </w:p>
        </w:tc>
      </w:tr>
      <w:tr>
        <w:trPr>
          <w:trHeight w:val="132"/>
        </w:trPr>
        <w:tc>
          <w:tcPr>
            <w:tcW w:w="1620" w:type="dxa"/>
            <w:vAlign w:val="bottom"/>
            <w:shd w:val="clear" w:color="auto" w:fill="CCEEFF"/>
          </w:tcPr>
          <w:p>
            <w:pPr>
              <w:spacing w:after="0"/>
              <w:rPr>
                <w:sz w:val="11"/>
                <w:szCs w:val="11"/>
                <w:color w:val="auto"/>
              </w:rPr>
            </w:pPr>
          </w:p>
        </w:tc>
        <w:tc>
          <w:tcPr>
            <w:tcW w:w="1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December 29, 2023 for</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32"/>
        </w:trPr>
        <w:tc>
          <w:tcPr>
            <w:tcW w:w="1620" w:type="dxa"/>
            <w:vAlign w:val="bottom"/>
            <w:shd w:val="clear" w:color="auto" w:fill="CCEEFF"/>
          </w:tcPr>
          <w:p>
            <w:pPr>
              <w:spacing w:after="0"/>
              <w:rPr>
                <w:sz w:val="11"/>
                <w:szCs w:val="11"/>
                <w:color w:val="auto"/>
              </w:rPr>
            </w:pPr>
          </w:p>
        </w:tc>
        <w:tc>
          <w:tcPr>
            <w:tcW w:w="1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Preferred Stock; January 19,</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32"/>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November 28, 2023</w:t>
            </w:r>
          </w:p>
        </w:tc>
        <w:tc>
          <w:tcPr>
            <w:tcW w:w="1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2024 for Common Stock</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2,625</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3,071</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4,485</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 xml:space="preserve">380,019 </w:t>
            </w:r>
            <w:r>
              <w:rPr>
                <w:rFonts w:ascii="Times New Roman" w:cs="Times New Roman" w:eastAsia="Times New Roman" w:hAnsi="Times New Roman"/>
                <w:sz w:val="7"/>
                <w:szCs w:val="7"/>
                <w:color w:val="auto"/>
              </w:rPr>
              <w:t>(1)</w:t>
            </w:r>
          </w:p>
        </w:tc>
      </w:tr>
      <w:tr>
        <w:trPr>
          <w:trHeight w:val="164"/>
        </w:trPr>
        <w:tc>
          <w:tcPr>
            <w:tcW w:w="16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66"/>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10,500</w:t>
            </w:r>
          </w:p>
        </w:tc>
        <w:tc>
          <w:tcPr>
            <w:tcW w:w="20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5"/>
                <w:szCs w:val="5"/>
                <w:color w:val="auto"/>
                <w:w w:val="78"/>
              </w:rPr>
              <w:t>$</w:t>
            </w:r>
          </w:p>
        </w:tc>
        <w:tc>
          <w:tcPr>
            <w:tcW w:w="86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12,284</w:t>
            </w:r>
          </w:p>
        </w:tc>
        <w:tc>
          <w:tcPr>
            <w:tcW w:w="20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66"/>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17,940</w:t>
            </w:r>
          </w:p>
        </w:tc>
        <w:tc>
          <w:tcPr>
            <w:tcW w:w="22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5"/>
                <w:szCs w:val="5"/>
                <w:color w:val="auto"/>
                <w:w w:val="78"/>
              </w:rPr>
              <w:t>$</w:t>
            </w:r>
          </w:p>
        </w:tc>
        <w:tc>
          <w:tcPr>
            <w:tcW w:w="88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1,472,448</w:t>
            </w:r>
          </w:p>
        </w:tc>
        <w:tc>
          <w:tcPr>
            <w:tcW w:w="220" w:type="dxa"/>
            <w:vAlign w:val="bottom"/>
            <w:tcBorders>
              <w:bottom w:val="single" w:sz="8" w:color="CCEEFF"/>
            </w:tcBorders>
          </w:tcPr>
          <w:p>
            <w:pPr>
              <w:spacing w:after="0"/>
              <w:rPr>
                <w:sz w:val="14"/>
                <w:szCs w:val="14"/>
                <w:color w:val="auto"/>
              </w:rPr>
            </w:pPr>
          </w:p>
        </w:tc>
      </w:tr>
      <w:tr>
        <w:trPr>
          <w:trHeight w:val="108"/>
        </w:trPr>
        <w:tc>
          <w:tcPr>
            <w:tcW w:w="1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r>
      <w:tr>
        <w:trPr>
          <w:trHeight w:val="132"/>
        </w:trPr>
        <w:tc>
          <w:tcPr>
            <w:tcW w:w="1620" w:type="dxa"/>
            <w:vAlign w:val="bottom"/>
          </w:tcPr>
          <w:p>
            <w:pPr>
              <w:spacing w:after="0"/>
              <w:rPr>
                <w:sz w:val="20"/>
                <w:szCs w:val="20"/>
                <w:color w:val="auto"/>
              </w:rPr>
            </w:pPr>
            <w:r>
              <w:rPr>
                <w:rFonts w:ascii="Times New Roman" w:cs="Times New Roman" w:eastAsia="Times New Roman" w:hAnsi="Times New Roman"/>
                <w:sz w:val="11"/>
                <w:szCs w:val="11"/>
                <w:color w:val="auto"/>
              </w:rPr>
              <w:t>February 28, 2024</w:t>
            </w: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March 28, 2024</w:t>
            </w:r>
          </w:p>
        </w:tc>
        <w:tc>
          <w:tcPr>
            <w:tcW w:w="38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2,625</w:t>
            </w:r>
          </w:p>
        </w:tc>
        <w:tc>
          <w:tcPr>
            <w:tcW w:w="380" w:type="dxa"/>
            <w:vAlign w:val="bottom"/>
            <w:gridSpan w:val="2"/>
          </w:tcPr>
          <w:p>
            <w:pPr>
              <w:jc w:val="right"/>
              <w:ind w:right="11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3,071</w:t>
            </w:r>
          </w:p>
        </w:tc>
        <w:tc>
          <w:tcPr>
            <w:tcW w:w="38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4,485</w:t>
            </w:r>
          </w:p>
        </w:tc>
        <w:tc>
          <w:tcPr>
            <w:tcW w:w="400" w:type="dxa"/>
            <w:vAlign w:val="bottom"/>
            <w:gridSpan w:val="2"/>
          </w:tcPr>
          <w:p>
            <w:pPr>
              <w:jc w:val="right"/>
              <w:ind w:right="11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 xml:space="preserve">382,208 </w:t>
            </w:r>
            <w:r>
              <w:rPr>
                <w:rFonts w:ascii="Times New Roman" w:cs="Times New Roman" w:eastAsia="Times New Roman" w:hAnsi="Times New Roman"/>
                <w:sz w:val="7"/>
                <w:szCs w:val="7"/>
                <w:color w:val="auto"/>
              </w:rPr>
              <w:t>(1)</w:t>
            </w:r>
          </w:p>
        </w:tc>
      </w:tr>
      <w:tr>
        <w:trPr>
          <w:trHeight w:val="132"/>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May 8, 2024</w:t>
            </w:r>
          </w:p>
        </w:tc>
        <w:tc>
          <w:tcPr>
            <w:tcW w:w="1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June 28, 2024</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2,625</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3,071</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4,485</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 xml:space="preserve">397,429 </w:t>
            </w:r>
            <w:r>
              <w:rPr>
                <w:rFonts w:ascii="Times New Roman" w:cs="Times New Roman" w:eastAsia="Times New Roman" w:hAnsi="Times New Roman"/>
                <w:sz w:val="7"/>
                <w:szCs w:val="7"/>
                <w:color w:val="auto"/>
              </w:rPr>
              <w:t>(1)</w:t>
            </w:r>
          </w:p>
        </w:tc>
      </w:tr>
      <w:tr>
        <w:trPr>
          <w:trHeight w:val="132"/>
        </w:trPr>
        <w:tc>
          <w:tcPr>
            <w:tcW w:w="1620" w:type="dxa"/>
            <w:vAlign w:val="bottom"/>
          </w:tcPr>
          <w:p>
            <w:pPr>
              <w:spacing w:after="0"/>
              <w:rPr>
                <w:sz w:val="20"/>
                <w:szCs w:val="20"/>
                <w:color w:val="auto"/>
              </w:rPr>
            </w:pPr>
            <w:r>
              <w:rPr>
                <w:rFonts w:ascii="Times New Roman" w:cs="Times New Roman" w:eastAsia="Times New Roman" w:hAnsi="Times New Roman"/>
                <w:sz w:val="11"/>
                <w:szCs w:val="11"/>
                <w:color w:val="auto"/>
              </w:rPr>
              <w:t>August 7, 2024</w:t>
            </w: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September 30, 2024</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2,625</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3,071</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4,485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 xml:space="preserve">400,659 </w:t>
            </w:r>
            <w:r>
              <w:rPr>
                <w:rFonts w:ascii="Times New Roman" w:cs="Times New Roman" w:eastAsia="Times New Roman" w:hAnsi="Times New Roman"/>
                <w:sz w:val="7"/>
                <w:szCs w:val="7"/>
                <w:color w:val="auto"/>
              </w:rPr>
              <w:t>(1)</w:t>
            </w:r>
          </w:p>
        </w:tc>
      </w:tr>
      <w:tr>
        <w:trPr>
          <w:trHeight w:val="132"/>
        </w:trPr>
        <w:tc>
          <w:tcPr>
            <w:tcW w:w="1620" w:type="dxa"/>
            <w:vAlign w:val="bottom"/>
            <w:shd w:val="clear" w:color="auto" w:fill="CCEEFF"/>
          </w:tcPr>
          <w:p>
            <w:pPr>
              <w:spacing w:after="0"/>
              <w:rPr>
                <w:sz w:val="11"/>
                <w:szCs w:val="11"/>
                <w:color w:val="auto"/>
              </w:rPr>
            </w:pPr>
          </w:p>
        </w:tc>
        <w:tc>
          <w:tcPr>
            <w:tcW w:w="1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December 31, 2024 for</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32"/>
        </w:trPr>
        <w:tc>
          <w:tcPr>
            <w:tcW w:w="1620" w:type="dxa"/>
            <w:vAlign w:val="bottom"/>
            <w:shd w:val="clear" w:color="auto" w:fill="CCEEFF"/>
          </w:tcPr>
          <w:p>
            <w:pPr>
              <w:spacing w:after="0"/>
              <w:rPr>
                <w:sz w:val="11"/>
                <w:szCs w:val="11"/>
                <w:color w:val="auto"/>
              </w:rPr>
            </w:pPr>
          </w:p>
        </w:tc>
        <w:tc>
          <w:tcPr>
            <w:tcW w:w="1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Preferred Stock; January 17,</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32"/>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November 4, 2024</w:t>
            </w:r>
          </w:p>
        </w:tc>
        <w:tc>
          <w:tcPr>
            <w:tcW w:w="1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2025 for Common Stock</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2,625</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3,071</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4,485</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 xml:space="preserve">410,831 </w:t>
            </w:r>
            <w:r>
              <w:rPr>
                <w:rFonts w:ascii="Times New Roman" w:cs="Times New Roman" w:eastAsia="Times New Roman" w:hAnsi="Times New Roman"/>
                <w:sz w:val="7"/>
                <w:szCs w:val="7"/>
                <w:color w:val="auto"/>
              </w:rPr>
              <w:t>(1)</w:t>
            </w:r>
          </w:p>
        </w:tc>
      </w:tr>
      <w:tr>
        <w:trPr>
          <w:trHeight w:val="164"/>
        </w:trPr>
        <w:tc>
          <w:tcPr>
            <w:tcW w:w="16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66"/>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10,500</w:t>
            </w:r>
          </w:p>
        </w:tc>
        <w:tc>
          <w:tcPr>
            <w:tcW w:w="20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5"/>
                <w:szCs w:val="5"/>
                <w:color w:val="auto"/>
                <w:w w:val="78"/>
              </w:rPr>
              <w:t>$</w:t>
            </w:r>
          </w:p>
        </w:tc>
        <w:tc>
          <w:tcPr>
            <w:tcW w:w="86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12,284</w:t>
            </w:r>
          </w:p>
        </w:tc>
        <w:tc>
          <w:tcPr>
            <w:tcW w:w="20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66"/>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17,940</w:t>
            </w:r>
          </w:p>
        </w:tc>
        <w:tc>
          <w:tcPr>
            <w:tcW w:w="22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5"/>
                <w:szCs w:val="5"/>
                <w:color w:val="auto"/>
                <w:w w:val="78"/>
              </w:rPr>
              <w:t>$</w:t>
            </w:r>
          </w:p>
        </w:tc>
        <w:tc>
          <w:tcPr>
            <w:tcW w:w="88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1,591,127</w:t>
            </w:r>
          </w:p>
        </w:tc>
        <w:tc>
          <w:tcPr>
            <w:tcW w:w="220" w:type="dxa"/>
            <w:vAlign w:val="bottom"/>
            <w:tcBorders>
              <w:bottom w:val="single" w:sz="8" w:color="CCEEFF"/>
            </w:tcBorders>
          </w:tcPr>
          <w:p>
            <w:pPr>
              <w:spacing w:after="0"/>
              <w:rPr>
                <w:sz w:val="14"/>
                <w:szCs w:val="14"/>
                <w:color w:val="auto"/>
              </w:rPr>
            </w:pPr>
          </w:p>
        </w:tc>
      </w:tr>
      <w:tr>
        <w:trPr>
          <w:trHeight w:val="108"/>
        </w:trPr>
        <w:tc>
          <w:tcPr>
            <w:tcW w:w="1620" w:type="dxa"/>
            <w:vAlign w:val="bottom"/>
            <w:tcBorders>
              <w:bottom w:val="single" w:sz="8" w:color="CCEEFF"/>
            </w:tcBorders>
            <w:shd w:val="clear" w:color="auto" w:fill="CCEEFF"/>
          </w:tcPr>
          <w:p>
            <w:pPr>
              <w:spacing w:after="0" w:line="109" w:lineRule="exact"/>
              <w:rPr>
                <w:sz w:val="20"/>
                <w:szCs w:val="20"/>
                <w:color w:val="auto"/>
              </w:rPr>
            </w:pPr>
            <w:r>
              <w:rPr>
                <w:rFonts w:ascii="Times New Roman" w:cs="Times New Roman" w:eastAsia="Times New Roman" w:hAnsi="Times New Roman"/>
                <w:sz w:val="11"/>
                <w:szCs w:val="11"/>
                <w:color w:val="auto"/>
              </w:rPr>
              <w:t>Annual rate of dividend per share</w:t>
            </w:r>
          </w:p>
        </w:tc>
        <w:tc>
          <w:tcPr>
            <w:tcW w:w="120" w:type="dxa"/>
            <w:vAlign w:val="bottom"/>
            <w:tcBorders>
              <w:bottom w:val="single" w:sz="8" w:color="CCEEFF"/>
            </w:tcBorders>
            <w:shd w:val="clear" w:color="auto" w:fill="CCEEFF"/>
          </w:tcPr>
          <w:p>
            <w:pPr>
              <w:spacing w:after="0"/>
              <w:rPr>
                <w:sz w:val="9"/>
                <w:szCs w:val="9"/>
                <w:color w:val="auto"/>
              </w:rPr>
            </w:pPr>
          </w:p>
        </w:tc>
        <w:tc>
          <w:tcPr>
            <w:tcW w:w="1400" w:type="dxa"/>
            <w:vAlign w:val="bottom"/>
            <w:tcBorders>
              <w:bottom w:val="single" w:sz="8" w:color="CCEEFF"/>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jc w:val="right"/>
              <w:ind w:right="66"/>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1.31250</w:t>
            </w:r>
          </w:p>
        </w:tc>
        <w:tc>
          <w:tcPr>
            <w:tcW w:w="200" w:type="dxa"/>
            <w:vAlign w:val="bottom"/>
            <w:tcBorders>
              <w:bottom w:val="single" w:sz="8" w:color="CCEEFF"/>
            </w:tcBorders>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5"/>
                <w:szCs w:val="5"/>
                <w:color w:val="auto"/>
                <w:w w:val="78"/>
              </w:rPr>
              <w:t>$</w:t>
            </w:r>
          </w:p>
        </w:tc>
        <w:tc>
          <w:tcPr>
            <w:tcW w:w="860" w:type="dxa"/>
            <w:vAlign w:val="bottom"/>
            <w:tcBorders>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1.46250</w:t>
            </w:r>
          </w:p>
        </w:tc>
        <w:tc>
          <w:tcPr>
            <w:tcW w:w="200" w:type="dxa"/>
            <w:vAlign w:val="bottom"/>
            <w:tcBorders>
              <w:bottom w:val="single" w:sz="8" w:color="CCEEFF"/>
            </w:tcBorders>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jc w:val="right"/>
              <w:ind w:right="66"/>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1.30000</w:t>
            </w:r>
          </w:p>
        </w:tc>
        <w:tc>
          <w:tcPr>
            <w:tcW w:w="220" w:type="dxa"/>
            <w:vAlign w:val="bottom"/>
            <w:tcBorders>
              <w:bottom w:val="single" w:sz="8" w:color="CCEEFF"/>
            </w:tcBorders>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5"/>
                <w:szCs w:val="5"/>
                <w:color w:val="auto"/>
                <w:w w:val="78"/>
              </w:rPr>
              <w:t>$</w:t>
            </w:r>
          </w:p>
        </w:tc>
        <w:tc>
          <w:tcPr>
            <w:tcW w:w="880" w:type="dxa"/>
            <w:vAlign w:val="bottom"/>
            <w:tcBorders>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4.88000</w:t>
            </w:r>
          </w:p>
        </w:tc>
        <w:tc>
          <w:tcPr>
            <w:tcW w:w="220" w:type="dxa"/>
            <w:vAlign w:val="bottom"/>
            <w:tcBorders>
              <w:bottom w:val="single" w:sz="8" w:color="CCEEFF"/>
            </w:tcBorders>
            <w:shd w:val="clear" w:color="auto" w:fill="CCEEFF"/>
          </w:tcPr>
          <w:p>
            <w:pPr>
              <w:spacing w:after="0"/>
              <w:rPr>
                <w:sz w:val="9"/>
                <w:szCs w:val="9"/>
                <w:color w:val="auto"/>
              </w:rPr>
            </w:pPr>
          </w:p>
        </w:tc>
      </w:tr>
      <w:tr>
        <w:trPr>
          <w:trHeight w:val="20"/>
        </w:trPr>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175260</wp:posOffset>
            </wp:positionV>
            <wp:extent cx="1326515"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326515" cy="7620"/>
                    </a:xfrm>
                    <a:prstGeom prst="rect">
                      <a:avLst/>
                    </a:prstGeom>
                    <a:noFill/>
                  </pic:spPr>
                </pic:pic>
              </a:graphicData>
            </a:graphic>
          </wp:anchor>
        </w:drawing>
      </w:r>
    </w:p>
    <w:p>
      <w:pPr>
        <w:spacing w:after="0" w:line="3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(1)  $4.880 annual rate of dividend per share.</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48" w:name="page149"/>
    <w:bookmarkEnd w:id="148"/>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 and 2023</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Digital Realty Trust, L.P. Distributions</w:t>
      </w:r>
    </w:p>
    <w:p>
      <w:pPr>
        <w:spacing w:after="0" w:line="190" w:lineRule="exact"/>
        <w:rPr>
          <w:sz w:val="20"/>
          <w:szCs w:val="20"/>
          <w:color w:val="auto"/>
        </w:rPr>
      </w:pPr>
    </w:p>
    <w:p>
      <w:pPr>
        <w:ind w:left="320" w:right="380"/>
        <w:spacing w:after="0" w:line="247" w:lineRule="auto"/>
        <w:rPr>
          <w:sz w:val="20"/>
          <w:szCs w:val="20"/>
          <w:color w:val="auto"/>
        </w:rPr>
      </w:pPr>
      <w:r>
        <w:rPr>
          <w:rFonts w:ascii="Times New Roman" w:cs="Times New Roman" w:eastAsia="Times New Roman" w:hAnsi="Times New Roman"/>
          <w:sz w:val="16"/>
          <w:szCs w:val="16"/>
          <w:color w:val="auto"/>
        </w:rPr>
        <w:t>All distributions on the Operating Partnership’s units are at the discretion of Digital Realty Trust, Inc.’s Board of Directors. The table below shows the distributions declared and paid by the Operating Partnership on its common and preferred units for years ended December 31, 2024, 2023 and 2022, (in thousands, except for per unit data):</w:t>
      </w:r>
    </w:p>
    <w:p>
      <w:pPr>
        <w:spacing w:after="0" w:line="211" w:lineRule="exact"/>
        <w:rPr>
          <w:sz w:val="20"/>
          <w:szCs w:val="20"/>
          <w:color w:val="auto"/>
        </w:rPr>
      </w:pPr>
    </w:p>
    <w:tbl>
      <w:tblPr>
        <w:tblLayout w:type="fixed"/>
        <w:tblInd w:w="320" w:type="dxa"/>
        <w:tblCellMar>
          <w:top w:w="0" w:type="dxa"/>
          <w:left w:w="0" w:type="dxa"/>
          <w:bottom w:w="0" w:type="dxa"/>
          <w:right w:w="0" w:type="dxa"/>
        </w:tblCellMar>
      </w:tblP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126"/>
              <w:spacing w:after="0"/>
              <w:rPr>
                <w:sz w:val="20"/>
                <w:szCs w:val="20"/>
                <w:color w:val="auto"/>
              </w:rPr>
            </w:pPr>
            <w:r>
              <w:rPr>
                <w:rFonts w:ascii="Times New Roman" w:cs="Times New Roman" w:eastAsia="Times New Roman" w:hAnsi="Times New Roman"/>
                <w:sz w:val="11"/>
                <w:szCs w:val="11"/>
                <w:b w:val="1"/>
                <w:bCs w:val="1"/>
                <w:color w:val="auto"/>
                <w:w w:val="98"/>
              </w:rPr>
              <w:t>Series J</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ind w:right="126"/>
              <w:spacing w:after="0"/>
              <w:rPr>
                <w:sz w:val="20"/>
                <w:szCs w:val="20"/>
                <w:color w:val="auto"/>
              </w:rPr>
            </w:pPr>
            <w:r>
              <w:rPr>
                <w:rFonts w:ascii="Times New Roman" w:cs="Times New Roman" w:eastAsia="Times New Roman" w:hAnsi="Times New Roman"/>
                <w:sz w:val="11"/>
                <w:szCs w:val="11"/>
                <w:b w:val="1"/>
                <w:bCs w:val="1"/>
                <w:color w:val="auto"/>
              </w:rPr>
              <w:t>Series K</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center"/>
              <w:ind w:right="126"/>
              <w:spacing w:after="0"/>
              <w:rPr>
                <w:sz w:val="20"/>
                <w:szCs w:val="20"/>
                <w:color w:val="auto"/>
              </w:rPr>
            </w:pPr>
            <w:r>
              <w:rPr>
                <w:rFonts w:ascii="Times New Roman" w:cs="Times New Roman" w:eastAsia="Times New Roman" w:hAnsi="Times New Roman"/>
                <w:sz w:val="11"/>
                <w:szCs w:val="11"/>
                <w:b w:val="1"/>
                <w:bCs w:val="1"/>
                <w:color w:val="auto"/>
                <w:w w:val="99"/>
              </w:rPr>
              <w:t>Series L</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56"/>
        </w:trPr>
        <w:tc>
          <w:tcPr>
            <w:tcW w:w="1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ind w:right="126"/>
              <w:spacing w:after="0"/>
              <w:rPr>
                <w:sz w:val="20"/>
                <w:szCs w:val="20"/>
                <w:color w:val="auto"/>
              </w:rPr>
            </w:pPr>
            <w:r>
              <w:rPr>
                <w:rFonts w:ascii="Times New Roman" w:cs="Times New Roman" w:eastAsia="Times New Roman" w:hAnsi="Times New Roman"/>
                <w:sz w:val="11"/>
                <w:szCs w:val="11"/>
                <w:b w:val="1"/>
                <w:bCs w:val="1"/>
                <w:color w:val="auto"/>
                <w:w w:val="95"/>
              </w:rPr>
              <w:t>Preferred</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center"/>
              <w:ind w:right="126"/>
              <w:spacing w:after="0"/>
              <w:rPr>
                <w:sz w:val="20"/>
                <w:szCs w:val="20"/>
                <w:color w:val="auto"/>
              </w:rPr>
            </w:pPr>
            <w:r>
              <w:rPr>
                <w:rFonts w:ascii="Times New Roman" w:cs="Times New Roman" w:eastAsia="Times New Roman" w:hAnsi="Times New Roman"/>
                <w:sz w:val="11"/>
                <w:szCs w:val="11"/>
                <w:b w:val="1"/>
                <w:bCs w:val="1"/>
                <w:color w:val="auto"/>
                <w:w w:val="95"/>
              </w:rPr>
              <w:t>Preferred</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center"/>
              <w:ind w:right="126"/>
              <w:spacing w:after="0"/>
              <w:rPr>
                <w:sz w:val="20"/>
                <w:szCs w:val="20"/>
                <w:color w:val="auto"/>
              </w:rPr>
            </w:pPr>
            <w:r>
              <w:rPr>
                <w:rFonts w:ascii="Times New Roman" w:cs="Times New Roman" w:eastAsia="Times New Roman" w:hAnsi="Times New Roman"/>
                <w:sz w:val="11"/>
                <w:szCs w:val="11"/>
                <w:b w:val="1"/>
                <w:bCs w:val="1"/>
                <w:color w:val="auto"/>
              </w:rPr>
              <w:t>Preferred</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1"/>
                <w:szCs w:val="11"/>
                <w:b w:val="1"/>
                <w:bCs w:val="1"/>
                <w:color w:val="auto"/>
              </w:rPr>
              <w:t>Common</w:t>
            </w:r>
          </w:p>
        </w:tc>
      </w:tr>
      <w:tr>
        <w:trPr>
          <w:trHeight w:val="148"/>
        </w:trPr>
        <w:tc>
          <w:tcPr>
            <w:tcW w:w="17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Date distribution declared</w:t>
            </w: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Distribution payment date</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126"/>
              <w:spacing w:after="0"/>
              <w:rPr>
                <w:sz w:val="20"/>
                <w:szCs w:val="20"/>
                <w:color w:val="auto"/>
              </w:rPr>
            </w:pPr>
            <w:r>
              <w:rPr>
                <w:rFonts w:ascii="Times New Roman" w:cs="Times New Roman" w:eastAsia="Times New Roman" w:hAnsi="Times New Roman"/>
                <w:sz w:val="11"/>
                <w:szCs w:val="11"/>
                <w:b w:val="1"/>
                <w:bCs w:val="1"/>
                <w:color w:val="auto"/>
                <w:w w:val="95"/>
              </w:rPr>
              <w:t>Units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ind w:right="126"/>
              <w:spacing w:after="0"/>
              <w:rPr>
                <w:sz w:val="20"/>
                <w:szCs w:val="20"/>
                <w:color w:val="auto"/>
              </w:rPr>
            </w:pPr>
            <w:r>
              <w:rPr>
                <w:rFonts w:ascii="Times New Roman" w:cs="Times New Roman" w:eastAsia="Times New Roman" w:hAnsi="Times New Roman"/>
                <w:sz w:val="11"/>
                <w:szCs w:val="11"/>
                <w:b w:val="1"/>
                <w:bCs w:val="1"/>
                <w:color w:val="auto"/>
                <w:w w:val="95"/>
              </w:rPr>
              <w:t>Units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center"/>
              <w:ind w:right="126"/>
              <w:spacing w:after="0"/>
              <w:rPr>
                <w:sz w:val="20"/>
                <w:szCs w:val="20"/>
                <w:color w:val="auto"/>
              </w:rPr>
            </w:pPr>
            <w:r>
              <w:rPr>
                <w:rFonts w:ascii="Times New Roman" w:cs="Times New Roman" w:eastAsia="Times New Roman" w:hAnsi="Times New Roman"/>
                <w:sz w:val="11"/>
                <w:szCs w:val="11"/>
                <w:b w:val="1"/>
                <w:bCs w:val="1"/>
                <w:color w:val="auto"/>
              </w:rPr>
              <w:t>Units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640"/>
              <w:spacing w:after="0"/>
              <w:rPr>
                <w:sz w:val="20"/>
                <w:szCs w:val="20"/>
                <w:color w:val="auto"/>
              </w:rPr>
            </w:pPr>
            <w:r>
              <w:rPr>
                <w:rFonts w:ascii="Times New Roman" w:cs="Times New Roman" w:eastAsia="Times New Roman" w:hAnsi="Times New Roman"/>
                <w:sz w:val="11"/>
                <w:szCs w:val="11"/>
                <w:b w:val="1"/>
                <w:bCs w:val="1"/>
                <w:color w:val="auto"/>
              </w:rPr>
              <w:t>Units</w:t>
            </w:r>
          </w:p>
        </w:tc>
      </w:tr>
      <w:tr>
        <w:trPr>
          <w:trHeight w:val="124"/>
        </w:trPr>
        <w:tc>
          <w:tcPr>
            <w:tcW w:w="17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r>
      <w:tr>
        <w:trPr>
          <w:trHeight w:val="132"/>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March 3, 2022</w:t>
            </w:r>
          </w:p>
        </w:tc>
        <w:tc>
          <w:tcPr>
            <w:tcW w:w="1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March 31, 2022</w:t>
            </w:r>
          </w:p>
        </w:tc>
        <w:tc>
          <w:tcPr>
            <w:tcW w:w="400" w:type="dxa"/>
            <w:vAlign w:val="bottom"/>
            <w:gridSpan w:val="3"/>
            <w:shd w:val="clear" w:color="auto" w:fill="CCEEFF"/>
          </w:tcPr>
          <w:p>
            <w:pPr>
              <w:jc w:val="right"/>
              <w:ind w:right="135"/>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2,625</w:t>
            </w:r>
          </w:p>
        </w:tc>
        <w:tc>
          <w:tcPr>
            <w:tcW w:w="400" w:type="dxa"/>
            <w:vAlign w:val="bottom"/>
            <w:gridSpan w:val="2"/>
            <w:shd w:val="clear" w:color="auto" w:fill="CCEEFF"/>
          </w:tcPr>
          <w:p>
            <w:pPr>
              <w:jc w:val="right"/>
              <w:ind w:right="11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3,071</w:t>
            </w:r>
          </w:p>
        </w:tc>
        <w:tc>
          <w:tcPr>
            <w:tcW w:w="400" w:type="dxa"/>
            <w:vAlign w:val="bottom"/>
            <w:gridSpan w:val="2"/>
            <w:shd w:val="clear" w:color="auto" w:fill="CCEEFF"/>
          </w:tcPr>
          <w:p>
            <w:pPr>
              <w:jc w:val="right"/>
              <w:ind w:right="11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4,485</w:t>
            </w:r>
          </w:p>
        </w:tc>
        <w:tc>
          <w:tcPr>
            <w:tcW w:w="400" w:type="dxa"/>
            <w:vAlign w:val="bottom"/>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 xml:space="preserve">355,812 </w:t>
            </w:r>
            <w:r>
              <w:rPr>
                <w:rFonts w:ascii="Times New Roman" w:cs="Times New Roman" w:eastAsia="Times New Roman" w:hAnsi="Times New Roman"/>
                <w:sz w:val="7"/>
                <w:szCs w:val="7"/>
                <w:color w:val="auto"/>
              </w:rPr>
              <w:t>(1)</w:t>
            </w:r>
          </w:p>
        </w:tc>
      </w:tr>
      <w:tr>
        <w:trPr>
          <w:trHeight w:val="132"/>
        </w:trPr>
        <w:tc>
          <w:tcPr>
            <w:tcW w:w="1700" w:type="dxa"/>
            <w:vAlign w:val="bottom"/>
          </w:tcPr>
          <w:p>
            <w:pPr>
              <w:spacing w:after="0"/>
              <w:rPr>
                <w:sz w:val="20"/>
                <w:szCs w:val="20"/>
                <w:color w:val="auto"/>
              </w:rPr>
            </w:pPr>
            <w:r>
              <w:rPr>
                <w:rFonts w:ascii="Times New Roman" w:cs="Times New Roman" w:eastAsia="Times New Roman" w:hAnsi="Times New Roman"/>
                <w:sz w:val="11"/>
                <w:szCs w:val="11"/>
                <w:color w:val="auto"/>
              </w:rPr>
              <w:t>May 24, 2022</w:t>
            </w: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June 30, 2022</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2,625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3,071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4,485</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 xml:space="preserve">355,885 </w:t>
            </w:r>
            <w:r>
              <w:rPr>
                <w:rFonts w:ascii="Times New Roman" w:cs="Times New Roman" w:eastAsia="Times New Roman" w:hAnsi="Times New Roman"/>
                <w:sz w:val="7"/>
                <w:szCs w:val="7"/>
                <w:color w:val="auto"/>
              </w:rPr>
              <w:t>(1)</w:t>
            </w:r>
          </w:p>
        </w:tc>
      </w:tr>
      <w:tr>
        <w:trPr>
          <w:trHeight w:val="132"/>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August 17, 2022</w:t>
            </w:r>
          </w:p>
        </w:tc>
        <w:tc>
          <w:tcPr>
            <w:tcW w:w="1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September 30, 2022</w:t>
            </w: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2,625</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3,071</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4,485</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 xml:space="preserve">359,207 </w:t>
            </w:r>
            <w:r>
              <w:rPr>
                <w:rFonts w:ascii="Times New Roman" w:cs="Times New Roman" w:eastAsia="Times New Roman" w:hAnsi="Times New Roman"/>
                <w:sz w:val="7"/>
                <w:szCs w:val="7"/>
                <w:color w:val="auto"/>
              </w:rPr>
              <w:t>(1)</w:t>
            </w:r>
          </w:p>
        </w:tc>
      </w:tr>
      <w:tr>
        <w:trPr>
          <w:trHeight w:val="132"/>
        </w:trPr>
        <w:tc>
          <w:tcPr>
            <w:tcW w:w="1700" w:type="dxa"/>
            <w:vAlign w:val="bottom"/>
          </w:tcPr>
          <w:p>
            <w:pPr>
              <w:spacing w:after="0"/>
              <w:rPr>
                <w:sz w:val="11"/>
                <w:szCs w:val="11"/>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December 31, 2022 for</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32"/>
        </w:trPr>
        <w:tc>
          <w:tcPr>
            <w:tcW w:w="1700" w:type="dxa"/>
            <w:vAlign w:val="bottom"/>
          </w:tcPr>
          <w:p>
            <w:pPr>
              <w:spacing w:after="0"/>
              <w:rPr>
                <w:sz w:val="11"/>
                <w:szCs w:val="11"/>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Preferred Units; January 13,</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32"/>
        </w:trPr>
        <w:tc>
          <w:tcPr>
            <w:tcW w:w="1700" w:type="dxa"/>
            <w:vAlign w:val="bottom"/>
          </w:tcPr>
          <w:p>
            <w:pPr>
              <w:spacing w:after="0"/>
              <w:rPr>
                <w:sz w:val="20"/>
                <w:szCs w:val="20"/>
                <w:color w:val="auto"/>
              </w:rPr>
            </w:pPr>
            <w:r>
              <w:rPr>
                <w:rFonts w:ascii="Times New Roman" w:cs="Times New Roman" w:eastAsia="Times New Roman" w:hAnsi="Times New Roman"/>
                <w:sz w:val="11"/>
                <w:szCs w:val="11"/>
                <w:color w:val="auto"/>
              </w:rPr>
              <w:t>November 29, 2022</w:t>
            </w: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2023 for Common Units</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2,625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3,071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4,485</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 xml:space="preserve">363,616 </w:t>
            </w:r>
            <w:r>
              <w:rPr>
                <w:rFonts w:ascii="Times New Roman" w:cs="Times New Roman" w:eastAsia="Times New Roman" w:hAnsi="Times New Roman"/>
                <w:sz w:val="7"/>
                <w:szCs w:val="7"/>
                <w:color w:val="auto"/>
              </w:rPr>
              <w:t>(1)</w:t>
            </w:r>
          </w:p>
        </w:tc>
      </w:tr>
      <w:tr>
        <w:trPr>
          <w:trHeight w:val="124"/>
        </w:trPr>
        <w:tc>
          <w:tcPr>
            <w:tcW w:w="170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400" w:type="dxa"/>
            <w:vAlign w:val="bottom"/>
            <w:tcBorders>
              <w:top w:val="single" w:sz="8" w:color="CCEEFF"/>
              <w:bottom w:val="single" w:sz="8" w:color="CCEEFF"/>
            </w:tcBorders>
            <w:shd w:val="clear" w:color="auto" w:fill="CCEEFF"/>
          </w:tcPr>
          <w:p>
            <w:pPr>
              <w:spacing w:after="0"/>
              <w:rPr>
                <w:sz w:val="10"/>
                <w:szCs w:val="10"/>
                <w:color w:val="auto"/>
              </w:rPr>
            </w:pPr>
          </w:p>
        </w:tc>
        <w:tc>
          <w:tcPr>
            <w:tcW w:w="2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
                <w:szCs w:val="1"/>
                <w:color w:val="auto"/>
                <w:w w:val="4294967286"/>
              </w:rPr>
              <w:t>$</w:t>
            </w:r>
          </w:p>
        </w:tc>
        <w:tc>
          <w:tcPr>
            <w:tcW w:w="86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10,500</w:t>
            </w:r>
          </w:p>
        </w:tc>
        <w:tc>
          <w:tcPr>
            <w:tcW w:w="220" w:type="dxa"/>
            <w:vAlign w:val="bottom"/>
            <w:tcBorders>
              <w:top w:val="single" w:sz="8" w:color="CCEEFF"/>
              <w:bottom w:val="single" w:sz="8" w:color="CCEEFF"/>
            </w:tcBorders>
            <w:shd w:val="clear" w:color="auto" w:fill="CCEEFF"/>
          </w:tcPr>
          <w:p>
            <w:pPr>
              <w:spacing w:after="0"/>
              <w:rPr>
                <w:sz w:val="10"/>
                <w:szCs w:val="10"/>
                <w:color w:val="auto"/>
              </w:rPr>
            </w:pPr>
          </w:p>
        </w:tc>
        <w:tc>
          <w:tcPr>
            <w:tcW w:w="18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5"/>
                <w:szCs w:val="5"/>
                <w:color w:val="auto"/>
                <w:w w:val="78"/>
              </w:rPr>
              <w:t>$</w:t>
            </w:r>
          </w:p>
        </w:tc>
        <w:tc>
          <w:tcPr>
            <w:tcW w:w="86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12,284</w:t>
            </w:r>
          </w:p>
        </w:tc>
        <w:tc>
          <w:tcPr>
            <w:tcW w:w="220" w:type="dxa"/>
            <w:vAlign w:val="bottom"/>
            <w:tcBorders>
              <w:top w:val="single" w:sz="8" w:color="CCEEFF"/>
              <w:bottom w:val="single" w:sz="8" w:color="CCEEFF"/>
            </w:tcBorders>
            <w:shd w:val="clear" w:color="auto" w:fill="CCEEFF"/>
          </w:tcPr>
          <w:p>
            <w:pPr>
              <w:spacing w:after="0"/>
              <w:rPr>
                <w:sz w:val="10"/>
                <w:szCs w:val="10"/>
                <w:color w:val="auto"/>
              </w:rPr>
            </w:pPr>
          </w:p>
        </w:tc>
        <w:tc>
          <w:tcPr>
            <w:tcW w:w="18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5"/>
                <w:szCs w:val="5"/>
                <w:color w:val="auto"/>
                <w:w w:val="78"/>
              </w:rPr>
              <w:t>$</w:t>
            </w:r>
          </w:p>
        </w:tc>
        <w:tc>
          <w:tcPr>
            <w:tcW w:w="88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17,940</w:t>
            </w:r>
          </w:p>
        </w:tc>
        <w:tc>
          <w:tcPr>
            <w:tcW w:w="200" w:type="dxa"/>
            <w:vAlign w:val="bottom"/>
            <w:tcBorders>
              <w:top w:val="single" w:sz="8" w:color="CCEEFF"/>
              <w:bottom w:val="single" w:sz="8" w:color="CCEEFF"/>
            </w:tcBorders>
            <w:shd w:val="clear" w:color="auto" w:fill="CCEEFF"/>
          </w:tcPr>
          <w:p>
            <w:pPr>
              <w:spacing w:after="0"/>
              <w:rPr>
                <w:sz w:val="10"/>
                <w:szCs w:val="10"/>
                <w:color w:val="auto"/>
              </w:rPr>
            </w:pPr>
          </w:p>
        </w:tc>
        <w:tc>
          <w:tcPr>
            <w:tcW w:w="200" w:type="dxa"/>
            <w:vAlign w:val="bottom"/>
            <w:tcBorders>
              <w:top w:val="single" w:sz="8" w:color="auto"/>
              <w:bottom w:val="single" w:sz="8" w:color="auto"/>
            </w:tcBorders>
            <w:shd w:val="clear" w:color="auto" w:fill="CCEEFF"/>
          </w:tcPr>
          <w:p>
            <w:pPr>
              <w:jc w:val="right"/>
              <w:ind w:right="86"/>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1,434,520</w:t>
            </w:r>
          </w:p>
        </w:tc>
        <w:tc>
          <w:tcPr>
            <w:tcW w:w="220" w:type="dxa"/>
            <w:vAlign w:val="bottom"/>
            <w:tcBorders>
              <w:top w:val="single" w:sz="8" w:color="CCEEFF"/>
              <w:bottom w:val="single" w:sz="8" w:color="CCEEFF"/>
            </w:tcBorders>
            <w:shd w:val="clear" w:color="auto" w:fill="CCEEFF"/>
          </w:tcPr>
          <w:p>
            <w:pPr>
              <w:spacing w:after="0"/>
              <w:rPr>
                <w:sz w:val="10"/>
                <w:szCs w:val="10"/>
                <w:color w:val="auto"/>
              </w:rPr>
            </w:pPr>
          </w:p>
        </w:tc>
      </w:tr>
      <w:tr>
        <w:trPr>
          <w:trHeight w:val="20"/>
        </w:trPr>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08"/>
        </w:trPr>
        <w:tc>
          <w:tcPr>
            <w:tcW w:w="1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r>
      <w:tr>
        <w:trPr>
          <w:trHeight w:val="132"/>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February 22, 2023</w:t>
            </w:r>
          </w:p>
        </w:tc>
        <w:tc>
          <w:tcPr>
            <w:tcW w:w="1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March 31, 2023</w:t>
            </w:r>
          </w:p>
        </w:tc>
        <w:tc>
          <w:tcPr>
            <w:tcW w:w="400" w:type="dxa"/>
            <w:vAlign w:val="bottom"/>
            <w:gridSpan w:val="3"/>
            <w:shd w:val="clear" w:color="auto" w:fill="CCEEFF"/>
          </w:tcPr>
          <w:p>
            <w:pPr>
              <w:jc w:val="right"/>
              <w:ind w:right="135"/>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2,625</w:t>
            </w:r>
          </w:p>
        </w:tc>
        <w:tc>
          <w:tcPr>
            <w:tcW w:w="400" w:type="dxa"/>
            <w:vAlign w:val="bottom"/>
            <w:gridSpan w:val="2"/>
            <w:shd w:val="clear" w:color="auto" w:fill="CCEEFF"/>
          </w:tcPr>
          <w:p>
            <w:pPr>
              <w:jc w:val="right"/>
              <w:ind w:right="11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3,071</w:t>
            </w:r>
          </w:p>
        </w:tc>
        <w:tc>
          <w:tcPr>
            <w:tcW w:w="400" w:type="dxa"/>
            <w:vAlign w:val="bottom"/>
            <w:gridSpan w:val="2"/>
            <w:shd w:val="clear" w:color="auto" w:fill="CCEEFF"/>
          </w:tcPr>
          <w:p>
            <w:pPr>
              <w:jc w:val="right"/>
              <w:ind w:right="11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4,485</w:t>
            </w:r>
          </w:p>
        </w:tc>
        <w:tc>
          <w:tcPr>
            <w:tcW w:w="400" w:type="dxa"/>
            <w:vAlign w:val="bottom"/>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 xml:space="preserve">364,204 </w:t>
            </w:r>
            <w:r>
              <w:rPr>
                <w:rFonts w:ascii="Times New Roman" w:cs="Times New Roman" w:eastAsia="Times New Roman" w:hAnsi="Times New Roman"/>
                <w:sz w:val="7"/>
                <w:szCs w:val="7"/>
                <w:color w:val="auto"/>
              </w:rPr>
              <w:t>(1)</w:t>
            </w:r>
          </w:p>
        </w:tc>
      </w:tr>
      <w:tr>
        <w:trPr>
          <w:trHeight w:val="132"/>
        </w:trPr>
        <w:tc>
          <w:tcPr>
            <w:tcW w:w="1700" w:type="dxa"/>
            <w:vAlign w:val="bottom"/>
          </w:tcPr>
          <w:p>
            <w:pPr>
              <w:spacing w:after="0"/>
              <w:rPr>
                <w:sz w:val="20"/>
                <w:szCs w:val="20"/>
                <w:color w:val="auto"/>
              </w:rPr>
            </w:pPr>
            <w:r>
              <w:rPr>
                <w:rFonts w:ascii="Times New Roman" w:cs="Times New Roman" w:eastAsia="Times New Roman" w:hAnsi="Times New Roman"/>
                <w:sz w:val="11"/>
                <w:szCs w:val="11"/>
                <w:color w:val="auto"/>
              </w:rPr>
              <w:t>May 24, 2023</w:t>
            </w: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June 30, 2023</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2,625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3,071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4,485</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 xml:space="preserve">373,833 </w:t>
            </w:r>
            <w:r>
              <w:rPr>
                <w:rFonts w:ascii="Times New Roman" w:cs="Times New Roman" w:eastAsia="Times New Roman" w:hAnsi="Times New Roman"/>
                <w:sz w:val="7"/>
                <w:szCs w:val="7"/>
                <w:color w:val="auto"/>
              </w:rPr>
              <w:t>(1)</w:t>
            </w:r>
          </w:p>
        </w:tc>
      </w:tr>
      <w:tr>
        <w:trPr>
          <w:trHeight w:val="132"/>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August 8, 2023</w:t>
            </w:r>
          </w:p>
        </w:tc>
        <w:tc>
          <w:tcPr>
            <w:tcW w:w="1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September 29, 2023</w:t>
            </w: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2,625</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3,071</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4,485</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 xml:space="preserve">378,352 </w:t>
            </w:r>
            <w:r>
              <w:rPr>
                <w:rFonts w:ascii="Times New Roman" w:cs="Times New Roman" w:eastAsia="Times New Roman" w:hAnsi="Times New Roman"/>
                <w:sz w:val="7"/>
                <w:szCs w:val="7"/>
                <w:color w:val="auto"/>
              </w:rPr>
              <w:t>(1)</w:t>
            </w:r>
          </w:p>
        </w:tc>
      </w:tr>
      <w:tr>
        <w:trPr>
          <w:trHeight w:val="132"/>
        </w:trPr>
        <w:tc>
          <w:tcPr>
            <w:tcW w:w="1700" w:type="dxa"/>
            <w:vAlign w:val="bottom"/>
          </w:tcPr>
          <w:p>
            <w:pPr>
              <w:spacing w:after="0"/>
              <w:rPr>
                <w:sz w:val="11"/>
                <w:szCs w:val="11"/>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December 29, 2023 for</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32"/>
        </w:trPr>
        <w:tc>
          <w:tcPr>
            <w:tcW w:w="1700" w:type="dxa"/>
            <w:vAlign w:val="bottom"/>
          </w:tcPr>
          <w:p>
            <w:pPr>
              <w:spacing w:after="0"/>
              <w:rPr>
                <w:sz w:val="11"/>
                <w:szCs w:val="11"/>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Preferred Units; January 19,</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32"/>
        </w:trPr>
        <w:tc>
          <w:tcPr>
            <w:tcW w:w="1700" w:type="dxa"/>
            <w:vAlign w:val="bottom"/>
          </w:tcPr>
          <w:p>
            <w:pPr>
              <w:spacing w:after="0"/>
              <w:rPr>
                <w:sz w:val="20"/>
                <w:szCs w:val="20"/>
                <w:color w:val="auto"/>
              </w:rPr>
            </w:pPr>
            <w:r>
              <w:rPr>
                <w:rFonts w:ascii="Times New Roman" w:cs="Times New Roman" w:eastAsia="Times New Roman" w:hAnsi="Times New Roman"/>
                <w:sz w:val="11"/>
                <w:szCs w:val="11"/>
                <w:color w:val="auto"/>
              </w:rPr>
              <w:t>November 28, 2023</w:t>
            </w: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2024 for Common Units</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2,625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3,071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4,485</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 xml:space="preserve">387,988 </w:t>
            </w:r>
            <w:r>
              <w:rPr>
                <w:rFonts w:ascii="Times New Roman" w:cs="Times New Roman" w:eastAsia="Times New Roman" w:hAnsi="Times New Roman"/>
                <w:sz w:val="7"/>
                <w:szCs w:val="7"/>
                <w:color w:val="auto"/>
              </w:rPr>
              <w:t>(1)</w:t>
            </w:r>
          </w:p>
        </w:tc>
      </w:tr>
      <w:tr>
        <w:trPr>
          <w:trHeight w:val="124"/>
        </w:trPr>
        <w:tc>
          <w:tcPr>
            <w:tcW w:w="170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400" w:type="dxa"/>
            <w:vAlign w:val="bottom"/>
            <w:tcBorders>
              <w:top w:val="single" w:sz="8" w:color="CCEEFF"/>
              <w:bottom w:val="single" w:sz="8" w:color="CCEEFF"/>
            </w:tcBorders>
            <w:shd w:val="clear" w:color="auto" w:fill="CCEEFF"/>
          </w:tcPr>
          <w:p>
            <w:pPr>
              <w:spacing w:after="0"/>
              <w:rPr>
                <w:sz w:val="10"/>
                <w:szCs w:val="10"/>
                <w:color w:val="auto"/>
              </w:rPr>
            </w:pPr>
          </w:p>
        </w:tc>
        <w:tc>
          <w:tcPr>
            <w:tcW w:w="2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
                <w:szCs w:val="1"/>
                <w:color w:val="auto"/>
                <w:w w:val="4294967286"/>
              </w:rPr>
              <w:t>$</w:t>
            </w:r>
          </w:p>
        </w:tc>
        <w:tc>
          <w:tcPr>
            <w:tcW w:w="86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10,500</w:t>
            </w:r>
          </w:p>
        </w:tc>
        <w:tc>
          <w:tcPr>
            <w:tcW w:w="220" w:type="dxa"/>
            <w:vAlign w:val="bottom"/>
            <w:tcBorders>
              <w:top w:val="single" w:sz="8" w:color="CCEEFF"/>
              <w:bottom w:val="single" w:sz="8" w:color="CCEEFF"/>
            </w:tcBorders>
            <w:shd w:val="clear" w:color="auto" w:fill="CCEEFF"/>
          </w:tcPr>
          <w:p>
            <w:pPr>
              <w:spacing w:after="0"/>
              <w:rPr>
                <w:sz w:val="10"/>
                <w:szCs w:val="10"/>
                <w:color w:val="auto"/>
              </w:rPr>
            </w:pPr>
          </w:p>
        </w:tc>
        <w:tc>
          <w:tcPr>
            <w:tcW w:w="18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5"/>
                <w:szCs w:val="5"/>
                <w:color w:val="auto"/>
                <w:w w:val="78"/>
              </w:rPr>
              <w:t>$</w:t>
            </w:r>
          </w:p>
        </w:tc>
        <w:tc>
          <w:tcPr>
            <w:tcW w:w="86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12,284</w:t>
            </w:r>
          </w:p>
        </w:tc>
        <w:tc>
          <w:tcPr>
            <w:tcW w:w="220" w:type="dxa"/>
            <w:vAlign w:val="bottom"/>
            <w:tcBorders>
              <w:top w:val="single" w:sz="8" w:color="CCEEFF"/>
              <w:bottom w:val="single" w:sz="8" w:color="CCEEFF"/>
            </w:tcBorders>
            <w:shd w:val="clear" w:color="auto" w:fill="CCEEFF"/>
          </w:tcPr>
          <w:p>
            <w:pPr>
              <w:spacing w:after="0"/>
              <w:rPr>
                <w:sz w:val="10"/>
                <w:szCs w:val="10"/>
                <w:color w:val="auto"/>
              </w:rPr>
            </w:pPr>
          </w:p>
        </w:tc>
        <w:tc>
          <w:tcPr>
            <w:tcW w:w="18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5"/>
                <w:szCs w:val="5"/>
                <w:color w:val="auto"/>
                <w:w w:val="78"/>
              </w:rPr>
              <w:t>$</w:t>
            </w:r>
          </w:p>
        </w:tc>
        <w:tc>
          <w:tcPr>
            <w:tcW w:w="88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17,940</w:t>
            </w:r>
          </w:p>
        </w:tc>
        <w:tc>
          <w:tcPr>
            <w:tcW w:w="200" w:type="dxa"/>
            <w:vAlign w:val="bottom"/>
            <w:tcBorders>
              <w:top w:val="single" w:sz="8" w:color="CCEEFF"/>
              <w:bottom w:val="single" w:sz="8" w:color="CCEEFF"/>
            </w:tcBorders>
            <w:shd w:val="clear" w:color="auto" w:fill="CCEEFF"/>
          </w:tcPr>
          <w:p>
            <w:pPr>
              <w:spacing w:after="0"/>
              <w:rPr>
                <w:sz w:val="10"/>
                <w:szCs w:val="10"/>
                <w:color w:val="auto"/>
              </w:rPr>
            </w:pPr>
          </w:p>
        </w:tc>
        <w:tc>
          <w:tcPr>
            <w:tcW w:w="200" w:type="dxa"/>
            <w:vAlign w:val="bottom"/>
            <w:tcBorders>
              <w:top w:val="single" w:sz="8" w:color="auto"/>
              <w:bottom w:val="single" w:sz="8" w:color="auto"/>
            </w:tcBorders>
            <w:shd w:val="clear" w:color="auto" w:fill="CCEEFF"/>
          </w:tcPr>
          <w:p>
            <w:pPr>
              <w:jc w:val="right"/>
              <w:ind w:right="86"/>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1,504,377</w:t>
            </w:r>
          </w:p>
        </w:tc>
        <w:tc>
          <w:tcPr>
            <w:tcW w:w="220" w:type="dxa"/>
            <w:vAlign w:val="bottom"/>
            <w:tcBorders>
              <w:top w:val="single" w:sz="8" w:color="CCEEFF"/>
              <w:bottom w:val="single" w:sz="8" w:color="CCEEFF"/>
            </w:tcBorders>
            <w:shd w:val="clear" w:color="auto" w:fill="CCEEFF"/>
          </w:tcPr>
          <w:p>
            <w:pPr>
              <w:spacing w:after="0"/>
              <w:rPr>
                <w:sz w:val="10"/>
                <w:szCs w:val="10"/>
                <w:color w:val="auto"/>
              </w:rPr>
            </w:pPr>
          </w:p>
        </w:tc>
      </w:tr>
      <w:tr>
        <w:trPr>
          <w:trHeight w:val="20"/>
        </w:trPr>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08"/>
        </w:trPr>
        <w:tc>
          <w:tcPr>
            <w:tcW w:w="1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r>
      <w:tr>
        <w:trPr>
          <w:trHeight w:val="132"/>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February 28, 2024</w:t>
            </w:r>
          </w:p>
        </w:tc>
        <w:tc>
          <w:tcPr>
            <w:tcW w:w="1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March 28, 2024</w:t>
            </w:r>
          </w:p>
        </w:tc>
        <w:tc>
          <w:tcPr>
            <w:tcW w:w="400" w:type="dxa"/>
            <w:vAlign w:val="bottom"/>
            <w:gridSpan w:val="3"/>
            <w:shd w:val="clear" w:color="auto" w:fill="CCEEFF"/>
          </w:tcPr>
          <w:p>
            <w:pPr>
              <w:jc w:val="right"/>
              <w:ind w:right="135"/>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2,625</w:t>
            </w:r>
          </w:p>
        </w:tc>
        <w:tc>
          <w:tcPr>
            <w:tcW w:w="400" w:type="dxa"/>
            <w:vAlign w:val="bottom"/>
            <w:gridSpan w:val="2"/>
            <w:shd w:val="clear" w:color="auto" w:fill="CCEEFF"/>
          </w:tcPr>
          <w:p>
            <w:pPr>
              <w:jc w:val="right"/>
              <w:ind w:right="11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3,071</w:t>
            </w:r>
          </w:p>
        </w:tc>
        <w:tc>
          <w:tcPr>
            <w:tcW w:w="400" w:type="dxa"/>
            <w:vAlign w:val="bottom"/>
            <w:gridSpan w:val="2"/>
            <w:shd w:val="clear" w:color="auto" w:fill="CCEEFF"/>
          </w:tcPr>
          <w:p>
            <w:pPr>
              <w:jc w:val="right"/>
              <w:ind w:right="11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4,485</w:t>
            </w:r>
          </w:p>
        </w:tc>
        <w:tc>
          <w:tcPr>
            <w:tcW w:w="400" w:type="dxa"/>
            <w:vAlign w:val="bottom"/>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 xml:space="preserve">390,356 </w:t>
            </w:r>
            <w:r>
              <w:rPr>
                <w:rFonts w:ascii="Times New Roman" w:cs="Times New Roman" w:eastAsia="Times New Roman" w:hAnsi="Times New Roman"/>
                <w:sz w:val="7"/>
                <w:szCs w:val="7"/>
                <w:color w:val="auto"/>
              </w:rPr>
              <w:t>(1)</w:t>
            </w:r>
          </w:p>
        </w:tc>
      </w:tr>
      <w:tr>
        <w:trPr>
          <w:trHeight w:val="132"/>
        </w:trPr>
        <w:tc>
          <w:tcPr>
            <w:tcW w:w="1700" w:type="dxa"/>
            <w:vAlign w:val="bottom"/>
          </w:tcPr>
          <w:p>
            <w:pPr>
              <w:spacing w:after="0"/>
              <w:rPr>
                <w:sz w:val="20"/>
                <w:szCs w:val="20"/>
                <w:color w:val="auto"/>
              </w:rPr>
            </w:pPr>
            <w:r>
              <w:rPr>
                <w:rFonts w:ascii="Times New Roman" w:cs="Times New Roman" w:eastAsia="Times New Roman" w:hAnsi="Times New Roman"/>
                <w:sz w:val="11"/>
                <w:szCs w:val="11"/>
                <w:color w:val="auto"/>
              </w:rPr>
              <w:t>May 8, 2024</w:t>
            </w: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June 28, 2024</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2,625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3,071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4,485</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 xml:space="preserve">405,421 </w:t>
            </w:r>
            <w:r>
              <w:rPr>
                <w:rFonts w:ascii="Times New Roman" w:cs="Times New Roman" w:eastAsia="Times New Roman" w:hAnsi="Times New Roman"/>
                <w:sz w:val="7"/>
                <w:szCs w:val="7"/>
                <w:color w:val="auto"/>
              </w:rPr>
              <w:t>(1)</w:t>
            </w:r>
          </w:p>
        </w:tc>
      </w:tr>
      <w:tr>
        <w:trPr>
          <w:trHeight w:val="132"/>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August 7, 2024</w:t>
            </w:r>
          </w:p>
        </w:tc>
        <w:tc>
          <w:tcPr>
            <w:tcW w:w="1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September 30, 2024</w:t>
            </w: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2,625</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3,071</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4,485</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 xml:space="preserve">408,577 </w:t>
            </w:r>
            <w:r>
              <w:rPr>
                <w:rFonts w:ascii="Times New Roman" w:cs="Times New Roman" w:eastAsia="Times New Roman" w:hAnsi="Times New Roman"/>
                <w:sz w:val="7"/>
                <w:szCs w:val="7"/>
                <w:color w:val="auto"/>
              </w:rPr>
              <w:t>(1)</w:t>
            </w:r>
          </w:p>
        </w:tc>
      </w:tr>
      <w:tr>
        <w:trPr>
          <w:trHeight w:val="132"/>
        </w:trPr>
        <w:tc>
          <w:tcPr>
            <w:tcW w:w="1700" w:type="dxa"/>
            <w:vAlign w:val="bottom"/>
          </w:tcPr>
          <w:p>
            <w:pPr>
              <w:spacing w:after="0"/>
              <w:rPr>
                <w:sz w:val="11"/>
                <w:szCs w:val="11"/>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December 29, 2023 for</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32"/>
        </w:trPr>
        <w:tc>
          <w:tcPr>
            <w:tcW w:w="1700" w:type="dxa"/>
            <w:vAlign w:val="bottom"/>
          </w:tcPr>
          <w:p>
            <w:pPr>
              <w:spacing w:after="0"/>
              <w:rPr>
                <w:sz w:val="11"/>
                <w:szCs w:val="11"/>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Preferred Units; January 19,</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32"/>
        </w:trPr>
        <w:tc>
          <w:tcPr>
            <w:tcW w:w="1700" w:type="dxa"/>
            <w:vAlign w:val="bottom"/>
          </w:tcPr>
          <w:p>
            <w:pPr>
              <w:spacing w:after="0"/>
              <w:rPr>
                <w:sz w:val="20"/>
                <w:szCs w:val="20"/>
                <w:color w:val="auto"/>
              </w:rPr>
            </w:pPr>
            <w:r>
              <w:rPr>
                <w:rFonts w:ascii="Times New Roman" w:cs="Times New Roman" w:eastAsia="Times New Roman" w:hAnsi="Times New Roman"/>
                <w:sz w:val="11"/>
                <w:szCs w:val="11"/>
                <w:color w:val="auto"/>
              </w:rPr>
              <w:t>November 4, 2024</w:t>
            </w: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2024 for Common Units</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2,625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3,071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4,485</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 xml:space="preserve">418,665 </w:t>
            </w:r>
            <w:r>
              <w:rPr>
                <w:rFonts w:ascii="Times New Roman" w:cs="Times New Roman" w:eastAsia="Times New Roman" w:hAnsi="Times New Roman"/>
                <w:sz w:val="7"/>
                <w:szCs w:val="7"/>
                <w:color w:val="auto"/>
              </w:rPr>
              <w:t>(1)</w:t>
            </w:r>
          </w:p>
        </w:tc>
      </w:tr>
      <w:tr>
        <w:trPr>
          <w:trHeight w:val="124"/>
        </w:trPr>
        <w:tc>
          <w:tcPr>
            <w:tcW w:w="170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400" w:type="dxa"/>
            <w:vAlign w:val="bottom"/>
            <w:tcBorders>
              <w:top w:val="single" w:sz="8" w:color="CCEEFF"/>
              <w:bottom w:val="single" w:sz="8" w:color="CCEEFF"/>
            </w:tcBorders>
            <w:shd w:val="clear" w:color="auto" w:fill="CCEEFF"/>
          </w:tcPr>
          <w:p>
            <w:pPr>
              <w:spacing w:after="0"/>
              <w:rPr>
                <w:sz w:val="10"/>
                <w:szCs w:val="10"/>
                <w:color w:val="auto"/>
              </w:rPr>
            </w:pPr>
          </w:p>
        </w:tc>
        <w:tc>
          <w:tcPr>
            <w:tcW w:w="2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
                <w:szCs w:val="1"/>
                <w:color w:val="auto"/>
                <w:w w:val="4294967286"/>
              </w:rPr>
              <w:t>$</w:t>
            </w:r>
          </w:p>
        </w:tc>
        <w:tc>
          <w:tcPr>
            <w:tcW w:w="86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10,500</w:t>
            </w:r>
          </w:p>
        </w:tc>
        <w:tc>
          <w:tcPr>
            <w:tcW w:w="220" w:type="dxa"/>
            <w:vAlign w:val="bottom"/>
            <w:tcBorders>
              <w:top w:val="single" w:sz="8" w:color="CCEEFF"/>
              <w:bottom w:val="single" w:sz="8" w:color="CCEEFF"/>
            </w:tcBorders>
            <w:shd w:val="clear" w:color="auto" w:fill="CCEEFF"/>
          </w:tcPr>
          <w:p>
            <w:pPr>
              <w:spacing w:after="0"/>
              <w:rPr>
                <w:sz w:val="10"/>
                <w:szCs w:val="10"/>
                <w:color w:val="auto"/>
              </w:rPr>
            </w:pPr>
          </w:p>
        </w:tc>
        <w:tc>
          <w:tcPr>
            <w:tcW w:w="18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5"/>
                <w:szCs w:val="5"/>
                <w:color w:val="auto"/>
                <w:w w:val="78"/>
              </w:rPr>
              <w:t>$</w:t>
            </w:r>
          </w:p>
        </w:tc>
        <w:tc>
          <w:tcPr>
            <w:tcW w:w="86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12,284</w:t>
            </w:r>
          </w:p>
        </w:tc>
        <w:tc>
          <w:tcPr>
            <w:tcW w:w="220" w:type="dxa"/>
            <w:vAlign w:val="bottom"/>
            <w:tcBorders>
              <w:top w:val="single" w:sz="8" w:color="CCEEFF"/>
              <w:bottom w:val="single" w:sz="8" w:color="CCEEFF"/>
            </w:tcBorders>
            <w:shd w:val="clear" w:color="auto" w:fill="CCEEFF"/>
          </w:tcPr>
          <w:p>
            <w:pPr>
              <w:spacing w:after="0"/>
              <w:rPr>
                <w:sz w:val="10"/>
                <w:szCs w:val="10"/>
                <w:color w:val="auto"/>
              </w:rPr>
            </w:pPr>
          </w:p>
        </w:tc>
        <w:tc>
          <w:tcPr>
            <w:tcW w:w="18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5"/>
                <w:szCs w:val="5"/>
                <w:color w:val="auto"/>
                <w:w w:val="78"/>
              </w:rPr>
              <w:t>$</w:t>
            </w:r>
          </w:p>
        </w:tc>
        <w:tc>
          <w:tcPr>
            <w:tcW w:w="88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17,940</w:t>
            </w:r>
          </w:p>
        </w:tc>
        <w:tc>
          <w:tcPr>
            <w:tcW w:w="200" w:type="dxa"/>
            <w:vAlign w:val="bottom"/>
            <w:tcBorders>
              <w:top w:val="single" w:sz="8" w:color="CCEEFF"/>
              <w:bottom w:val="single" w:sz="8" w:color="CCEEFF"/>
            </w:tcBorders>
            <w:shd w:val="clear" w:color="auto" w:fill="CCEEFF"/>
          </w:tcPr>
          <w:p>
            <w:pPr>
              <w:spacing w:after="0"/>
              <w:rPr>
                <w:sz w:val="10"/>
                <w:szCs w:val="10"/>
                <w:color w:val="auto"/>
              </w:rPr>
            </w:pPr>
          </w:p>
        </w:tc>
        <w:tc>
          <w:tcPr>
            <w:tcW w:w="200" w:type="dxa"/>
            <w:vAlign w:val="bottom"/>
            <w:tcBorders>
              <w:top w:val="single" w:sz="8" w:color="auto"/>
              <w:bottom w:val="single" w:sz="8" w:color="auto"/>
            </w:tcBorders>
            <w:shd w:val="clear" w:color="auto" w:fill="CCEEFF"/>
          </w:tcPr>
          <w:p>
            <w:pPr>
              <w:jc w:val="right"/>
              <w:ind w:right="86"/>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1,623,019</w:t>
            </w:r>
          </w:p>
        </w:tc>
        <w:tc>
          <w:tcPr>
            <w:tcW w:w="220" w:type="dxa"/>
            <w:vAlign w:val="bottom"/>
            <w:tcBorders>
              <w:top w:val="single" w:sz="8" w:color="CCEEFF"/>
              <w:bottom w:val="single" w:sz="8" w:color="CCEEFF"/>
            </w:tcBorders>
            <w:shd w:val="clear" w:color="auto" w:fill="CCEEFF"/>
          </w:tcPr>
          <w:p>
            <w:pPr>
              <w:spacing w:after="0"/>
              <w:rPr>
                <w:sz w:val="10"/>
                <w:szCs w:val="10"/>
                <w:color w:val="auto"/>
              </w:rPr>
            </w:pPr>
          </w:p>
        </w:tc>
      </w:tr>
      <w:tr>
        <w:trPr>
          <w:trHeight w:val="20"/>
        </w:trPr>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08"/>
        </w:trPr>
        <w:tc>
          <w:tcPr>
            <w:tcW w:w="1700" w:type="dxa"/>
            <w:vAlign w:val="bottom"/>
          </w:tcPr>
          <w:p>
            <w:pPr>
              <w:spacing w:after="0" w:line="109" w:lineRule="exact"/>
              <w:rPr>
                <w:sz w:val="20"/>
                <w:szCs w:val="20"/>
                <w:color w:val="auto"/>
              </w:rPr>
            </w:pPr>
            <w:r>
              <w:rPr>
                <w:rFonts w:ascii="Times New Roman" w:cs="Times New Roman" w:eastAsia="Times New Roman" w:hAnsi="Times New Roman"/>
                <w:sz w:val="11"/>
                <w:szCs w:val="11"/>
                <w:color w:val="auto"/>
              </w:rPr>
              <w:t>Annual rate of distribution per unit</w:t>
            </w:r>
          </w:p>
        </w:tc>
        <w:tc>
          <w:tcPr>
            <w:tcW w:w="1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
                <w:szCs w:val="1"/>
                <w:color w:val="auto"/>
                <w:w w:val="4294967286"/>
              </w:rPr>
              <w:t>$</w:t>
            </w:r>
          </w:p>
        </w:tc>
        <w:tc>
          <w:tcPr>
            <w:tcW w:w="86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1.31250</w:t>
            </w:r>
          </w:p>
        </w:tc>
        <w:tc>
          <w:tcPr>
            <w:tcW w:w="220" w:type="dxa"/>
            <w:vAlign w:val="bottom"/>
          </w:tcPr>
          <w:p>
            <w:pPr>
              <w:spacing w:after="0"/>
              <w:rPr>
                <w:sz w:val="9"/>
                <w:szCs w:val="9"/>
                <w:color w:val="auto"/>
              </w:rPr>
            </w:pPr>
          </w:p>
        </w:tc>
        <w:tc>
          <w:tcPr>
            <w:tcW w:w="18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5"/>
                <w:szCs w:val="5"/>
                <w:color w:val="auto"/>
                <w:w w:val="78"/>
              </w:rPr>
              <w:t>$</w:t>
            </w:r>
          </w:p>
        </w:tc>
        <w:tc>
          <w:tcPr>
            <w:tcW w:w="86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1.46250</w:t>
            </w:r>
          </w:p>
        </w:tc>
        <w:tc>
          <w:tcPr>
            <w:tcW w:w="220" w:type="dxa"/>
            <w:vAlign w:val="bottom"/>
          </w:tcPr>
          <w:p>
            <w:pPr>
              <w:spacing w:after="0"/>
              <w:rPr>
                <w:sz w:val="9"/>
                <w:szCs w:val="9"/>
                <w:color w:val="auto"/>
              </w:rPr>
            </w:pPr>
          </w:p>
        </w:tc>
        <w:tc>
          <w:tcPr>
            <w:tcW w:w="18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5"/>
                <w:szCs w:val="5"/>
                <w:color w:val="auto"/>
                <w:w w:val="78"/>
              </w:rPr>
              <w:t>$</w:t>
            </w:r>
          </w:p>
        </w:tc>
        <w:tc>
          <w:tcPr>
            <w:tcW w:w="88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1.30000</w:t>
            </w:r>
          </w:p>
        </w:tc>
        <w:tc>
          <w:tcPr>
            <w:tcW w:w="200" w:type="dxa"/>
            <w:vAlign w:val="bottom"/>
          </w:tcPr>
          <w:p>
            <w:pPr>
              <w:spacing w:after="0"/>
              <w:rPr>
                <w:sz w:val="9"/>
                <w:szCs w:val="9"/>
                <w:color w:val="auto"/>
              </w:rPr>
            </w:pPr>
          </w:p>
        </w:tc>
        <w:tc>
          <w:tcPr>
            <w:tcW w:w="200" w:type="dxa"/>
            <w:vAlign w:val="bottom"/>
            <w:tcBorders>
              <w:top w:val="single" w:sz="8" w:color="auto"/>
              <w:bottom w:val="single" w:sz="8" w:color="auto"/>
            </w:tcBorders>
          </w:tcPr>
          <w:p>
            <w:pPr>
              <w:jc w:val="right"/>
              <w:ind w:right="86"/>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4.88000</w:t>
            </w:r>
          </w:p>
        </w:tc>
        <w:tc>
          <w:tcPr>
            <w:tcW w:w="220" w:type="dxa"/>
            <w:vAlign w:val="bottom"/>
          </w:tcPr>
          <w:p>
            <w:pPr>
              <w:spacing w:after="0"/>
              <w:rPr>
                <w:sz w:val="9"/>
                <w:szCs w:val="9"/>
                <w:color w:val="auto"/>
              </w:rPr>
            </w:pPr>
          </w:p>
        </w:tc>
      </w:tr>
      <w:tr>
        <w:trPr>
          <w:trHeight w:val="20"/>
        </w:trPr>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106680</wp:posOffset>
            </wp:positionV>
            <wp:extent cx="1326515"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326515" cy="7620"/>
                    </a:xfrm>
                    <a:prstGeom prst="rect">
                      <a:avLst/>
                    </a:prstGeom>
                    <a:noFill/>
                  </pic:spPr>
                </pic:pic>
              </a:graphicData>
            </a:graphic>
          </wp:anchor>
        </w:drawing>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(1)  $4.880 annual rate of distribution per unit.</w:t>
      </w:r>
    </w:p>
    <w:p>
      <w:pPr>
        <w:spacing w:after="0" w:line="176" w:lineRule="exact"/>
        <w:rPr>
          <w:sz w:val="20"/>
          <w:szCs w:val="20"/>
          <w:color w:val="auto"/>
        </w:rPr>
      </w:pPr>
    </w:p>
    <w:p>
      <w:pPr>
        <w:ind w:left="320" w:right="300" w:firstLine="288"/>
        <w:spacing w:after="0" w:line="239" w:lineRule="auto"/>
        <w:rPr>
          <w:sz w:val="20"/>
          <w:szCs w:val="20"/>
          <w:color w:val="auto"/>
        </w:rPr>
      </w:pPr>
      <w:r>
        <w:rPr>
          <w:rFonts w:ascii="Times New Roman" w:cs="Times New Roman" w:eastAsia="Times New Roman" w:hAnsi="Times New Roman"/>
          <w:sz w:val="16"/>
          <w:szCs w:val="16"/>
          <w:color w:val="auto"/>
        </w:rPr>
        <w:t>For U.S. federal income tax purposes, distributions out of Digital Realty Trust, Inc.’s current or accumulated earnings and profits are generally classified as dividends whereas distributions in excess of its current and accumulated earnings and profits, to the extent of a stockholder’s tax basis in Digital Realty Trust, Inc.’s stock, are generally classified as a return of capital. Distributions in excess of a stockholder’s tax basis in Digital Realty Trust, Inc.’s stock are generally characterized as capital gain. Cash provided by operating activities has generally been sufficient to fund all distributions, however, in the future we may also need to utilize borrowings under the Global Revolving Credit Facility to fund all or a portion of distributions.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49" w:name="page150"/>
    <w:bookmarkEnd w:id="149"/>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 and 2023</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15. Accumulated Other Comprehensive Income (Loss), Net</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accumulated balances for each item within Accumulated other comprehensive income (loss) are shown below (in thousands) for</w:t>
      </w:r>
    </w:p>
    <w:p>
      <w:pPr>
        <w:spacing w:after="0" w:line="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Digital Realty Trust, Inc. and separately for Digital Realty Trust, L.P:</w:t>
      </w:r>
    </w:p>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Digital Realty Trust, Inc.</w:t>
      </w:r>
    </w:p>
    <w:p>
      <w:pPr>
        <w:spacing w:after="0" w:line="202" w:lineRule="exact"/>
        <w:rPr>
          <w:sz w:val="20"/>
          <w:szCs w:val="20"/>
          <w:color w:val="auto"/>
        </w:rPr>
      </w:pPr>
    </w:p>
    <w:tbl>
      <w:tblPr>
        <w:tblLayout w:type="fixed"/>
        <w:tblInd w:w="320" w:type="dxa"/>
        <w:tblCellMar>
          <w:top w:w="0" w:type="dxa"/>
          <w:left w:w="0" w:type="dxa"/>
          <w:bottom w:w="0" w:type="dxa"/>
          <w:right w:w="0" w:type="dxa"/>
        </w:tblCellMar>
      </w:tblPr>
      <w:tr>
        <w:trPr>
          <w:trHeight w:val="156"/>
        </w:trPr>
        <w:tc>
          <w:tcPr>
            <w:tcW w:w="3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Foreign currency</w:t>
            </w:r>
          </w:p>
        </w:tc>
        <w:tc>
          <w:tcPr>
            <w:tcW w:w="80" w:type="dxa"/>
            <w:vAlign w:val="bottom"/>
          </w:tcPr>
          <w:p>
            <w:pPr>
              <w:spacing w:after="0"/>
              <w:rPr>
                <w:sz w:val="13"/>
                <w:szCs w:val="13"/>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Increase (decrease) in</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rPr>
              <w:t>Accumulated other</w:t>
            </w:r>
          </w:p>
        </w:tc>
      </w:tr>
      <w:tr>
        <w:trPr>
          <w:trHeight w:val="156"/>
        </w:trPr>
        <w:tc>
          <w:tcPr>
            <w:tcW w:w="3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8"/>
              </w:rPr>
              <w:t>translation</w:t>
            </w:r>
          </w:p>
        </w:tc>
        <w:tc>
          <w:tcPr>
            <w:tcW w:w="80" w:type="dxa"/>
            <w:vAlign w:val="bottom"/>
          </w:tcPr>
          <w:p>
            <w:pPr>
              <w:spacing w:after="0"/>
              <w:rPr>
                <w:sz w:val="13"/>
                <w:szCs w:val="13"/>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fair value of derivatives,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rPr>
              <w:t>comprehensive</w:t>
            </w:r>
          </w:p>
        </w:tc>
      </w:tr>
      <w:tr>
        <w:trPr>
          <w:trHeight w:val="170"/>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80" w:type="dxa"/>
            <w:vAlign w:val="bottom"/>
          </w:tcPr>
          <w:p>
            <w:pPr>
              <w:spacing w:after="0"/>
              <w:rPr>
                <w:sz w:val="14"/>
                <w:szCs w:val="14"/>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net of reclassification</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center"/>
              <w:ind w:right="114"/>
              <w:spacing w:after="0"/>
              <w:rPr>
                <w:sz w:val="20"/>
                <w:szCs w:val="20"/>
                <w:color w:val="auto"/>
              </w:rPr>
            </w:pPr>
            <w:r>
              <w:rPr>
                <w:rFonts w:ascii="Times New Roman" w:cs="Times New Roman" w:eastAsia="Times New Roman" w:hAnsi="Times New Roman"/>
                <w:sz w:val="13"/>
                <w:szCs w:val="13"/>
                <w:b w:val="1"/>
                <w:bCs w:val="1"/>
                <w:color w:val="auto"/>
              </w:rPr>
              <w:t>income (loss), net</w:t>
            </w:r>
          </w:p>
        </w:tc>
      </w:tr>
      <w:tr>
        <w:trPr>
          <w:trHeight w:val="148"/>
        </w:trPr>
        <w:tc>
          <w:tcPr>
            <w:tcW w:w="320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Balance as of December 31, 2022</w:t>
            </w:r>
          </w:p>
        </w:tc>
        <w:tc>
          <w:tcPr>
            <w:tcW w:w="180" w:type="dxa"/>
            <w:vAlign w:val="bottom"/>
            <w:tcBorders>
              <w:top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(536,019)</w:t>
            </w: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(59,779)</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(595,798)</w:t>
            </w:r>
          </w:p>
        </w:tc>
      </w:tr>
      <w:tr>
        <w:trPr>
          <w:trHeight w:val="156"/>
        </w:trPr>
        <w:tc>
          <w:tcPr>
            <w:tcW w:w="3200" w:type="dxa"/>
            <w:vAlign w:val="bottom"/>
          </w:tcPr>
          <w:p>
            <w:pPr>
              <w:spacing w:after="0"/>
              <w:rPr>
                <w:sz w:val="20"/>
                <w:szCs w:val="20"/>
                <w:color w:val="auto"/>
              </w:rPr>
            </w:pPr>
            <w:r>
              <w:rPr>
                <w:rFonts w:ascii="Times New Roman" w:cs="Times New Roman" w:eastAsia="Times New Roman" w:hAnsi="Times New Roman"/>
                <w:sz w:val="13"/>
                <w:szCs w:val="13"/>
                <w:color w:val="auto"/>
              </w:rPr>
              <w:t>Net current period change</w:t>
            </w:r>
          </w:p>
        </w:tc>
        <w:tc>
          <w:tcPr>
            <w:tcW w:w="180" w:type="dxa"/>
            <w:vAlign w:val="bottom"/>
          </w:tcPr>
          <w:p>
            <w:pPr>
              <w:spacing w:after="0"/>
              <w:rPr>
                <w:sz w:val="13"/>
                <w:szCs w:val="13"/>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(102,564)</w:t>
            </w:r>
          </w:p>
        </w:tc>
        <w:tc>
          <w:tcPr>
            <w:tcW w:w="8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(53,031)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(155,595)</w:t>
            </w:r>
          </w:p>
        </w:tc>
      </w:tr>
      <w:tr>
        <w:trPr>
          <w:trHeight w:val="148"/>
        </w:trPr>
        <w:tc>
          <w:tcPr>
            <w:tcW w:w="320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Balance as of December 31, 2023</w:t>
            </w:r>
          </w:p>
        </w:tc>
        <w:tc>
          <w:tcPr>
            <w:tcW w:w="180" w:type="dxa"/>
            <w:vAlign w:val="bottom"/>
            <w:tcBorders>
              <w:top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(638,583)</w:t>
            </w: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(112,810)</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(751,393)</w:t>
            </w:r>
          </w:p>
        </w:tc>
      </w:tr>
      <w:tr>
        <w:trPr>
          <w:trHeight w:val="156"/>
        </w:trPr>
        <w:tc>
          <w:tcPr>
            <w:tcW w:w="3200" w:type="dxa"/>
            <w:vAlign w:val="bottom"/>
          </w:tcPr>
          <w:p>
            <w:pPr>
              <w:spacing w:after="0"/>
              <w:rPr>
                <w:sz w:val="20"/>
                <w:szCs w:val="20"/>
                <w:color w:val="auto"/>
              </w:rPr>
            </w:pPr>
            <w:r>
              <w:rPr>
                <w:rFonts w:ascii="Times New Roman" w:cs="Times New Roman" w:eastAsia="Times New Roman" w:hAnsi="Times New Roman"/>
                <w:sz w:val="13"/>
                <w:szCs w:val="13"/>
                <w:color w:val="auto"/>
              </w:rPr>
              <w:t>Net current period change</w:t>
            </w:r>
          </w:p>
        </w:tc>
        <w:tc>
          <w:tcPr>
            <w:tcW w:w="180" w:type="dxa"/>
            <w:vAlign w:val="bottom"/>
          </w:tcPr>
          <w:p>
            <w:pPr>
              <w:spacing w:after="0"/>
              <w:rPr>
                <w:sz w:val="13"/>
                <w:szCs w:val="13"/>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(551,066)</w:t>
            </w:r>
          </w:p>
        </w:tc>
        <w:tc>
          <w:tcPr>
            <w:tcW w:w="8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120,176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(430,890)</w:t>
            </w:r>
          </w:p>
        </w:tc>
      </w:tr>
      <w:tr>
        <w:trPr>
          <w:trHeight w:val="148"/>
        </w:trPr>
        <w:tc>
          <w:tcPr>
            <w:tcW w:w="3200" w:type="dxa"/>
            <w:vAlign w:val="bottom"/>
            <w:tcBorders>
              <w:top w:val="single" w:sz="8" w:color="CCEEFF"/>
              <w:bottom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Balance as of December 31, 2024</w:t>
            </w:r>
          </w:p>
        </w:tc>
        <w:tc>
          <w:tcPr>
            <w:tcW w:w="18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(1,189,649)</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7,366</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(1,182,283)</w:t>
            </w:r>
          </w:p>
        </w:tc>
      </w:tr>
      <w:tr>
        <w:trPr>
          <w:trHeight w:val="20"/>
        </w:trPr>
        <w:tc>
          <w:tcPr>
            <w:tcW w:w="3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Digital Realty Trust, L.P.</w:t>
      </w:r>
    </w:p>
    <w:p>
      <w:pPr>
        <w:spacing w:after="0" w:line="202" w:lineRule="exact"/>
        <w:rPr>
          <w:sz w:val="20"/>
          <w:szCs w:val="20"/>
          <w:color w:val="auto"/>
        </w:rPr>
      </w:pPr>
    </w:p>
    <w:tbl>
      <w:tblPr>
        <w:tblLayout w:type="fixed"/>
        <w:tblInd w:w="320" w:type="dxa"/>
        <w:tblCellMar>
          <w:top w:w="0" w:type="dxa"/>
          <w:left w:w="0" w:type="dxa"/>
          <w:bottom w:w="0" w:type="dxa"/>
          <w:right w:w="0" w:type="dxa"/>
        </w:tblCellMar>
      </w:tblPr>
      <w:tr>
        <w:trPr>
          <w:trHeight w:val="156"/>
        </w:trPr>
        <w:tc>
          <w:tcPr>
            <w:tcW w:w="3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9"/>
              </w:rPr>
              <w:t>Foreign currency</w:t>
            </w:r>
          </w:p>
        </w:tc>
        <w:tc>
          <w:tcPr>
            <w:tcW w:w="80" w:type="dxa"/>
            <w:vAlign w:val="bottom"/>
          </w:tcPr>
          <w:p>
            <w:pPr>
              <w:spacing w:after="0"/>
              <w:rPr>
                <w:sz w:val="13"/>
                <w:szCs w:val="13"/>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Increase (decrease) in</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rPr>
              <w:t>Accumulated other</w:t>
            </w:r>
          </w:p>
        </w:tc>
      </w:tr>
      <w:tr>
        <w:trPr>
          <w:trHeight w:val="156"/>
        </w:trPr>
        <w:tc>
          <w:tcPr>
            <w:tcW w:w="3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8"/>
              </w:rPr>
              <w:t>translation</w:t>
            </w:r>
          </w:p>
        </w:tc>
        <w:tc>
          <w:tcPr>
            <w:tcW w:w="80" w:type="dxa"/>
            <w:vAlign w:val="bottom"/>
          </w:tcPr>
          <w:p>
            <w:pPr>
              <w:spacing w:after="0"/>
              <w:rPr>
                <w:sz w:val="13"/>
                <w:szCs w:val="13"/>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fair value of derivatives,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rPr>
              <w:t>comprehensive</w:t>
            </w:r>
          </w:p>
        </w:tc>
      </w:tr>
      <w:tr>
        <w:trPr>
          <w:trHeight w:val="170"/>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80" w:type="dxa"/>
            <w:vAlign w:val="bottom"/>
          </w:tcPr>
          <w:p>
            <w:pPr>
              <w:spacing w:after="0"/>
              <w:rPr>
                <w:sz w:val="14"/>
                <w:szCs w:val="14"/>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net of reclassification</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center"/>
              <w:ind w:right="94"/>
              <w:spacing w:after="0"/>
              <w:rPr>
                <w:sz w:val="20"/>
                <w:szCs w:val="20"/>
                <w:color w:val="auto"/>
              </w:rPr>
            </w:pPr>
            <w:r>
              <w:rPr>
                <w:rFonts w:ascii="Times New Roman" w:cs="Times New Roman" w:eastAsia="Times New Roman" w:hAnsi="Times New Roman"/>
                <w:sz w:val="13"/>
                <w:szCs w:val="13"/>
                <w:b w:val="1"/>
                <w:bCs w:val="1"/>
                <w:color w:val="auto"/>
              </w:rPr>
              <w:t>income (loss)</w:t>
            </w:r>
          </w:p>
        </w:tc>
      </w:tr>
      <w:tr>
        <w:trPr>
          <w:trHeight w:val="148"/>
        </w:trPr>
        <w:tc>
          <w:tcPr>
            <w:tcW w:w="320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Balance as of December 31, 2022</w:t>
            </w:r>
          </w:p>
        </w:tc>
        <w:tc>
          <w:tcPr>
            <w:tcW w:w="180" w:type="dxa"/>
            <w:vAlign w:val="bottom"/>
            <w:tcBorders>
              <w:top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(551,013)</w:t>
            </w: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(62,410)</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(613,423)</w:t>
            </w:r>
          </w:p>
        </w:tc>
      </w:tr>
      <w:tr>
        <w:trPr>
          <w:trHeight w:val="156"/>
        </w:trPr>
        <w:tc>
          <w:tcPr>
            <w:tcW w:w="3200" w:type="dxa"/>
            <w:vAlign w:val="bottom"/>
          </w:tcPr>
          <w:p>
            <w:pPr>
              <w:spacing w:after="0"/>
              <w:rPr>
                <w:sz w:val="20"/>
                <w:szCs w:val="20"/>
                <w:color w:val="auto"/>
              </w:rPr>
            </w:pPr>
            <w:r>
              <w:rPr>
                <w:rFonts w:ascii="Times New Roman" w:cs="Times New Roman" w:eastAsia="Times New Roman" w:hAnsi="Times New Roman"/>
                <w:sz w:val="13"/>
                <w:szCs w:val="13"/>
                <w:color w:val="auto"/>
              </w:rPr>
              <w:t>Net current period change</w:t>
            </w:r>
          </w:p>
        </w:tc>
        <w:tc>
          <w:tcPr>
            <w:tcW w:w="180" w:type="dxa"/>
            <w:vAlign w:val="bottom"/>
          </w:tcPr>
          <w:p>
            <w:pPr>
              <w:spacing w:after="0"/>
              <w:rPr>
                <w:sz w:val="13"/>
                <w:szCs w:val="13"/>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(105,050)</w:t>
            </w:r>
          </w:p>
        </w:tc>
        <w:tc>
          <w:tcPr>
            <w:tcW w:w="8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(54,195)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(159,245)</w:t>
            </w:r>
          </w:p>
        </w:tc>
      </w:tr>
      <w:tr>
        <w:trPr>
          <w:trHeight w:val="148"/>
        </w:trPr>
        <w:tc>
          <w:tcPr>
            <w:tcW w:w="320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Balance as of December 31, 2023</w:t>
            </w:r>
          </w:p>
        </w:tc>
        <w:tc>
          <w:tcPr>
            <w:tcW w:w="180" w:type="dxa"/>
            <w:vAlign w:val="bottom"/>
            <w:tcBorders>
              <w:top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(656,063)</w:t>
            </w: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(116,605)</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(772,668)</w:t>
            </w:r>
          </w:p>
        </w:tc>
      </w:tr>
      <w:tr>
        <w:trPr>
          <w:trHeight w:val="156"/>
        </w:trPr>
        <w:tc>
          <w:tcPr>
            <w:tcW w:w="3200" w:type="dxa"/>
            <w:vAlign w:val="bottom"/>
          </w:tcPr>
          <w:p>
            <w:pPr>
              <w:spacing w:after="0"/>
              <w:rPr>
                <w:sz w:val="20"/>
                <w:szCs w:val="20"/>
                <w:color w:val="auto"/>
              </w:rPr>
            </w:pPr>
            <w:r>
              <w:rPr>
                <w:rFonts w:ascii="Times New Roman" w:cs="Times New Roman" w:eastAsia="Times New Roman" w:hAnsi="Times New Roman"/>
                <w:sz w:val="13"/>
                <w:szCs w:val="13"/>
                <w:color w:val="auto"/>
              </w:rPr>
              <w:t>Net current period change</w:t>
            </w:r>
          </w:p>
        </w:tc>
        <w:tc>
          <w:tcPr>
            <w:tcW w:w="180" w:type="dxa"/>
            <w:vAlign w:val="bottom"/>
          </w:tcPr>
          <w:p>
            <w:pPr>
              <w:spacing w:after="0"/>
              <w:rPr>
                <w:sz w:val="13"/>
                <w:szCs w:val="13"/>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(562,349)</w:t>
            </w:r>
          </w:p>
        </w:tc>
        <w:tc>
          <w:tcPr>
            <w:tcW w:w="8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122,650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(439,699)</w:t>
            </w:r>
          </w:p>
        </w:tc>
      </w:tr>
      <w:tr>
        <w:trPr>
          <w:trHeight w:val="148"/>
        </w:trPr>
        <w:tc>
          <w:tcPr>
            <w:tcW w:w="3200" w:type="dxa"/>
            <w:vAlign w:val="bottom"/>
            <w:tcBorders>
              <w:top w:val="single" w:sz="8" w:color="CCEEFF"/>
              <w:bottom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Balance as of December 31, 2024</w:t>
            </w:r>
          </w:p>
        </w:tc>
        <w:tc>
          <w:tcPr>
            <w:tcW w:w="18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(1,218,412)</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6,045</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(1,212,367)</w:t>
            </w:r>
          </w:p>
        </w:tc>
      </w:tr>
      <w:tr>
        <w:trPr>
          <w:trHeight w:val="20"/>
        </w:trPr>
        <w:tc>
          <w:tcPr>
            <w:tcW w:w="3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16. Incentive Plans</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2014 Incentive Award Plan</w:t>
      </w:r>
    </w:p>
    <w:p>
      <w:pPr>
        <w:spacing w:after="0" w:line="178" w:lineRule="exact"/>
        <w:rPr>
          <w:sz w:val="20"/>
          <w:szCs w:val="20"/>
          <w:color w:val="auto"/>
        </w:rPr>
      </w:pPr>
    </w:p>
    <w:p>
      <w:pPr>
        <w:ind w:left="320" w:right="320"/>
        <w:spacing w:after="0" w:line="247" w:lineRule="auto"/>
        <w:rPr>
          <w:sz w:val="20"/>
          <w:szCs w:val="20"/>
          <w:color w:val="auto"/>
        </w:rPr>
      </w:pPr>
      <w:r>
        <w:rPr>
          <w:rFonts w:ascii="Times New Roman" w:cs="Times New Roman" w:eastAsia="Times New Roman" w:hAnsi="Times New Roman"/>
          <w:sz w:val="16"/>
          <w:szCs w:val="16"/>
          <w:color w:val="auto"/>
        </w:rPr>
        <w:t>The Company provides incentive awards in the form of common stock or awards convertible into common stock pursuant to the Digital Realty Trust, Inc., Digital Services, Inc. and Digital Realty Trust, L.P. 2014 Incentive Award Plan, as amended (the “Incentive Plan”). The major categories of awards that can be issued under the Incentive Plan include:</w:t>
      </w:r>
    </w:p>
    <w:p>
      <w:pPr>
        <w:spacing w:after="0" w:line="150" w:lineRule="exact"/>
        <w:rPr>
          <w:sz w:val="20"/>
          <w:szCs w:val="20"/>
          <w:color w:val="auto"/>
        </w:rPr>
      </w:pPr>
    </w:p>
    <w:p>
      <w:pPr>
        <w:ind w:left="320" w:right="320"/>
        <w:spacing w:after="0"/>
        <w:rPr>
          <w:sz w:val="20"/>
          <w:szCs w:val="20"/>
          <w:color w:val="auto"/>
        </w:rPr>
      </w:pPr>
      <w:r>
        <w:rPr>
          <w:rFonts w:ascii="Times New Roman" w:cs="Times New Roman" w:eastAsia="Times New Roman" w:hAnsi="Times New Roman"/>
          <w:sz w:val="16"/>
          <w:szCs w:val="16"/>
          <w:b w:val="1"/>
          <w:bCs w:val="1"/>
          <w:color w:val="auto"/>
        </w:rPr>
        <w:t xml:space="preserve">Long- Term Incentive Units (“LTIP Units”): </w:t>
      </w:r>
      <w:r>
        <w:rPr>
          <w:rFonts w:ascii="Times New Roman" w:cs="Times New Roman" w:eastAsia="Times New Roman" w:hAnsi="Times New Roman"/>
          <w:sz w:val="16"/>
          <w:szCs w:val="16"/>
          <w:color w:val="auto"/>
        </w:rPr>
        <w:t>LTIP Units, in the form of profits interest units of the Operating Partnership, may be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issued to eligible participants for the performance of services to or for the benefit of the Operating Partnership. LTIP Units (other than Class D units), whether vested or not, receive the same quarterly per -unit distributions as Operating Partnership common units. Initially, LTIP Units do not have full parity with common units with respect to liquidating distributions. However, if such parity is reached, vested LTIP Units may be converted into an equal number of common units of the Operating Partnership at any time. The awards generally vest over periods between two and four years.</w:t>
      </w:r>
    </w:p>
    <w:p>
      <w:pPr>
        <w:spacing w:after="0" w:line="156" w:lineRule="exact"/>
        <w:rPr>
          <w:sz w:val="20"/>
          <w:szCs w:val="20"/>
          <w:color w:val="auto"/>
        </w:rPr>
      </w:pPr>
    </w:p>
    <w:p>
      <w:pPr>
        <w:jc w:val="both"/>
        <w:ind w:left="320" w:right="560"/>
        <w:spacing w:after="0" w:line="248" w:lineRule="auto"/>
        <w:rPr>
          <w:sz w:val="20"/>
          <w:szCs w:val="20"/>
          <w:color w:val="auto"/>
        </w:rPr>
      </w:pPr>
      <w:r>
        <w:rPr>
          <w:rFonts w:ascii="Times New Roman" w:cs="Times New Roman" w:eastAsia="Times New Roman" w:hAnsi="Times New Roman"/>
          <w:sz w:val="16"/>
          <w:szCs w:val="16"/>
          <w:b w:val="1"/>
          <w:bCs w:val="1"/>
          <w:color w:val="auto"/>
        </w:rPr>
        <w:t xml:space="preserve">Service-Based Restricted Stock Units: </w:t>
      </w:r>
      <w:r>
        <w:rPr>
          <w:rFonts w:ascii="Times New Roman" w:cs="Times New Roman" w:eastAsia="Times New Roman" w:hAnsi="Times New Roman"/>
          <w:sz w:val="16"/>
          <w:szCs w:val="16"/>
          <w:color w:val="auto"/>
        </w:rPr>
        <w:t>Service-based restricted stock units covering shares of Digital Realty Trust, Inc. common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stock (“Restricted Stock Units”), which vest over periods between two and four years, are settled in shares of Digital Realty Trust, Inc.’s common stock upon vesting.</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50" w:name="page151"/>
    <w:bookmarkEnd w:id="150"/>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 and 2023</w:t>
      </w:r>
    </w:p>
    <w:p>
      <w:pPr>
        <w:spacing w:after="0" w:line="200" w:lineRule="exact"/>
        <w:rPr>
          <w:sz w:val="20"/>
          <w:szCs w:val="20"/>
          <w:color w:val="auto"/>
        </w:rPr>
      </w:pPr>
    </w:p>
    <w:p>
      <w:pPr>
        <w:ind w:left="320" w:right="440"/>
        <w:spacing w:after="0" w:line="241" w:lineRule="auto"/>
        <w:rPr>
          <w:sz w:val="20"/>
          <w:szCs w:val="20"/>
          <w:color w:val="auto"/>
        </w:rPr>
      </w:pPr>
      <w:r>
        <w:rPr>
          <w:rFonts w:ascii="Times New Roman" w:cs="Times New Roman" w:eastAsia="Times New Roman" w:hAnsi="Times New Roman"/>
          <w:sz w:val="16"/>
          <w:szCs w:val="16"/>
          <w:b w:val="1"/>
          <w:bCs w:val="1"/>
          <w:color w:val="auto"/>
        </w:rPr>
        <w:t xml:space="preserve">Performance-Based Awards (“the Performance Awards”): </w:t>
      </w:r>
      <w:r>
        <w:rPr>
          <w:rFonts w:ascii="Times New Roman" w:cs="Times New Roman" w:eastAsia="Times New Roman" w:hAnsi="Times New Roman"/>
          <w:sz w:val="16"/>
          <w:szCs w:val="16"/>
          <w:color w:val="auto"/>
        </w:rPr>
        <w:t>Performance-based Class D units of the Operating Partnership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performance-based Restricted Stock Units may be issued to officers and employees of the Company. The Performance Awards include performance-based and time-based vesting criteria. Depending on the type of award, the total number of units that qualify to fully vest is determined based on either a market performance criterion (“Market-Based Performance Awards”) or financial performance criterion (“Financial-Based Performance Awards”), in each case, subject to time-based vesting.</w:t>
      </w:r>
    </w:p>
    <w:p>
      <w:pPr>
        <w:spacing w:after="0" w:line="1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Market-Based Performance Awards.</w:t>
      </w:r>
    </w:p>
    <w:p>
      <w:pPr>
        <w:spacing w:after="0" w:line="190" w:lineRule="exact"/>
        <w:rPr>
          <w:sz w:val="20"/>
          <w:szCs w:val="20"/>
          <w:color w:val="auto"/>
        </w:rPr>
      </w:pPr>
    </w:p>
    <w:p>
      <w:pPr>
        <w:ind w:left="320" w:right="380"/>
        <w:spacing w:after="0" w:line="239" w:lineRule="auto"/>
        <w:rPr>
          <w:sz w:val="20"/>
          <w:szCs w:val="20"/>
          <w:color w:val="auto"/>
        </w:rPr>
      </w:pPr>
      <w:r>
        <w:rPr>
          <w:rFonts w:ascii="Times New Roman" w:cs="Times New Roman" w:eastAsia="Times New Roman" w:hAnsi="Times New Roman"/>
          <w:sz w:val="16"/>
          <w:szCs w:val="16"/>
          <w:color w:val="auto"/>
        </w:rPr>
        <w:t>The market performance criterion compares Digital Realty Trust, Inc.’s total stockholder return (“TSR”) relative to the MSCI US REIT Index (“RMS”) over a three-year performance period (“Market Performance Period”), subject to continued service, in order to determine the percentage of the total eligible pool of units that qualifies to be awarded. Following the completion of the Market Performance Period, the awards then have a time -based vesting element pursuant to which 50% of the performance-vested units will fully vest in the February immediately following the end of the Market Performance Period and 50% of the performance-vested units will fully vest in the subsequent February.</w:t>
      </w:r>
    </w:p>
    <w:p>
      <w:pPr>
        <w:spacing w:after="0" w:line="173" w:lineRule="exact"/>
        <w:rPr>
          <w:sz w:val="20"/>
          <w:szCs w:val="20"/>
          <w:color w:val="auto"/>
        </w:rPr>
      </w:pPr>
    </w:p>
    <w:p>
      <w:pPr>
        <w:ind w:left="320" w:right="340"/>
        <w:spacing w:after="0" w:line="249" w:lineRule="auto"/>
        <w:rPr>
          <w:sz w:val="20"/>
          <w:szCs w:val="20"/>
          <w:color w:val="auto"/>
        </w:rPr>
      </w:pPr>
      <w:r>
        <w:rPr>
          <w:rFonts w:ascii="Times New Roman" w:cs="Times New Roman" w:eastAsia="Times New Roman" w:hAnsi="Times New Roman"/>
          <w:sz w:val="16"/>
          <w:szCs w:val="16"/>
          <w:color w:val="auto"/>
        </w:rPr>
        <w:t>Vesting with respect to the market condition is measured based on the difference between Digital Realty Trust, Inc.’s TSR percentage and the TSR percentage of the RMS as is shown in the subsequent table (the “RMS Relative Market Performance”).</w:t>
      </w:r>
    </w:p>
    <w:tbl>
      <w:tblPr>
        <w:tblLayout w:type="fixed"/>
        <w:tblInd w:w="320" w:type="dxa"/>
        <w:tblCellMar>
          <w:top w:w="0" w:type="dxa"/>
          <w:left w:w="0" w:type="dxa"/>
          <w:bottom w:w="0" w:type="dxa"/>
          <w:right w:w="0" w:type="dxa"/>
        </w:tblCellMar>
      </w:tblPr>
      <w:tr>
        <w:trPr>
          <w:trHeight w:val="146"/>
        </w:trPr>
        <w:tc>
          <w:tcPr>
            <w:tcW w:w="24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20" w:type="dxa"/>
            <w:vAlign w:val="bottom"/>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rPr>
              <w:t>Market</w:t>
            </w:r>
          </w:p>
        </w:tc>
      </w:tr>
      <w:tr>
        <w:trPr>
          <w:trHeight w:val="156"/>
        </w:trPr>
        <w:tc>
          <w:tcPr>
            <w:tcW w:w="246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Performance</w:t>
            </w:r>
          </w:p>
        </w:tc>
      </w:tr>
      <w:tr>
        <w:trPr>
          <w:trHeight w:val="156"/>
        </w:trPr>
        <w:tc>
          <w:tcPr>
            <w:tcW w:w="2460" w:type="dxa"/>
            <w:vAlign w:val="bottom"/>
          </w:tcPr>
          <w:p>
            <w:pPr>
              <w:spacing w:after="0"/>
              <w:rPr>
                <w:sz w:val="13"/>
                <w:szCs w:val="13"/>
                <w:color w:val="auto"/>
              </w:rPr>
            </w:pPr>
          </w:p>
        </w:tc>
        <w:tc>
          <w:tcPr>
            <w:tcW w:w="2900" w:type="dxa"/>
            <w:vAlign w:val="bottom"/>
          </w:tcPr>
          <w:p>
            <w:pPr>
              <w:jc w:val="right"/>
              <w:ind w:right="846"/>
              <w:spacing w:after="0"/>
              <w:rPr>
                <w:sz w:val="20"/>
                <w:szCs w:val="20"/>
                <w:color w:val="auto"/>
              </w:rPr>
            </w:pPr>
            <w:r>
              <w:rPr>
                <w:rFonts w:ascii="Times New Roman" w:cs="Times New Roman" w:eastAsia="Times New Roman" w:hAnsi="Times New Roman"/>
                <w:sz w:val="13"/>
                <w:szCs w:val="13"/>
                <w:b w:val="1"/>
                <w:bCs w:val="1"/>
                <w:color w:val="auto"/>
              </w:rPr>
              <w:t>RMS Relative</w:t>
            </w:r>
          </w:p>
        </w:tc>
        <w:tc>
          <w:tcPr>
            <w:tcW w:w="200" w:type="dxa"/>
            <w:vAlign w:val="bottom"/>
          </w:tcPr>
          <w:p>
            <w:pPr>
              <w:spacing w:after="0"/>
              <w:rPr>
                <w:sz w:val="13"/>
                <w:szCs w:val="13"/>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Vesting</w:t>
            </w:r>
          </w:p>
        </w:tc>
      </w:tr>
      <w:tr>
        <w:trPr>
          <w:trHeight w:val="170"/>
        </w:trPr>
        <w:tc>
          <w:tcPr>
            <w:tcW w:w="2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Level</w:t>
            </w:r>
          </w:p>
        </w:tc>
        <w:tc>
          <w:tcPr>
            <w:tcW w:w="2900" w:type="dxa"/>
            <w:vAlign w:val="bottom"/>
            <w:tcBorders>
              <w:bottom w:val="single" w:sz="8" w:color="auto"/>
            </w:tcBorders>
          </w:tcPr>
          <w:p>
            <w:pPr>
              <w:jc w:val="right"/>
              <w:ind w:right="646"/>
              <w:spacing w:after="0"/>
              <w:rPr>
                <w:sz w:val="20"/>
                <w:szCs w:val="20"/>
                <w:color w:val="auto"/>
              </w:rPr>
            </w:pPr>
            <w:r>
              <w:rPr>
                <w:rFonts w:ascii="Times New Roman" w:cs="Times New Roman" w:eastAsia="Times New Roman" w:hAnsi="Times New Roman"/>
                <w:sz w:val="13"/>
                <w:szCs w:val="13"/>
                <w:b w:val="1"/>
                <w:bCs w:val="1"/>
                <w:color w:val="auto"/>
              </w:rPr>
              <w:t>Market Performance</w:t>
            </w:r>
          </w:p>
        </w:tc>
        <w:tc>
          <w:tcPr>
            <w:tcW w:w="200" w:type="dxa"/>
            <w:vAlign w:val="bottom"/>
            <w:tcBorders>
              <w:bottom w:val="single" w:sz="8" w:color="CCEEFF"/>
            </w:tcBorders>
          </w:tcPr>
          <w:p>
            <w:pPr>
              <w:spacing w:after="0"/>
              <w:rPr>
                <w:sz w:val="14"/>
                <w:szCs w:val="14"/>
                <w:color w:val="auto"/>
              </w:rPr>
            </w:pPr>
          </w:p>
        </w:tc>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Percentage</w:t>
            </w:r>
          </w:p>
        </w:tc>
      </w:tr>
      <w:tr>
        <w:trPr>
          <w:trHeight w:val="172"/>
        </w:trPr>
        <w:tc>
          <w:tcPr>
            <w:tcW w:w="24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Below Threshold Level</w:t>
            </w:r>
          </w:p>
        </w:tc>
        <w:tc>
          <w:tcPr>
            <w:tcW w:w="29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 -500 basis points</w:t>
            </w:r>
          </w:p>
        </w:tc>
        <w:tc>
          <w:tcPr>
            <w:tcW w:w="200" w:type="dxa"/>
            <w:vAlign w:val="bottom"/>
            <w:shd w:val="clear" w:color="auto" w:fill="CCEEFF"/>
          </w:tcPr>
          <w:p>
            <w:pPr>
              <w:spacing w:after="0"/>
              <w:rPr>
                <w:sz w:val="14"/>
                <w:szCs w:val="14"/>
                <w:color w:val="auto"/>
              </w:rPr>
            </w:pPr>
          </w:p>
        </w:tc>
        <w:tc>
          <w:tcPr>
            <w:tcW w:w="2820" w:type="dxa"/>
            <w:vAlign w:val="bottom"/>
            <w:shd w:val="clear" w:color="auto" w:fill="CCEEFF"/>
          </w:tcPr>
          <w:p>
            <w:pPr>
              <w:jc w:val="right"/>
              <w:ind w:right="172"/>
              <w:spacing w:after="0" w:line="172" w:lineRule="exact"/>
              <w:rPr>
                <w:sz w:val="20"/>
                <w:szCs w:val="20"/>
                <w:color w:val="auto"/>
              </w:rPr>
            </w:pPr>
            <w:r>
              <w:rPr>
                <w:rFonts w:ascii="Times New Roman" w:cs="Times New Roman" w:eastAsia="Times New Roman" w:hAnsi="Times New Roman"/>
                <w:sz w:val="16"/>
                <w:szCs w:val="16"/>
                <w:color w:val="auto"/>
              </w:rPr>
              <w:t>0 %</w:t>
            </w:r>
          </w:p>
        </w:tc>
      </w:tr>
      <w:tr>
        <w:trPr>
          <w:trHeight w:val="180"/>
        </w:trPr>
        <w:tc>
          <w:tcPr>
            <w:tcW w:w="24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Threshold Level</w:t>
            </w:r>
          </w:p>
        </w:tc>
        <w:tc>
          <w:tcPr>
            <w:tcW w:w="2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-500 basis points</w:t>
            </w:r>
          </w:p>
        </w:tc>
        <w:tc>
          <w:tcPr>
            <w:tcW w:w="3020" w:type="dxa"/>
            <w:vAlign w:val="bottom"/>
            <w:gridSpan w:val="2"/>
          </w:tcPr>
          <w:p>
            <w:pPr>
              <w:jc w:val="right"/>
              <w:ind w:right="172"/>
              <w:spacing w:after="0" w:line="180" w:lineRule="exact"/>
              <w:rPr>
                <w:sz w:val="20"/>
                <w:szCs w:val="20"/>
                <w:color w:val="auto"/>
              </w:rPr>
            </w:pPr>
            <w:r>
              <w:rPr>
                <w:rFonts w:ascii="Times New Roman" w:cs="Times New Roman" w:eastAsia="Times New Roman" w:hAnsi="Times New Roman"/>
                <w:sz w:val="16"/>
                <w:szCs w:val="16"/>
                <w:color w:val="auto"/>
              </w:rPr>
              <w:t>25 %</w:t>
            </w:r>
          </w:p>
        </w:tc>
      </w:tr>
      <w:tr>
        <w:trPr>
          <w:trHeight w:val="180"/>
        </w:trPr>
        <w:tc>
          <w:tcPr>
            <w:tcW w:w="24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Target Level</w:t>
            </w:r>
          </w:p>
        </w:tc>
        <w:tc>
          <w:tcPr>
            <w:tcW w:w="2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0 basis points</w:t>
            </w:r>
          </w:p>
        </w:tc>
        <w:tc>
          <w:tcPr>
            <w:tcW w:w="3020" w:type="dxa"/>
            <w:vAlign w:val="bottom"/>
            <w:gridSpan w:val="2"/>
            <w:shd w:val="clear" w:color="auto" w:fill="CCEEFF"/>
          </w:tcPr>
          <w:p>
            <w:pPr>
              <w:jc w:val="right"/>
              <w:ind w:right="172"/>
              <w:spacing w:after="0" w:line="180" w:lineRule="exact"/>
              <w:rPr>
                <w:sz w:val="20"/>
                <w:szCs w:val="20"/>
                <w:color w:val="auto"/>
              </w:rPr>
            </w:pPr>
            <w:r>
              <w:rPr>
                <w:rFonts w:ascii="Times New Roman" w:cs="Times New Roman" w:eastAsia="Times New Roman" w:hAnsi="Times New Roman"/>
                <w:sz w:val="16"/>
                <w:szCs w:val="16"/>
                <w:color w:val="auto"/>
              </w:rPr>
              <w:t>50 %</w:t>
            </w:r>
          </w:p>
        </w:tc>
      </w:tr>
      <w:tr>
        <w:trPr>
          <w:trHeight w:val="203"/>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High Level</w:t>
            </w:r>
          </w:p>
        </w:tc>
        <w:tc>
          <w:tcPr>
            <w:tcW w:w="2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500 basis points</w:t>
            </w:r>
          </w:p>
        </w:tc>
        <w:tc>
          <w:tcPr>
            <w:tcW w:w="3020" w:type="dxa"/>
            <w:vAlign w:val="bottom"/>
            <w:gridSpan w:val="2"/>
          </w:tcPr>
          <w:p>
            <w:pPr>
              <w:jc w:val="right"/>
              <w:ind w:right="172"/>
              <w:spacing w:after="0"/>
              <w:rPr>
                <w:sz w:val="20"/>
                <w:szCs w:val="20"/>
                <w:color w:val="auto"/>
              </w:rPr>
            </w:pPr>
            <w:r>
              <w:rPr>
                <w:rFonts w:ascii="Times New Roman" w:cs="Times New Roman" w:eastAsia="Times New Roman" w:hAnsi="Times New Roman"/>
                <w:sz w:val="16"/>
                <w:szCs w:val="16"/>
                <w:color w:val="auto"/>
              </w:rPr>
              <w:t>100 %</w:t>
            </w:r>
          </w:p>
        </w:tc>
      </w:tr>
    </w:tbl>
    <w:p>
      <w:pPr>
        <w:spacing w:after="0" w:line="144" w:lineRule="exact"/>
        <w:rPr>
          <w:sz w:val="20"/>
          <w:szCs w:val="20"/>
          <w:color w:val="auto"/>
        </w:rPr>
      </w:pPr>
    </w:p>
    <w:p>
      <w:pPr>
        <w:ind w:left="320" w:right="520"/>
        <w:spacing w:after="0" w:line="259" w:lineRule="auto"/>
        <w:rPr>
          <w:sz w:val="20"/>
          <w:szCs w:val="20"/>
          <w:color w:val="auto"/>
        </w:rPr>
      </w:pPr>
      <w:r>
        <w:rPr>
          <w:rFonts w:ascii="Times New Roman" w:cs="Times New Roman" w:eastAsia="Times New Roman" w:hAnsi="Times New Roman"/>
          <w:sz w:val="16"/>
          <w:szCs w:val="16"/>
          <w:color w:val="auto"/>
        </w:rPr>
        <w:t>If the RMS Relative Market Performance falls between the levels specified in the above table, the percentage of the award that will vest with respect to the market condition will be determined using straight-line linear interpolation between such levels.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51" w:name="page152"/>
    <w:bookmarkEnd w:id="151"/>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 and 2023</w:t>
      </w:r>
    </w:p>
    <w:p>
      <w:pPr>
        <w:spacing w:after="0" w:line="202" w:lineRule="exact"/>
        <w:rPr>
          <w:sz w:val="20"/>
          <w:szCs w:val="20"/>
          <w:color w:val="auto"/>
        </w:rPr>
      </w:pPr>
    </w:p>
    <w:p>
      <w:pPr>
        <w:ind w:left="320" w:right="1040"/>
        <w:spacing w:after="0" w:line="259" w:lineRule="auto"/>
        <w:rPr>
          <w:sz w:val="20"/>
          <w:szCs w:val="20"/>
          <w:color w:val="auto"/>
        </w:rPr>
      </w:pPr>
      <w:r>
        <w:rPr>
          <w:rFonts w:ascii="Times New Roman" w:cs="Times New Roman" w:eastAsia="Times New Roman" w:hAnsi="Times New Roman"/>
          <w:sz w:val="16"/>
          <w:szCs w:val="16"/>
          <w:color w:val="auto"/>
        </w:rPr>
        <w:t>Following the completion of the applicable Market Performance Period, the Compensation Committee made the following determinations regarding the vesting of these awards.</w:t>
      </w:r>
    </w:p>
    <w:p>
      <w:pPr>
        <w:spacing w:after="0" w:line="1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2022 Awards</w:t>
      </w:r>
    </w:p>
    <w:p>
      <w:pPr>
        <w:spacing w:after="0" w:line="190" w:lineRule="exact"/>
        <w:rPr>
          <w:sz w:val="20"/>
          <w:szCs w:val="20"/>
          <w:color w:val="auto"/>
        </w:rPr>
      </w:pPr>
    </w:p>
    <w:p>
      <w:pPr>
        <w:ind w:left="900" w:right="620" w:hanging="294"/>
        <w:spacing w:after="0" w:line="331" w:lineRule="auto"/>
        <w:tabs>
          <w:tab w:leader="none" w:pos="90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January 2025 the RMS Relative Market Performance was achieved at the high level of performance and, accordingly, 61,661 Class D units and 5,654 Restricted Stock Units performance vested and qualified for time-based vesting.</w:t>
      </w:r>
    </w:p>
    <w:p>
      <w:pPr>
        <w:spacing w:after="0" w:line="108" w:lineRule="exact"/>
        <w:rPr>
          <w:rFonts w:ascii="Times New Roman" w:cs="Times New Roman" w:eastAsia="Times New Roman" w:hAnsi="Times New Roman"/>
          <w:sz w:val="14"/>
          <w:szCs w:val="14"/>
          <w:color w:val="auto"/>
        </w:rPr>
      </w:pPr>
    </w:p>
    <w:p>
      <w:pPr>
        <w:ind w:left="900" w:hanging="294"/>
        <w:spacing w:after="0"/>
        <w:tabs>
          <w:tab w:leader="none" w:pos="90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Class D units included 6,997 distribution equivalent units that immediately vested on December 31, 2024.</w:t>
      </w:r>
    </w:p>
    <w:p>
      <w:pPr>
        <w:spacing w:after="0" w:line="188" w:lineRule="exact"/>
        <w:rPr>
          <w:rFonts w:ascii="Times New Roman" w:cs="Times New Roman" w:eastAsia="Times New Roman" w:hAnsi="Times New Roman"/>
          <w:sz w:val="16"/>
          <w:szCs w:val="16"/>
          <w:color w:val="auto"/>
        </w:rPr>
      </w:pPr>
    </w:p>
    <w:p>
      <w:pPr>
        <w:ind w:left="900" w:right="480" w:hanging="294"/>
        <w:spacing w:after="0" w:line="259" w:lineRule="auto"/>
        <w:tabs>
          <w:tab w:leader="none" w:pos="90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February 27, 2025, 50% of the 2022 awards will vest and the remaining 50% will vest on February 27, 2026, subject to continued employment through the applicable vesting date.</w:t>
      </w:r>
    </w:p>
    <w:p>
      <w:pPr>
        <w:spacing w:after="0" w:line="1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2021 Awards</w:t>
      </w:r>
    </w:p>
    <w:p>
      <w:pPr>
        <w:spacing w:after="0" w:line="190" w:lineRule="exact"/>
        <w:rPr>
          <w:sz w:val="20"/>
          <w:szCs w:val="20"/>
          <w:color w:val="auto"/>
        </w:rPr>
      </w:pPr>
    </w:p>
    <w:p>
      <w:pPr>
        <w:jc w:val="both"/>
        <w:ind w:left="900" w:right="340" w:hanging="294"/>
        <w:spacing w:after="0" w:line="331" w:lineRule="auto"/>
        <w:tabs>
          <w:tab w:leader="none" w:pos="90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January 2024, the RMS Relative Market Performance fell between the threshold and target level for the 2021 awards and, accordingly, 71,926 Class D units and 7,066 Restricted Stock Units performance vested and qualified for time-based vesting.</w:t>
      </w:r>
    </w:p>
    <w:p>
      <w:pPr>
        <w:spacing w:after="0" w:line="108" w:lineRule="exact"/>
        <w:rPr>
          <w:rFonts w:ascii="Times New Roman" w:cs="Times New Roman" w:eastAsia="Times New Roman" w:hAnsi="Times New Roman"/>
          <w:sz w:val="14"/>
          <w:szCs w:val="14"/>
          <w:color w:val="auto"/>
        </w:rPr>
      </w:pPr>
    </w:p>
    <w:p>
      <w:pPr>
        <w:ind w:left="900" w:hanging="294"/>
        <w:spacing w:after="0"/>
        <w:tabs>
          <w:tab w:leader="none" w:pos="90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Class D units included 5,131 distribution equivalent units that immediately vested on December 31, 2023.</w:t>
      </w:r>
    </w:p>
    <w:p>
      <w:pPr>
        <w:spacing w:after="0" w:line="188" w:lineRule="exact"/>
        <w:rPr>
          <w:rFonts w:ascii="Times New Roman" w:cs="Times New Roman" w:eastAsia="Times New Roman" w:hAnsi="Times New Roman"/>
          <w:sz w:val="16"/>
          <w:szCs w:val="16"/>
          <w:color w:val="auto"/>
        </w:rPr>
      </w:pPr>
    </w:p>
    <w:p>
      <w:pPr>
        <w:ind w:left="900" w:right="620" w:hanging="294"/>
        <w:spacing w:after="0" w:line="259" w:lineRule="auto"/>
        <w:tabs>
          <w:tab w:leader="none" w:pos="90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February 27, 2024, 50% of the 2021 awards vested and the remaining 50% will vest on February 27, 2025, subject to continued employment through the applicable vesting date.</w:t>
      </w:r>
    </w:p>
    <w:p>
      <w:pPr>
        <w:spacing w:after="0" w:line="1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2020 Awards</w:t>
      </w:r>
    </w:p>
    <w:p>
      <w:pPr>
        <w:spacing w:after="0" w:line="190" w:lineRule="exact"/>
        <w:rPr>
          <w:sz w:val="20"/>
          <w:szCs w:val="20"/>
          <w:color w:val="auto"/>
        </w:rPr>
      </w:pPr>
    </w:p>
    <w:p>
      <w:pPr>
        <w:jc w:val="both"/>
        <w:ind w:left="900" w:right="560" w:hanging="294"/>
        <w:spacing w:after="0" w:line="247" w:lineRule="auto"/>
        <w:tabs>
          <w:tab w:leader="none" w:pos="90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January 2023, the RMS Relative Market Performance fell between the threshold and target levels for the 2020 awards and, accordingly, 72,230 Class D units and 7,083 Restricted Stock Units performance vested and qualified for time-based vesting.</w:t>
      </w:r>
    </w:p>
    <w:p>
      <w:pPr>
        <w:spacing w:after="0" w:line="164" w:lineRule="exact"/>
        <w:rPr>
          <w:rFonts w:ascii="Times New Roman" w:cs="Times New Roman" w:eastAsia="Times New Roman" w:hAnsi="Times New Roman"/>
          <w:sz w:val="16"/>
          <w:szCs w:val="16"/>
          <w:color w:val="auto"/>
        </w:rPr>
      </w:pPr>
    </w:p>
    <w:p>
      <w:pPr>
        <w:ind w:left="900" w:hanging="294"/>
        <w:spacing w:after="0"/>
        <w:tabs>
          <w:tab w:leader="none" w:pos="90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Class D units included 5,841 distribution equivalent units that immediately vested on December 31, 2022.</w:t>
      </w:r>
    </w:p>
    <w:p>
      <w:pPr>
        <w:spacing w:after="0" w:line="188" w:lineRule="exact"/>
        <w:rPr>
          <w:rFonts w:ascii="Times New Roman" w:cs="Times New Roman" w:eastAsia="Times New Roman" w:hAnsi="Times New Roman"/>
          <w:sz w:val="16"/>
          <w:szCs w:val="16"/>
          <w:color w:val="auto"/>
        </w:rPr>
      </w:pPr>
    </w:p>
    <w:p>
      <w:pPr>
        <w:ind w:left="900" w:hanging="294"/>
        <w:spacing w:after="0"/>
        <w:tabs>
          <w:tab w:leader="none" w:pos="90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February 27, 2023, 50% of the 2020 awards vested and the remaining 50% vested on February 27, 2024.</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Financial-Based Performance Awards.</w:t>
      </w:r>
    </w:p>
    <w:p>
      <w:pPr>
        <w:spacing w:after="0" w:line="178" w:lineRule="exact"/>
        <w:rPr>
          <w:sz w:val="20"/>
          <w:szCs w:val="20"/>
          <w:color w:val="auto"/>
        </w:rPr>
      </w:pPr>
    </w:p>
    <w:p>
      <w:pPr>
        <w:ind w:left="320" w:right="300"/>
        <w:spacing w:after="0" w:line="239" w:lineRule="auto"/>
        <w:rPr>
          <w:sz w:val="20"/>
          <w:szCs w:val="20"/>
          <w:color w:val="auto"/>
        </w:rPr>
      </w:pPr>
      <w:r>
        <w:rPr>
          <w:rFonts w:ascii="Times New Roman" w:cs="Times New Roman" w:eastAsia="Times New Roman" w:hAnsi="Times New Roman"/>
          <w:sz w:val="16"/>
          <w:szCs w:val="16"/>
          <w:color w:val="auto"/>
        </w:rPr>
        <w:t>On January 1, 2024, the Company granted Financial-Based Performance Awards, which vest based on growth in same-store cash net operating income during the three -year period commencing on January 1, 2024. The awards have a time-based vesting element consistent with the Market-Based Performance Awards discussed above. For these awards, fair value is based on market value on the date of grant and compensation cost is recognized based on the probable achievement of the performance condition at each reporting period. The grant date fair value of these awards was $9.8 million, based on Digital Realty Trust, Inc.’s closing stock price at the grant date.</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52" w:name="page153"/>
    <w:bookmarkEnd w:id="152"/>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 and 2023</w:t>
      </w:r>
    </w:p>
    <w:p>
      <w:pPr>
        <w:spacing w:after="0" w:line="202" w:lineRule="exact"/>
        <w:rPr>
          <w:sz w:val="20"/>
          <w:szCs w:val="20"/>
          <w:color w:val="auto"/>
        </w:rPr>
      </w:pPr>
    </w:p>
    <w:p>
      <w:pPr>
        <w:ind w:left="320" w:right="300"/>
        <w:spacing w:after="0" w:line="239" w:lineRule="auto"/>
        <w:rPr>
          <w:sz w:val="20"/>
          <w:szCs w:val="20"/>
          <w:color w:val="auto"/>
        </w:rPr>
      </w:pPr>
      <w:r>
        <w:rPr>
          <w:rFonts w:ascii="Times New Roman" w:cs="Times New Roman" w:eastAsia="Times New Roman" w:hAnsi="Times New Roman"/>
          <w:sz w:val="16"/>
          <w:szCs w:val="16"/>
          <w:color w:val="auto"/>
        </w:rPr>
        <w:t>On April 8, 2023, the Company granted Financial-Based Performance Awards, which vest based on growth in same-store cash net operating income during the three -year period commencing on January 1, 2023. The awards have a time-based vesting element consistent with the Market-Based Performance Awards discussed above. For these awards, fair value is based on market value on the date of grant and compensation cost is recognized based on the probable achievement of the performance condition at each reporting period. The grant date fair value of these awards was $8.1 million, based on Digital Realty Trust, Inc.’s closing stock price at the grant date.</w:t>
      </w:r>
    </w:p>
    <w:p>
      <w:pPr>
        <w:spacing w:after="0" w:line="161" w:lineRule="exact"/>
        <w:rPr>
          <w:sz w:val="20"/>
          <w:szCs w:val="20"/>
          <w:color w:val="auto"/>
        </w:rPr>
      </w:pPr>
    </w:p>
    <w:p>
      <w:pPr>
        <w:ind w:left="320" w:right="360"/>
        <w:spacing w:after="0" w:line="239" w:lineRule="auto"/>
        <w:rPr>
          <w:sz w:val="20"/>
          <w:szCs w:val="20"/>
          <w:color w:val="auto"/>
        </w:rPr>
      </w:pPr>
      <w:r>
        <w:rPr>
          <w:rFonts w:ascii="Times New Roman" w:cs="Times New Roman" w:eastAsia="Times New Roman" w:hAnsi="Times New Roman"/>
          <w:sz w:val="16"/>
          <w:szCs w:val="16"/>
          <w:color w:val="auto"/>
        </w:rPr>
        <w:t>On March 4, 2022, the Company granted Financial-Based Performance Awards, which vest based on the growth in core funds from operation (“Core FFO”) during the three-year period commencing on January 1, 2022. The awards have a time-based vesting element consistent with the Market-Based Performance Awards discussed above. For these awards, fair value is based on market value on the date of grant and compensation cost is recognized based on the probable achievement of the performance condition at each reporting period. The grant date fair value of these awards was $12.3 million, based on Digital Realty Trust, Inc.’s closing stock price at the grant date. As of December 31, 2024, the minimum performance was not attained, and, accordingly, none of the outstanding awards were vested.</w:t>
      </w:r>
    </w:p>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Fair Value of Market Performance-Based Awards</w:t>
      </w:r>
    </w:p>
    <w:p>
      <w:pPr>
        <w:spacing w:after="0" w:line="178" w:lineRule="exact"/>
        <w:rPr>
          <w:sz w:val="20"/>
          <w:szCs w:val="20"/>
          <w:color w:val="auto"/>
        </w:rPr>
      </w:pPr>
    </w:p>
    <w:p>
      <w:pPr>
        <w:ind w:left="320" w:right="400"/>
        <w:spacing w:after="0" w:line="239" w:lineRule="auto"/>
        <w:rPr>
          <w:sz w:val="20"/>
          <w:szCs w:val="20"/>
          <w:color w:val="auto"/>
        </w:rPr>
      </w:pPr>
      <w:r>
        <w:rPr>
          <w:rFonts w:ascii="Times New Roman" w:cs="Times New Roman" w:eastAsia="Times New Roman" w:hAnsi="Times New Roman"/>
          <w:sz w:val="16"/>
          <w:szCs w:val="16"/>
          <w:color w:val="auto"/>
        </w:rPr>
        <w:t>The fair values of the Performance Awards granted were measured using a Monte Carlo simulation to estimate the probability of the market vesting condition being satisfied. The Monte Carlo simulation is a probabilistic technique based on the underlying theory of the Black-Scholes formula, which was run for 100,000 trials to determine the fair value of the awards. For each trial, the payoff to an award is calculated at the settlement date and is then discounted to the grant date at a risk-free interest rate. The total expected value of the awards on the grant date was determined by multiplying the average value per award over all trials by the number of awards granted. Assumptions used in the valuations are summarized as follows:</w:t>
      </w:r>
    </w:p>
    <w:p>
      <w:pPr>
        <w:spacing w:after="0" w:line="172" w:lineRule="exact"/>
        <w:rPr>
          <w:sz w:val="20"/>
          <w:szCs w:val="20"/>
          <w:color w:val="auto"/>
        </w:rPr>
      </w:pPr>
    </w:p>
    <w:tbl>
      <w:tblPr>
        <w:tblLayout w:type="fixed"/>
        <w:tblInd w:w="320" w:type="dxa"/>
        <w:tblCellMar>
          <w:top w:w="0" w:type="dxa"/>
          <w:left w:w="0" w:type="dxa"/>
          <w:bottom w:w="0" w:type="dxa"/>
          <w:right w:w="0" w:type="dxa"/>
        </w:tblCellMar>
      </w:tblPr>
      <w:tr>
        <w:trPr>
          <w:trHeight w:val="156"/>
        </w:trPr>
        <w:tc>
          <w:tcPr>
            <w:tcW w:w="2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20" w:type="dxa"/>
            <w:vAlign w:val="bottom"/>
          </w:tcPr>
          <w:p>
            <w:pPr>
              <w:jc w:val="center"/>
              <w:ind w:left="314"/>
              <w:spacing w:after="0"/>
              <w:rPr>
                <w:sz w:val="20"/>
                <w:szCs w:val="20"/>
                <w:color w:val="auto"/>
              </w:rPr>
            </w:pPr>
            <w:r>
              <w:rPr>
                <w:rFonts w:ascii="Times New Roman" w:cs="Times New Roman" w:eastAsia="Times New Roman" w:hAnsi="Times New Roman"/>
                <w:sz w:val="13"/>
                <w:szCs w:val="13"/>
                <w:b w:val="1"/>
                <w:bCs w:val="1"/>
                <w:color w:val="auto"/>
              </w:rPr>
              <w:t>Expected Stock Price</w:t>
            </w: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40" w:type="dxa"/>
            <w:vAlign w:val="bottom"/>
          </w:tcPr>
          <w:p>
            <w:pPr>
              <w:jc w:val="right"/>
              <w:ind w:right="910"/>
              <w:spacing w:after="0"/>
              <w:rPr>
                <w:sz w:val="20"/>
                <w:szCs w:val="20"/>
                <w:color w:val="auto"/>
              </w:rPr>
            </w:pPr>
            <w:r>
              <w:rPr>
                <w:rFonts w:ascii="Times New Roman" w:cs="Times New Roman" w:eastAsia="Times New Roman" w:hAnsi="Times New Roman"/>
                <w:sz w:val="13"/>
                <w:szCs w:val="13"/>
                <w:b w:val="1"/>
                <w:bCs w:val="1"/>
                <w:color w:val="auto"/>
              </w:rPr>
              <w:t>Risk-Free Interest</w:t>
            </w:r>
          </w:p>
        </w:tc>
      </w:tr>
      <w:tr>
        <w:trPr>
          <w:trHeight w:val="170"/>
        </w:trPr>
        <w:tc>
          <w:tcPr>
            <w:tcW w:w="2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Award Date</w:t>
            </w:r>
          </w:p>
        </w:tc>
        <w:tc>
          <w:tcPr>
            <w:tcW w:w="340" w:type="dxa"/>
            <w:vAlign w:val="bottom"/>
            <w:tcBorders>
              <w:bottom w:val="single" w:sz="8" w:color="CCEEFF"/>
            </w:tcBorders>
          </w:tcPr>
          <w:p>
            <w:pPr>
              <w:spacing w:after="0"/>
              <w:rPr>
                <w:sz w:val="14"/>
                <w:szCs w:val="14"/>
                <w:color w:val="auto"/>
              </w:rPr>
            </w:pPr>
          </w:p>
        </w:tc>
        <w:tc>
          <w:tcPr>
            <w:tcW w:w="1920" w:type="dxa"/>
            <w:vAlign w:val="bottom"/>
            <w:tcBorders>
              <w:bottom w:val="single" w:sz="8" w:color="auto"/>
            </w:tcBorders>
          </w:tcPr>
          <w:p>
            <w:pPr>
              <w:jc w:val="center"/>
              <w:ind w:left="314"/>
              <w:spacing w:after="0"/>
              <w:rPr>
                <w:sz w:val="20"/>
                <w:szCs w:val="20"/>
                <w:color w:val="auto"/>
              </w:rPr>
            </w:pPr>
            <w:r>
              <w:rPr>
                <w:rFonts w:ascii="Times New Roman" w:cs="Times New Roman" w:eastAsia="Times New Roman" w:hAnsi="Times New Roman"/>
                <w:sz w:val="13"/>
                <w:szCs w:val="13"/>
                <w:b w:val="1"/>
                <w:bCs w:val="1"/>
                <w:color w:val="auto"/>
              </w:rPr>
              <w:t>Volatility</w:t>
            </w:r>
          </w:p>
        </w:tc>
        <w:tc>
          <w:tcPr>
            <w:tcW w:w="72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640" w:type="dxa"/>
            <w:vAlign w:val="bottom"/>
            <w:tcBorders>
              <w:bottom w:val="single" w:sz="8" w:color="auto"/>
            </w:tcBorders>
          </w:tcPr>
          <w:p>
            <w:pPr>
              <w:jc w:val="right"/>
              <w:ind w:right="1310"/>
              <w:spacing w:after="0"/>
              <w:rPr>
                <w:sz w:val="20"/>
                <w:szCs w:val="20"/>
                <w:color w:val="auto"/>
              </w:rPr>
            </w:pPr>
            <w:r>
              <w:rPr>
                <w:rFonts w:ascii="Times New Roman" w:cs="Times New Roman" w:eastAsia="Times New Roman" w:hAnsi="Times New Roman"/>
                <w:sz w:val="13"/>
                <w:szCs w:val="13"/>
                <w:b w:val="1"/>
                <w:bCs w:val="1"/>
                <w:color w:val="auto"/>
              </w:rPr>
              <w:t>rate</w:t>
            </w:r>
          </w:p>
        </w:tc>
      </w:tr>
      <w:tr>
        <w:trPr>
          <w:trHeight w:val="172"/>
        </w:trPr>
        <w:tc>
          <w:tcPr>
            <w:tcW w:w="244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January 1, 2022</w:t>
            </w:r>
          </w:p>
        </w:tc>
        <w:tc>
          <w:tcPr>
            <w:tcW w:w="34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42"/>
              <w:spacing w:after="0" w:line="172" w:lineRule="exact"/>
              <w:rPr>
                <w:sz w:val="20"/>
                <w:szCs w:val="20"/>
                <w:color w:val="auto"/>
              </w:rPr>
            </w:pPr>
            <w:r>
              <w:rPr>
                <w:rFonts w:ascii="Times New Roman" w:cs="Times New Roman" w:eastAsia="Times New Roman" w:hAnsi="Times New Roman"/>
                <w:sz w:val="16"/>
                <w:szCs w:val="16"/>
                <w:color w:val="auto"/>
              </w:rPr>
              <w:t>26 %</w:t>
            </w:r>
          </w:p>
        </w:tc>
        <w:tc>
          <w:tcPr>
            <w:tcW w:w="320" w:type="dxa"/>
            <w:vAlign w:val="bottom"/>
            <w:shd w:val="clear" w:color="auto" w:fill="CCEEFF"/>
          </w:tcPr>
          <w:p>
            <w:pPr>
              <w:spacing w:after="0"/>
              <w:rPr>
                <w:sz w:val="14"/>
                <w:szCs w:val="14"/>
                <w:color w:val="auto"/>
              </w:rPr>
            </w:pPr>
          </w:p>
        </w:tc>
        <w:tc>
          <w:tcPr>
            <w:tcW w:w="2640" w:type="dxa"/>
            <w:vAlign w:val="bottom"/>
            <w:shd w:val="clear" w:color="auto" w:fill="CCEEFF"/>
          </w:tcPr>
          <w:p>
            <w:pPr>
              <w:jc w:val="right"/>
              <w:ind w:right="150"/>
              <w:spacing w:after="0" w:line="172" w:lineRule="exact"/>
              <w:rPr>
                <w:sz w:val="20"/>
                <w:szCs w:val="20"/>
                <w:color w:val="auto"/>
              </w:rPr>
            </w:pPr>
            <w:r>
              <w:rPr>
                <w:rFonts w:ascii="Times New Roman" w:cs="Times New Roman" w:eastAsia="Times New Roman" w:hAnsi="Times New Roman"/>
                <w:sz w:val="16"/>
                <w:szCs w:val="16"/>
                <w:color w:val="auto"/>
              </w:rPr>
              <w:t>0.97 %</w:t>
            </w:r>
          </w:p>
        </w:tc>
      </w:tr>
      <w:tr>
        <w:trPr>
          <w:trHeight w:val="180"/>
        </w:trPr>
        <w:tc>
          <w:tcPr>
            <w:tcW w:w="24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January 1, 2023</w:t>
            </w:r>
          </w:p>
        </w:tc>
        <w:tc>
          <w:tcPr>
            <w:tcW w:w="3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72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32 %</w:t>
            </w:r>
          </w:p>
        </w:tc>
        <w:tc>
          <w:tcPr>
            <w:tcW w:w="2960" w:type="dxa"/>
            <w:vAlign w:val="bottom"/>
            <w:gridSpan w:val="2"/>
          </w:tcPr>
          <w:p>
            <w:pPr>
              <w:jc w:val="right"/>
              <w:ind w:right="150"/>
              <w:spacing w:after="0" w:line="180" w:lineRule="exact"/>
              <w:rPr>
                <w:sz w:val="20"/>
                <w:szCs w:val="20"/>
                <w:color w:val="auto"/>
              </w:rPr>
            </w:pPr>
            <w:r>
              <w:rPr>
                <w:rFonts w:ascii="Times New Roman" w:cs="Times New Roman" w:eastAsia="Times New Roman" w:hAnsi="Times New Roman"/>
                <w:sz w:val="16"/>
                <w:szCs w:val="16"/>
                <w:color w:val="auto"/>
              </w:rPr>
              <w:t>4.18 %</w:t>
            </w:r>
          </w:p>
        </w:tc>
      </w:tr>
      <w:tr>
        <w:trPr>
          <w:trHeight w:val="180"/>
        </w:trPr>
        <w:tc>
          <w:tcPr>
            <w:tcW w:w="24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January 1, 2024</w:t>
            </w:r>
          </w:p>
        </w:tc>
        <w:tc>
          <w:tcPr>
            <w:tcW w:w="34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29 %</w:t>
            </w:r>
          </w:p>
        </w:tc>
        <w:tc>
          <w:tcPr>
            <w:tcW w:w="2960" w:type="dxa"/>
            <w:vAlign w:val="bottom"/>
            <w:gridSpan w:val="2"/>
            <w:shd w:val="clear" w:color="auto" w:fill="CCEEFF"/>
          </w:tcPr>
          <w:p>
            <w:pPr>
              <w:jc w:val="right"/>
              <w:ind w:right="150"/>
              <w:spacing w:after="0" w:line="180" w:lineRule="exact"/>
              <w:rPr>
                <w:sz w:val="20"/>
                <w:szCs w:val="20"/>
                <w:color w:val="auto"/>
              </w:rPr>
            </w:pPr>
            <w:r>
              <w:rPr>
                <w:rFonts w:ascii="Times New Roman" w:cs="Times New Roman" w:eastAsia="Times New Roman" w:hAnsi="Times New Roman"/>
                <w:sz w:val="16"/>
                <w:szCs w:val="16"/>
                <w:color w:val="auto"/>
              </w:rPr>
              <w:t>3.97 %</w:t>
            </w:r>
          </w:p>
        </w:tc>
      </w:tr>
    </w:tbl>
    <w:p>
      <w:pPr>
        <w:spacing w:after="0" w:line="167" w:lineRule="exact"/>
        <w:rPr>
          <w:sz w:val="20"/>
          <w:szCs w:val="20"/>
          <w:color w:val="auto"/>
        </w:rPr>
      </w:pPr>
    </w:p>
    <w:p>
      <w:pPr>
        <w:ind w:left="320" w:right="540"/>
        <w:spacing w:after="0" w:line="284" w:lineRule="auto"/>
        <w:rPr>
          <w:sz w:val="20"/>
          <w:szCs w:val="20"/>
          <w:color w:val="auto"/>
        </w:rPr>
      </w:pPr>
      <w:r>
        <w:rPr>
          <w:rFonts w:ascii="Times New Roman" w:cs="Times New Roman" w:eastAsia="Times New Roman" w:hAnsi="Times New Roman"/>
          <w:sz w:val="14"/>
          <w:szCs w:val="14"/>
          <w:color w:val="auto"/>
        </w:rPr>
        <w:t>The expected stock price volatility assumption is calculated based on our historical volatility, which is calculated over a period of time commensurate with the expected term of the awards being valued. The expected dividend yield assumption used in the Monte Carlo simulation represents the percent of return to a stock that is available to the holder of an award. Because the holders of the awards receive dividend equivalents, an expected dividend yield assumption of 0.00% was used in the valuation. These valuations were performed in a risk-neutral framework, and no assumption was made with respect to an equity risk premium.</w:t>
      </w:r>
    </w:p>
    <w:p>
      <w:pPr>
        <w:spacing w:after="0" w:line="128" w:lineRule="exact"/>
        <w:rPr>
          <w:sz w:val="20"/>
          <w:szCs w:val="20"/>
          <w:color w:val="auto"/>
        </w:rPr>
      </w:pPr>
    </w:p>
    <w:p>
      <w:pPr>
        <w:ind w:left="320" w:right="580"/>
        <w:spacing w:after="0" w:line="247" w:lineRule="auto"/>
        <w:rPr>
          <w:sz w:val="20"/>
          <w:szCs w:val="20"/>
          <w:color w:val="auto"/>
        </w:rPr>
      </w:pPr>
      <w:r>
        <w:rPr>
          <w:rFonts w:ascii="Times New Roman" w:cs="Times New Roman" w:eastAsia="Times New Roman" w:hAnsi="Times New Roman"/>
          <w:sz w:val="16"/>
          <w:szCs w:val="16"/>
          <w:color w:val="auto"/>
        </w:rPr>
        <w:t>The grant date fair value of the Performance Awards was approximately $9.8 million, $8.2 million and $12.3 million for the years ended December 31, 2024, 2023 and 2022, respectively. We recognize compensation expense on a straight-line basis over the expected service period of approximately four years.</w:t>
      </w:r>
    </w:p>
    <w:p>
      <w:pPr>
        <w:spacing w:after="0" w:line="152" w:lineRule="exact"/>
        <w:rPr>
          <w:sz w:val="20"/>
          <w:szCs w:val="20"/>
          <w:color w:val="auto"/>
        </w:rPr>
      </w:pPr>
    </w:p>
    <w:p>
      <w:pPr>
        <w:ind w:left="320" w:right="560"/>
        <w:spacing w:after="0" w:line="259" w:lineRule="auto"/>
        <w:rPr>
          <w:sz w:val="20"/>
          <w:szCs w:val="20"/>
          <w:color w:val="auto"/>
        </w:rPr>
      </w:pPr>
      <w:r>
        <w:rPr>
          <w:rFonts w:ascii="Times New Roman" w:cs="Times New Roman" w:eastAsia="Times New Roman" w:hAnsi="Times New Roman"/>
          <w:sz w:val="16"/>
          <w:szCs w:val="16"/>
          <w:color w:val="auto"/>
        </w:rPr>
        <w:t>The aggregate intrinsic value of the Performance Awards that vested in 2024, 2023 and 2022 was $18.5 million, $36.4 million and $41.2 million, respectively.</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53" w:name="page154"/>
    <w:bookmarkEnd w:id="153"/>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 and 2023</w:t>
      </w:r>
    </w:p>
    <w:p>
      <w:pPr>
        <w:spacing w:after="0" w:line="200" w:lineRule="exact"/>
        <w:rPr>
          <w:sz w:val="20"/>
          <w:szCs w:val="20"/>
          <w:color w:val="auto"/>
        </w:rPr>
      </w:pPr>
    </w:p>
    <w:p>
      <w:pPr>
        <w:ind w:left="320" w:right="460"/>
        <w:spacing w:after="0" w:line="244" w:lineRule="auto"/>
        <w:rPr>
          <w:sz w:val="20"/>
          <w:szCs w:val="20"/>
          <w:color w:val="auto"/>
        </w:rPr>
      </w:pPr>
      <w:r>
        <w:rPr>
          <w:rFonts w:ascii="Times New Roman" w:cs="Times New Roman" w:eastAsia="Times New Roman" w:hAnsi="Times New Roman"/>
          <w:sz w:val="16"/>
          <w:szCs w:val="16"/>
          <w:b w:val="1"/>
          <w:bCs w:val="1"/>
          <w:color w:val="auto"/>
        </w:rPr>
        <w:t xml:space="preserve">Other Items: </w:t>
      </w:r>
      <w:r>
        <w:rPr>
          <w:rFonts w:ascii="Times New Roman" w:cs="Times New Roman" w:eastAsia="Times New Roman" w:hAnsi="Times New Roman"/>
          <w:sz w:val="16"/>
          <w:szCs w:val="16"/>
          <w:color w:val="auto"/>
        </w:rPr>
        <w:t>In addition to the LTIP Units, service-based Restricted Stock Units and Performance Awards described above, one-time grants of time and/or performance- based Class D units and Restricted Stock Units were issued in connection with the Interxion Combination. These awards vested over two- and three-year performance periods ending in 2022 and 2023 based on continued service and/or the attainment of performance metrics related to successful integration of the Interxion business.</w:t>
      </w:r>
    </w:p>
    <w:p>
      <w:pPr>
        <w:spacing w:after="0" w:line="154" w:lineRule="exact"/>
        <w:rPr>
          <w:sz w:val="20"/>
          <w:szCs w:val="20"/>
          <w:color w:val="auto"/>
        </w:rPr>
      </w:pPr>
    </w:p>
    <w:p>
      <w:pPr>
        <w:ind w:left="320" w:right="1000"/>
        <w:spacing w:after="0" w:line="246" w:lineRule="auto"/>
        <w:rPr>
          <w:sz w:val="20"/>
          <w:szCs w:val="20"/>
          <w:color w:val="auto"/>
        </w:rPr>
      </w:pPr>
      <w:r>
        <w:rPr>
          <w:rFonts w:ascii="Times New Roman" w:cs="Times New Roman" w:eastAsia="Times New Roman" w:hAnsi="Times New Roman"/>
          <w:sz w:val="16"/>
          <w:szCs w:val="16"/>
          <w:color w:val="auto"/>
        </w:rPr>
        <w:t>As of December 31, 2024, approximately 3.6 million shares of common stock, including awards that can be converted to or exchanged for shares of common stock, remained available for future issuance under the Incentive Plan.</w:t>
      </w:r>
    </w:p>
    <w:p>
      <w:pPr>
        <w:spacing w:after="0" w:line="1" w:lineRule="exact"/>
        <w:rPr>
          <w:sz w:val="20"/>
          <w:szCs w:val="20"/>
          <w:color w:val="auto"/>
        </w:rPr>
      </w:pPr>
    </w:p>
    <w:p>
      <w:pPr>
        <w:jc w:val="both"/>
        <w:ind w:left="320" w:right="1000"/>
        <w:spacing w:after="0" w:line="304" w:lineRule="auto"/>
        <w:rPr>
          <w:sz w:val="20"/>
          <w:szCs w:val="20"/>
          <w:color w:val="auto"/>
        </w:rPr>
      </w:pPr>
      <w:r>
        <w:rPr>
          <w:rFonts w:ascii="Times New Roman" w:cs="Times New Roman" w:eastAsia="Times New Roman" w:hAnsi="Times New Roman"/>
          <w:sz w:val="14"/>
          <w:szCs w:val="14"/>
          <w:color w:val="auto"/>
        </w:rPr>
        <w:t>Each LTIP unit and each Class D unit issued under the Incentive Plan counts as one share of common stock for purposes of calculating the limit on shares that may be issued under the Incentive Plan and the individual award limits set forth therein.</w:t>
      </w:r>
    </w:p>
    <w:p>
      <w:pPr>
        <w:spacing w:after="0" w:line="1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Below is a summary of compensation expense and unearned compensation (in millions):</w:t>
      </w:r>
    </w:p>
    <w:p>
      <w:pPr>
        <w:spacing w:after="0" w:line="12" w:lineRule="exact"/>
        <w:rPr>
          <w:sz w:val="20"/>
          <w:szCs w:val="20"/>
          <w:color w:val="auto"/>
        </w:rPr>
      </w:pPr>
    </w:p>
    <w:tbl>
      <w:tblPr>
        <w:tblLayout w:type="fixed"/>
        <w:tblInd w:w="320" w:type="dxa"/>
        <w:tblCellMar>
          <w:top w:w="0" w:type="dxa"/>
          <w:left w:w="0" w:type="dxa"/>
          <w:bottom w:w="0" w:type="dxa"/>
          <w:right w:w="0" w:type="dxa"/>
        </w:tblCellMar>
      </w:tblPr>
      <w:tr>
        <w:trPr>
          <w:trHeight w:val="138"/>
        </w:trPr>
        <w:tc>
          <w:tcPr>
            <w:tcW w:w="1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Expected</w:t>
            </w:r>
          </w:p>
        </w:tc>
        <w:tc>
          <w:tcPr>
            <w:tcW w:w="0" w:type="dxa"/>
            <w:vAlign w:val="bottom"/>
          </w:tcPr>
          <w:p>
            <w:pPr>
              <w:spacing w:after="0"/>
              <w:rPr>
                <w:sz w:val="1"/>
                <w:szCs w:val="1"/>
                <w:color w:val="auto"/>
              </w:rPr>
            </w:pPr>
          </w:p>
        </w:tc>
      </w:tr>
      <w:tr>
        <w:trPr>
          <w:trHeight w:val="144"/>
        </w:trPr>
        <w:tc>
          <w:tcPr>
            <w:tcW w:w="1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period to</w:t>
            </w:r>
          </w:p>
        </w:tc>
        <w:tc>
          <w:tcPr>
            <w:tcW w:w="0" w:type="dxa"/>
            <w:vAlign w:val="bottom"/>
          </w:tcPr>
          <w:p>
            <w:pPr>
              <w:spacing w:after="0"/>
              <w:rPr>
                <w:sz w:val="1"/>
                <w:szCs w:val="1"/>
                <w:color w:val="auto"/>
              </w:rPr>
            </w:pPr>
          </w:p>
        </w:tc>
      </w:tr>
      <w:tr>
        <w:trPr>
          <w:trHeight w:val="159"/>
        </w:trPr>
        <w:tc>
          <w:tcPr>
            <w:tcW w:w="1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2"/>
                <w:szCs w:val="12"/>
                <w:b w:val="1"/>
                <w:bCs w:val="1"/>
                <w:color w:val="auto"/>
              </w:rPr>
              <w:t>Deferred Compensation</w:t>
            </w: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Unearned Compensation</w:t>
            </w:r>
          </w:p>
        </w:tc>
        <w:tc>
          <w:tcPr>
            <w:tcW w:w="2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recognize</w:t>
            </w:r>
          </w:p>
        </w:tc>
        <w:tc>
          <w:tcPr>
            <w:tcW w:w="0" w:type="dxa"/>
            <w:vAlign w:val="bottom"/>
          </w:tcPr>
          <w:p>
            <w:pPr>
              <w:spacing w:after="0"/>
              <w:rPr>
                <w:sz w:val="1"/>
                <w:szCs w:val="1"/>
                <w:color w:val="auto"/>
              </w:rPr>
            </w:pPr>
          </w:p>
        </w:tc>
      </w:tr>
      <w:tr>
        <w:trPr>
          <w:trHeight w:val="136"/>
        </w:trPr>
        <w:tc>
          <w:tcPr>
            <w:tcW w:w="1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3"/>
          </w:tcPr>
          <w:p>
            <w:pPr>
              <w:ind w:left="160"/>
              <w:spacing w:after="0" w:line="136" w:lineRule="exact"/>
              <w:rPr>
                <w:sz w:val="20"/>
                <w:szCs w:val="20"/>
                <w:color w:val="auto"/>
              </w:rPr>
            </w:pPr>
            <w:r>
              <w:rPr>
                <w:rFonts w:ascii="Times New Roman" w:cs="Times New Roman" w:eastAsia="Times New Roman" w:hAnsi="Times New Roman"/>
                <w:sz w:val="12"/>
                <w:szCs w:val="12"/>
                <w:b w:val="1"/>
                <w:bCs w:val="1"/>
                <w:color w:val="auto"/>
                <w:w w:val="97"/>
              </w:rPr>
              <w:t>Expensed</w:t>
            </w:r>
          </w:p>
        </w:tc>
        <w:tc>
          <w:tcPr>
            <w:tcW w:w="1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gridSpan w:val="4"/>
          </w:tcPr>
          <w:p>
            <w:pPr>
              <w:spacing w:after="0" w:line="136" w:lineRule="exact"/>
              <w:rPr>
                <w:sz w:val="20"/>
                <w:szCs w:val="20"/>
                <w:color w:val="auto"/>
              </w:rPr>
            </w:pPr>
            <w:r>
              <w:rPr>
                <w:rFonts w:ascii="Times New Roman" w:cs="Times New Roman" w:eastAsia="Times New Roman" w:hAnsi="Times New Roman"/>
                <w:sz w:val="12"/>
                <w:szCs w:val="12"/>
                <w:b w:val="1"/>
                <w:bCs w:val="1"/>
                <w:color w:val="auto"/>
              </w:rPr>
              <w:t>Capitalized</w:t>
            </w: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center"/>
              <w:ind w:right="100"/>
              <w:spacing w:after="0" w:line="136" w:lineRule="exact"/>
              <w:rPr>
                <w:sz w:val="20"/>
                <w:szCs w:val="20"/>
                <w:color w:val="auto"/>
              </w:rPr>
            </w:pPr>
            <w:r>
              <w:rPr>
                <w:rFonts w:ascii="Times New Roman" w:cs="Times New Roman" w:eastAsia="Times New Roman" w:hAnsi="Times New Roman"/>
                <w:sz w:val="12"/>
                <w:szCs w:val="12"/>
                <w:b w:val="1"/>
                <w:bCs w:val="1"/>
                <w:color w:val="auto"/>
                <w:w w:val="98"/>
              </w:rPr>
              <w:t>As of</w:t>
            </w:r>
          </w:p>
        </w:tc>
        <w:tc>
          <w:tcPr>
            <w:tcW w:w="160" w:type="dxa"/>
            <w:vAlign w:val="bottom"/>
          </w:tcPr>
          <w:p>
            <w:pPr>
              <w:spacing w:after="0"/>
              <w:rPr>
                <w:sz w:val="11"/>
                <w:szCs w:val="11"/>
                <w:color w:val="auto"/>
              </w:rPr>
            </w:pPr>
          </w:p>
        </w:tc>
        <w:tc>
          <w:tcPr>
            <w:tcW w:w="560" w:type="dxa"/>
            <w:vAlign w:val="bottom"/>
          </w:tcPr>
          <w:p>
            <w:pPr>
              <w:jc w:val="center"/>
              <w:ind w:left="202"/>
              <w:spacing w:after="0" w:line="136" w:lineRule="exact"/>
              <w:rPr>
                <w:sz w:val="20"/>
                <w:szCs w:val="20"/>
                <w:color w:val="auto"/>
              </w:rPr>
            </w:pPr>
            <w:r>
              <w:rPr>
                <w:rFonts w:ascii="Times New Roman" w:cs="Times New Roman" w:eastAsia="Times New Roman" w:hAnsi="Times New Roman"/>
                <w:sz w:val="12"/>
                <w:szCs w:val="12"/>
                <w:b w:val="1"/>
                <w:bCs w:val="1"/>
                <w:color w:val="auto"/>
                <w:w w:val="98"/>
              </w:rPr>
              <w:t>As of</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b w:val="1"/>
                <w:bCs w:val="1"/>
                <w:color w:val="auto"/>
                <w:w w:val="98"/>
              </w:rPr>
              <w:t>unearned</w:t>
            </w:r>
          </w:p>
        </w:tc>
        <w:tc>
          <w:tcPr>
            <w:tcW w:w="0" w:type="dxa"/>
            <w:vAlign w:val="bottom"/>
          </w:tcPr>
          <w:p>
            <w:pPr>
              <w:spacing w:after="0"/>
              <w:rPr>
                <w:sz w:val="1"/>
                <w:szCs w:val="1"/>
                <w:color w:val="auto"/>
              </w:rPr>
            </w:pPr>
          </w:p>
        </w:tc>
      </w:tr>
      <w:tr>
        <w:trPr>
          <w:trHeight w:val="124"/>
        </w:trPr>
        <w:tc>
          <w:tcPr>
            <w:tcW w:w="166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Type of incentive award</w:t>
            </w:r>
          </w:p>
        </w:tc>
        <w:tc>
          <w:tcPr>
            <w:tcW w:w="14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gridSpan w:val="2"/>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w w:val="97"/>
              </w:rPr>
              <w:t>Year Ended</w:t>
            </w:r>
          </w:p>
        </w:tc>
        <w:tc>
          <w:tcPr>
            <w:tcW w:w="740" w:type="dxa"/>
            <w:vAlign w:val="bottom"/>
            <w:tcBorders>
              <w:bottom w:val="single" w:sz="8" w:color="auto"/>
            </w:tcBorders>
            <w:gridSpan w:val="4"/>
          </w:tcPr>
          <w:p>
            <w:pPr>
              <w:ind w:left="40"/>
              <w:spacing w:after="0" w:line="124" w:lineRule="exact"/>
              <w:rPr>
                <w:sz w:val="20"/>
                <w:szCs w:val="20"/>
                <w:color w:val="auto"/>
              </w:rPr>
            </w:pPr>
            <w:r>
              <w:rPr>
                <w:rFonts w:ascii="Times New Roman" w:cs="Times New Roman" w:eastAsia="Times New Roman" w:hAnsi="Times New Roman"/>
                <w:sz w:val="12"/>
                <w:szCs w:val="12"/>
                <w:b w:val="1"/>
                <w:bCs w:val="1"/>
                <w:color w:val="auto"/>
                <w:w w:val="97"/>
              </w:rPr>
              <w:t>December 31,</w:t>
            </w: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gridSpan w:val="2"/>
          </w:tcPr>
          <w:p>
            <w:pPr>
              <w:jc w:val="center"/>
              <w:spacing w:after="0" w:line="124" w:lineRule="exact"/>
              <w:rPr>
                <w:sz w:val="20"/>
                <w:szCs w:val="20"/>
                <w:color w:val="auto"/>
              </w:rPr>
            </w:pPr>
            <w:r>
              <w:rPr>
                <w:rFonts w:ascii="Times New Roman" w:cs="Times New Roman" w:eastAsia="Times New Roman" w:hAnsi="Times New Roman"/>
                <w:sz w:val="12"/>
                <w:szCs w:val="12"/>
                <w:b w:val="1"/>
                <w:bCs w:val="1"/>
                <w:color w:val="auto"/>
                <w:w w:val="99"/>
              </w:rPr>
              <w:t>December 31,</w:t>
            </w:r>
          </w:p>
        </w:tc>
        <w:tc>
          <w:tcPr>
            <w:tcW w:w="160" w:type="dxa"/>
            <w:vAlign w:val="bottom"/>
          </w:tcPr>
          <w:p>
            <w:pPr>
              <w:spacing w:after="0"/>
              <w:rPr>
                <w:sz w:val="10"/>
                <w:szCs w:val="10"/>
                <w:color w:val="auto"/>
              </w:rPr>
            </w:pPr>
          </w:p>
        </w:tc>
        <w:tc>
          <w:tcPr>
            <w:tcW w:w="820" w:type="dxa"/>
            <w:vAlign w:val="bottom"/>
            <w:gridSpan w:val="2"/>
          </w:tcPr>
          <w:p>
            <w:pPr>
              <w:jc w:val="center"/>
              <w:spacing w:after="0" w:line="124" w:lineRule="exact"/>
              <w:rPr>
                <w:sz w:val="20"/>
                <w:szCs w:val="20"/>
                <w:color w:val="auto"/>
              </w:rPr>
            </w:pPr>
            <w:r>
              <w:rPr>
                <w:rFonts w:ascii="Times New Roman" w:cs="Times New Roman" w:eastAsia="Times New Roman" w:hAnsi="Times New Roman"/>
                <w:sz w:val="12"/>
                <w:szCs w:val="12"/>
                <w:b w:val="1"/>
                <w:bCs w:val="1"/>
                <w:color w:val="auto"/>
                <w:w w:val="99"/>
              </w:rPr>
              <w:t>December 31,</w:t>
            </w:r>
          </w:p>
        </w:tc>
        <w:tc>
          <w:tcPr>
            <w:tcW w:w="160" w:type="dxa"/>
            <w:vAlign w:val="bottom"/>
          </w:tcPr>
          <w:p>
            <w:pPr>
              <w:spacing w:after="0"/>
              <w:rPr>
                <w:sz w:val="10"/>
                <w:szCs w:val="10"/>
                <w:color w:val="auto"/>
              </w:rPr>
            </w:pPr>
          </w:p>
        </w:tc>
        <w:tc>
          <w:tcPr>
            <w:tcW w:w="800" w:type="dxa"/>
            <w:vAlign w:val="bottom"/>
          </w:tcPr>
          <w:p>
            <w:pPr>
              <w:jc w:val="center"/>
              <w:spacing w:after="0" w:line="124" w:lineRule="exact"/>
              <w:rPr>
                <w:sz w:val="20"/>
                <w:szCs w:val="20"/>
                <w:color w:val="auto"/>
              </w:rPr>
            </w:pPr>
            <w:r>
              <w:rPr>
                <w:rFonts w:ascii="Times New Roman" w:cs="Times New Roman" w:eastAsia="Times New Roman" w:hAnsi="Times New Roman"/>
                <w:sz w:val="12"/>
                <w:szCs w:val="12"/>
                <w:b w:val="1"/>
                <w:bCs w:val="1"/>
                <w:color w:val="auto"/>
              </w:rPr>
              <w:t>compensation</w:t>
            </w:r>
          </w:p>
        </w:tc>
        <w:tc>
          <w:tcPr>
            <w:tcW w:w="0" w:type="dxa"/>
            <w:vAlign w:val="bottom"/>
          </w:tcPr>
          <w:p>
            <w:pPr>
              <w:spacing w:after="0"/>
              <w:rPr>
                <w:sz w:val="1"/>
                <w:szCs w:val="1"/>
                <w:color w:val="auto"/>
              </w:rPr>
            </w:pPr>
          </w:p>
        </w:tc>
      </w:tr>
      <w:tr>
        <w:trPr>
          <w:trHeight w:val="136"/>
        </w:trPr>
        <w:tc>
          <w:tcPr>
            <w:tcW w:w="16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jc w:val="right"/>
              <w:ind w:right="40"/>
              <w:spacing w:after="0" w:line="136" w:lineRule="exact"/>
              <w:rPr>
                <w:sz w:val="20"/>
                <w:szCs w:val="20"/>
                <w:color w:val="auto"/>
              </w:rPr>
            </w:pPr>
            <w:r>
              <w:rPr>
                <w:rFonts w:ascii="Times New Roman" w:cs="Times New Roman" w:eastAsia="Times New Roman" w:hAnsi="Times New Roman"/>
                <w:sz w:val="12"/>
                <w:szCs w:val="12"/>
                <w:b w:val="1"/>
                <w:bCs w:val="1"/>
                <w:color w:val="auto"/>
              </w:rPr>
              <w:t>2024</w:t>
            </w:r>
          </w:p>
        </w:tc>
        <w:tc>
          <w:tcPr>
            <w:tcW w:w="640" w:type="dxa"/>
            <w:vAlign w:val="bottom"/>
            <w:gridSpan w:val="2"/>
          </w:tcPr>
          <w:p>
            <w:pPr>
              <w:jc w:val="right"/>
              <w:ind w:right="60"/>
              <w:spacing w:after="0" w:line="136" w:lineRule="exact"/>
              <w:rPr>
                <w:sz w:val="20"/>
                <w:szCs w:val="20"/>
                <w:color w:val="auto"/>
              </w:rPr>
            </w:pPr>
            <w:r>
              <w:rPr>
                <w:rFonts w:ascii="Times New Roman" w:cs="Times New Roman" w:eastAsia="Times New Roman" w:hAnsi="Times New Roman"/>
                <w:sz w:val="12"/>
                <w:szCs w:val="12"/>
                <w:b w:val="1"/>
                <w:bCs w:val="1"/>
                <w:color w:val="auto"/>
              </w:rPr>
              <w:t>2023</w:t>
            </w:r>
          </w:p>
        </w:tc>
        <w:tc>
          <w:tcPr>
            <w:tcW w:w="20" w:type="dxa"/>
            <w:vAlign w:val="bottom"/>
          </w:tcPr>
          <w:p>
            <w:pPr>
              <w:spacing w:after="0"/>
              <w:rPr>
                <w:sz w:val="11"/>
                <w:szCs w:val="11"/>
                <w:color w:val="auto"/>
              </w:rPr>
            </w:pPr>
          </w:p>
        </w:tc>
        <w:tc>
          <w:tcPr>
            <w:tcW w:w="620" w:type="dxa"/>
            <w:vAlign w:val="bottom"/>
            <w:gridSpan w:val="2"/>
          </w:tcPr>
          <w:p>
            <w:pPr>
              <w:jc w:val="right"/>
              <w:ind w:right="60"/>
              <w:spacing w:after="0" w:line="136" w:lineRule="exact"/>
              <w:rPr>
                <w:sz w:val="20"/>
                <w:szCs w:val="20"/>
                <w:color w:val="auto"/>
              </w:rPr>
            </w:pPr>
            <w:r>
              <w:rPr>
                <w:rFonts w:ascii="Times New Roman" w:cs="Times New Roman" w:eastAsia="Times New Roman" w:hAnsi="Times New Roman"/>
                <w:sz w:val="12"/>
                <w:szCs w:val="12"/>
                <w:b w:val="1"/>
                <w:bCs w:val="1"/>
                <w:color w:val="auto"/>
              </w:rPr>
              <w:t>2022</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ind w:right="60"/>
              <w:spacing w:after="0" w:line="136" w:lineRule="exact"/>
              <w:rPr>
                <w:sz w:val="20"/>
                <w:szCs w:val="20"/>
                <w:color w:val="auto"/>
              </w:rPr>
            </w:pPr>
            <w:r>
              <w:rPr>
                <w:rFonts w:ascii="Times New Roman" w:cs="Times New Roman" w:eastAsia="Times New Roman" w:hAnsi="Times New Roman"/>
                <w:sz w:val="12"/>
                <w:szCs w:val="12"/>
                <w:b w:val="1"/>
                <w:bCs w:val="1"/>
                <w:color w:val="auto"/>
                <w:w w:val="99"/>
              </w:rPr>
              <w:t>2024</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ind w:right="60"/>
              <w:spacing w:after="0" w:line="136" w:lineRule="exact"/>
              <w:rPr>
                <w:sz w:val="20"/>
                <w:szCs w:val="20"/>
                <w:color w:val="auto"/>
              </w:rPr>
            </w:pPr>
            <w:r>
              <w:rPr>
                <w:rFonts w:ascii="Times New Roman" w:cs="Times New Roman" w:eastAsia="Times New Roman" w:hAnsi="Times New Roman"/>
                <w:sz w:val="12"/>
                <w:szCs w:val="12"/>
                <w:b w:val="1"/>
                <w:bCs w:val="1"/>
                <w:color w:val="auto"/>
                <w:w w:val="99"/>
              </w:rPr>
              <w:t>2023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ind w:right="40"/>
              <w:spacing w:after="0" w:line="136" w:lineRule="exact"/>
              <w:rPr>
                <w:sz w:val="20"/>
                <w:szCs w:val="20"/>
                <w:color w:val="auto"/>
              </w:rPr>
            </w:pPr>
            <w:r>
              <w:rPr>
                <w:rFonts w:ascii="Times New Roman" w:cs="Times New Roman" w:eastAsia="Times New Roman" w:hAnsi="Times New Roman"/>
                <w:sz w:val="12"/>
                <w:szCs w:val="12"/>
                <w:b w:val="1"/>
                <w:bCs w:val="1"/>
                <w:color w:val="auto"/>
              </w:rPr>
              <w:t>2022</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center"/>
              <w:ind w:right="120"/>
              <w:spacing w:after="0" w:line="136" w:lineRule="exact"/>
              <w:rPr>
                <w:sz w:val="20"/>
                <w:szCs w:val="20"/>
                <w:color w:val="auto"/>
              </w:rPr>
            </w:pPr>
            <w:r>
              <w:rPr>
                <w:rFonts w:ascii="Times New Roman" w:cs="Times New Roman" w:eastAsia="Times New Roman" w:hAnsi="Times New Roman"/>
                <w:sz w:val="12"/>
                <w:szCs w:val="12"/>
                <w:b w:val="1"/>
                <w:bCs w:val="1"/>
                <w:color w:val="auto"/>
                <w:w w:val="99"/>
              </w:rPr>
              <w:t>2024</w:t>
            </w:r>
          </w:p>
        </w:tc>
        <w:tc>
          <w:tcPr>
            <w:tcW w:w="720" w:type="dxa"/>
            <w:vAlign w:val="bottom"/>
            <w:gridSpan w:val="2"/>
          </w:tcPr>
          <w:p>
            <w:pPr>
              <w:jc w:val="center"/>
              <w:ind w:left="340"/>
              <w:spacing w:after="0" w:line="136" w:lineRule="exact"/>
              <w:rPr>
                <w:sz w:val="20"/>
                <w:szCs w:val="20"/>
                <w:color w:val="auto"/>
              </w:rPr>
            </w:pPr>
            <w:r>
              <w:rPr>
                <w:rFonts w:ascii="Times New Roman" w:cs="Times New Roman" w:eastAsia="Times New Roman" w:hAnsi="Times New Roman"/>
                <w:sz w:val="12"/>
                <w:szCs w:val="12"/>
                <w:b w:val="1"/>
                <w:bCs w:val="1"/>
                <w:color w:val="auto"/>
                <w:w w:val="99"/>
              </w:rPr>
              <w:t>2023</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b w:val="1"/>
                <w:bCs w:val="1"/>
                <w:color w:val="auto"/>
                <w:w w:val="99"/>
              </w:rPr>
              <w:t>(in years)</w:t>
            </w:r>
          </w:p>
        </w:tc>
        <w:tc>
          <w:tcPr>
            <w:tcW w:w="0" w:type="dxa"/>
            <w:vAlign w:val="bottom"/>
          </w:tcPr>
          <w:p>
            <w:pPr>
              <w:spacing w:after="0"/>
              <w:rPr>
                <w:sz w:val="1"/>
                <w:szCs w:val="1"/>
                <w:color w:val="auto"/>
              </w:rPr>
            </w:pPr>
          </w:p>
        </w:tc>
      </w:tr>
      <w:tr>
        <w:trPr>
          <w:trHeight w:val="136"/>
        </w:trPr>
        <w:tc>
          <w:tcPr>
            <w:tcW w:w="1660" w:type="dxa"/>
            <w:vAlign w:val="bottom"/>
            <w:tcBorders>
              <w:top w:val="single" w:sz="8" w:color="auto"/>
            </w:tcBorders>
            <w:shd w:val="clear" w:color="auto" w:fill="CCEEFF"/>
          </w:tcPr>
          <w:p>
            <w:pPr>
              <w:spacing w:after="0" w:line="136" w:lineRule="exact"/>
              <w:rPr>
                <w:sz w:val="20"/>
                <w:szCs w:val="20"/>
                <w:color w:val="auto"/>
              </w:rPr>
            </w:pPr>
            <w:r>
              <w:rPr>
                <w:rFonts w:ascii="Times New Roman" w:cs="Times New Roman" w:eastAsia="Times New Roman" w:hAnsi="Times New Roman"/>
                <w:sz w:val="12"/>
                <w:szCs w:val="12"/>
                <w:color w:val="auto"/>
              </w:rPr>
              <w:t>Long-term incentive units</w:t>
            </w:r>
          </w:p>
        </w:tc>
        <w:tc>
          <w:tcPr>
            <w:tcW w:w="14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   15.5</w:t>
            </w:r>
          </w:p>
        </w:tc>
        <w:tc>
          <w:tcPr>
            <w:tcW w:w="1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   14.5</w:t>
            </w: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   21.7</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0.1</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0.2</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0.2</w:t>
            </w:r>
          </w:p>
        </w:tc>
        <w:tc>
          <w:tcPr>
            <w:tcW w:w="1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22.1</w:t>
            </w:r>
          </w:p>
        </w:tc>
        <w:tc>
          <w:tcPr>
            <w:tcW w:w="1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ind w:right="442"/>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w w:val="95"/>
              </w:rPr>
              <w:t>16.6</w:t>
            </w:r>
          </w:p>
        </w:tc>
        <w:tc>
          <w:tcPr>
            <w:tcW w:w="16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2.2</w:t>
            </w:r>
          </w:p>
        </w:tc>
        <w:tc>
          <w:tcPr>
            <w:tcW w:w="0" w:type="dxa"/>
            <w:vAlign w:val="bottom"/>
          </w:tcPr>
          <w:p>
            <w:pPr>
              <w:spacing w:after="0"/>
              <w:rPr>
                <w:sz w:val="1"/>
                <w:szCs w:val="1"/>
                <w:color w:val="auto"/>
              </w:rPr>
            </w:pPr>
          </w:p>
        </w:tc>
      </w:tr>
      <w:tr>
        <w:trPr>
          <w:trHeight w:val="144"/>
        </w:trPr>
        <w:tc>
          <w:tcPr>
            <w:tcW w:w="1660" w:type="dxa"/>
            <w:vAlign w:val="bottom"/>
          </w:tcPr>
          <w:p>
            <w:pPr>
              <w:spacing w:after="0"/>
              <w:rPr>
                <w:sz w:val="20"/>
                <w:szCs w:val="20"/>
                <w:color w:val="auto"/>
              </w:rPr>
            </w:pPr>
            <w:r>
              <w:rPr>
                <w:rFonts w:ascii="Times New Roman" w:cs="Times New Roman" w:eastAsia="Times New Roman" w:hAnsi="Times New Roman"/>
                <w:sz w:val="12"/>
                <w:szCs w:val="12"/>
                <w:color w:val="auto"/>
              </w:rPr>
              <w:t>Performance-based awards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12.8</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12.9</w:t>
            </w:r>
          </w:p>
        </w:tc>
        <w:tc>
          <w:tcPr>
            <w:tcW w:w="20" w:type="dxa"/>
            <w:vAlign w:val="bottom"/>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21.4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24.1</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5"/>
              </w:rPr>
              <w:t>19.9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0" w:type="dxa"/>
            <w:vAlign w:val="bottom"/>
          </w:tcPr>
          <w:p>
            <w:pPr>
              <w:spacing w:after="0"/>
              <w:rPr>
                <w:sz w:val="1"/>
                <w:szCs w:val="1"/>
                <w:color w:val="auto"/>
              </w:rPr>
            </w:pPr>
          </w:p>
        </w:tc>
      </w:tr>
      <w:tr>
        <w:trPr>
          <w:trHeight w:val="133"/>
        </w:trPr>
        <w:tc>
          <w:tcPr>
            <w:tcW w:w="16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Service-based restricted stock</w:t>
            </w: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units</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33.5</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21.1</w:t>
            </w:r>
          </w:p>
        </w:tc>
        <w:tc>
          <w:tcPr>
            <w:tcW w:w="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25.9</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70.3</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5"/>
              </w:rPr>
              <w:t>66.4</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0" w:type="dxa"/>
            <w:vAlign w:val="bottom"/>
          </w:tcPr>
          <w:p>
            <w:pPr>
              <w:spacing w:after="0"/>
              <w:rPr>
                <w:sz w:val="1"/>
                <w:szCs w:val="1"/>
                <w:color w:val="auto"/>
              </w:rPr>
            </w:pPr>
          </w:p>
        </w:tc>
      </w:tr>
      <w:tr>
        <w:trPr>
          <w:trHeight w:val="155"/>
        </w:trPr>
        <w:tc>
          <w:tcPr>
            <w:tcW w:w="1660" w:type="dxa"/>
            <w:vAlign w:val="bottom"/>
          </w:tcPr>
          <w:p>
            <w:pPr>
              <w:spacing w:after="0"/>
              <w:rPr>
                <w:sz w:val="20"/>
                <w:szCs w:val="20"/>
                <w:color w:val="auto"/>
              </w:rPr>
            </w:pPr>
            <w:r>
              <w:rPr>
                <w:rFonts w:ascii="Times New Roman" w:cs="Times New Roman" w:eastAsia="Times New Roman" w:hAnsi="Times New Roman"/>
                <w:sz w:val="12"/>
                <w:szCs w:val="12"/>
                <w:color w:val="auto"/>
              </w:rPr>
              <w:t>Interxion awards</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2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4.7</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320" w:right="480"/>
        <w:spacing w:after="0" w:line="259" w:lineRule="auto"/>
        <w:rPr>
          <w:sz w:val="20"/>
          <w:szCs w:val="20"/>
          <w:color w:val="auto"/>
        </w:rPr>
      </w:pPr>
      <w:r>
        <w:rPr>
          <w:rFonts w:ascii="Times New Roman" w:cs="Times New Roman" w:eastAsia="Times New Roman" w:hAnsi="Times New Roman"/>
          <w:sz w:val="16"/>
          <w:szCs w:val="16"/>
          <w:color w:val="auto"/>
        </w:rPr>
        <w:t>The following table sets forth the weighted-average fair value per share/unit for each type of incentive award at the date of grant for the years ended December 31, 2024, 2023 and 2022:</w:t>
      </w:r>
    </w:p>
    <w:p>
      <w:pPr>
        <w:spacing w:after="0" w:line="154" w:lineRule="exact"/>
        <w:rPr>
          <w:sz w:val="20"/>
          <w:szCs w:val="20"/>
          <w:color w:val="auto"/>
        </w:rPr>
      </w:pPr>
    </w:p>
    <w:tbl>
      <w:tblPr>
        <w:tblLayout w:type="fixed"/>
        <w:tblInd w:w="320" w:type="dxa"/>
        <w:tblCellMar>
          <w:top w:w="0" w:type="dxa"/>
          <w:left w:w="0" w:type="dxa"/>
          <w:bottom w:w="0" w:type="dxa"/>
          <w:right w:w="0" w:type="dxa"/>
        </w:tblCellMar>
      </w:tblPr>
      <w:tr>
        <w:trPr>
          <w:trHeight w:val="170"/>
        </w:trPr>
        <w:tc>
          <w:tcPr>
            <w:tcW w:w="35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Type of incentive award</w:t>
            </w:r>
          </w:p>
        </w:tc>
        <w:tc>
          <w:tcPr>
            <w:tcW w:w="340" w:type="dxa"/>
            <w:vAlign w:val="bottom"/>
            <w:tcBorders>
              <w:bottom w:val="single" w:sz="8" w:color="auto"/>
            </w:tcBorders>
          </w:tcPr>
          <w:p>
            <w:pPr>
              <w:spacing w:after="0"/>
              <w:rPr>
                <w:sz w:val="14"/>
                <w:szCs w:val="14"/>
                <w:color w:val="auto"/>
              </w:rPr>
            </w:pPr>
          </w:p>
        </w:tc>
        <w:tc>
          <w:tcPr>
            <w:tcW w:w="3560" w:type="dxa"/>
            <w:vAlign w:val="bottom"/>
            <w:tcBorders>
              <w:bottom w:val="single" w:sz="8" w:color="auto"/>
            </w:tcBorders>
            <w:gridSpan w:val="6"/>
          </w:tcPr>
          <w:p>
            <w:pPr>
              <w:jc w:val="right"/>
              <w:ind w:right="62"/>
              <w:spacing w:after="0"/>
              <w:rPr>
                <w:sz w:val="20"/>
                <w:szCs w:val="20"/>
                <w:color w:val="auto"/>
              </w:rPr>
            </w:pPr>
            <w:r>
              <w:rPr>
                <w:rFonts w:ascii="Times New Roman" w:cs="Times New Roman" w:eastAsia="Times New Roman" w:hAnsi="Times New Roman"/>
                <w:sz w:val="13"/>
                <w:szCs w:val="13"/>
                <w:b w:val="1"/>
                <w:bCs w:val="1"/>
                <w:color w:val="auto"/>
              </w:rPr>
              <w:t>Weighted Average Fair Value at Date of Grant</w:t>
            </w: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ind w:right="527"/>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ind w:right="505"/>
              <w:spacing w:after="0" w:line="148" w:lineRule="exact"/>
              <w:rPr>
                <w:sz w:val="20"/>
                <w:szCs w:val="20"/>
                <w:color w:val="auto"/>
              </w:rPr>
            </w:pPr>
            <w:r>
              <w:rPr>
                <w:rFonts w:ascii="Times New Roman" w:cs="Times New Roman" w:eastAsia="Times New Roman" w:hAnsi="Times New Roman"/>
                <w:sz w:val="13"/>
                <w:szCs w:val="13"/>
                <w:b w:val="1"/>
                <w:bCs w:val="1"/>
                <w:color w:val="auto"/>
              </w:rPr>
              <w:t>2023</w:t>
            </w: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tcPr>
          <w:p>
            <w:pPr>
              <w:jc w:val="right"/>
              <w:ind w:right="505"/>
              <w:spacing w:after="0" w:line="148" w:lineRule="exact"/>
              <w:rPr>
                <w:sz w:val="20"/>
                <w:szCs w:val="20"/>
                <w:color w:val="auto"/>
              </w:rPr>
            </w:pPr>
            <w:r>
              <w:rPr>
                <w:rFonts w:ascii="Times New Roman" w:cs="Times New Roman" w:eastAsia="Times New Roman" w:hAnsi="Times New Roman"/>
                <w:sz w:val="13"/>
                <w:szCs w:val="13"/>
                <w:b w:val="1"/>
                <w:bCs w:val="1"/>
                <w:color w:val="auto"/>
              </w:rPr>
              <w:t>2022</w:t>
            </w:r>
          </w:p>
        </w:tc>
        <w:tc>
          <w:tcPr>
            <w:tcW w:w="0" w:type="dxa"/>
            <w:vAlign w:val="bottom"/>
          </w:tcPr>
          <w:p>
            <w:pPr>
              <w:spacing w:after="0"/>
              <w:rPr>
                <w:sz w:val="1"/>
                <w:szCs w:val="1"/>
                <w:color w:val="auto"/>
              </w:rPr>
            </w:pPr>
          </w:p>
        </w:tc>
      </w:tr>
      <w:tr>
        <w:trPr>
          <w:trHeight w:val="172"/>
        </w:trPr>
        <w:tc>
          <w:tcPr>
            <w:tcW w:w="3220" w:type="dxa"/>
            <w:vAlign w:val="bottom"/>
            <w:tcBorders>
              <w:top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Long-term incentive units</w:t>
            </w:r>
          </w:p>
        </w:tc>
        <w:tc>
          <w:tcPr>
            <w:tcW w:w="2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129.93</w:t>
            </w:r>
          </w:p>
        </w:tc>
        <w:tc>
          <w:tcPr>
            <w:tcW w:w="2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121.99</w:t>
            </w:r>
          </w:p>
        </w:tc>
        <w:tc>
          <w:tcPr>
            <w:tcW w:w="2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ind w:right="30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146.37</w:t>
            </w:r>
          </w:p>
        </w:tc>
        <w:tc>
          <w:tcPr>
            <w:tcW w:w="0" w:type="dxa"/>
            <w:vAlign w:val="bottom"/>
          </w:tcPr>
          <w:p>
            <w:pPr>
              <w:spacing w:after="0"/>
              <w:rPr>
                <w:sz w:val="1"/>
                <w:szCs w:val="1"/>
                <w:color w:val="auto"/>
              </w:rPr>
            </w:pPr>
          </w:p>
        </w:tc>
      </w:tr>
      <w:tr>
        <w:trPr>
          <w:trHeight w:val="180"/>
        </w:trPr>
        <w:tc>
          <w:tcPr>
            <w:tcW w:w="35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Performance-based awards</w:t>
            </w:r>
          </w:p>
        </w:tc>
        <w:tc>
          <w:tcPr>
            <w:tcW w:w="340" w:type="dxa"/>
            <w:vAlign w:val="bottom"/>
          </w:tcPr>
          <w:p>
            <w:pPr>
              <w:spacing w:after="0"/>
              <w:rPr>
                <w:sz w:val="15"/>
                <w:szCs w:val="15"/>
                <w:color w:val="auto"/>
              </w:rPr>
            </w:pPr>
          </w:p>
        </w:tc>
        <w:tc>
          <w:tcPr>
            <w:tcW w:w="1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134.58</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97.06</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154.26</w:t>
            </w:r>
          </w:p>
        </w:tc>
        <w:tc>
          <w:tcPr>
            <w:tcW w:w="0" w:type="dxa"/>
            <w:vAlign w:val="bottom"/>
          </w:tcPr>
          <w:p>
            <w:pPr>
              <w:spacing w:after="0"/>
              <w:rPr>
                <w:sz w:val="1"/>
                <w:szCs w:val="1"/>
                <w:color w:val="auto"/>
              </w:rPr>
            </w:pPr>
          </w:p>
        </w:tc>
      </w:tr>
      <w:tr>
        <w:trPr>
          <w:trHeight w:val="180"/>
        </w:trPr>
        <w:tc>
          <w:tcPr>
            <w:tcW w:w="350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Restricted stock</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145.15</w:t>
            </w:r>
          </w:p>
        </w:tc>
        <w:tc>
          <w:tcPr>
            <w:tcW w:w="2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132.07</w:t>
            </w:r>
          </w:p>
        </w:tc>
        <w:tc>
          <w:tcPr>
            <w:tcW w:w="2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131.57</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Activity for LTIP Units and service-based Restricted Stock Units for the year ended December 31, 2024 is shown below.</w:t>
      </w:r>
    </w:p>
    <w:p>
      <w:pPr>
        <w:spacing w:after="0" w:line="188" w:lineRule="exact"/>
        <w:rPr>
          <w:sz w:val="20"/>
          <w:szCs w:val="20"/>
          <w:color w:val="auto"/>
        </w:rPr>
      </w:pPr>
    </w:p>
    <w:tbl>
      <w:tblPr>
        <w:tblLayout w:type="fixed"/>
        <w:tblInd w:w="320" w:type="dxa"/>
        <w:tblCellMar>
          <w:top w:w="0" w:type="dxa"/>
          <w:left w:w="0" w:type="dxa"/>
          <w:bottom w:w="0" w:type="dxa"/>
          <w:right w:w="0" w:type="dxa"/>
        </w:tblCellMar>
      </w:tblPr>
      <w:tr>
        <w:trPr>
          <w:trHeight w:val="156"/>
        </w:trPr>
        <w:tc>
          <w:tcPr>
            <w:tcW w:w="2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Weighted-Average</w:t>
            </w:r>
          </w:p>
        </w:tc>
        <w:tc>
          <w:tcPr>
            <w:tcW w:w="14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Weighted-Average</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Aggregate</w:t>
            </w:r>
          </w:p>
        </w:tc>
      </w:tr>
      <w:tr>
        <w:trPr>
          <w:trHeight w:val="156"/>
        </w:trPr>
        <w:tc>
          <w:tcPr>
            <w:tcW w:w="2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w w:val="99"/>
              </w:rPr>
              <w:t>Grant Date Fair</w:t>
            </w:r>
          </w:p>
        </w:tc>
        <w:tc>
          <w:tcPr>
            <w:tcW w:w="14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Remaining Contractual</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center"/>
              <w:ind w:right="12"/>
              <w:spacing w:after="0" w:line="156" w:lineRule="exact"/>
              <w:rPr>
                <w:sz w:val="20"/>
                <w:szCs w:val="20"/>
                <w:color w:val="auto"/>
              </w:rPr>
            </w:pPr>
            <w:r>
              <w:rPr>
                <w:rFonts w:ascii="Times New Roman" w:cs="Times New Roman" w:eastAsia="Times New Roman" w:hAnsi="Times New Roman"/>
                <w:sz w:val="13"/>
                <w:szCs w:val="13"/>
                <w:b w:val="1"/>
                <w:bCs w:val="1"/>
                <w:color w:val="auto"/>
                <w:w w:val="99"/>
              </w:rPr>
              <w:t xml:space="preserve">Intrinsic Value </w:t>
            </w:r>
            <w:r>
              <w:rPr>
                <w:rFonts w:ascii="Times New Roman" w:cs="Times New Roman" w:eastAsia="Times New Roman" w:hAnsi="Times New Roman"/>
                <w:sz w:val="18"/>
                <w:szCs w:val="18"/>
                <w:b w:val="1"/>
                <w:bCs w:val="1"/>
                <w:color w:val="auto"/>
                <w:w w:val="99"/>
                <w:vertAlign w:val="superscript"/>
              </w:rPr>
              <w:t>(1)</w:t>
            </w:r>
          </w:p>
        </w:tc>
      </w:tr>
      <w:tr>
        <w:trPr>
          <w:trHeight w:val="170"/>
        </w:trPr>
        <w:tc>
          <w:tcPr>
            <w:tcW w:w="3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Unvested LTIP Units</w:t>
            </w:r>
          </w:p>
        </w:tc>
        <w:tc>
          <w:tcPr>
            <w:tcW w:w="1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286"/>
              <w:spacing w:after="0"/>
              <w:rPr>
                <w:sz w:val="20"/>
                <w:szCs w:val="20"/>
                <w:color w:val="auto"/>
              </w:rPr>
            </w:pPr>
            <w:r>
              <w:rPr>
                <w:rFonts w:ascii="Times New Roman" w:cs="Times New Roman" w:eastAsia="Times New Roman" w:hAnsi="Times New Roman"/>
                <w:sz w:val="13"/>
                <w:szCs w:val="13"/>
                <w:b w:val="1"/>
                <w:bCs w:val="1"/>
                <w:color w:val="auto"/>
              </w:rPr>
              <w:t>Units</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Life (Years)</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3"/>
                <w:szCs w:val="13"/>
                <w:b w:val="1"/>
                <w:bCs w:val="1"/>
                <w:color w:val="auto"/>
              </w:rPr>
              <w:t>(in millions)</w:t>
            </w:r>
          </w:p>
        </w:tc>
      </w:tr>
      <w:tr>
        <w:trPr>
          <w:trHeight w:val="172"/>
        </w:trPr>
        <w:tc>
          <w:tcPr>
            <w:tcW w:w="3160" w:type="dxa"/>
            <w:vAlign w:val="bottom"/>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Unvested, beginning of period</w:t>
            </w: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238,360</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121.99</w:t>
            </w: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80"/>
        </w:trPr>
        <w:tc>
          <w:tcPr>
            <w:tcW w:w="31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Granted</w:t>
            </w:r>
          </w:p>
        </w:tc>
        <w:tc>
          <w:tcPr>
            <w:tcW w:w="11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155,738</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137.44</w:t>
            </w: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316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Vested</w:t>
            </w:r>
          </w:p>
        </w:tc>
        <w:tc>
          <w:tcPr>
            <w:tcW w:w="118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(127,753)</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124.73</w:t>
            </w: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0"/>
        </w:trPr>
        <w:tc>
          <w:tcPr>
            <w:tcW w:w="31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Cancelled or expired</w:t>
            </w:r>
          </w:p>
        </w:tc>
        <w:tc>
          <w:tcPr>
            <w:tcW w:w="11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(3,215)</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111.39</w:t>
            </w: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2"/>
        </w:trPr>
        <w:tc>
          <w:tcPr>
            <w:tcW w:w="3160" w:type="dxa"/>
            <w:vAlign w:val="bottom"/>
            <w:tcBorders>
              <w:top w:val="single" w:sz="8" w:color="CCEEFF"/>
              <w:bottom w:val="single" w:sz="8" w:color="CCEEFF"/>
            </w:tcBorders>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Unvested, end of period</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263,130</w:t>
            </w:r>
          </w:p>
        </w:tc>
        <w:tc>
          <w:tcPr>
            <w:tcW w:w="280" w:type="dxa"/>
            <w:vAlign w:val="bottom"/>
            <w:tcBorders>
              <w:top w:val="single" w:sz="8" w:color="CCEEFF"/>
              <w:bottom w:val="single" w:sz="8" w:color="CCEEFF"/>
            </w:tcBorders>
            <w:gridSpan w:val="2"/>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CCEEFF"/>
              <w:bottom w:val="single" w:sz="8" w:color="CCEEFF"/>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129.93</w:t>
            </w:r>
          </w:p>
        </w:tc>
        <w:tc>
          <w:tcPr>
            <w:tcW w:w="1440" w:type="dxa"/>
            <w:vAlign w:val="bottom"/>
            <w:tcBorders>
              <w:top w:val="single" w:sz="8" w:color="CCEEFF"/>
              <w:bottom w:val="single" w:sz="8" w:color="CCEEFF"/>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2.23</w:t>
            </w:r>
          </w:p>
        </w:tc>
        <w:tc>
          <w:tcPr>
            <w:tcW w:w="180" w:type="dxa"/>
            <w:vAlign w:val="bottom"/>
            <w:tcBorders>
              <w:top w:val="single" w:sz="8" w:color="CCEEFF"/>
              <w:bottom w:val="single" w:sz="8" w:color="CCEEFF"/>
            </w:tcBorders>
            <w:gridSpan w:val="2"/>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CCEEFF"/>
              <w:bottom w:val="single" w:sz="8" w:color="CCEEFF"/>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46.7</w:t>
            </w:r>
          </w:p>
        </w:tc>
      </w:tr>
      <w:tr>
        <w:trPr>
          <w:trHeight w:val="20"/>
        </w:trPr>
        <w:tc>
          <w:tcPr>
            <w:tcW w:w="2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72"/>
        </w:trPr>
        <w:tc>
          <w:tcPr>
            <w:tcW w:w="2080" w:type="dxa"/>
            <w:vAlign w:val="bottom"/>
            <w:tcBorders>
              <w:bottom w:val="single" w:sz="8" w:color="auto"/>
            </w:tcBorders>
          </w:tcPr>
          <w:p>
            <w:pPr>
              <w:spacing w:after="0"/>
              <w:rPr>
                <w:sz w:val="6"/>
                <w:szCs w:val="6"/>
                <w:color w:val="auto"/>
              </w:rPr>
            </w:pPr>
          </w:p>
        </w:tc>
        <w:tc>
          <w:tcPr>
            <w:tcW w:w="10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r>
    </w:tbl>
    <w:p>
      <w:pPr>
        <w:spacing w:after="0" w:line="59" w:lineRule="exact"/>
        <w:rPr>
          <w:sz w:val="20"/>
          <w:szCs w:val="20"/>
          <w:color w:val="auto"/>
        </w:rPr>
      </w:pPr>
    </w:p>
    <w:p>
      <w:pPr>
        <w:ind w:left="600" w:hanging="282"/>
        <w:spacing w:after="0"/>
        <w:tabs>
          <w:tab w:leader="none" w:pos="60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intrinsic value is calculated based on the market value of our common stock as of December 31, 2024.</w:t>
      </w:r>
    </w:p>
    <w:p>
      <w:pPr>
        <w:spacing w:after="0" w:line="200" w:lineRule="exact"/>
        <w:rPr>
          <w:rFonts w:ascii="Times New Roman" w:cs="Times New Roman" w:eastAsia="Times New Roman" w:hAnsi="Times New Roman"/>
          <w:sz w:val="16"/>
          <w:szCs w:val="16"/>
          <w:color w:val="auto"/>
        </w:rPr>
      </w:pPr>
    </w:p>
    <w:p>
      <w:pPr>
        <w:spacing w:after="0" w:line="360" w:lineRule="exact"/>
        <w:rPr>
          <w:rFonts w:ascii="Times New Roman" w:cs="Times New Roman" w:eastAsia="Times New Roman" w:hAnsi="Times New Roman"/>
          <w:sz w:val="16"/>
          <w:szCs w:val="16"/>
          <w:color w:val="auto"/>
        </w:rPr>
      </w:pPr>
    </w:p>
    <w:p>
      <w:pPr>
        <w:ind w:left="43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54" w:name="page155"/>
    <w:bookmarkEnd w:id="154"/>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 and 2023</w:t>
      </w:r>
    </w:p>
    <w:p>
      <w:pPr>
        <w:spacing w:after="0" w:line="202" w:lineRule="exact"/>
        <w:rPr>
          <w:sz w:val="20"/>
          <w:szCs w:val="20"/>
          <w:color w:val="auto"/>
        </w:rPr>
      </w:pPr>
    </w:p>
    <w:p>
      <w:pPr>
        <w:ind w:left="320" w:right="340"/>
        <w:spacing w:after="0" w:line="247" w:lineRule="auto"/>
        <w:rPr>
          <w:sz w:val="20"/>
          <w:szCs w:val="20"/>
          <w:color w:val="auto"/>
        </w:rPr>
      </w:pPr>
      <w:r>
        <w:rPr>
          <w:rFonts w:ascii="Times New Roman" w:cs="Times New Roman" w:eastAsia="Times New Roman" w:hAnsi="Times New Roman"/>
          <w:sz w:val="16"/>
          <w:szCs w:val="16"/>
          <w:color w:val="auto"/>
        </w:rPr>
        <w:t>The grant date fair values, which equal the market price of Digital Realty Trust, Inc. common stock on the applicable grant date(s), are being expensed on a straight-line basis for service awards between two and four years, the current vesting periods of the long-term incentive units.</w:t>
      </w:r>
    </w:p>
    <w:p>
      <w:pPr>
        <w:spacing w:after="0" w:line="164" w:lineRule="exact"/>
        <w:rPr>
          <w:sz w:val="20"/>
          <w:szCs w:val="20"/>
          <w:color w:val="auto"/>
        </w:rPr>
      </w:pPr>
    </w:p>
    <w:p>
      <w:pPr>
        <w:ind w:left="320" w:right="540"/>
        <w:spacing w:after="0" w:line="243" w:lineRule="auto"/>
        <w:rPr>
          <w:sz w:val="20"/>
          <w:szCs w:val="20"/>
          <w:color w:val="auto"/>
        </w:rPr>
      </w:pPr>
      <w:r>
        <w:rPr>
          <w:rFonts w:ascii="Times New Roman" w:cs="Times New Roman" w:eastAsia="Times New Roman" w:hAnsi="Times New Roman"/>
          <w:sz w:val="16"/>
          <w:szCs w:val="16"/>
          <w:color w:val="auto"/>
        </w:rPr>
        <w:t>The aggregate intrinsic value of long-term incentive units that vested in 2024, 2023 and 2022 was $ 15.6 million, $18.3 million and $18.1 million, respectively. As of December 31, 2024, we had approximately 1.2 million long-term incentive units that were outstanding and exercisable with an aggregate intrinsic value of approximately $208.8 million (based on the market price of our common stock as of December 31, 2024).</w:t>
      </w:r>
    </w:p>
    <w:p>
      <w:pPr>
        <w:spacing w:after="0" w:line="166" w:lineRule="exact"/>
        <w:rPr>
          <w:sz w:val="20"/>
          <w:szCs w:val="20"/>
          <w:color w:val="auto"/>
        </w:rPr>
      </w:pPr>
    </w:p>
    <w:tbl>
      <w:tblPr>
        <w:tblLayout w:type="fixed"/>
        <w:tblInd w:w="320" w:type="dxa"/>
        <w:tblCellMar>
          <w:top w:w="0" w:type="dxa"/>
          <w:left w:w="0" w:type="dxa"/>
          <w:bottom w:w="0" w:type="dxa"/>
          <w:right w:w="0" w:type="dxa"/>
        </w:tblCellMar>
      </w:tblPr>
      <w:tr>
        <w:trPr>
          <w:trHeight w:val="156"/>
        </w:trPr>
        <w:tc>
          <w:tcPr>
            <w:tcW w:w="2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Weighted-Average</w:t>
            </w:r>
          </w:p>
        </w:tc>
        <w:tc>
          <w:tcPr>
            <w:tcW w:w="1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Weighted-Average</w:t>
            </w:r>
          </w:p>
        </w:tc>
        <w:tc>
          <w:tcPr>
            <w:tcW w:w="8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Aggregate</w:t>
            </w:r>
          </w:p>
        </w:tc>
      </w:tr>
      <w:tr>
        <w:trPr>
          <w:trHeight w:val="156"/>
        </w:trPr>
        <w:tc>
          <w:tcPr>
            <w:tcW w:w="2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center"/>
              <w:ind w:right="25"/>
              <w:spacing w:after="0"/>
              <w:rPr>
                <w:sz w:val="20"/>
                <w:szCs w:val="20"/>
                <w:color w:val="auto"/>
              </w:rPr>
            </w:pPr>
            <w:r>
              <w:rPr>
                <w:rFonts w:ascii="Times New Roman" w:cs="Times New Roman" w:eastAsia="Times New Roman" w:hAnsi="Times New Roman"/>
                <w:sz w:val="13"/>
                <w:szCs w:val="13"/>
                <w:b w:val="1"/>
                <w:bCs w:val="1"/>
                <w:color w:val="auto"/>
              </w:rPr>
              <w:t>Grant Date Fair</w:t>
            </w:r>
          </w:p>
        </w:tc>
        <w:tc>
          <w:tcPr>
            <w:tcW w:w="1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Remaining Contractual</w:t>
            </w:r>
          </w:p>
        </w:tc>
        <w:tc>
          <w:tcPr>
            <w:tcW w:w="80" w:type="dxa"/>
            <w:vAlign w:val="bottom"/>
          </w:tcPr>
          <w:p>
            <w:pPr>
              <w:spacing w:after="0"/>
              <w:rPr>
                <w:sz w:val="13"/>
                <w:szCs w:val="13"/>
                <w:color w:val="auto"/>
              </w:rPr>
            </w:pPr>
          </w:p>
        </w:tc>
        <w:tc>
          <w:tcPr>
            <w:tcW w:w="1080" w:type="dxa"/>
            <w:vAlign w:val="bottom"/>
          </w:tcPr>
          <w:p>
            <w:pPr>
              <w:jc w:val="center"/>
              <w:spacing w:after="0" w:line="156" w:lineRule="exact"/>
              <w:rPr>
                <w:sz w:val="20"/>
                <w:szCs w:val="20"/>
                <w:color w:val="auto"/>
              </w:rPr>
            </w:pPr>
            <w:r>
              <w:rPr>
                <w:rFonts w:ascii="Times New Roman" w:cs="Times New Roman" w:eastAsia="Times New Roman" w:hAnsi="Times New Roman"/>
                <w:sz w:val="13"/>
                <w:szCs w:val="13"/>
                <w:b w:val="1"/>
                <w:bCs w:val="1"/>
                <w:color w:val="auto"/>
                <w:w w:val="97"/>
              </w:rPr>
              <w:t xml:space="preserve">Intrinsic Value </w:t>
            </w:r>
            <w:r>
              <w:rPr>
                <w:rFonts w:ascii="Times New Roman" w:cs="Times New Roman" w:eastAsia="Times New Roman" w:hAnsi="Times New Roman"/>
                <w:sz w:val="18"/>
                <w:szCs w:val="18"/>
                <w:b w:val="1"/>
                <w:bCs w:val="1"/>
                <w:color w:val="auto"/>
                <w:w w:val="97"/>
                <w:vertAlign w:val="superscript"/>
              </w:rPr>
              <w:t>(1)</w:t>
            </w:r>
          </w:p>
        </w:tc>
      </w:tr>
      <w:tr>
        <w:trPr>
          <w:trHeight w:val="170"/>
        </w:trPr>
        <w:tc>
          <w:tcPr>
            <w:tcW w:w="3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Unvested Restricted Stock Units</w:t>
            </w:r>
          </w:p>
        </w:tc>
        <w:tc>
          <w:tcPr>
            <w:tcW w:w="18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5"/>
              <w:spacing w:after="0"/>
              <w:rPr>
                <w:sz w:val="20"/>
                <w:szCs w:val="20"/>
                <w:color w:val="auto"/>
              </w:rPr>
            </w:pPr>
            <w:r>
              <w:rPr>
                <w:rFonts w:ascii="Times New Roman" w:cs="Times New Roman" w:eastAsia="Times New Roman" w:hAnsi="Times New Roman"/>
                <w:sz w:val="13"/>
                <w:szCs w:val="13"/>
                <w:b w:val="1"/>
                <w:bCs w:val="1"/>
                <w:color w:val="auto"/>
              </w:rPr>
              <w:t>Value</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Life (Years)</w:t>
            </w:r>
          </w:p>
        </w:tc>
        <w:tc>
          <w:tcPr>
            <w:tcW w:w="8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(in millions)</w:t>
            </w:r>
          </w:p>
        </w:tc>
      </w:tr>
      <w:tr>
        <w:trPr>
          <w:trHeight w:val="172"/>
        </w:trPr>
        <w:tc>
          <w:tcPr>
            <w:tcW w:w="3240" w:type="dxa"/>
            <w:vAlign w:val="bottom"/>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Unvested, beginning of period</w:t>
            </w: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center"/>
              <w:ind w:left="346"/>
              <w:spacing w:after="0" w:line="172" w:lineRule="exact"/>
              <w:rPr>
                <w:sz w:val="20"/>
                <w:szCs w:val="20"/>
                <w:color w:val="auto"/>
              </w:rPr>
            </w:pPr>
            <w:r>
              <w:rPr>
                <w:rFonts w:ascii="Times New Roman" w:cs="Times New Roman" w:eastAsia="Times New Roman" w:hAnsi="Times New Roman"/>
                <w:sz w:val="16"/>
                <w:szCs w:val="16"/>
                <w:color w:val="auto"/>
                <w:w w:val="99"/>
              </w:rPr>
              <w:t>621,863</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132.07</w:t>
            </w:r>
          </w:p>
        </w:tc>
        <w:tc>
          <w:tcPr>
            <w:tcW w:w="1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80"/>
        </w:trPr>
        <w:tc>
          <w:tcPr>
            <w:tcW w:w="324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Granted</w:t>
            </w:r>
          </w:p>
        </w:tc>
        <w:tc>
          <w:tcPr>
            <w:tcW w:w="1200" w:type="dxa"/>
            <w:vAlign w:val="bottom"/>
            <w:gridSpan w:val="2"/>
          </w:tcPr>
          <w:p>
            <w:pPr>
              <w:jc w:val="center"/>
              <w:ind w:left="522"/>
              <w:spacing w:after="0" w:line="180" w:lineRule="exact"/>
              <w:rPr>
                <w:sz w:val="20"/>
                <w:szCs w:val="20"/>
                <w:color w:val="auto"/>
              </w:rPr>
            </w:pPr>
            <w:r>
              <w:rPr>
                <w:rFonts w:ascii="Times New Roman" w:cs="Times New Roman" w:eastAsia="Times New Roman" w:hAnsi="Times New Roman"/>
                <w:sz w:val="16"/>
                <w:szCs w:val="16"/>
                <w:color w:val="auto"/>
                <w:w w:val="99"/>
              </w:rPr>
              <w:t>392,050</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143.98</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32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Vested</w:t>
            </w:r>
          </w:p>
        </w:tc>
        <w:tc>
          <w:tcPr>
            <w:tcW w:w="1200" w:type="dxa"/>
            <w:vAlign w:val="bottom"/>
            <w:gridSpan w:val="2"/>
            <w:shd w:val="clear" w:color="auto" w:fill="CCEEFF"/>
          </w:tcPr>
          <w:p>
            <w:pPr>
              <w:jc w:val="center"/>
              <w:ind w:left="502"/>
              <w:spacing w:after="0" w:line="180" w:lineRule="exact"/>
              <w:rPr>
                <w:sz w:val="20"/>
                <w:szCs w:val="20"/>
                <w:color w:val="auto"/>
              </w:rPr>
            </w:pPr>
            <w:r>
              <w:rPr>
                <w:rFonts w:ascii="Times New Roman" w:cs="Times New Roman" w:eastAsia="Times New Roman" w:hAnsi="Times New Roman"/>
                <w:sz w:val="16"/>
                <w:szCs w:val="16"/>
                <w:color w:val="auto"/>
                <w:w w:val="98"/>
              </w:rPr>
              <w:t>(304,845)</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124.96</w:t>
            </w: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0"/>
        </w:trPr>
        <w:tc>
          <w:tcPr>
            <w:tcW w:w="324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Cancelled or expired</w:t>
            </w:r>
          </w:p>
        </w:tc>
        <w:tc>
          <w:tcPr>
            <w:tcW w:w="1200" w:type="dxa"/>
            <w:vAlign w:val="bottom"/>
            <w:gridSpan w:val="2"/>
          </w:tcPr>
          <w:p>
            <w:pPr>
              <w:jc w:val="center"/>
              <w:ind w:left="502"/>
              <w:spacing w:after="0" w:line="180" w:lineRule="exact"/>
              <w:rPr>
                <w:sz w:val="20"/>
                <w:szCs w:val="20"/>
                <w:color w:val="auto"/>
              </w:rPr>
            </w:pPr>
            <w:r>
              <w:rPr>
                <w:rFonts w:ascii="Times New Roman" w:cs="Times New Roman" w:eastAsia="Times New Roman" w:hAnsi="Times New Roman"/>
                <w:sz w:val="16"/>
                <w:szCs w:val="16"/>
                <w:color w:val="auto"/>
                <w:w w:val="98"/>
              </w:rPr>
              <w:t>(117,271)</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124.39</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2"/>
        </w:trPr>
        <w:tc>
          <w:tcPr>
            <w:tcW w:w="3240" w:type="dxa"/>
            <w:vAlign w:val="bottom"/>
            <w:tcBorders>
              <w:top w:val="single" w:sz="8" w:color="CCEEFF"/>
              <w:bottom w:val="single" w:sz="8" w:color="CCEEFF"/>
            </w:tcBorders>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Unvested, end of period</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center"/>
              <w:ind w:left="346"/>
              <w:spacing w:after="0" w:line="172" w:lineRule="exact"/>
              <w:rPr>
                <w:sz w:val="20"/>
                <w:szCs w:val="20"/>
                <w:color w:val="auto"/>
              </w:rPr>
            </w:pPr>
            <w:r>
              <w:rPr>
                <w:rFonts w:ascii="Times New Roman" w:cs="Times New Roman" w:eastAsia="Times New Roman" w:hAnsi="Times New Roman"/>
                <w:sz w:val="16"/>
                <w:szCs w:val="16"/>
                <w:color w:val="auto"/>
                <w:w w:val="99"/>
              </w:rPr>
              <w:t>591,797</w:t>
            </w:r>
          </w:p>
        </w:tc>
        <w:tc>
          <w:tcPr>
            <w:tcW w:w="260" w:type="dxa"/>
            <w:vAlign w:val="bottom"/>
            <w:tcBorders>
              <w:top w:val="single" w:sz="8" w:color="CCEEFF"/>
              <w:bottom w:val="single" w:sz="8" w:color="CCEEFF"/>
            </w:tcBorders>
            <w:gridSpan w:val="2"/>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CCEEFF"/>
              <w:bottom w:val="single" w:sz="8" w:color="CCEEFF"/>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145.15</w:t>
            </w:r>
          </w:p>
        </w:tc>
        <w:tc>
          <w:tcPr>
            <w:tcW w:w="1460" w:type="dxa"/>
            <w:vAlign w:val="bottom"/>
            <w:tcBorders>
              <w:top w:val="single" w:sz="8" w:color="CCEEFF"/>
              <w:bottom w:val="single" w:sz="8" w:color="CCEEFF"/>
            </w:tcBorders>
            <w:shd w:val="clear" w:color="auto" w:fill="CCEEFF"/>
          </w:tcPr>
          <w:p>
            <w:pPr>
              <w:jc w:val="right"/>
              <w:ind w:right="451"/>
              <w:spacing w:after="0" w:line="172" w:lineRule="exact"/>
              <w:rPr>
                <w:sz w:val="20"/>
                <w:szCs w:val="20"/>
                <w:color w:val="auto"/>
              </w:rPr>
            </w:pPr>
            <w:r>
              <w:rPr>
                <w:rFonts w:ascii="Times New Roman" w:cs="Times New Roman" w:eastAsia="Times New Roman" w:hAnsi="Times New Roman"/>
                <w:sz w:val="16"/>
                <w:szCs w:val="16"/>
                <w:color w:val="auto"/>
              </w:rPr>
              <w:t>2.42</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CCEEFF"/>
              <w:bottom w:val="single" w:sz="8" w:color="CCEEFF"/>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104.9</w:t>
            </w:r>
          </w:p>
        </w:tc>
      </w:tr>
      <w:tr>
        <w:trPr>
          <w:trHeight w:val="20"/>
        </w:trPr>
        <w:tc>
          <w:tcPr>
            <w:tcW w:w="2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72"/>
        </w:trPr>
        <w:tc>
          <w:tcPr>
            <w:tcW w:w="2080" w:type="dxa"/>
            <w:vAlign w:val="bottom"/>
            <w:tcBorders>
              <w:bottom w:val="single" w:sz="8" w:color="auto"/>
            </w:tcBorders>
          </w:tcPr>
          <w:p>
            <w:pPr>
              <w:spacing w:after="0"/>
              <w:rPr>
                <w:sz w:val="6"/>
                <w:szCs w:val="6"/>
                <w:color w:val="auto"/>
              </w:rPr>
            </w:pPr>
          </w:p>
        </w:tc>
        <w:tc>
          <w:tcPr>
            <w:tcW w:w="1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r>
    </w:tbl>
    <w:p>
      <w:pPr>
        <w:spacing w:after="0" w:line="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(1)  The intrinsic value is calculated based on the market value of our common stock as of December 31, 2024.</w:t>
      </w:r>
    </w:p>
    <w:p>
      <w:pPr>
        <w:spacing w:after="0" w:line="176" w:lineRule="exact"/>
        <w:rPr>
          <w:sz w:val="20"/>
          <w:szCs w:val="20"/>
          <w:color w:val="auto"/>
        </w:rPr>
      </w:pPr>
    </w:p>
    <w:p>
      <w:pPr>
        <w:jc w:val="both"/>
        <w:ind w:left="320" w:right="340"/>
        <w:spacing w:after="0" w:line="259" w:lineRule="auto"/>
        <w:rPr>
          <w:sz w:val="20"/>
          <w:szCs w:val="20"/>
          <w:color w:val="auto"/>
        </w:rPr>
      </w:pPr>
      <w:r>
        <w:rPr>
          <w:rFonts w:ascii="Times New Roman" w:cs="Times New Roman" w:eastAsia="Times New Roman" w:hAnsi="Times New Roman"/>
          <w:sz w:val="16"/>
          <w:szCs w:val="16"/>
          <w:color w:val="auto"/>
        </w:rPr>
        <w:t>The grant date fair values, which equal the market price of Digital Realty Trust, Inc. common stock on the grant date, are expensed on a straight-line basis for service awards over the vesting period of the restricted stock, which is generally four years.</w:t>
      </w:r>
    </w:p>
    <w:p>
      <w:pPr>
        <w:spacing w:after="0" w:line="143" w:lineRule="exact"/>
        <w:rPr>
          <w:sz w:val="20"/>
          <w:szCs w:val="20"/>
          <w:color w:val="auto"/>
        </w:rPr>
      </w:pPr>
    </w:p>
    <w:p>
      <w:pPr>
        <w:ind w:left="320" w:right="760"/>
        <w:spacing w:after="0" w:line="259" w:lineRule="auto"/>
        <w:rPr>
          <w:sz w:val="20"/>
          <w:szCs w:val="20"/>
          <w:color w:val="auto"/>
        </w:rPr>
      </w:pPr>
      <w:r>
        <w:rPr>
          <w:rFonts w:ascii="Times New Roman" w:cs="Times New Roman" w:eastAsia="Times New Roman" w:hAnsi="Times New Roman"/>
          <w:sz w:val="16"/>
          <w:szCs w:val="16"/>
          <w:color w:val="auto"/>
        </w:rPr>
        <w:t>The aggregate intrinsic value of restricted stock that vested in 2024, 2023 and 2022 was $39.1 million, $41.5 million and $59.0 million, respectively.</w:t>
      </w:r>
    </w:p>
    <w:p>
      <w:pPr>
        <w:spacing w:after="0" w:line="1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Defined Contribution Plans</w:t>
      </w:r>
    </w:p>
    <w:p>
      <w:pPr>
        <w:spacing w:after="0" w:line="180" w:lineRule="exact"/>
        <w:rPr>
          <w:sz w:val="20"/>
          <w:szCs w:val="20"/>
          <w:color w:val="auto"/>
        </w:rPr>
      </w:pPr>
    </w:p>
    <w:p>
      <w:pPr>
        <w:ind w:left="320" w:right="340" w:firstLine="288"/>
        <w:spacing w:after="0" w:line="275" w:lineRule="auto"/>
        <w:rPr>
          <w:sz w:val="20"/>
          <w:szCs w:val="20"/>
          <w:color w:val="auto"/>
        </w:rPr>
      </w:pPr>
      <w:r>
        <w:rPr>
          <w:rFonts w:ascii="Times New Roman" w:cs="Times New Roman" w:eastAsia="Times New Roman" w:hAnsi="Times New Roman"/>
          <w:sz w:val="14"/>
          <w:szCs w:val="14"/>
          <w:color w:val="auto"/>
        </w:rPr>
        <w:t>We have a 401(k) plan whereby our U.S. employees may contribute a portion of their compensation to their respective retirement accounts, in an amount not to exceed the maximum allowed under the Code. The 401(k) plan complies with Internal Revenue Service requirements as a 401(k) safe harbor plan whereby matching contributions made by us are 100% vested. The aggregate cost of our contributions to the 401(k) plan was approximately $9.4 million, $6.8 million, and $5.9 million for the years ended</w:t>
      </w:r>
    </w:p>
    <w:p>
      <w:pPr>
        <w:jc w:val="both"/>
        <w:ind w:left="320" w:right="740"/>
        <w:spacing w:after="0" w:line="237" w:lineRule="auto"/>
        <w:rPr>
          <w:sz w:val="20"/>
          <w:szCs w:val="20"/>
          <w:color w:val="auto"/>
        </w:rPr>
      </w:pPr>
      <w:r>
        <w:rPr>
          <w:rFonts w:ascii="Times New Roman" w:cs="Times New Roman" w:eastAsia="Times New Roman" w:hAnsi="Times New Roman"/>
          <w:sz w:val="16"/>
          <w:szCs w:val="16"/>
          <w:color w:val="auto"/>
        </w:rPr>
        <w:t>December 31, 2024, 2023 and 2022, respectively. In addition, Interxion has a defined contribution pension plan for most of its employees. Contributions are made in accordance with the terms of such defined contribution pension plan and are expensed as incurred.</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55" w:name="page156"/>
    <w:bookmarkEnd w:id="155"/>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 and 2023</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17. Derivative Instruments</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Derivatives Designated as Hedging Instruments</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Net Investment Hedges</w:t>
      </w:r>
    </w:p>
    <w:p>
      <w:pPr>
        <w:spacing w:after="0" w:line="178" w:lineRule="exact"/>
        <w:rPr>
          <w:sz w:val="20"/>
          <w:szCs w:val="20"/>
          <w:color w:val="auto"/>
        </w:rPr>
      </w:pPr>
    </w:p>
    <w:p>
      <w:pPr>
        <w:ind w:left="320" w:right="320"/>
        <w:spacing w:after="0" w:line="243" w:lineRule="auto"/>
        <w:rPr>
          <w:sz w:val="20"/>
          <w:szCs w:val="20"/>
          <w:color w:val="auto"/>
        </w:rPr>
      </w:pPr>
      <w:r>
        <w:rPr>
          <w:rFonts w:ascii="Times New Roman" w:cs="Times New Roman" w:eastAsia="Times New Roman" w:hAnsi="Times New Roman"/>
          <w:sz w:val="16"/>
          <w:szCs w:val="16"/>
          <w:color w:val="auto"/>
        </w:rPr>
        <w:t>In September 2022 and November 2024, we entered into cross-currency interest rate swaps, which effectively convert a portion of our U.S. dollar-denominated fixed-rate debt to foreign currency-denominated fixed -rate debt in order to hedge the currency exposure associated with our net investment in foreign subsidiaries. As of December 31, 2024 and 2023, we had cross-currency interest rate swaps outstanding with notional amounts of approximately $2.1 billion and maturity dates ranging through 2029.</w:t>
      </w:r>
    </w:p>
    <w:p>
      <w:pPr>
        <w:spacing w:after="0" w:line="155" w:lineRule="exact"/>
        <w:rPr>
          <w:sz w:val="20"/>
          <w:szCs w:val="20"/>
          <w:color w:val="auto"/>
        </w:rPr>
      </w:pPr>
    </w:p>
    <w:p>
      <w:pPr>
        <w:ind w:left="320" w:right="500"/>
        <w:spacing w:after="0" w:line="259" w:lineRule="auto"/>
        <w:rPr>
          <w:sz w:val="20"/>
          <w:szCs w:val="20"/>
          <w:color w:val="auto"/>
        </w:rPr>
      </w:pPr>
      <w:r>
        <w:rPr>
          <w:rFonts w:ascii="Times New Roman" w:cs="Times New Roman" w:eastAsia="Times New Roman" w:hAnsi="Times New Roman"/>
          <w:sz w:val="16"/>
          <w:szCs w:val="16"/>
          <w:color w:val="auto"/>
        </w:rPr>
        <w:t>The effect of these net investment hedges on accumulated other comprehensive loss and the consolidated income statements for the years ended December 31, 2024, 2023 and 2022 was as follows (in thousands):</w:t>
      </w:r>
    </w:p>
    <w:p>
      <w:pPr>
        <w:spacing w:after="0" w:line="166" w:lineRule="exact"/>
        <w:rPr>
          <w:sz w:val="20"/>
          <w:szCs w:val="20"/>
          <w:color w:val="auto"/>
        </w:rPr>
      </w:pPr>
    </w:p>
    <w:tbl>
      <w:tblPr>
        <w:tblLayout w:type="fixed"/>
        <w:tblInd w:w="320" w:type="dxa"/>
        <w:tblCellMar>
          <w:top w:w="0" w:type="dxa"/>
          <w:left w:w="0" w:type="dxa"/>
          <w:bottom w:w="0" w:type="dxa"/>
          <w:right w:w="0" w:type="dxa"/>
        </w:tblCellMar>
      </w:tblPr>
      <w:tr>
        <w:trPr>
          <w:trHeight w:val="182"/>
        </w:trPr>
        <w:tc>
          <w:tcPr>
            <w:tcW w:w="3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r>
      <w:tr>
        <w:trPr>
          <w:trHeight w:val="160"/>
        </w:trPr>
        <w:tc>
          <w:tcPr>
            <w:tcW w:w="3300" w:type="dxa"/>
            <w:vAlign w:val="bottom"/>
            <w:tcBorders>
              <w:bottom w:val="single" w:sz="8" w:color="CCEEFF"/>
            </w:tcBorders>
          </w:tcPr>
          <w:p>
            <w:pPr>
              <w:spacing w:after="0"/>
              <w:rPr>
                <w:sz w:val="13"/>
                <w:szCs w:val="13"/>
                <w:color w:val="auto"/>
              </w:rPr>
            </w:pPr>
          </w:p>
        </w:tc>
        <w:tc>
          <w:tcPr>
            <w:tcW w:w="74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36"/>
        </w:trPr>
        <w:tc>
          <w:tcPr>
            <w:tcW w:w="330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Cross-currency interest rate swaps (included</w:t>
            </w:r>
          </w:p>
        </w:tc>
        <w:tc>
          <w:tcPr>
            <w:tcW w:w="7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r>
      <w:tr>
        <w:trPr>
          <w:trHeight w:val="180"/>
        </w:trPr>
        <w:tc>
          <w:tcPr>
            <w:tcW w:w="330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 xml:space="preserve">component) </w:t>
            </w:r>
            <w:r>
              <w:rPr>
                <w:rFonts w:ascii="Times New Roman" w:cs="Times New Roman" w:eastAsia="Times New Roman" w:hAnsi="Times New Roman"/>
                <w:sz w:val="20"/>
                <w:szCs w:val="20"/>
                <w:color w:val="auto"/>
                <w:vertAlign w:val="superscript"/>
              </w:rPr>
              <w:t>(1)</w:t>
            </w:r>
          </w:p>
        </w:tc>
        <w:tc>
          <w:tcPr>
            <w:tcW w:w="102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136,880</w:t>
            </w:r>
          </w:p>
        </w:tc>
        <w:tc>
          <w:tcPr>
            <w:tcW w:w="54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(22,703)</w:t>
            </w: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(116,550)</w:t>
            </w:r>
          </w:p>
        </w:tc>
      </w:tr>
      <w:tr>
        <w:trPr>
          <w:trHeight w:val="156"/>
        </w:trPr>
        <w:tc>
          <w:tcPr>
            <w:tcW w:w="330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Cross-currency interest rate swaps (excluded</w:t>
            </w: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80"/>
        </w:trPr>
        <w:tc>
          <w:tcPr>
            <w:tcW w:w="3300" w:type="dxa"/>
            <w:vAlign w:val="bottom"/>
            <w:tcBorders>
              <w:bottom w:val="single" w:sz="8" w:color="CCEEFF"/>
            </w:tcBorders>
          </w:tcPr>
          <w:p>
            <w:pPr>
              <w:spacing w:after="0" w:line="181" w:lineRule="exact"/>
              <w:rPr>
                <w:sz w:val="20"/>
                <w:szCs w:val="20"/>
                <w:color w:val="auto"/>
              </w:rPr>
            </w:pPr>
            <w:r>
              <w:rPr>
                <w:rFonts w:ascii="Times New Roman" w:cs="Times New Roman" w:eastAsia="Times New Roman" w:hAnsi="Times New Roman"/>
                <w:sz w:val="14"/>
                <w:szCs w:val="14"/>
                <w:color w:val="auto"/>
              </w:rPr>
              <w:t xml:space="preserve">component) </w:t>
            </w:r>
            <w:r>
              <w:rPr>
                <w:rFonts w:ascii="Times New Roman" w:cs="Times New Roman" w:eastAsia="Times New Roman" w:hAnsi="Times New Roman"/>
                <w:sz w:val="20"/>
                <w:szCs w:val="20"/>
                <w:color w:val="auto"/>
                <w:vertAlign w:val="superscript"/>
              </w:rPr>
              <w:t>(2)</w:t>
            </w:r>
          </w:p>
        </w:tc>
        <w:tc>
          <w:tcPr>
            <w:tcW w:w="7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(22,841)</w:t>
            </w:r>
          </w:p>
        </w:tc>
        <w:tc>
          <w:tcPr>
            <w:tcW w:w="2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(25,428)</w:t>
            </w:r>
          </w:p>
        </w:tc>
        <w:tc>
          <w:tcPr>
            <w:tcW w:w="2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7,929</w:t>
            </w:r>
          </w:p>
        </w:tc>
      </w:tr>
      <w:tr>
        <w:trPr>
          <w:trHeight w:val="160"/>
        </w:trPr>
        <w:tc>
          <w:tcPr>
            <w:tcW w:w="3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74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114,039</w:t>
            </w:r>
          </w:p>
        </w:tc>
        <w:tc>
          <w:tcPr>
            <w:tcW w:w="26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(48,131)</w:t>
            </w:r>
          </w:p>
        </w:tc>
        <w:tc>
          <w:tcPr>
            <w:tcW w:w="26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(108,621)</w:t>
            </w:r>
          </w:p>
        </w:tc>
      </w:tr>
      <w:tr>
        <w:trPr>
          <w:trHeight w:val="20"/>
        </w:trPr>
        <w:tc>
          <w:tcPr>
            <w:tcW w:w="3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tbl>
      <w:tblPr>
        <w:tblLayout w:type="fixed"/>
        <w:tblInd w:w="320" w:type="dxa"/>
        <w:tblCellMar>
          <w:top w:w="0" w:type="dxa"/>
          <w:left w:w="0" w:type="dxa"/>
          <w:bottom w:w="0" w:type="dxa"/>
          <w:right w:w="0" w:type="dxa"/>
        </w:tblCellMar>
      </w:tblPr>
      <w:tr>
        <w:trPr>
          <w:trHeight w:val="168"/>
        </w:trPr>
        <w:tc>
          <w:tcPr>
            <w:tcW w:w="20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 of</w:t>
            </w:r>
          </w:p>
        </w:tc>
        <w:tc>
          <w:tcPr>
            <w:tcW w:w="26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1800" w:type="dxa"/>
            <w:vAlign w:val="bottom"/>
            <w:tcBorders>
              <w:bottom w:val="single" w:sz="8" w:color="auto"/>
            </w:tcBorders>
            <w:gridSpan w:val="4"/>
            <w:shd w:val="clear" w:color="auto" w:fill="CCEEFF"/>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80" w:type="dxa"/>
            <w:vAlign w:val="bottom"/>
            <w:tcBorders>
              <w:bottom w:val="single" w:sz="8" w:color="CCEEFF"/>
            </w:tcBorders>
          </w:tcPr>
          <w:p>
            <w:pPr>
              <w:spacing w:after="0"/>
              <w:rPr>
                <w:sz w:val="13"/>
                <w:szCs w:val="13"/>
                <w:color w:val="auto"/>
              </w:rPr>
            </w:pPr>
          </w:p>
        </w:tc>
        <w:tc>
          <w:tcPr>
            <w:tcW w:w="50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gain or (loss)</w:t>
            </w:r>
          </w:p>
        </w:tc>
        <w:tc>
          <w:tcPr>
            <w:tcW w:w="26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36"/>
        </w:trPr>
        <w:tc>
          <w:tcPr>
            <w:tcW w:w="258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Cross-currency interest rate swaps (excluded</w:t>
            </w:r>
          </w:p>
        </w:tc>
        <w:tc>
          <w:tcPr>
            <w:tcW w:w="1200" w:type="dxa"/>
            <w:vAlign w:val="bottom"/>
            <w:shd w:val="clear" w:color="auto" w:fill="CCEEFF"/>
          </w:tcPr>
          <w:p>
            <w:pPr>
              <w:spacing w:after="0"/>
              <w:rPr>
                <w:sz w:val="11"/>
                <w:szCs w:val="11"/>
                <w:color w:val="auto"/>
              </w:rPr>
            </w:pPr>
          </w:p>
        </w:tc>
        <w:tc>
          <w:tcPr>
            <w:tcW w:w="5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25,037</w:t>
            </w:r>
          </w:p>
        </w:tc>
        <w:tc>
          <w:tcPr>
            <w:tcW w:w="5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21,836</w:t>
            </w:r>
          </w:p>
        </w:tc>
        <w:tc>
          <w:tcPr>
            <w:tcW w:w="26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6,260</w:t>
            </w:r>
          </w:p>
        </w:tc>
        <w:tc>
          <w:tcPr>
            <w:tcW w:w="0" w:type="dxa"/>
            <w:vAlign w:val="bottom"/>
          </w:tcPr>
          <w:p>
            <w:pPr>
              <w:spacing w:after="0"/>
              <w:rPr>
                <w:sz w:val="1"/>
                <w:szCs w:val="1"/>
                <w:color w:val="auto"/>
              </w:rPr>
            </w:pPr>
          </w:p>
        </w:tc>
      </w:tr>
      <w:tr>
        <w:trPr>
          <w:trHeight w:val="168"/>
        </w:trPr>
        <w:tc>
          <w:tcPr>
            <w:tcW w:w="2580" w:type="dxa"/>
            <w:vAlign w:val="bottom"/>
            <w:gridSpan w:val="2"/>
            <w:shd w:val="clear" w:color="auto" w:fill="CCEEFF"/>
          </w:tcPr>
          <w:p>
            <w:pPr>
              <w:spacing w:after="0" w:line="168" w:lineRule="exact"/>
              <w:rPr>
                <w:sz w:val="20"/>
                <w:szCs w:val="20"/>
                <w:color w:val="auto"/>
              </w:rPr>
            </w:pPr>
            <w:r>
              <w:rPr>
                <w:rFonts w:ascii="Times New Roman" w:cs="Times New Roman" w:eastAsia="Times New Roman" w:hAnsi="Times New Roman"/>
                <w:sz w:val="13"/>
                <w:szCs w:val="13"/>
                <w:color w:val="auto"/>
              </w:rPr>
              <w:t xml:space="preserve">component) </w:t>
            </w:r>
            <w:r>
              <w:rPr>
                <w:rFonts w:ascii="Times New Roman" w:cs="Times New Roman" w:eastAsia="Times New Roman" w:hAnsi="Times New Roman"/>
                <w:sz w:val="19"/>
                <w:szCs w:val="19"/>
                <w:color w:val="auto"/>
                <w:vertAlign w:val="superscript"/>
              </w:rPr>
              <w:t>(2)</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Interest expense</w:t>
            </w:r>
          </w:p>
        </w:tc>
        <w:tc>
          <w:tcPr>
            <w:tcW w:w="540" w:type="dxa"/>
            <w:vAlign w:val="bottom"/>
            <w:gridSpan w:val="2"/>
            <w:vMerge w:val="continue"/>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80" w:type="dxa"/>
            <w:vAlign w:val="bottom"/>
            <w:vMerge w:val="continue"/>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2080" w:type="dxa"/>
            <w:vAlign w:val="bottom"/>
            <w:tcBorders>
              <w:bottom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600" w:hanging="282"/>
        <w:spacing w:after="0"/>
        <w:tabs>
          <w:tab w:leader="none" w:pos="60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component represents foreign exchange spot rates.</w:t>
      </w:r>
    </w:p>
    <w:p>
      <w:pPr>
        <w:spacing w:after="0" w:line="14" w:lineRule="exact"/>
        <w:rPr>
          <w:rFonts w:ascii="Times New Roman" w:cs="Times New Roman" w:eastAsia="Times New Roman" w:hAnsi="Times New Roman"/>
          <w:sz w:val="16"/>
          <w:szCs w:val="16"/>
          <w:color w:val="auto"/>
        </w:rPr>
      </w:pPr>
    </w:p>
    <w:p>
      <w:pPr>
        <w:ind w:left="600" w:hanging="282"/>
        <w:spacing w:after="0"/>
        <w:tabs>
          <w:tab w:leader="none" w:pos="60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Excluded component represents cross-currency basis spread and interest rates.</w:t>
      </w:r>
    </w:p>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Cash Flow Hedges</w:t>
      </w:r>
    </w:p>
    <w:p>
      <w:pPr>
        <w:spacing w:after="0" w:line="178" w:lineRule="exact"/>
        <w:rPr>
          <w:sz w:val="20"/>
          <w:szCs w:val="20"/>
          <w:color w:val="auto"/>
        </w:rPr>
      </w:pPr>
    </w:p>
    <w:p>
      <w:pPr>
        <w:ind w:left="320" w:right="320"/>
        <w:spacing w:after="0" w:line="241" w:lineRule="auto"/>
        <w:rPr>
          <w:sz w:val="20"/>
          <w:szCs w:val="20"/>
          <w:color w:val="auto"/>
        </w:rPr>
      </w:pPr>
      <w:r>
        <w:rPr>
          <w:rFonts w:ascii="Times New Roman" w:cs="Times New Roman" w:eastAsia="Times New Roman" w:hAnsi="Times New Roman"/>
          <w:sz w:val="16"/>
          <w:szCs w:val="16"/>
          <w:color w:val="auto"/>
        </w:rPr>
        <w:t>As of December 31, 2024, we had derivatives designated as cash flow hedges on 100% of the Euro Term Loan Facilities (€375 million notional amount). Amounts reported in Accumulated other comprehensive loss related to interest rate swaps are reclassified to interest expense as interest payments are made on our debt. As of December 31, 2023, we estimate that an additional $0.5 million will be reclassified as a decrease to interest expense during the year ending December 31, 2025, when the hedged forecasted transactions impact earnings.</w:t>
      </w:r>
    </w:p>
    <w:p>
      <w:pPr>
        <w:spacing w:after="0" w:line="169" w:lineRule="exact"/>
        <w:rPr>
          <w:sz w:val="20"/>
          <w:szCs w:val="20"/>
          <w:color w:val="auto"/>
        </w:rPr>
      </w:pPr>
    </w:p>
    <w:p>
      <w:pPr>
        <w:ind w:left="320" w:right="440"/>
        <w:spacing w:after="0" w:line="259" w:lineRule="auto"/>
        <w:rPr>
          <w:sz w:val="20"/>
          <w:szCs w:val="20"/>
          <w:color w:val="auto"/>
        </w:rPr>
      </w:pPr>
      <w:r>
        <w:rPr>
          <w:rFonts w:ascii="Times New Roman" w:cs="Times New Roman" w:eastAsia="Times New Roman" w:hAnsi="Times New Roman"/>
          <w:sz w:val="16"/>
          <w:szCs w:val="16"/>
          <w:color w:val="auto"/>
        </w:rPr>
        <w:t>The effect of these cash flow hedges on accumulated other comprehensive loss and the consolidated income statements for the years ended December 31, 2024, 2023 and 2022, was as follows (in thousands):</w:t>
      </w:r>
    </w:p>
    <w:p>
      <w:pPr>
        <w:spacing w:after="0" w:line="166" w:lineRule="exact"/>
        <w:rPr>
          <w:sz w:val="20"/>
          <w:szCs w:val="20"/>
          <w:color w:val="auto"/>
        </w:rPr>
      </w:pPr>
    </w:p>
    <w:tbl>
      <w:tblPr>
        <w:tblLayout w:type="fixed"/>
        <w:tblInd w:w="320" w:type="dxa"/>
        <w:tblCellMar>
          <w:top w:w="0" w:type="dxa"/>
          <w:left w:w="0" w:type="dxa"/>
          <w:bottom w:w="0" w:type="dxa"/>
          <w:right w:w="0" w:type="dxa"/>
        </w:tblCellMar>
      </w:tblPr>
      <w:tr>
        <w:trPr>
          <w:trHeight w:val="182"/>
        </w:trPr>
        <w:tc>
          <w:tcPr>
            <w:tcW w:w="19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r>
      <w:tr>
        <w:trPr>
          <w:trHeight w:val="160"/>
        </w:trPr>
        <w:tc>
          <w:tcPr>
            <w:tcW w:w="1900" w:type="dxa"/>
            <w:vAlign w:val="bottom"/>
            <w:tcBorders>
              <w:bottom w:val="single" w:sz="8" w:color="CCEEFF"/>
            </w:tcBorders>
          </w:tcPr>
          <w:p>
            <w:pPr>
              <w:spacing w:after="0"/>
              <w:rPr>
                <w:sz w:val="13"/>
                <w:szCs w:val="13"/>
                <w:color w:val="auto"/>
              </w:rPr>
            </w:pPr>
          </w:p>
        </w:tc>
        <w:tc>
          <w:tcPr>
            <w:tcW w:w="20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60"/>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rate swaps</w:t>
            </w:r>
          </w:p>
        </w:tc>
        <w:tc>
          <w:tcPr>
            <w:tcW w:w="2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(5,439)</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(7,221)</w:t>
            </w: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7,774</w:t>
            </w:r>
          </w:p>
        </w:tc>
      </w:tr>
      <w:tr>
        <w:trPr>
          <w:trHeight w:val="360"/>
        </w:trPr>
        <w:tc>
          <w:tcPr>
            <w:tcW w:w="1900" w:type="dxa"/>
            <w:vAlign w:val="bottom"/>
          </w:tcPr>
          <w:p>
            <w:pPr>
              <w:spacing w:after="0"/>
              <w:rPr>
                <w:sz w:val="24"/>
                <w:szCs w:val="24"/>
                <w:color w:val="auto"/>
              </w:rPr>
            </w:pPr>
          </w:p>
        </w:tc>
        <w:tc>
          <w:tcPr>
            <w:tcW w:w="2020" w:type="dxa"/>
            <w:vAlign w:val="bottom"/>
          </w:tcPr>
          <w:p>
            <w:pPr>
              <w:ind w:left="820"/>
              <w:spacing w:after="0"/>
              <w:rPr>
                <w:sz w:val="20"/>
                <w:szCs w:val="20"/>
                <w:color w:val="auto"/>
              </w:rPr>
            </w:pPr>
            <w:r>
              <w:rPr>
                <w:rFonts w:ascii="Times New Roman" w:cs="Times New Roman" w:eastAsia="Times New Roman" w:hAnsi="Times New Roman"/>
                <w:sz w:val="14"/>
                <w:szCs w:val="14"/>
                <w:b w:val="1"/>
                <w:bCs w:val="1"/>
                <w:color w:val="auto"/>
              </w:rPr>
              <w:t>Location of</w:t>
            </w:r>
          </w:p>
        </w:tc>
        <w:tc>
          <w:tcPr>
            <w:tcW w:w="920" w:type="dxa"/>
            <w:vAlign w:val="bottom"/>
            <w:tcBorders>
              <w:bottom w:val="single" w:sz="8" w:color="auto"/>
            </w:tcBorders>
            <w:gridSpan w:val="2"/>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w:t>
            </w:r>
          </w:p>
        </w:tc>
        <w:tc>
          <w:tcPr>
            <w:tcW w:w="1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Ended December 31,</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56" w:name="page157"/>
    <w:bookmarkEnd w:id="156"/>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 and 2023</w:t>
      </w:r>
    </w:p>
    <w:p>
      <w:pPr>
        <w:spacing w:after="0" w:line="201" w:lineRule="exact"/>
        <w:rPr>
          <w:sz w:val="20"/>
          <w:szCs w:val="20"/>
          <w:color w:val="auto"/>
        </w:rPr>
      </w:pPr>
    </w:p>
    <w:tbl>
      <w:tblPr>
        <w:tblLayout w:type="fixed"/>
        <w:tblInd w:w="320" w:type="dxa"/>
        <w:tblCellMar>
          <w:top w:w="0" w:type="dxa"/>
          <w:left w:w="0" w:type="dxa"/>
          <w:bottom w:w="0" w:type="dxa"/>
          <w:right w:w="0" w:type="dxa"/>
        </w:tblCellMar>
      </w:tblPr>
      <w:tr>
        <w:trPr>
          <w:trHeight w:val="182"/>
        </w:trPr>
        <w:tc>
          <w:tcPr>
            <w:tcW w:w="258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gain or (loss)</w:t>
            </w:r>
          </w:p>
        </w:tc>
        <w:tc>
          <w:tcPr>
            <w:tcW w:w="2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60"/>
        </w:trPr>
        <w:tc>
          <w:tcPr>
            <w:tcW w:w="2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rate swaps</w:t>
            </w:r>
          </w:p>
        </w:tc>
        <w:tc>
          <w:tcPr>
            <w:tcW w:w="1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26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15,027</w:t>
            </w:r>
          </w:p>
        </w:tc>
        <w:tc>
          <w:tcPr>
            <w:tcW w:w="26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10,953</w:t>
            </w:r>
          </w:p>
        </w:tc>
        <w:tc>
          <w:tcPr>
            <w:tcW w:w="26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w:t>
            </w:r>
          </w:p>
        </w:tc>
      </w:tr>
      <w:tr>
        <w:trPr>
          <w:trHeight w:val="20"/>
        </w:trPr>
        <w:tc>
          <w:tcPr>
            <w:tcW w:w="2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Fair Value of Derivative Instruments</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subsequent table presents the fair value of derivative instruments recognized in our consolidated balance sheets as of</w:t>
      </w:r>
    </w:p>
    <w:p>
      <w:pPr>
        <w:spacing w:after="0" w:line="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December 31, 2024 and 2023 (in thousands):</w:t>
      </w:r>
    </w:p>
    <w:p>
      <w:pPr>
        <w:spacing w:after="0" w:line="180" w:lineRule="exact"/>
        <w:rPr>
          <w:sz w:val="20"/>
          <w:szCs w:val="20"/>
          <w:color w:val="auto"/>
        </w:rPr>
      </w:pPr>
    </w:p>
    <w:tbl>
      <w:tblPr>
        <w:tblLayout w:type="fixed"/>
        <w:tblInd w:w="320" w:type="dxa"/>
        <w:tblCellMar>
          <w:top w:w="0" w:type="dxa"/>
          <w:left w:w="0" w:type="dxa"/>
          <w:bottom w:w="0" w:type="dxa"/>
          <w:right w:w="0" w:type="dxa"/>
        </w:tblCellMar>
      </w:tblPr>
      <w:tr>
        <w:trPr>
          <w:trHeight w:val="195"/>
        </w:trPr>
        <w:tc>
          <w:tcPr>
            <w:tcW w:w="20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505"/>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525"/>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172"/>
        </w:trPr>
        <w:tc>
          <w:tcPr>
            <w:tcW w:w="208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65"/>
              <w:spacing w:after="0" w:line="173" w:lineRule="exact"/>
              <w:rPr>
                <w:sz w:val="20"/>
                <w:szCs w:val="20"/>
                <w:color w:val="auto"/>
              </w:rPr>
            </w:pPr>
            <w:r>
              <w:rPr>
                <w:rFonts w:ascii="Times New Roman" w:cs="Times New Roman" w:eastAsia="Times New Roman" w:hAnsi="Times New Roman"/>
                <w:sz w:val="13"/>
                <w:szCs w:val="13"/>
                <w:b w:val="1"/>
                <w:bCs w:val="1"/>
                <w:color w:val="auto"/>
              </w:rPr>
              <w:t xml:space="preserve">Assets </w:t>
            </w:r>
            <w:r>
              <w:rPr>
                <w:rFonts w:ascii="Times New Roman" w:cs="Times New Roman" w:eastAsia="Times New Roman" w:hAnsi="Times New Roman"/>
                <w:sz w:val="19"/>
                <w:szCs w:val="19"/>
                <w:b w:val="1"/>
                <w:bCs w:val="1"/>
                <w:color w:val="auto"/>
                <w:vertAlign w:val="superscript"/>
              </w:rPr>
              <w:t>(1)</w:t>
            </w: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5"/>
              <w:spacing w:after="0" w:line="173" w:lineRule="exact"/>
              <w:rPr>
                <w:sz w:val="20"/>
                <w:szCs w:val="20"/>
                <w:color w:val="auto"/>
              </w:rPr>
            </w:pPr>
            <w:r>
              <w:rPr>
                <w:rFonts w:ascii="Times New Roman" w:cs="Times New Roman" w:eastAsia="Times New Roman" w:hAnsi="Times New Roman"/>
                <w:sz w:val="13"/>
                <w:szCs w:val="13"/>
                <w:b w:val="1"/>
                <w:bCs w:val="1"/>
                <w:color w:val="auto"/>
              </w:rPr>
              <w:t xml:space="preserve">Liabilities </w:t>
            </w:r>
            <w:r>
              <w:rPr>
                <w:rFonts w:ascii="Times New Roman" w:cs="Times New Roman" w:eastAsia="Times New Roman" w:hAnsi="Times New Roman"/>
                <w:sz w:val="19"/>
                <w:szCs w:val="19"/>
                <w:b w:val="1"/>
                <w:bCs w:val="1"/>
                <w:color w:val="auto"/>
                <w:vertAlign w:val="superscript"/>
              </w:rPr>
              <w:t>(2)</w:t>
            </w:r>
          </w:p>
        </w:tc>
        <w:tc>
          <w:tcPr>
            <w:tcW w:w="2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85"/>
              <w:spacing w:after="0" w:line="173" w:lineRule="exact"/>
              <w:rPr>
                <w:sz w:val="20"/>
                <w:szCs w:val="20"/>
                <w:color w:val="auto"/>
              </w:rPr>
            </w:pPr>
            <w:r>
              <w:rPr>
                <w:rFonts w:ascii="Times New Roman" w:cs="Times New Roman" w:eastAsia="Times New Roman" w:hAnsi="Times New Roman"/>
                <w:sz w:val="13"/>
                <w:szCs w:val="13"/>
                <w:b w:val="1"/>
                <w:bCs w:val="1"/>
                <w:color w:val="auto"/>
              </w:rPr>
              <w:t xml:space="preserve">Assets </w:t>
            </w:r>
            <w:r>
              <w:rPr>
                <w:rFonts w:ascii="Times New Roman" w:cs="Times New Roman" w:eastAsia="Times New Roman" w:hAnsi="Times New Roman"/>
                <w:sz w:val="19"/>
                <w:szCs w:val="19"/>
                <w:b w:val="1"/>
                <w:bCs w:val="1"/>
                <w:color w:val="auto"/>
                <w:vertAlign w:val="superscript"/>
              </w:rPr>
              <w:t>(1)</w:t>
            </w: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
              <w:spacing w:after="0" w:line="173" w:lineRule="exact"/>
              <w:rPr>
                <w:sz w:val="20"/>
                <w:szCs w:val="20"/>
                <w:color w:val="auto"/>
              </w:rPr>
            </w:pPr>
            <w:r>
              <w:rPr>
                <w:rFonts w:ascii="Times New Roman" w:cs="Times New Roman" w:eastAsia="Times New Roman" w:hAnsi="Times New Roman"/>
                <w:sz w:val="13"/>
                <w:szCs w:val="13"/>
                <w:b w:val="1"/>
                <w:bCs w:val="1"/>
                <w:color w:val="auto"/>
              </w:rPr>
              <w:t xml:space="preserve">Liabilities </w:t>
            </w:r>
            <w:r>
              <w:rPr>
                <w:rFonts w:ascii="Times New Roman" w:cs="Times New Roman" w:eastAsia="Times New Roman" w:hAnsi="Times New Roman"/>
                <w:sz w:val="19"/>
                <w:szCs w:val="19"/>
                <w:b w:val="1"/>
                <w:bCs w:val="1"/>
                <w:color w:val="auto"/>
                <w:vertAlign w:val="superscript"/>
              </w:rPr>
              <w:t>(2)</w:t>
            </w:r>
          </w:p>
        </w:tc>
      </w:tr>
      <w:tr>
        <w:trPr>
          <w:trHeight w:val="172"/>
        </w:trPr>
        <w:tc>
          <w:tcPr>
            <w:tcW w:w="2700" w:type="dxa"/>
            <w:vAlign w:val="bottom"/>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Cross-currency interest rate swaps</w:t>
            </w: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32,883</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75,597</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156,753</w:t>
            </w:r>
          </w:p>
        </w:tc>
      </w:tr>
      <w:tr>
        <w:trPr>
          <w:trHeight w:val="180"/>
        </w:trPr>
        <w:tc>
          <w:tcPr>
            <w:tcW w:w="2700" w:type="dxa"/>
            <w:vAlign w:val="bottom"/>
            <w:tcBorders>
              <w:bottom w:val="single" w:sz="8" w:color="CCEEFF"/>
            </w:tcBorders>
            <w:gridSpan w:val="2"/>
          </w:tcPr>
          <w:p>
            <w:pPr>
              <w:spacing w:after="0" w:line="180" w:lineRule="exact"/>
              <w:rPr>
                <w:sz w:val="20"/>
                <w:szCs w:val="20"/>
                <w:color w:val="auto"/>
              </w:rPr>
            </w:pPr>
            <w:r>
              <w:rPr>
                <w:rFonts w:ascii="Times New Roman" w:cs="Times New Roman" w:eastAsia="Times New Roman" w:hAnsi="Times New Roman"/>
                <w:sz w:val="16"/>
                <w:szCs w:val="16"/>
                <w:color w:val="auto"/>
              </w:rPr>
              <w:t>Interest rate swaps</w:t>
            </w:r>
          </w:p>
        </w:tc>
        <w:tc>
          <w:tcPr>
            <w:tcW w:w="5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6,130</w:t>
            </w:r>
          </w:p>
        </w:tc>
        <w:tc>
          <w:tcPr>
            <w:tcW w:w="2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11,253</w:t>
            </w:r>
          </w:p>
        </w:tc>
        <w:tc>
          <w:tcPr>
            <w:tcW w:w="2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8,538</w:t>
            </w: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72"/>
        </w:trPr>
        <w:tc>
          <w:tcPr>
            <w:tcW w:w="20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39,013</w:t>
            </w:r>
          </w:p>
        </w:tc>
        <w:tc>
          <w:tcPr>
            <w:tcW w:w="2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86,850</w:t>
            </w:r>
          </w:p>
        </w:tc>
        <w:tc>
          <w:tcPr>
            <w:tcW w:w="2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8,538</w:t>
            </w:r>
          </w:p>
        </w:tc>
        <w:tc>
          <w:tcPr>
            <w:tcW w:w="2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156,753</w:t>
            </w:r>
          </w:p>
        </w:tc>
      </w:tr>
      <w:tr>
        <w:trPr>
          <w:trHeight w:val="20"/>
        </w:trPr>
        <w:tc>
          <w:tcPr>
            <w:tcW w:w="2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72"/>
        </w:trPr>
        <w:tc>
          <w:tcPr>
            <w:tcW w:w="2080" w:type="dxa"/>
            <w:vAlign w:val="bottom"/>
            <w:tcBorders>
              <w:bottom w:val="single" w:sz="8" w:color="auto"/>
            </w:tcBorders>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r>
    </w:tbl>
    <w:p>
      <w:pPr>
        <w:spacing w:after="0" w:line="59" w:lineRule="exact"/>
        <w:rPr>
          <w:sz w:val="20"/>
          <w:szCs w:val="20"/>
          <w:color w:val="auto"/>
        </w:rPr>
      </w:pPr>
    </w:p>
    <w:p>
      <w:pPr>
        <w:ind w:left="600" w:hanging="282"/>
        <w:spacing w:after="0"/>
        <w:tabs>
          <w:tab w:leader="none" w:pos="60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presented in our consolidated balance sheets within Other assets.</w:t>
      </w:r>
    </w:p>
    <w:p>
      <w:pPr>
        <w:spacing w:after="0" w:line="14" w:lineRule="exact"/>
        <w:rPr>
          <w:rFonts w:ascii="Times New Roman" w:cs="Times New Roman" w:eastAsia="Times New Roman" w:hAnsi="Times New Roman"/>
          <w:sz w:val="16"/>
          <w:szCs w:val="16"/>
          <w:color w:val="auto"/>
        </w:rPr>
      </w:pPr>
    </w:p>
    <w:p>
      <w:pPr>
        <w:ind w:left="600" w:hanging="282"/>
        <w:spacing w:after="0"/>
        <w:tabs>
          <w:tab w:leader="none" w:pos="60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presented in our consolidated balance sheets within Accounts payable and other Accrued liabilities.</w:t>
      </w:r>
    </w:p>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Credit-Risk Related Contingent Features</w:t>
      </w:r>
    </w:p>
    <w:p>
      <w:pPr>
        <w:spacing w:after="0" w:line="178" w:lineRule="exact"/>
        <w:rPr>
          <w:sz w:val="20"/>
          <w:szCs w:val="20"/>
          <w:color w:val="auto"/>
        </w:rPr>
      </w:pPr>
    </w:p>
    <w:p>
      <w:pPr>
        <w:ind w:left="320" w:right="340"/>
        <w:spacing w:after="0" w:line="247" w:lineRule="auto"/>
        <w:rPr>
          <w:sz w:val="20"/>
          <w:szCs w:val="20"/>
          <w:color w:val="auto"/>
        </w:rPr>
      </w:pPr>
      <w:r>
        <w:rPr>
          <w:rFonts w:ascii="Times New Roman" w:cs="Times New Roman" w:eastAsia="Times New Roman" w:hAnsi="Times New Roman"/>
          <w:sz w:val="16"/>
          <w:szCs w:val="16"/>
          <w:color w:val="auto"/>
        </w:rPr>
        <w:t>Upon entering into derivatives, we have agreements with each of our derivative counterparties that contain a provision where we could be declared in default on our derivative obligations if repayment of the underlying indebtedness is accelerated by the lender due to our default on the indebtedness.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57" w:name="page158"/>
    <w:bookmarkEnd w:id="157"/>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 and 2023</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18. Fair Value</w:t>
      </w:r>
    </w:p>
    <w:p>
      <w:pPr>
        <w:spacing w:after="0" w:line="190" w:lineRule="exact"/>
        <w:rPr>
          <w:sz w:val="20"/>
          <w:szCs w:val="20"/>
          <w:color w:val="auto"/>
        </w:rPr>
      </w:pPr>
    </w:p>
    <w:p>
      <w:pPr>
        <w:ind w:left="320" w:right="440"/>
        <w:spacing w:after="0" w:line="243" w:lineRule="auto"/>
        <w:rPr>
          <w:sz w:val="20"/>
          <w:szCs w:val="20"/>
          <w:color w:val="auto"/>
        </w:rPr>
      </w:pPr>
      <w:r>
        <w:rPr>
          <w:rFonts w:ascii="Times New Roman" w:cs="Times New Roman" w:eastAsia="Times New Roman" w:hAnsi="Times New Roman"/>
          <w:sz w:val="16"/>
          <w:szCs w:val="16"/>
          <w:color w:val="auto"/>
        </w:rPr>
        <w:t>We disclose fair value information for all financial instruments, whether or not recognized in the consolidated balance sheets, for which it is practicable to estimate fair value. Considerable judgment is necessary to interpret market data in order to estimate the fair value of financial instruments. The use of different market assumptions or estimation methods may have a material effect on the estimated fair value amounts.</w:t>
      </w:r>
    </w:p>
    <w:p>
      <w:pPr>
        <w:spacing w:after="0" w:line="155" w:lineRule="exact"/>
        <w:rPr>
          <w:sz w:val="20"/>
          <w:szCs w:val="20"/>
          <w:color w:val="auto"/>
        </w:rPr>
      </w:pPr>
    </w:p>
    <w:p>
      <w:pPr>
        <w:ind w:left="320" w:right="320"/>
        <w:spacing w:after="0" w:line="238" w:lineRule="auto"/>
        <w:rPr>
          <w:sz w:val="20"/>
          <w:szCs w:val="20"/>
          <w:color w:val="auto"/>
        </w:rPr>
      </w:pPr>
      <w:r>
        <w:rPr>
          <w:rFonts w:ascii="Times New Roman" w:cs="Times New Roman" w:eastAsia="Times New Roman" w:hAnsi="Times New Roman"/>
          <w:sz w:val="16"/>
          <w:szCs w:val="16"/>
          <w:color w:val="auto"/>
        </w:rPr>
        <w:t>The carrying amounts for cash and cash equivalents, restricted cash, accounts and other receivables, accounts payable and other accrued liabilities, accrued dividends and distributions, security deposits and prepaid rents approximate fair value because of the short -term nature of these instruments. The carrying value of our Global Revolving Credit Facilities, Euro Term Loan Facilities and USD Term Loan Facility approximates estimated fair value, because these liabilities have variable interest rates and our credit ratings have remained stable. Differences between the carrying value and fair value of our unsecured senior notes and secured and other debt are caused by differences in interest rates or borrowing spreads that were available to us on December 31, 2024 and 2023 as compared to those in effect when the debt was issued or assumed. As described in Note 17. "Derivative Instruments", outstanding derivative contracts are recorded at fair value.</w:t>
      </w:r>
    </w:p>
    <w:p>
      <w:pPr>
        <w:spacing w:after="0" w:line="161" w:lineRule="exact"/>
        <w:rPr>
          <w:sz w:val="20"/>
          <w:szCs w:val="20"/>
          <w:color w:val="auto"/>
        </w:rPr>
      </w:pPr>
    </w:p>
    <w:p>
      <w:pPr>
        <w:ind w:left="320" w:right="520"/>
        <w:spacing w:after="0" w:line="243" w:lineRule="auto"/>
        <w:rPr>
          <w:sz w:val="20"/>
          <w:szCs w:val="20"/>
          <w:color w:val="auto"/>
        </w:rPr>
      </w:pPr>
      <w:r>
        <w:rPr>
          <w:rFonts w:ascii="Times New Roman" w:cs="Times New Roman" w:eastAsia="Times New Roman" w:hAnsi="Times New Roman"/>
          <w:sz w:val="16"/>
          <w:szCs w:val="16"/>
          <w:color w:val="auto"/>
        </w:rPr>
        <w:t>We calculate the fair value of our secured and other debt and unsecured senior notes based on currently available market rates assuming the loans are outstanding through maturity and considering the collateral and other loan terms. In determining the current market rate for fixed rate debt, a market spread is added to the quoted yields on federal government treasury securities with similar maturity dates to our debt.</w:t>
      </w:r>
    </w:p>
    <w:p>
      <w:pPr>
        <w:spacing w:after="0" w:line="155" w:lineRule="exact"/>
        <w:rPr>
          <w:sz w:val="20"/>
          <w:szCs w:val="20"/>
          <w:color w:val="auto"/>
        </w:rPr>
      </w:pPr>
    </w:p>
    <w:p>
      <w:pPr>
        <w:ind w:left="320" w:right="400"/>
        <w:spacing w:after="0" w:line="331" w:lineRule="auto"/>
        <w:rPr>
          <w:sz w:val="20"/>
          <w:szCs w:val="20"/>
          <w:color w:val="auto"/>
        </w:rPr>
      </w:pPr>
      <w:r>
        <w:rPr>
          <w:rFonts w:ascii="Times New Roman" w:cs="Times New Roman" w:eastAsia="Times New Roman" w:hAnsi="Times New Roman"/>
          <w:sz w:val="14"/>
          <w:szCs w:val="14"/>
          <w:color w:val="auto"/>
        </w:rPr>
        <w:t>The aggregate estimated fair value and carrying value of our Global Revolving Credit Facilities, Euro Term Loan Facilities and USD Term Loan Facility, unsecured senior notes and secured and other debt as of the respective periods is shown below (in thousands):</w:t>
      </w:r>
    </w:p>
    <w:p>
      <w:pPr>
        <w:spacing w:after="0" w:line="107" w:lineRule="exact"/>
        <w:rPr>
          <w:sz w:val="20"/>
          <w:szCs w:val="20"/>
          <w:color w:val="auto"/>
        </w:rPr>
      </w:pPr>
    </w:p>
    <w:tbl>
      <w:tblPr>
        <w:tblLayout w:type="fixed"/>
        <w:tblInd w:w="320" w:type="dxa"/>
        <w:tblCellMar>
          <w:top w:w="0" w:type="dxa"/>
          <w:left w:w="0" w:type="dxa"/>
          <w:bottom w:w="0" w:type="dxa"/>
          <w:right w:w="0" w:type="dxa"/>
        </w:tblCellMar>
      </w:tblPr>
      <w:tr>
        <w:trPr>
          <w:trHeight w:val="170"/>
        </w:trPr>
        <w:tc>
          <w:tcPr>
            <w:tcW w:w="1440" w:type="dxa"/>
            <w:vAlign w:val="bottom"/>
          </w:tcPr>
          <w:p>
            <w:pPr>
              <w:spacing w:after="0"/>
              <w:rPr>
                <w:sz w:val="14"/>
                <w:szCs w:val="14"/>
                <w:color w:val="auto"/>
              </w:rPr>
            </w:pPr>
          </w:p>
        </w:tc>
        <w:tc>
          <w:tcPr>
            <w:tcW w:w="160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Categorization</w:t>
            </w:r>
          </w:p>
        </w:tc>
        <w:tc>
          <w:tcPr>
            <w:tcW w:w="1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3"/>
                <w:szCs w:val="13"/>
                <w:b w:val="1"/>
                <w:bCs w:val="1"/>
                <w:color w:val="auto"/>
              </w:rPr>
              <w:t>As of December 31, 2024</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3"/>
                <w:szCs w:val="13"/>
                <w:b w:val="1"/>
                <w:bCs w:val="1"/>
                <w:color w:val="auto"/>
              </w:rPr>
              <w:t>As of December 31, 2023</w:t>
            </w:r>
          </w:p>
        </w:tc>
        <w:tc>
          <w:tcPr>
            <w:tcW w:w="0" w:type="dxa"/>
            <w:vAlign w:val="bottom"/>
          </w:tcPr>
          <w:p>
            <w:pPr>
              <w:spacing w:after="0"/>
              <w:rPr>
                <w:sz w:val="1"/>
                <w:szCs w:val="1"/>
                <w:color w:val="auto"/>
              </w:rPr>
            </w:pPr>
          </w:p>
        </w:tc>
      </w:tr>
      <w:tr>
        <w:trPr>
          <w:trHeight w:val="134"/>
        </w:trPr>
        <w:tc>
          <w:tcPr>
            <w:tcW w:w="1440" w:type="dxa"/>
            <w:vAlign w:val="bottom"/>
          </w:tcPr>
          <w:p>
            <w:pPr>
              <w:spacing w:after="0"/>
              <w:rPr>
                <w:sz w:val="11"/>
                <w:szCs w:val="11"/>
                <w:color w:val="auto"/>
              </w:rPr>
            </w:pPr>
          </w:p>
        </w:tc>
        <w:tc>
          <w:tcPr>
            <w:tcW w:w="1600" w:type="dxa"/>
            <w:vAlign w:val="bottom"/>
            <w:gridSpan w:val="3"/>
          </w:tcPr>
          <w:p>
            <w:pPr>
              <w:jc w:val="center"/>
              <w:ind w:right="200"/>
              <w:spacing w:after="0" w:line="134" w:lineRule="exact"/>
              <w:rPr>
                <w:sz w:val="20"/>
                <w:szCs w:val="20"/>
                <w:color w:val="auto"/>
              </w:rPr>
            </w:pPr>
            <w:r>
              <w:rPr>
                <w:rFonts w:ascii="Times New Roman" w:cs="Times New Roman" w:eastAsia="Times New Roman" w:hAnsi="Times New Roman"/>
                <w:sz w:val="13"/>
                <w:szCs w:val="13"/>
                <w:b w:val="1"/>
                <w:bCs w:val="1"/>
                <w:color w:val="auto"/>
              </w:rPr>
              <w:t>under the fair value</w:t>
            </w:r>
          </w:p>
        </w:tc>
        <w:tc>
          <w:tcPr>
            <w:tcW w:w="120" w:type="dxa"/>
            <w:vAlign w:val="bottom"/>
          </w:tcPr>
          <w:p>
            <w:pPr>
              <w:spacing w:after="0"/>
              <w:rPr>
                <w:sz w:val="11"/>
                <w:szCs w:val="11"/>
                <w:color w:val="auto"/>
              </w:rPr>
            </w:pPr>
          </w:p>
        </w:tc>
        <w:tc>
          <w:tcPr>
            <w:tcW w:w="1060" w:type="dxa"/>
            <w:vAlign w:val="bottom"/>
          </w:tcPr>
          <w:p>
            <w:pPr>
              <w:jc w:val="right"/>
              <w:ind w:right="90"/>
              <w:spacing w:after="0" w:line="134" w:lineRule="exact"/>
              <w:rPr>
                <w:sz w:val="20"/>
                <w:szCs w:val="20"/>
                <w:color w:val="auto"/>
              </w:rPr>
            </w:pPr>
            <w:r>
              <w:rPr>
                <w:rFonts w:ascii="Times New Roman" w:cs="Times New Roman" w:eastAsia="Times New Roman" w:hAnsi="Times New Roman"/>
                <w:sz w:val="13"/>
                <w:szCs w:val="13"/>
                <w:b w:val="1"/>
                <w:bCs w:val="1"/>
                <w:color w:val="auto"/>
              </w:rPr>
              <w:t>Estimated Fair</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right"/>
              <w:ind w:right="290"/>
              <w:spacing w:after="0" w:line="134" w:lineRule="exact"/>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right"/>
              <w:ind w:right="110"/>
              <w:spacing w:after="0" w:line="134" w:lineRule="exact"/>
              <w:rPr>
                <w:sz w:val="20"/>
                <w:szCs w:val="20"/>
                <w:color w:val="auto"/>
              </w:rPr>
            </w:pPr>
            <w:r>
              <w:rPr>
                <w:rFonts w:ascii="Times New Roman" w:cs="Times New Roman" w:eastAsia="Times New Roman" w:hAnsi="Times New Roman"/>
                <w:sz w:val="13"/>
                <w:szCs w:val="13"/>
                <w:b w:val="1"/>
                <w:bCs w:val="1"/>
                <w:color w:val="auto"/>
              </w:rPr>
              <w:t>Estimated Fair</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jc w:val="right"/>
              <w:ind w:right="310"/>
              <w:spacing w:after="0" w:line="134" w:lineRule="exact"/>
              <w:rPr>
                <w:sz w:val="20"/>
                <w:szCs w:val="20"/>
                <w:color w:val="auto"/>
              </w:rPr>
            </w:pPr>
            <w:r>
              <w:rPr>
                <w:rFonts w:ascii="Times New Roman" w:cs="Times New Roman" w:eastAsia="Times New Roman" w:hAnsi="Times New Roman"/>
                <w:sz w:val="13"/>
                <w:szCs w:val="13"/>
                <w:b w:val="1"/>
                <w:bCs w:val="1"/>
                <w:color w:val="auto"/>
              </w:rPr>
              <w:t>Amount</w:t>
            </w:r>
          </w:p>
        </w:tc>
        <w:tc>
          <w:tcPr>
            <w:tcW w:w="0" w:type="dxa"/>
            <w:vAlign w:val="bottom"/>
          </w:tcPr>
          <w:p>
            <w:pPr>
              <w:spacing w:after="0"/>
              <w:rPr>
                <w:sz w:val="1"/>
                <w:szCs w:val="1"/>
                <w:color w:val="auto"/>
              </w:rPr>
            </w:pPr>
          </w:p>
        </w:tc>
      </w:tr>
      <w:tr>
        <w:trPr>
          <w:trHeight w:val="170"/>
        </w:trPr>
        <w:tc>
          <w:tcPr>
            <w:tcW w:w="1440" w:type="dxa"/>
            <w:vAlign w:val="bottom"/>
          </w:tcPr>
          <w:p>
            <w:pPr>
              <w:spacing w:after="0"/>
              <w:rPr>
                <w:sz w:val="14"/>
                <w:szCs w:val="14"/>
                <w:color w:val="auto"/>
              </w:rPr>
            </w:pPr>
          </w:p>
        </w:tc>
        <w:tc>
          <w:tcPr>
            <w:tcW w:w="160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hierarchy</w:t>
            </w:r>
          </w:p>
        </w:tc>
        <w:tc>
          <w:tcPr>
            <w:tcW w:w="120" w:type="dxa"/>
            <w:vAlign w:val="bottom"/>
          </w:tcPr>
          <w:p>
            <w:pPr>
              <w:spacing w:after="0"/>
              <w:rPr>
                <w:sz w:val="14"/>
                <w:szCs w:val="14"/>
                <w:color w:val="auto"/>
              </w:rPr>
            </w:pPr>
          </w:p>
        </w:tc>
        <w:tc>
          <w:tcPr>
            <w:tcW w:w="1060" w:type="dxa"/>
            <w:vAlign w:val="bottom"/>
          </w:tcPr>
          <w:p>
            <w:pPr>
              <w:jc w:val="right"/>
              <w:ind w:right="35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37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0" w:type="dxa"/>
            <w:vAlign w:val="bottom"/>
          </w:tcPr>
          <w:p>
            <w:pPr>
              <w:spacing w:after="0"/>
              <w:rPr>
                <w:sz w:val="1"/>
                <w:szCs w:val="1"/>
                <w:color w:val="auto"/>
              </w:rPr>
            </w:pPr>
          </w:p>
        </w:tc>
      </w:tr>
      <w:tr>
        <w:trPr>
          <w:trHeight w:val="136"/>
        </w:trPr>
        <w:tc>
          <w:tcPr>
            <w:tcW w:w="1440" w:type="dxa"/>
            <w:vAlign w:val="bottom"/>
            <w:tcBorders>
              <w:top w:val="single" w:sz="8" w:color="CCEEFF"/>
            </w:tcBorders>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Global Revolving</w:t>
            </w:r>
          </w:p>
        </w:tc>
        <w:tc>
          <w:tcPr>
            <w:tcW w:w="6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44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 xml:space="preserve">Credit Facilities </w:t>
            </w:r>
            <w:r>
              <w:rPr>
                <w:rFonts w:ascii="Times New Roman" w:cs="Times New Roman" w:eastAsia="Times New Roman" w:hAnsi="Times New Roman"/>
                <w:sz w:val="20"/>
                <w:szCs w:val="20"/>
                <w:color w:val="auto"/>
                <w:vertAlign w:val="superscript"/>
              </w:rPr>
              <w:t>(1)</w:t>
            </w:r>
          </w:p>
        </w:tc>
        <w:tc>
          <w:tcPr>
            <w:tcW w:w="160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4"/>
                <w:szCs w:val="14"/>
                <w:color w:val="auto"/>
                <w:w w:val="98"/>
              </w:rPr>
              <w:t>Level 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1,637,922</w:t>
            </w:r>
          </w:p>
        </w:tc>
        <w:tc>
          <w:tcPr>
            <w:tcW w:w="34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1,637,922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1,825,228</w:t>
            </w:r>
          </w:p>
        </w:tc>
        <w:tc>
          <w:tcPr>
            <w:tcW w:w="3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1,825,228</w:t>
            </w:r>
          </w:p>
        </w:tc>
        <w:tc>
          <w:tcPr>
            <w:tcW w:w="0" w:type="dxa"/>
            <w:vAlign w:val="bottom"/>
          </w:tcPr>
          <w:p>
            <w:pPr>
              <w:spacing w:after="0"/>
              <w:rPr>
                <w:sz w:val="1"/>
                <w:szCs w:val="1"/>
                <w:color w:val="auto"/>
              </w:rPr>
            </w:pPr>
          </w:p>
        </w:tc>
      </w:tr>
      <w:tr>
        <w:trPr>
          <w:trHeight w:val="156"/>
        </w:trPr>
        <w:tc>
          <w:tcPr>
            <w:tcW w:w="144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Unsecured term loans</w:t>
            </w:r>
          </w:p>
        </w:tc>
        <w:tc>
          <w:tcPr>
            <w:tcW w:w="160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color w:val="auto"/>
                <w:w w:val="98"/>
              </w:rPr>
              <w:t>Level 2</w:t>
            </w:r>
          </w:p>
        </w:tc>
        <w:tc>
          <w:tcPr>
            <w:tcW w:w="12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388,275</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388,275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1,567,925</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1,567,925</w:t>
            </w:r>
          </w:p>
        </w:tc>
        <w:tc>
          <w:tcPr>
            <w:tcW w:w="0" w:type="dxa"/>
            <w:vAlign w:val="bottom"/>
          </w:tcPr>
          <w:p>
            <w:pPr>
              <w:spacing w:after="0"/>
              <w:rPr>
                <w:sz w:val="1"/>
                <w:szCs w:val="1"/>
                <w:color w:val="auto"/>
              </w:rPr>
            </w:pPr>
          </w:p>
        </w:tc>
      </w:tr>
      <w:tr>
        <w:trPr>
          <w:trHeight w:val="120"/>
        </w:trPr>
        <w:tc>
          <w:tcPr>
            <w:tcW w:w="1440" w:type="dxa"/>
            <w:vAlign w:val="bottom"/>
          </w:tcPr>
          <w:p>
            <w:pPr>
              <w:spacing w:after="0" w:line="121" w:lineRule="exact"/>
              <w:rPr>
                <w:sz w:val="20"/>
                <w:szCs w:val="20"/>
                <w:color w:val="auto"/>
              </w:rPr>
            </w:pPr>
            <w:r>
              <w:rPr>
                <w:rFonts w:ascii="Times New Roman" w:cs="Times New Roman" w:eastAsia="Times New Roman" w:hAnsi="Times New Roman"/>
                <w:sz w:val="11"/>
                <w:szCs w:val="11"/>
                <w:color w:val="auto"/>
              </w:rPr>
              <w:t>(1)</w:t>
            </w:r>
          </w:p>
        </w:tc>
        <w:tc>
          <w:tcPr>
            <w:tcW w:w="160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144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Unsecured senior</w:t>
            </w:r>
          </w:p>
        </w:tc>
        <w:tc>
          <w:tcPr>
            <w:tcW w:w="6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44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 xml:space="preserve">notes </w:t>
            </w:r>
            <w:r>
              <w:rPr>
                <w:rFonts w:ascii="Times New Roman" w:cs="Times New Roman" w:eastAsia="Times New Roman" w:hAnsi="Times New Roman"/>
                <w:sz w:val="20"/>
                <w:szCs w:val="20"/>
                <w:color w:val="auto"/>
                <w:vertAlign w:val="superscript"/>
              </w:rPr>
              <w:t>(2)</w:t>
            </w:r>
          </w:p>
        </w:tc>
        <w:tc>
          <w:tcPr>
            <w:tcW w:w="160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4"/>
                <w:szCs w:val="14"/>
                <w:color w:val="auto"/>
                <w:w w:val="98"/>
              </w:rPr>
              <w:t>Level 2</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13,370,897</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14,059,415</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12,417,619</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13,507,427</w:t>
            </w:r>
          </w:p>
        </w:tc>
        <w:tc>
          <w:tcPr>
            <w:tcW w:w="0" w:type="dxa"/>
            <w:vAlign w:val="bottom"/>
          </w:tcPr>
          <w:p>
            <w:pPr>
              <w:spacing w:after="0"/>
              <w:rPr>
                <w:sz w:val="1"/>
                <w:szCs w:val="1"/>
                <w:color w:val="auto"/>
              </w:rPr>
            </w:pPr>
          </w:p>
        </w:tc>
      </w:tr>
      <w:tr>
        <w:trPr>
          <w:trHeight w:val="156"/>
        </w:trPr>
        <w:tc>
          <w:tcPr>
            <w:tcW w:w="144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Secured and other</w:t>
            </w: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440" w:type="dxa"/>
            <w:vAlign w:val="bottom"/>
            <w:tcBorders>
              <w:bottom w:val="single" w:sz="8" w:color="CCEEFF"/>
            </w:tcBorders>
          </w:tcPr>
          <w:p>
            <w:pPr>
              <w:spacing w:after="0" w:line="181" w:lineRule="exact"/>
              <w:rPr>
                <w:sz w:val="20"/>
                <w:szCs w:val="20"/>
                <w:color w:val="auto"/>
              </w:rPr>
            </w:pPr>
            <w:r>
              <w:rPr>
                <w:rFonts w:ascii="Times New Roman" w:cs="Times New Roman" w:eastAsia="Times New Roman" w:hAnsi="Times New Roman"/>
                <w:sz w:val="14"/>
                <w:szCs w:val="14"/>
                <w:color w:val="auto"/>
              </w:rPr>
              <w:t xml:space="preserve">debt </w:t>
            </w:r>
            <w:r>
              <w:rPr>
                <w:rFonts w:ascii="Times New Roman" w:cs="Times New Roman" w:eastAsia="Times New Roman" w:hAnsi="Times New Roman"/>
                <w:sz w:val="20"/>
                <w:szCs w:val="20"/>
                <w:color w:val="auto"/>
                <w:vertAlign w:val="superscript"/>
              </w:rPr>
              <w:t>(2)</w:t>
            </w:r>
          </w:p>
        </w:tc>
        <w:tc>
          <w:tcPr>
            <w:tcW w:w="1600" w:type="dxa"/>
            <w:vAlign w:val="bottom"/>
            <w:tcBorders>
              <w:bottom w:val="single" w:sz="8" w:color="CCEEFF"/>
            </w:tcBorders>
            <w:gridSpan w:val="3"/>
          </w:tcPr>
          <w:p>
            <w:pPr>
              <w:jc w:val="center"/>
              <w:ind w:right="180"/>
              <w:spacing w:after="0"/>
              <w:rPr>
                <w:sz w:val="20"/>
                <w:szCs w:val="20"/>
                <w:color w:val="auto"/>
              </w:rPr>
            </w:pPr>
            <w:r>
              <w:rPr>
                <w:rFonts w:ascii="Times New Roman" w:cs="Times New Roman" w:eastAsia="Times New Roman" w:hAnsi="Times New Roman"/>
                <w:sz w:val="14"/>
                <w:szCs w:val="14"/>
                <w:color w:val="auto"/>
                <w:w w:val="98"/>
              </w:rPr>
              <w:t>Level 2</w:t>
            </w: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752,732</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761,263</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625,473</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637,072</w:t>
            </w:r>
          </w:p>
        </w:tc>
        <w:tc>
          <w:tcPr>
            <w:tcW w:w="0" w:type="dxa"/>
            <w:vAlign w:val="bottom"/>
          </w:tcPr>
          <w:p>
            <w:pPr>
              <w:spacing w:after="0"/>
              <w:rPr>
                <w:sz w:val="1"/>
                <w:szCs w:val="1"/>
                <w:color w:val="auto"/>
              </w:rPr>
            </w:pPr>
          </w:p>
        </w:tc>
      </w:tr>
      <w:tr>
        <w:trPr>
          <w:trHeight w:val="160"/>
        </w:trPr>
        <w:tc>
          <w:tcPr>
            <w:tcW w:w="14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16,149,826</w:t>
            </w:r>
          </w:p>
        </w:tc>
        <w:tc>
          <w:tcPr>
            <w:tcW w:w="2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16,846,875</w:t>
            </w:r>
          </w:p>
        </w:tc>
        <w:tc>
          <w:tcPr>
            <w:tcW w:w="1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16,436,245</w:t>
            </w:r>
          </w:p>
        </w:tc>
        <w:tc>
          <w:tcPr>
            <w:tcW w:w="1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17,537,652</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14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7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600" w:right="380" w:hanging="282"/>
        <w:spacing w:after="0" w:line="246" w:lineRule="auto"/>
        <w:tabs>
          <w:tab w:leader="none" w:pos="60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carrying value of our Global Revolving Credit Facilities and unsecured term loans approximates estimated fair value, due to the variability of interest rates and the stability of our credit ratings.</w:t>
      </w:r>
    </w:p>
    <w:p>
      <w:pPr>
        <w:ind w:left="600" w:right="660" w:hanging="282"/>
        <w:spacing w:after="0" w:line="238" w:lineRule="auto"/>
        <w:tabs>
          <w:tab w:leader="none" w:pos="60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Valuations for our unsecured senior notes and secured and other debt are determined based on the expected future payments discounted at risk-adjusted rates and quoted market prices.</w:t>
      </w:r>
    </w:p>
    <w:p>
      <w:pPr>
        <w:spacing w:after="0" w:line="157" w:lineRule="exact"/>
        <w:rPr>
          <w:sz w:val="20"/>
          <w:szCs w:val="20"/>
          <w:color w:val="auto"/>
        </w:rPr>
      </w:pPr>
    </w:p>
    <w:p>
      <w:pPr>
        <w:ind w:left="320" w:right="400"/>
        <w:spacing w:after="0" w:line="243" w:lineRule="auto"/>
        <w:rPr>
          <w:sz w:val="20"/>
          <w:szCs w:val="20"/>
          <w:color w:val="auto"/>
        </w:rPr>
      </w:pPr>
      <w:r>
        <w:rPr>
          <w:rFonts w:ascii="Times New Roman" w:cs="Times New Roman" w:eastAsia="Times New Roman" w:hAnsi="Times New Roman"/>
          <w:sz w:val="16"/>
          <w:szCs w:val="16"/>
          <w:color w:val="auto"/>
        </w:rPr>
        <w:t>During the year ended December 31, 2024, we recorded animpairment charge of $191.2 million related to Investments in properties, net, on certain non-core properties in secondary U.S. markets. Management estimated the fair values of these investments principally based on sales of similar properties and ongoing negotiations with third parties. The significant inputs and assumptions used in the estimate of fair value included comparable sales values ranging from $69</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58" w:name="page159"/>
    <w:bookmarkEnd w:id="158"/>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 and 2023</w:t>
      </w:r>
    </w:p>
    <w:p>
      <w:pPr>
        <w:spacing w:after="0" w:line="202" w:lineRule="exact"/>
        <w:rPr>
          <w:sz w:val="20"/>
          <w:szCs w:val="20"/>
          <w:color w:val="auto"/>
        </w:rPr>
      </w:pPr>
    </w:p>
    <w:p>
      <w:pPr>
        <w:ind w:left="320" w:right="380"/>
        <w:spacing w:after="0" w:line="259" w:lineRule="auto"/>
        <w:rPr>
          <w:sz w:val="20"/>
          <w:szCs w:val="20"/>
          <w:color w:val="auto"/>
        </w:rPr>
      </w:pPr>
      <w:r>
        <w:rPr>
          <w:rFonts w:ascii="Times New Roman" w:cs="Times New Roman" w:eastAsia="Times New Roman" w:hAnsi="Times New Roman"/>
          <w:sz w:val="16"/>
          <w:szCs w:val="16"/>
          <w:color w:val="auto"/>
        </w:rPr>
        <w:t>per square foot to $151 per square foot. These measurements were classified within Level 3 of the fair value hierarchy as they are not observable.</w:t>
      </w:r>
    </w:p>
    <w:p>
      <w:pPr>
        <w:spacing w:after="0" w:line="1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19. Commitments and Contingencies</w:t>
      </w:r>
    </w:p>
    <w:p>
      <w:pPr>
        <w:spacing w:after="0" w:line="188" w:lineRule="exact"/>
        <w:rPr>
          <w:sz w:val="20"/>
          <w:szCs w:val="20"/>
          <w:color w:val="auto"/>
        </w:rPr>
      </w:pPr>
    </w:p>
    <w:p>
      <w:pPr>
        <w:ind w:left="320" w:right="1580"/>
        <w:spacing w:after="0" w:line="241" w:lineRule="auto"/>
        <w:rPr>
          <w:sz w:val="20"/>
          <w:szCs w:val="20"/>
          <w:color w:val="auto"/>
        </w:rPr>
      </w:pPr>
      <w:r>
        <w:rPr>
          <w:rFonts w:ascii="Times New Roman" w:cs="Times New Roman" w:eastAsia="Times New Roman" w:hAnsi="Times New Roman"/>
          <w:sz w:val="16"/>
          <w:szCs w:val="16"/>
          <w:i w:val="1"/>
          <w:iCs w:val="1"/>
          <w:color w:val="auto"/>
        </w:rPr>
        <w:t xml:space="preserve">Construction Commitments </w:t>
      </w:r>
      <w:r>
        <w:rPr>
          <w:rFonts w:ascii="Times New Roman" w:cs="Times New Roman" w:eastAsia="Times New Roman" w:hAnsi="Times New Roman"/>
          <w:sz w:val="16"/>
          <w:szCs w:val="16"/>
          <w:color w:val="auto"/>
        </w:rPr>
        <w:t>– Our properties require periodic investments of capital for tenant- related capital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expenditures and for general capital improvements and from time to time in the normal course of our business, we enter into various construction contracts with third parties that may obligate us to make payments. At December 31, 2024, we had open commitments, including amounts reimbursable of approximately $102.5 million, related to construction contracts of approximately $2.0 billion.</w:t>
      </w:r>
    </w:p>
    <w:p>
      <w:pPr>
        <w:spacing w:after="0" w:line="155" w:lineRule="exact"/>
        <w:rPr>
          <w:sz w:val="20"/>
          <w:szCs w:val="20"/>
          <w:color w:val="auto"/>
        </w:rPr>
      </w:pPr>
    </w:p>
    <w:p>
      <w:pPr>
        <w:ind w:left="320" w:right="540"/>
        <w:spacing w:after="0" w:line="302" w:lineRule="auto"/>
        <w:rPr>
          <w:sz w:val="20"/>
          <w:szCs w:val="20"/>
          <w:color w:val="auto"/>
        </w:rPr>
      </w:pPr>
      <w:r>
        <w:rPr>
          <w:rFonts w:ascii="Times New Roman" w:cs="Times New Roman" w:eastAsia="Times New Roman" w:hAnsi="Times New Roman"/>
          <w:sz w:val="14"/>
          <w:szCs w:val="14"/>
          <w:i w:val="1"/>
          <w:iCs w:val="1"/>
          <w:color w:val="auto"/>
        </w:rPr>
        <w:t xml:space="preserve">Legal Proceedings </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Although the Company is involved in legal proceedings arising in the ordinary course of business, as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December 31, 2024, the Company is not currently a party to any legal proceedings nor, to its knowledge, is any legal proceeding threatened against it that it believes would have a material adverse effect on its financial position, results of operations or liquidity</w:t>
      </w:r>
      <w:r>
        <w:rPr>
          <w:rFonts w:ascii="Times New Roman" w:cs="Times New Roman" w:eastAsia="Times New Roman" w:hAnsi="Times New Roman"/>
          <w:sz w:val="14"/>
          <w:szCs w:val="14"/>
          <w:i w:val="1"/>
          <w:iCs w:val="1"/>
          <w:color w:val="auto"/>
        </w:rPr>
        <w:t>.</w:t>
      </w:r>
    </w:p>
    <w:p>
      <w:pPr>
        <w:spacing w:after="0" w:line="128" w:lineRule="exact"/>
        <w:rPr>
          <w:sz w:val="20"/>
          <w:szCs w:val="20"/>
          <w:color w:val="auto"/>
        </w:rPr>
      </w:pPr>
    </w:p>
    <w:p>
      <w:pPr>
        <w:ind w:left="320" w:right="300"/>
        <w:spacing w:after="0" w:line="238" w:lineRule="auto"/>
        <w:rPr>
          <w:sz w:val="20"/>
          <w:szCs w:val="20"/>
          <w:color w:val="auto"/>
        </w:rPr>
      </w:pPr>
      <w:r>
        <w:rPr>
          <w:rFonts w:ascii="Times New Roman" w:cs="Times New Roman" w:eastAsia="Times New Roman" w:hAnsi="Times New Roman"/>
          <w:sz w:val="16"/>
          <w:szCs w:val="16"/>
          <w:color w:val="auto"/>
        </w:rPr>
        <w:t>As we disclosed in our Quarterly Report on Form 10-Q filed on November 9, 2023, the Division of Enforcement of the U.S. Securities and Exchange Commission (SEC) is conducting an investigation into the adequacy of our disclosures of cybersecurity risks and our related disclosure controls and procedures. We are cooperating with the SEC and are not aware of any cybersecurity issue or event that caused the Staff to open this matter. Responding to an investigation of this type can be costly and time-consuming. While we are unable to predict the likely outcome of this matter or the potential cost or exposure or duration of the process, based on the information we currently possess, we do not expect the total potential cost to be material to our financial condition. If the SEC believes that violations occurred, it could seek remedies including, but not limited to, civil monetary penalties and injunctive relief, and/or file litigation against the Company.</w:t>
      </w:r>
    </w:p>
    <w:p>
      <w:pPr>
        <w:spacing w:after="0" w:line="171" w:lineRule="exact"/>
        <w:rPr>
          <w:sz w:val="20"/>
          <w:szCs w:val="20"/>
          <w:color w:val="auto"/>
        </w:rPr>
      </w:pPr>
    </w:p>
    <w:p>
      <w:pPr>
        <w:ind w:left="320" w:right="340"/>
        <w:spacing w:after="0" w:line="238" w:lineRule="auto"/>
        <w:rPr>
          <w:sz w:val="20"/>
          <w:szCs w:val="20"/>
          <w:color w:val="auto"/>
        </w:rPr>
      </w:pPr>
      <w:r>
        <w:rPr>
          <w:rFonts w:ascii="Times New Roman" w:cs="Times New Roman" w:eastAsia="Times New Roman" w:hAnsi="Times New Roman"/>
          <w:sz w:val="16"/>
          <w:szCs w:val="16"/>
          <w:i w:val="1"/>
          <w:iCs w:val="1"/>
          <w:color w:val="auto"/>
        </w:rPr>
        <w:t xml:space="preserve">Insurance – </w:t>
      </w:r>
      <w:r>
        <w:rPr>
          <w:rFonts w:ascii="Times New Roman" w:cs="Times New Roman" w:eastAsia="Times New Roman" w:hAnsi="Times New Roman"/>
          <w:sz w:val="16"/>
          <w:szCs w:val="16"/>
          <w:color w:val="auto"/>
        </w:rPr>
        <w:t>In September 2024, an incident at one of our Singapore data centers resulted in damages to the facility. We believe this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incident is substantially covered by our insurance policies, including coverage for the repair cost of the building, business interruption loss and potential third-party claims, subject to deductibles. Initial costs, including direct costs related to the incident and an estimated write-off of damage caused to existing fixed assets, totaling approximately $16 million were incurred during 2024. After factoring our expected insurance coverage and related deductible, we have reported net expenses of approximately $5.0 million related to this incident for 2024. As of December 31, 2024, we received insurance proceeds of $7.3 million, and we have established an insurance receivable of $11.6 million for known losses for which insurance reimbursement is probable, which is included in Other Assets in the Consolidated Balance Sheet. No gain contingencies have been recognized as our ability to realize those gains remains uncertain.</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20. Supplemental Cash Flow Information</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Cash, cash equivalents, and restricted cash balances as of December 31, 2024, 2023, and 2022:</w:t>
      </w:r>
    </w:p>
    <w:p>
      <w:pPr>
        <w:spacing w:after="0" w:line="198" w:lineRule="exact"/>
        <w:rPr>
          <w:sz w:val="20"/>
          <w:szCs w:val="20"/>
          <w:color w:val="auto"/>
        </w:rPr>
      </w:pPr>
    </w:p>
    <w:tbl>
      <w:tblPr>
        <w:tblLayout w:type="fixed"/>
        <w:tblInd w:w="320" w:type="dxa"/>
        <w:tblCellMar>
          <w:top w:w="0" w:type="dxa"/>
          <w:left w:w="0" w:type="dxa"/>
          <w:bottom w:w="0" w:type="dxa"/>
          <w:right w:w="0" w:type="dxa"/>
        </w:tblCellMar>
      </w:tblPr>
      <w:tr>
        <w:trPr>
          <w:trHeight w:val="195"/>
        </w:trPr>
        <w:tc>
          <w:tcPr>
            <w:tcW w:w="37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(Amounts in thousands)</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Balance as of</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700" w:type="dxa"/>
            <w:vAlign w:val="bottom"/>
            <w:gridSpan w:val="2"/>
            <w:vMerge w:val="continue"/>
          </w:tcPr>
          <w:p>
            <w:pPr>
              <w:spacing w:after="0"/>
              <w:rPr>
                <w:sz w:val="14"/>
                <w:szCs w:val="14"/>
                <w:color w:val="auto"/>
              </w:rPr>
            </w:pPr>
          </w:p>
        </w:tc>
        <w:tc>
          <w:tcPr>
            <w:tcW w:w="1380" w:type="dxa"/>
            <w:vAlign w:val="bottom"/>
            <w:gridSpan w:val="2"/>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December 31, 2024</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ind w:right="82"/>
              <w:spacing w:after="0" w:line="172" w:lineRule="exact"/>
              <w:rPr>
                <w:sz w:val="20"/>
                <w:szCs w:val="20"/>
                <w:color w:val="auto"/>
              </w:rPr>
            </w:pPr>
            <w:r>
              <w:rPr>
                <w:rFonts w:ascii="Times New Roman" w:cs="Times New Roman" w:eastAsia="Times New Roman" w:hAnsi="Times New Roman"/>
                <w:sz w:val="16"/>
                <w:szCs w:val="16"/>
                <w:b w:val="1"/>
                <w:bCs w:val="1"/>
                <w:color w:val="auto"/>
                <w:w w:val="98"/>
              </w:rPr>
              <w:t>December 31, 2023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ind w:right="22"/>
              <w:spacing w:after="0" w:line="172" w:lineRule="exact"/>
              <w:rPr>
                <w:sz w:val="20"/>
                <w:szCs w:val="20"/>
                <w:color w:val="auto"/>
              </w:rPr>
            </w:pPr>
            <w:r>
              <w:rPr>
                <w:rFonts w:ascii="Times New Roman" w:cs="Times New Roman" w:eastAsia="Times New Roman" w:hAnsi="Times New Roman"/>
                <w:sz w:val="16"/>
                <w:szCs w:val="16"/>
                <w:b w:val="1"/>
                <w:bCs w:val="1"/>
                <w:color w:val="auto"/>
                <w:w w:val="95"/>
              </w:rPr>
              <w:t>December 31, 2022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20" w:type="dxa"/>
            <w:vAlign w:val="bottom"/>
            <w:tcBorders>
              <w:top w:val="single" w:sz="8" w:color="auto"/>
            </w:tcBorders>
            <w:shd w:val="clear" w:color="auto" w:fill="CCEEFF"/>
          </w:tcPr>
          <w:p>
            <w:pPr>
              <w:ind w:left="100"/>
              <w:spacing w:after="0" w:line="172" w:lineRule="exact"/>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3,870,891</w:t>
            </w: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1,625,495</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141,773</w:t>
            </w:r>
          </w:p>
        </w:tc>
        <w:tc>
          <w:tcPr>
            <w:tcW w:w="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700" w:type="dxa"/>
            <w:vAlign w:val="bottom"/>
            <w:tcBorders>
              <w:bottom w:val="single" w:sz="8" w:color="CCEEFF"/>
            </w:tcBorders>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Restricted cash (included in Other assets)</w:t>
            </w: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5,809</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10,975</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8,923</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700" w:type="dxa"/>
            <w:vAlign w:val="bottom"/>
            <w:tcBorders>
              <w:bottom w:val="single" w:sz="8" w:color="CCEEFF"/>
            </w:tcBorders>
            <w:gridSpan w:val="2"/>
            <w:shd w:val="clear" w:color="auto" w:fill="CCEEFF"/>
          </w:tcPr>
          <w:p>
            <w:pPr>
              <w:ind w:left="200"/>
              <w:spacing w:after="0" w:line="172" w:lineRule="exact"/>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shd w:val="clear" w:color="auto" w:fill="CCEEFF"/>
          </w:tcPr>
          <w:p>
            <w:pPr>
              <w:jc w:val="right"/>
              <w:ind w:right="6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3,876,700</w:t>
            </w:r>
          </w:p>
        </w:tc>
        <w:tc>
          <w:tcPr>
            <w:tcW w:w="1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1,636,470</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150,696</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3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702"/>
              <w:spacing w:after="0"/>
              <w:rPr>
                <w:sz w:val="20"/>
                <w:szCs w:val="20"/>
                <w:color w:val="auto"/>
              </w:rPr>
            </w:pPr>
            <w:r>
              <w:rPr>
                <w:rFonts w:ascii="Times New Roman" w:cs="Times New Roman" w:eastAsia="Times New Roman" w:hAnsi="Times New Roman"/>
                <w:sz w:val="16"/>
                <w:szCs w:val="16"/>
                <w:color w:val="auto"/>
              </w:rPr>
              <w:t>154</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3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020"/>
          </w:cols>
          <w:pgMar w:left="1440" w:top="557" w:right="1440" w:bottom="1440" w:gutter="0" w:footer="0" w:header="0"/>
        </w:sectPr>
      </w:pPr>
    </w:p>
    <w:bookmarkStart w:id="159" w:name="page160"/>
    <w:bookmarkEnd w:id="159"/>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 and 2023</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We paid $438.2 million, $393.4 million and $271.5 million for interest, net of amounts capitalized, for the years ended</w:t>
      </w:r>
    </w:p>
    <w:p>
      <w:pPr>
        <w:spacing w:after="0" w:line="14" w:lineRule="exact"/>
        <w:rPr>
          <w:sz w:val="20"/>
          <w:szCs w:val="20"/>
          <w:color w:val="auto"/>
        </w:rPr>
      </w:pPr>
    </w:p>
    <w:p>
      <w:pPr>
        <w:ind w:left="320" w:right="360"/>
        <w:spacing w:after="0" w:line="238" w:lineRule="auto"/>
        <w:rPr>
          <w:sz w:val="20"/>
          <w:szCs w:val="20"/>
          <w:color w:val="auto"/>
        </w:rPr>
      </w:pPr>
      <w:r>
        <w:rPr>
          <w:rFonts w:ascii="Times New Roman" w:cs="Times New Roman" w:eastAsia="Times New Roman" w:hAnsi="Times New Roman"/>
          <w:sz w:val="16"/>
          <w:szCs w:val="16"/>
          <w:color w:val="auto"/>
        </w:rPr>
        <w:t>December 31, 2024, 2023 and 2022, respectively. During the years ended December 31, 2024, 2023 and 2022, we capitalized interest of approximately $118.9 million, $116.8 million and $70.8 million, respectively.</w:t>
      </w:r>
    </w:p>
    <w:p>
      <w:pPr>
        <w:spacing w:after="0" w:line="157" w:lineRule="exact"/>
        <w:rPr>
          <w:sz w:val="20"/>
          <w:szCs w:val="20"/>
          <w:color w:val="auto"/>
        </w:rPr>
      </w:pPr>
    </w:p>
    <w:p>
      <w:pPr>
        <w:jc w:val="both"/>
        <w:ind w:left="320" w:right="620"/>
        <w:spacing w:after="0" w:line="247" w:lineRule="auto"/>
        <w:rPr>
          <w:sz w:val="20"/>
          <w:szCs w:val="20"/>
          <w:color w:val="auto"/>
        </w:rPr>
      </w:pPr>
      <w:r>
        <w:rPr>
          <w:rFonts w:ascii="Times New Roman" w:cs="Times New Roman" w:eastAsia="Times New Roman" w:hAnsi="Times New Roman"/>
          <w:sz w:val="16"/>
          <w:szCs w:val="16"/>
          <w:color w:val="auto"/>
        </w:rPr>
        <w:t>During the years ended December 31, 2024, 2023 and 2022, we capitalized amounts relating to compensation and other overhead expense of employees direct and incremental to construction activities of approximately $111.2 million, $99.2 million and $86.1 million, respectively.</w:t>
      </w:r>
    </w:p>
    <w:p>
      <w:pPr>
        <w:spacing w:after="0" w:line="152" w:lineRule="exact"/>
        <w:rPr>
          <w:sz w:val="20"/>
          <w:szCs w:val="20"/>
          <w:color w:val="auto"/>
        </w:rPr>
      </w:pPr>
    </w:p>
    <w:p>
      <w:pPr>
        <w:jc w:val="both"/>
        <w:ind w:left="320" w:right="640"/>
        <w:spacing w:after="0" w:line="259" w:lineRule="auto"/>
        <w:rPr>
          <w:sz w:val="20"/>
          <w:szCs w:val="20"/>
          <w:color w:val="auto"/>
        </w:rPr>
      </w:pPr>
      <w:r>
        <w:rPr>
          <w:rFonts w:ascii="Times New Roman" w:cs="Times New Roman" w:eastAsia="Times New Roman" w:hAnsi="Times New Roman"/>
          <w:sz w:val="16"/>
          <w:szCs w:val="16"/>
          <w:color w:val="auto"/>
        </w:rPr>
        <w:t>We paid $71.2 million, $88.8 million and $41.7 million for income taxes, net of refunds, for the years ended December 31, 2024, 2023 and 2022, respectively.</w:t>
      </w:r>
    </w:p>
    <w:p>
      <w:pPr>
        <w:spacing w:after="0" w:line="155" w:lineRule="exact"/>
        <w:rPr>
          <w:sz w:val="20"/>
          <w:szCs w:val="20"/>
          <w:color w:val="auto"/>
        </w:rPr>
      </w:pPr>
    </w:p>
    <w:p>
      <w:pPr>
        <w:ind w:left="320" w:right="480"/>
        <w:spacing w:after="0" w:line="259" w:lineRule="auto"/>
        <w:rPr>
          <w:sz w:val="20"/>
          <w:szCs w:val="20"/>
          <w:color w:val="auto"/>
        </w:rPr>
      </w:pPr>
      <w:r>
        <w:rPr>
          <w:rFonts w:ascii="Times New Roman" w:cs="Times New Roman" w:eastAsia="Times New Roman" w:hAnsi="Times New Roman"/>
          <w:sz w:val="16"/>
          <w:szCs w:val="16"/>
          <w:color w:val="auto"/>
        </w:rPr>
        <w:t>Accrued construction related costs totaled $521.5 million, $560.5 million and $417.1 million as of years ended December 31, 2024, 2023 and 2022, respectively.</w:t>
      </w:r>
    </w:p>
    <w:p>
      <w:pPr>
        <w:spacing w:after="0" w:line="1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21. Segment and Geographic Information</w:t>
      </w:r>
    </w:p>
    <w:p>
      <w:pPr>
        <w:spacing w:after="0" w:line="190" w:lineRule="exact"/>
        <w:rPr>
          <w:sz w:val="20"/>
          <w:szCs w:val="20"/>
          <w:color w:val="auto"/>
        </w:rPr>
      </w:pPr>
    </w:p>
    <w:p>
      <w:pPr>
        <w:ind w:left="320" w:right="720"/>
        <w:spacing w:after="0" w:line="239" w:lineRule="auto"/>
        <w:rPr>
          <w:sz w:val="20"/>
          <w:szCs w:val="20"/>
          <w:color w:val="auto"/>
        </w:rPr>
      </w:pPr>
      <w:r>
        <w:rPr>
          <w:rFonts w:ascii="Times New Roman" w:cs="Times New Roman" w:eastAsia="Times New Roman" w:hAnsi="Times New Roman"/>
          <w:sz w:val="16"/>
          <w:szCs w:val="16"/>
          <w:color w:val="auto"/>
        </w:rPr>
        <w:t>A majority of the Company’s largest customers are global entities that transact with the Company across multiple geographies worldwide. In order to better address the needs of these global customers, the Company manages critical decisions around development, operations, and leasing globally based on customer demand considerations. In this regard, the Company manages customer relationships globally in order to achieve consistent sales and delivery experience of our products for our customers throughout the global portfolio. The Company has reiterated its commitment to and implemented strategies to align itself as one global team to help power customers’ digital ambitions.</w:t>
      </w:r>
    </w:p>
    <w:p>
      <w:pPr>
        <w:spacing w:after="0" w:line="173" w:lineRule="exact"/>
        <w:rPr>
          <w:sz w:val="20"/>
          <w:szCs w:val="20"/>
          <w:color w:val="auto"/>
        </w:rPr>
      </w:pPr>
    </w:p>
    <w:p>
      <w:pPr>
        <w:ind w:left="320" w:right="840"/>
        <w:spacing w:after="0" w:line="331" w:lineRule="auto"/>
        <w:rPr>
          <w:sz w:val="20"/>
          <w:szCs w:val="20"/>
          <w:color w:val="auto"/>
        </w:rPr>
      </w:pPr>
      <w:r>
        <w:rPr>
          <w:rFonts w:ascii="Times New Roman" w:cs="Times New Roman" w:eastAsia="Times New Roman" w:hAnsi="Times New Roman"/>
          <w:sz w:val="14"/>
          <w:szCs w:val="14"/>
          <w:color w:val="auto"/>
        </w:rPr>
        <w:t>In order to best accommodate the needs of global customers (and customers that might one day become global), the Company manages its operations as a single global business – with one operating segment and therefore one reporting segment.</w:t>
      </w:r>
    </w:p>
    <w:p>
      <w:pPr>
        <w:spacing w:after="0" w:line="108" w:lineRule="exact"/>
        <w:rPr>
          <w:sz w:val="20"/>
          <w:szCs w:val="20"/>
          <w:color w:val="auto"/>
        </w:rPr>
      </w:pPr>
    </w:p>
    <w:p>
      <w:pPr>
        <w:ind w:left="320" w:right="360"/>
        <w:spacing w:after="0" w:line="241" w:lineRule="auto"/>
        <w:rPr>
          <w:sz w:val="20"/>
          <w:szCs w:val="20"/>
          <w:color w:val="auto"/>
        </w:rPr>
      </w:pPr>
      <w:r>
        <w:rPr>
          <w:rFonts w:ascii="Times New Roman" w:cs="Times New Roman" w:eastAsia="Times New Roman" w:hAnsi="Times New Roman"/>
          <w:sz w:val="16"/>
          <w:szCs w:val="16"/>
          <w:color w:val="auto"/>
        </w:rPr>
        <w:t>The Company’s chief operating decisionmaker (“CODM”) is the Chief Executive Officer, who uses net income as a primary measure of operating results on a consolidated basis in making decisions. Net income is computed in accordance with U.S. GAAP. Significant expense categories, including Rental property operating and maintenance, Property taxes and insurance, General and administrative and Interest expense, are regularly provided to the Company’s CODM as components of net income, which are reflected on the Consolidated Income Statements.</w:t>
      </w:r>
    </w:p>
    <w:p>
      <w:pPr>
        <w:spacing w:after="0" w:line="157" w:lineRule="exact"/>
        <w:rPr>
          <w:sz w:val="20"/>
          <w:szCs w:val="20"/>
          <w:color w:val="auto"/>
        </w:rPr>
      </w:pPr>
    </w:p>
    <w:p>
      <w:pPr>
        <w:ind w:left="320" w:right="420"/>
        <w:spacing w:after="0" w:line="247" w:lineRule="auto"/>
        <w:rPr>
          <w:sz w:val="20"/>
          <w:szCs w:val="20"/>
          <w:color w:val="auto"/>
        </w:rPr>
      </w:pPr>
      <w:r>
        <w:rPr>
          <w:rFonts w:ascii="Times New Roman" w:cs="Times New Roman" w:eastAsia="Times New Roman" w:hAnsi="Times New Roman"/>
          <w:sz w:val="16"/>
          <w:szCs w:val="16"/>
          <w:color w:val="auto"/>
        </w:rPr>
        <w:t>The financial information disclosed herein represents all of the financial information related to our one reportable segment, and the segmental presentation is consistent with the information provided to our CODM. These metrics are collectively used to evaluate the performance of the Company’s investments in real estate assets, its operating results and to allocate resources.</w:t>
      </w:r>
    </w:p>
    <w:p>
      <w:pPr>
        <w:spacing w:after="0" w:line="164" w:lineRule="exact"/>
        <w:rPr>
          <w:sz w:val="20"/>
          <w:szCs w:val="20"/>
          <w:color w:val="auto"/>
        </w:rPr>
      </w:pPr>
    </w:p>
    <w:tbl>
      <w:tblPr>
        <w:tblLayout w:type="fixed"/>
        <w:tblInd w:w="320" w:type="dxa"/>
        <w:tblCellMar>
          <w:top w:w="0" w:type="dxa"/>
          <w:left w:w="0" w:type="dxa"/>
          <w:bottom w:w="0" w:type="dxa"/>
          <w:right w:w="0" w:type="dxa"/>
        </w:tblCellMar>
      </w:tblPr>
      <w:tr>
        <w:trPr>
          <w:trHeight w:val="170"/>
        </w:trPr>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3"/>
                <w:szCs w:val="13"/>
                <w:b w:val="1"/>
                <w:bCs w:val="1"/>
                <w:color w:val="auto"/>
              </w:rPr>
              <w:t>Operating Revenues</w:t>
            </w: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(Amounts in millions)</w:t>
            </w:r>
          </w:p>
        </w:tc>
        <w:tc>
          <w:tcPr>
            <w:tcW w:w="4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2"/>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280" w:type="dxa"/>
            <w:vAlign w:val="bottom"/>
          </w:tcPr>
          <w:p>
            <w:pPr>
              <w:jc w:val="right"/>
              <w:ind w:right="674"/>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jc w:val="center"/>
              <w:ind w:right="174"/>
              <w:spacing w:after="0" w:line="148" w:lineRule="exact"/>
              <w:rPr>
                <w:sz w:val="20"/>
                <w:szCs w:val="20"/>
                <w:color w:val="auto"/>
              </w:rPr>
            </w:pPr>
            <w:r>
              <w:rPr>
                <w:rFonts w:ascii="Times New Roman" w:cs="Times New Roman" w:eastAsia="Times New Roman" w:hAnsi="Times New Roman"/>
                <w:sz w:val="13"/>
                <w:szCs w:val="13"/>
                <w:b w:val="1"/>
                <w:bCs w:val="1"/>
                <w:color w:val="auto"/>
              </w:rPr>
              <w:t>2023</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00" w:type="dxa"/>
            <w:vAlign w:val="bottom"/>
          </w:tcPr>
          <w:p>
            <w:pPr>
              <w:jc w:val="right"/>
              <w:ind w:right="674"/>
              <w:spacing w:after="0" w:line="148" w:lineRule="exact"/>
              <w:rPr>
                <w:sz w:val="20"/>
                <w:szCs w:val="20"/>
                <w:color w:val="auto"/>
              </w:rPr>
            </w:pPr>
            <w:r>
              <w:rPr>
                <w:rFonts w:ascii="Times New Roman" w:cs="Times New Roman" w:eastAsia="Times New Roman" w:hAnsi="Times New Roman"/>
                <w:sz w:val="13"/>
                <w:szCs w:val="13"/>
                <w:b w:val="1"/>
                <w:bCs w:val="1"/>
                <w:color w:val="auto"/>
              </w:rPr>
              <w:t>2022</w:t>
            </w:r>
          </w:p>
        </w:tc>
        <w:tc>
          <w:tcPr>
            <w:tcW w:w="0" w:type="dxa"/>
            <w:vAlign w:val="bottom"/>
          </w:tcPr>
          <w:p>
            <w:pPr>
              <w:spacing w:after="0"/>
              <w:rPr>
                <w:sz w:val="1"/>
                <w:szCs w:val="1"/>
                <w:color w:val="auto"/>
              </w:rPr>
            </w:pPr>
          </w:p>
        </w:tc>
      </w:tr>
      <w:tr>
        <w:trPr>
          <w:trHeight w:val="148"/>
        </w:trPr>
        <w:tc>
          <w:tcPr>
            <w:tcW w:w="2620" w:type="dxa"/>
            <w:vAlign w:val="bottom"/>
            <w:tcBorders>
              <w:top w:val="single" w:sz="8" w:color="auto"/>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Inside the United States</w:t>
            </w:r>
          </w:p>
        </w:tc>
        <w:tc>
          <w:tcPr>
            <w:tcW w:w="18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ind w:right="214"/>
              <w:spacing w:after="0" w:line="148"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tcBorders>
              <w:top w:val="single" w:sz="8" w:color="auto"/>
            </w:tcBorders>
            <w:shd w:val="clear" w:color="auto" w:fill="CCEEFF"/>
          </w:tcPr>
          <w:p>
            <w:pPr>
              <w:jc w:val="right"/>
              <w:ind w:right="234"/>
              <w:spacing w:after="0" w:line="148" w:lineRule="exact"/>
              <w:rPr>
                <w:sz w:val="20"/>
                <w:szCs w:val="20"/>
                <w:color w:val="auto"/>
              </w:rPr>
            </w:pPr>
            <w:r>
              <w:rPr>
                <w:rFonts w:ascii="Times New Roman" w:cs="Times New Roman" w:eastAsia="Times New Roman" w:hAnsi="Times New Roman"/>
                <w:sz w:val="13"/>
                <w:szCs w:val="13"/>
                <w:color w:val="auto"/>
              </w:rPr>
              <w:t>2,910.5</w:t>
            </w:r>
          </w:p>
        </w:tc>
        <w:tc>
          <w:tcPr>
            <w:tcW w:w="1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4"/>
              <w:spacing w:after="0" w:line="148" w:lineRule="exact"/>
              <w:rPr>
                <w:sz w:val="20"/>
                <w:szCs w:val="20"/>
                <w:color w:val="auto"/>
              </w:rPr>
            </w:pPr>
            <w:r>
              <w:rPr>
                <w:rFonts w:ascii="Times New Roman" w:cs="Times New Roman" w:eastAsia="Times New Roman" w:hAnsi="Times New Roman"/>
                <w:sz w:val="13"/>
                <w:szCs w:val="13"/>
                <w:color w:val="auto"/>
              </w:rPr>
              <w:t>$</w:t>
            </w:r>
          </w:p>
        </w:tc>
        <w:tc>
          <w:tcPr>
            <w:tcW w:w="1480" w:type="dxa"/>
            <w:vAlign w:val="bottom"/>
            <w:tcBorders>
              <w:top w:val="single" w:sz="8" w:color="auto"/>
            </w:tcBorders>
            <w:shd w:val="clear" w:color="auto" w:fill="CCEEFF"/>
          </w:tcPr>
          <w:p>
            <w:pPr>
              <w:jc w:val="right"/>
              <w:ind w:right="234"/>
              <w:spacing w:after="0" w:line="148" w:lineRule="exact"/>
              <w:rPr>
                <w:sz w:val="20"/>
                <w:szCs w:val="20"/>
                <w:color w:val="auto"/>
              </w:rPr>
            </w:pPr>
            <w:r>
              <w:rPr>
                <w:rFonts w:ascii="Times New Roman" w:cs="Times New Roman" w:eastAsia="Times New Roman" w:hAnsi="Times New Roman"/>
                <w:sz w:val="13"/>
                <w:szCs w:val="13"/>
                <w:color w:val="auto"/>
              </w:rPr>
              <w:t>2,836.0</w:t>
            </w:r>
          </w:p>
        </w:tc>
        <w:tc>
          <w:tcPr>
            <w:tcW w:w="18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ind w:right="214"/>
              <w:spacing w:after="0" w:line="148" w:lineRule="exact"/>
              <w:rPr>
                <w:sz w:val="20"/>
                <w:szCs w:val="20"/>
                <w:color w:val="auto"/>
              </w:rPr>
            </w:pPr>
            <w:r>
              <w:rPr>
                <w:rFonts w:ascii="Times New Roman" w:cs="Times New Roman" w:eastAsia="Times New Roman" w:hAnsi="Times New Roman"/>
                <w:sz w:val="13"/>
                <w:szCs w:val="13"/>
                <w:color w:val="auto"/>
              </w:rPr>
              <w:t>$</w:t>
            </w:r>
          </w:p>
        </w:tc>
        <w:tc>
          <w:tcPr>
            <w:tcW w:w="1300" w:type="dxa"/>
            <w:vAlign w:val="bottom"/>
            <w:tcBorders>
              <w:top w:val="single" w:sz="8" w:color="auto"/>
            </w:tcBorders>
            <w:shd w:val="clear" w:color="auto" w:fill="CCEEFF"/>
          </w:tcPr>
          <w:p>
            <w:pPr>
              <w:jc w:val="right"/>
              <w:ind w:right="254"/>
              <w:spacing w:after="0" w:line="148" w:lineRule="exact"/>
              <w:rPr>
                <w:sz w:val="20"/>
                <w:szCs w:val="20"/>
                <w:color w:val="auto"/>
              </w:rPr>
            </w:pPr>
            <w:r>
              <w:rPr>
                <w:rFonts w:ascii="Times New Roman" w:cs="Times New Roman" w:eastAsia="Times New Roman" w:hAnsi="Times New Roman"/>
                <w:sz w:val="13"/>
                <w:szCs w:val="13"/>
                <w:color w:val="auto"/>
              </w:rPr>
              <w:t>2,760.4</w:t>
            </w:r>
          </w:p>
        </w:tc>
        <w:tc>
          <w:tcPr>
            <w:tcW w:w="0" w:type="dxa"/>
            <w:vAlign w:val="bottom"/>
          </w:tcPr>
          <w:p>
            <w:pPr>
              <w:spacing w:after="0"/>
              <w:rPr>
                <w:sz w:val="1"/>
                <w:szCs w:val="1"/>
                <w:color w:val="auto"/>
              </w:rPr>
            </w:pPr>
          </w:p>
        </w:tc>
      </w:tr>
      <w:tr>
        <w:trPr>
          <w:trHeight w:val="156"/>
        </w:trPr>
        <w:tc>
          <w:tcPr>
            <w:tcW w:w="28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Outside the United States</w:t>
            </w:r>
          </w:p>
        </w:tc>
        <w:tc>
          <w:tcPr>
            <w:tcW w:w="460" w:type="dxa"/>
            <w:vAlign w:val="bottom"/>
          </w:tcPr>
          <w:p>
            <w:pPr>
              <w:spacing w:after="0"/>
              <w:rPr>
                <w:sz w:val="13"/>
                <w:szCs w:val="13"/>
                <w:color w:val="auto"/>
              </w:rPr>
            </w:pPr>
          </w:p>
        </w:tc>
        <w:tc>
          <w:tcPr>
            <w:tcW w:w="128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2,644.5</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2,641.1</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0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1,931.4</w:t>
            </w:r>
          </w:p>
        </w:tc>
        <w:tc>
          <w:tcPr>
            <w:tcW w:w="0" w:type="dxa"/>
            <w:vAlign w:val="bottom"/>
          </w:tcPr>
          <w:p>
            <w:pPr>
              <w:spacing w:after="0"/>
              <w:rPr>
                <w:sz w:val="1"/>
                <w:szCs w:val="1"/>
                <w:color w:val="auto"/>
              </w:rPr>
            </w:pPr>
          </w:p>
        </w:tc>
      </w:tr>
      <w:tr>
        <w:trPr>
          <w:trHeight w:val="156"/>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 Outside of U.S. %</w:t>
            </w:r>
          </w:p>
        </w:tc>
        <w:tc>
          <w:tcPr>
            <w:tcW w:w="46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47.6 %</w:t>
            </w: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48.2 %</w:t>
            </w: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41.2 %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60" w:name="page161"/>
    <w:bookmarkEnd w:id="160"/>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 and 2023</w:t>
      </w:r>
    </w:p>
    <w:p>
      <w:pPr>
        <w:spacing w:after="0" w:line="226" w:lineRule="exact"/>
        <w:rPr>
          <w:sz w:val="20"/>
          <w:szCs w:val="20"/>
          <w:color w:val="auto"/>
        </w:rPr>
      </w:pPr>
    </w:p>
    <w:tbl>
      <w:tblPr>
        <w:tblLayout w:type="fixed"/>
        <w:tblInd w:w="320" w:type="dxa"/>
        <w:tblCellMar>
          <w:top w:w="0" w:type="dxa"/>
          <w:left w:w="0" w:type="dxa"/>
          <w:bottom w:w="0" w:type="dxa"/>
          <w:right w:w="0" w:type="dxa"/>
        </w:tblCellMar>
      </w:tblPr>
      <w:tr>
        <w:trPr>
          <w:trHeight w:val="170"/>
        </w:trPr>
        <w:tc>
          <w:tcPr>
            <w:tcW w:w="2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4"/>
          </w:tcPr>
          <w:p>
            <w:pPr>
              <w:jc w:val="right"/>
              <w:ind w:right="554"/>
              <w:spacing w:after="0"/>
              <w:rPr>
                <w:sz w:val="20"/>
                <w:szCs w:val="20"/>
                <w:color w:val="auto"/>
              </w:rPr>
            </w:pPr>
            <w:r>
              <w:rPr>
                <w:rFonts w:ascii="Times New Roman" w:cs="Times New Roman" w:eastAsia="Times New Roman" w:hAnsi="Times New Roman"/>
                <w:sz w:val="13"/>
                <w:szCs w:val="13"/>
                <w:b w:val="1"/>
                <w:bCs w:val="1"/>
                <w:color w:val="auto"/>
              </w:rPr>
              <w:t>Investments in Properties, net</w:t>
            </w: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4"/>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Operating lease right-of-use assets, net</w:t>
            </w:r>
          </w:p>
        </w:tc>
        <w:tc>
          <w:tcPr>
            <w:tcW w:w="0" w:type="dxa"/>
            <w:vAlign w:val="bottom"/>
          </w:tcPr>
          <w:p>
            <w:pPr>
              <w:spacing w:after="0"/>
              <w:rPr>
                <w:sz w:val="1"/>
                <w:szCs w:val="1"/>
                <w:color w:val="auto"/>
              </w:rPr>
            </w:pPr>
          </w:p>
        </w:tc>
      </w:tr>
      <w:tr>
        <w:trPr>
          <w:trHeight w:val="148"/>
        </w:trPr>
        <w:tc>
          <w:tcPr>
            <w:tcW w:w="22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(Amounts in millions)</w:t>
            </w:r>
          </w:p>
        </w:tc>
        <w:tc>
          <w:tcPr>
            <w:tcW w:w="160" w:type="dxa"/>
            <w:vAlign w:val="bottom"/>
            <w:vMerge w:val="restart"/>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134"/>
              <w:spacing w:after="0" w:line="148" w:lineRule="exact"/>
              <w:rPr>
                <w:sz w:val="20"/>
                <w:szCs w:val="20"/>
                <w:color w:val="auto"/>
              </w:rPr>
            </w:pPr>
            <w:r>
              <w:rPr>
                <w:rFonts w:ascii="Times New Roman" w:cs="Times New Roman" w:eastAsia="Times New Roman" w:hAnsi="Times New Roman"/>
                <w:sz w:val="13"/>
                <w:szCs w:val="13"/>
                <w:b w:val="1"/>
                <w:bCs w:val="1"/>
                <w:color w:val="auto"/>
              </w:rPr>
              <w:t>As of December 31,</w:t>
            </w:r>
          </w:p>
        </w:tc>
        <w:tc>
          <w:tcPr>
            <w:tcW w:w="140" w:type="dxa"/>
            <w:vAlign w:val="bottom"/>
          </w:tcPr>
          <w:p>
            <w:pPr>
              <w:spacing w:after="0"/>
              <w:rPr>
                <w:sz w:val="12"/>
                <w:szCs w:val="12"/>
                <w:color w:val="auto"/>
              </w:rPr>
            </w:pPr>
          </w:p>
        </w:tc>
        <w:tc>
          <w:tcPr>
            <w:tcW w:w="1320" w:type="dxa"/>
            <w:vAlign w:val="bottom"/>
            <w:tcBorders>
              <w:bottom w:val="single" w:sz="8" w:color="auto"/>
            </w:tcBorders>
            <w:gridSpan w:val="2"/>
          </w:tcPr>
          <w:p>
            <w:pPr>
              <w:jc w:val="right"/>
              <w:ind w:right="74"/>
              <w:spacing w:after="0" w:line="148" w:lineRule="exact"/>
              <w:rPr>
                <w:sz w:val="20"/>
                <w:szCs w:val="20"/>
                <w:color w:val="auto"/>
              </w:rPr>
            </w:pPr>
            <w:r>
              <w:rPr>
                <w:rFonts w:ascii="Times New Roman" w:cs="Times New Roman" w:eastAsia="Times New Roman" w:hAnsi="Times New Roman"/>
                <w:sz w:val="13"/>
                <w:szCs w:val="13"/>
                <w:b w:val="1"/>
                <w:bCs w:val="1"/>
                <w:color w:val="auto"/>
              </w:rPr>
              <w:t>As of December 31,</w:t>
            </w:r>
          </w:p>
        </w:tc>
        <w:tc>
          <w:tcPr>
            <w:tcW w:w="140" w:type="dxa"/>
            <w:vAlign w:val="bottom"/>
          </w:tcPr>
          <w:p>
            <w:pPr>
              <w:spacing w:after="0"/>
              <w:rPr>
                <w:sz w:val="12"/>
                <w:szCs w:val="12"/>
                <w:color w:val="auto"/>
              </w:rPr>
            </w:pPr>
          </w:p>
        </w:tc>
        <w:tc>
          <w:tcPr>
            <w:tcW w:w="1400" w:type="dxa"/>
            <w:vAlign w:val="bottom"/>
            <w:tcBorders>
              <w:bottom w:val="single" w:sz="8" w:color="auto"/>
            </w:tcBorders>
            <w:gridSpan w:val="2"/>
          </w:tcPr>
          <w:p>
            <w:pPr>
              <w:jc w:val="right"/>
              <w:ind w:right="114"/>
              <w:spacing w:after="0" w:line="148" w:lineRule="exact"/>
              <w:rPr>
                <w:sz w:val="20"/>
                <w:szCs w:val="20"/>
                <w:color w:val="auto"/>
              </w:rPr>
            </w:pPr>
            <w:r>
              <w:rPr>
                <w:rFonts w:ascii="Times New Roman" w:cs="Times New Roman" w:eastAsia="Times New Roman" w:hAnsi="Times New Roman"/>
                <w:sz w:val="13"/>
                <w:szCs w:val="13"/>
                <w:b w:val="1"/>
                <w:bCs w:val="1"/>
                <w:color w:val="auto"/>
              </w:rPr>
              <w:t>As of December 31,</w:t>
            </w:r>
          </w:p>
        </w:tc>
        <w:tc>
          <w:tcPr>
            <w:tcW w:w="140" w:type="dxa"/>
            <w:vAlign w:val="bottom"/>
          </w:tcPr>
          <w:p>
            <w:pPr>
              <w:spacing w:after="0"/>
              <w:rPr>
                <w:sz w:val="12"/>
                <w:szCs w:val="12"/>
                <w:color w:val="auto"/>
              </w:rPr>
            </w:pPr>
          </w:p>
        </w:tc>
        <w:tc>
          <w:tcPr>
            <w:tcW w:w="1440" w:type="dxa"/>
            <w:vAlign w:val="bottom"/>
            <w:tcBorders>
              <w:bottom w:val="single" w:sz="8" w:color="auto"/>
            </w:tcBorders>
            <w:gridSpan w:val="2"/>
          </w:tcPr>
          <w:p>
            <w:pPr>
              <w:jc w:val="right"/>
              <w:ind w:right="134"/>
              <w:spacing w:after="0" w:line="148" w:lineRule="exact"/>
              <w:rPr>
                <w:sz w:val="20"/>
                <w:szCs w:val="20"/>
                <w:color w:val="auto"/>
              </w:rPr>
            </w:pPr>
            <w:r>
              <w:rPr>
                <w:rFonts w:ascii="Times New Roman" w:cs="Times New Roman" w:eastAsia="Times New Roman" w:hAnsi="Times New Roman"/>
                <w:sz w:val="13"/>
                <w:szCs w:val="13"/>
                <w:b w:val="1"/>
                <w:bCs w:val="1"/>
                <w:color w:val="auto"/>
              </w:rPr>
              <w:t>As of December 31,</w:t>
            </w:r>
          </w:p>
        </w:tc>
        <w:tc>
          <w:tcPr>
            <w:tcW w:w="0" w:type="dxa"/>
            <w:vAlign w:val="bottom"/>
          </w:tcPr>
          <w:p>
            <w:pPr>
              <w:spacing w:after="0"/>
              <w:rPr>
                <w:sz w:val="1"/>
                <w:szCs w:val="1"/>
                <w:color w:val="auto"/>
              </w:rPr>
            </w:pPr>
          </w:p>
        </w:tc>
      </w:tr>
      <w:tr>
        <w:trPr>
          <w:trHeight w:val="148"/>
        </w:trPr>
        <w:tc>
          <w:tcPr>
            <w:tcW w:w="220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534"/>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74"/>
              <w:spacing w:after="0" w:line="148" w:lineRule="exact"/>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94"/>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14"/>
              <w:spacing w:after="0" w:line="148" w:lineRule="exact"/>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60"/>
        </w:trPr>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Inside the United States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3"/>
                <w:szCs w:val="13"/>
                <w:color w:val="auto"/>
              </w:rPr>
              <w:t>10,592.3</w:t>
            </w:r>
          </w:p>
        </w:tc>
        <w:tc>
          <w:tcPr>
            <w:tcW w:w="46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rPr>
              <w:t>10,429.2</w:t>
            </w:r>
          </w:p>
        </w:tc>
        <w:tc>
          <w:tcPr>
            <w:tcW w:w="42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552.3</w:t>
            </w:r>
          </w:p>
        </w:tc>
        <w:tc>
          <w:tcPr>
            <w:tcW w:w="52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rPr>
              <w:t>610.2</w:t>
            </w:r>
          </w:p>
        </w:tc>
        <w:tc>
          <w:tcPr>
            <w:tcW w:w="0" w:type="dxa"/>
            <w:vAlign w:val="bottom"/>
          </w:tcPr>
          <w:p>
            <w:pPr>
              <w:spacing w:after="0"/>
              <w:rPr>
                <w:sz w:val="1"/>
                <w:szCs w:val="1"/>
                <w:color w:val="auto"/>
              </w:rPr>
            </w:pPr>
          </w:p>
        </w:tc>
      </w:tr>
      <w:tr>
        <w:trPr>
          <w:trHeight w:val="168"/>
        </w:trPr>
        <w:tc>
          <w:tcPr>
            <w:tcW w:w="23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Outside the United States</w:t>
            </w:r>
          </w:p>
        </w:tc>
        <w:tc>
          <w:tcPr>
            <w:tcW w:w="140" w:type="dxa"/>
            <w:vAlign w:val="bottom"/>
          </w:tcPr>
          <w:p>
            <w:pPr>
              <w:spacing w:after="0"/>
              <w:rPr>
                <w:sz w:val="14"/>
                <w:szCs w:val="14"/>
                <w:color w:val="auto"/>
              </w:rPr>
            </w:pPr>
          </w:p>
        </w:tc>
        <w:tc>
          <w:tcPr>
            <w:tcW w:w="130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13,528.5</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13,806.9</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626.6</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804.1</w:t>
            </w:r>
          </w:p>
        </w:tc>
        <w:tc>
          <w:tcPr>
            <w:tcW w:w="0" w:type="dxa"/>
            <w:vAlign w:val="bottom"/>
          </w:tcPr>
          <w:p>
            <w:pPr>
              <w:spacing w:after="0"/>
              <w:rPr>
                <w:sz w:val="1"/>
                <w:szCs w:val="1"/>
                <w:color w:val="auto"/>
              </w:rPr>
            </w:pPr>
          </w:p>
        </w:tc>
      </w:tr>
      <w:tr>
        <w:trPr>
          <w:trHeight w:val="168"/>
        </w:trPr>
        <w:tc>
          <w:tcPr>
            <w:tcW w:w="2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3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Net Assets in Foreign Operations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7,744.8</w:t>
            </w:r>
          </w:p>
        </w:tc>
        <w:tc>
          <w:tcPr>
            <w:tcW w:w="460" w:type="dxa"/>
            <w:vAlign w:val="bottom"/>
            <w:gridSpan w:val="2"/>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6,778.4</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22. Subsequent Events</w:t>
      </w:r>
    </w:p>
    <w:p>
      <w:pPr>
        <w:spacing w:after="0" w:line="190" w:lineRule="exact"/>
        <w:rPr>
          <w:sz w:val="20"/>
          <w:szCs w:val="20"/>
          <w:color w:val="auto"/>
        </w:rPr>
      </w:pPr>
    </w:p>
    <w:p>
      <w:pPr>
        <w:ind w:left="320" w:right="360"/>
        <w:spacing w:after="0" w:line="243" w:lineRule="auto"/>
        <w:rPr>
          <w:sz w:val="20"/>
          <w:szCs w:val="20"/>
          <w:color w:val="auto"/>
        </w:rPr>
      </w:pPr>
      <w:r>
        <w:rPr>
          <w:rFonts w:ascii="Times New Roman" w:cs="Times New Roman" w:eastAsia="Times New Roman" w:hAnsi="Times New Roman"/>
          <w:sz w:val="16"/>
          <w:szCs w:val="16"/>
          <w:color w:val="auto"/>
        </w:rPr>
        <w:t>On January 14, 2025, Digital Dutch Finco B.V., an indirect wholly owned finance subsidiary of the Operating Partnership, issued and sold €850 million aggregate principal amount of 3.875% Guaranteed Notes due 2035. Net proceeds from the offering were approximately €838 million (approximately $864 million based on the exchange rate on January 14, 2025) after deducting managers’ discounts and estimated offering expenses.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61" w:name="page162"/>
    <w:bookmarkEnd w:id="161"/>
    <w:p>
      <w:pPr>
        <w:ind w:left="6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ind w:left="6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174"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DIGITAL REALTY TRUST, INC.</w:t>
      </w:r>
    </w:p>
    <w:p>
      <w:pPr>
        <w:spacing w:after="0" w:line="12"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DIGITAL REALTY TRUST, L.P.</w:t>
      </w:r>
    </w:p>
    <w:p>
      <w:pPr>
        <w:jc w:val="center"/>
        <w:ind w:right="560"/>
        <w:spacing w:after="0" w:line="234" w:lineRule="auto"/>
        <w:rPr>
          <w:sz w:val="20"/>
          <w:szCs w:val="20"/>
          <w:color w:val="auto"/>
        </w:rPr>
      </w:pPr>
      <w:r>
        <w:rPr>
          <w:rFonts w:ascii="Times New Roman" w:cs="Times New Roman" w:eastAsia="Times New Roman" w:hAnsi="Times New Roman"/>
          <w:sz w:val="16"/>
          <w:szCs w:val="16"/>
          <w:b w:val="1"/>
          <w:bCs w:val="1"/>
          <w:color w:val="auto"/>
        </w:rPr>
        <w:t>SCHEDULE III</w:t>
      </w:r>
    </w:p>
    <w:p>
      <w:pPr>
        <w:jc w:val="center"/>
        <w:ind w:right="560"/>
        <w:spacing w:after="0" w:line="235" w:lineRule="auto"/>
        <w:rPr>
          <w:sz w:val="20"/>
          <w:szCs w:val="20"/>
          <w:color w:val="auto"/>
        </w:rPr>
      </w:pPr>
      <w:r>
        <w:rPr>
          <w:rFonts w:ascii="Times New Roman" w:cs="Times New Roman" w:eastAsia="Times New Roman" w:hAnsi="Times New Roman"/>
          <w:sz w:val="16"/>
          <w:szCs w:val="16"/>
          <w:b w:val="1"/>
          <w:bCs w:val="1"/>
          <w:color w:val="auto"/>
        </w:rPr>
        <w:t>PROPERTIES AND ACCUMULATED DEPRECIATION</w:t>
      </w:r>
    </w:p>
    <w:p>
      <w:pPr>
        <w:jc w:val="center"/>
        <w:ind w:right="560"/>
        <w:spacing w:after="0" w:line="235" w:lineRule="auto"/>
        <w:rPr>
          <w:sz w:val="20"/>
          <w:szCs w:val="20"/>
          <w:color w:val="auto"/>
        </w:rPr>
      </w:pPr>
      <w:r>
        <w:rPr>
          <w:rFonts w:ascii="Times New Roman" w:cs="Times New Roman" w:eastAsia="Times New Roman" w:hAnsi="Times New Roman"/>
          <w:sz w:val="16"/>
          <w:szCs w:val="16"/>
          <w:b w:val="1"/>
          <w:bCs w:val="1"/>
          <w:color w:val="auto"/>
        </w:rPr>
        <w:t>December 31, 2024</w:t>
      </w:r>
    </w:p>
    <w:p>
      <w:pPr>
        <w:jc w:val="center"/>
        <w:ind w:right="580"/>
        <w:spacing w:after="0"/>
        <w:rPr>
          <w:sz w:val="20"/>
          <w:szCs w:val="20"/>
          <w:color w:val="auto"/>
        </w:rPr>
      </w:pPr>
      <w:r>
        <w:rPr>
          <w:rFonts w:ascii="Times New Roman" w:cs="Times New Roman" w:eastAsia="Times New Roman" w:hAnsi="Times New Roman"/>
          <w:sz w:val="16"/>
          <w:szCs w:val="16"/>
          <w:b w:val="1"/>
          <w:bCs w:val="1"/>
          <w:color w:val="auto"/>
        </w:rPr>
        <w:t>(Dollar amounts in thousands)</w:t>
      </w:r>
    </w:p>
    <w:p>
      <w:pPr>
        <w:spacing w:after="0" w:line="182" w:lineRule="exact"/>
        <w:rPr>
          <w:sz w:val="20"/>
          <w:szCs w:val="20"/>
          <w:color w:val="auto"/>
        </w:rPr>
      </w:pPr>
    </w:p>
    <w:tbl>
      <w:tblPr>
        <w:tblLayout w:type="fixed"/>
        <w:tblInd w:w="60" w:type="dxa"/>
        <w:tblCellMar>
          <w:top w:w="0" w:type="dxa"/>
          <w:left w:w="0" w:type="dxa"/>
          <w:bottom w:w="0" w:type="dxa"/>
          <w:right w:w="0" w:type="dxa"/>
        </w:tblCellMar>
      </w:tblPr>
      <w:tr>
        <w:trPr>
          <w:trHeight w:val="120"/>
        </w:trPr>
        <w:tc>
          <w:tcPr>
            <w:tcW w:w="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5"/>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4"/>
              </w:rPr>
              <w:t>Costs capitalized</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3"/>
          </w:tcPr>
          <w:p>
            <w:pPr>
              <w:ind w:left="60"/>
              <w:spacing w:after="0"/>
              <w:rPr>
                <w:sz w:val="20"/>
                <w:szCs w:val="20"/>
                <w:color w:val="auto"/>
              </w:rPr>
            </w:pPr>
            <w:r>
              <w:rPr>
                <w:rFonts w:ascii="Times New Roman" w:cs="Times New Roman" w:eastAsia="Times New Roman" w:hAnsi="Times New Roman"/>
                <w:sz w:val="10"/>
                <w:szCs w:val="10"/>
                <w:b w:val="1"/>
                <w:bCs w:val="1"/>
                <w:color w:val="auto"/>
                <w:w w:val="93"/>
              </w:rPr>
              <w:t>Initial costs</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5"/>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4"/>
              </w:rPr>
              <w:t>subsequent to acquisition</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gridSpan w:val="3"/>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w w:val="95"/>
              </w:rPr>
              <w:t>Total costs</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gridSpan w:val="2"/>
          </w:tcPr>
          <w:p>
            <w:pPr>
              <w:jc w:val="center"/>
              <w:ind w:right="100"/>
              <w:spacing w:after="0" w:line="111" w:lineRule="exact"/>
              <w:rPr>
                <w:sz w:val="20"/>
                <w:szCs w:val="20"/>
                <w:color w:val="auto"/>
              </w:rPr>
            </w:pPr>
            <w:r>
              <w:rPr>
                <w:rFonts w:ascii="Times New Roman" w:cs="Times New Roman" w:eastAsia="Times New Roman" w:hAnsi="Times New Roman"/>
                <w:sz w:val="10"/>
                <w:szCs w:val="10"/>
                <w:b w:val="1"/>
                <w:bCs w:val="1"/>
                <w:color w:val="auto"/>
                <w:w w:val="95"/>
              </w:rPr>
              <w:t>Accumulated</w:t>
            </w:r>
          </w:p>
        </w:tc>
        <w:tc>
          <w:tcPr>
            <w:tcW w:w="520" w:type="dxa"/>
            <w:vAlign w:val="bottom"/>
          </w:tcPr>
          <w:p>
            <w:pPr>
              <w:jc w:val="center"/>
              <w:spacing w:after="0" w:line="111" w:lineRule="exact"/>
              <w:rPr>
                <w:sz w:val="20"/>
                <w:szCs w:val="20"/>
                <w:color w:val="auto"/>
              </w:rPr>
            </w:pPr>
            <w:r>
              <w:rPr>
                <w:rFonts w:ascii="Times New Roman" w:cs="Times New Roman" w:eastAsia="Times New Roman" w:hAnsi="Times New Roman"/>
                <w:sz w:val="10"/>
                <w:szCs w:val="10"/>
                <w:b w:val="1"/>
                <w:bCs w:val="1"/>
                <w:color w:val="auto"/>
                <w:w w:val="97"/>
              </w:rPr>
              <w:t>Date of</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3"/>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4"/>
              </w:rPr>
              <w:t>Acquired</w:t>
            </w:r>
          </w:p>
        </w:tc>
        <w:tc>
          <w:tcPr>
            <w:tcW w:w="5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Buildings</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Acquired</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Buildings</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3"/>
              </w:rPr>
              <w:t>depreciation</w:t>
            </w:r>
          </w:p>
        </w:tc>
        <w:tc>
          <w:tcPr>
            <w:tcW w:w="5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acquisition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w w:val="98"/>
              </w:rPr>
              <w:t>Data Center</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3"/>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6"/>
              </w:rPr>
              <w:t>ground</w:t>
            </w:r>
          </w:p>
        </w:tc>
        <w:tc>
          <w:tcPr>
            <w:tcW w:w="5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86"/>
              </w:rPr>
              <w:t>and</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6"/>
              </w:rPr>
              <w:t>Carrying</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ground</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and</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86"/>
              </w:rPr>
              <w:t>and</w:t>
            </w:r>
          </w:p>
        </w:tc>
        <w:tc>
          <w:tcPr>
            <w:tcW w:w="5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or</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Buildings</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Encumbrances</w:t>
            </w:r>
          </w:p>
        </w:tc>
        <w:tc>
          <w:tcPr>
            <w:tcW w:w="60" w:type="dxa"/>
            <w:vAlign w:val="bottom"/>
          </w:tcPr>
          <w:p>
            <w:pPr>
              <w:spacing w:after="0"/>
              <w:rPr>
                <w:sz w:val="10"/>
                <w:szCs w:val="10"/>
                <w:color w:val="auto"/>
              </w:rPr>
            </w:pPr>
          </w:p>
        </w:tc>
        <w:tc>
          <w:tcPr>
            <w:tcW w:w="380" w:type="dxa"/>
            <w:vAlign w:val="bottom"/>
          </w:tcPr>
          <w:p>
            <w:pPr>
              <w:jc w:val="right"/>
              <w:ind w:right="27"/>
              <w:spacing w:after="0"/>
              <w:rPr>
                <w:sz w:val="20"/>
                <w:szCs w:val="20"/>
                <w:color w:val="auto"/>
              </w:rPr>
            </w:pPr>
            <w:r>
              <w:rPr>
                <w:rFonts w:ascii="Times New Roman" w:cs="Times New Roman" w:eastAsia="Times New Roman" w:hAnsi="Times New Roman"/>
                <w:sz w:val="10"/>
                <w:szCs w:val="10"/>
                <w:b w:val="1"/>
                <w:bCs w:val="1"/>
                <w:color w:val="auto"/>
              </w:rPr>
              <w:t>Land</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3"/>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87"/>
              </w:rPr>
              <w:t>lease</w:t>
            </w:r>
          </w:p>
        </w:tc>
        <w:tc>
          <w:tcPr>
            <w:tcW w:w="5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improvements</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w w:val="93"/>
              </w:rPr>
              <w:t>Improvements</w:t>
            </w:r>
          </w:p>
        </w:tc>
        <w:tc>
          <w:tcPr>
            <w:tcW w:w="60" w:type="dxa"/>
            <w:vAlign w:val="bottom"/>
          </w:tcPr>
          <w:p>
            <w:pPr>
              <w:spacing w:after="0"/>
              <w:rPr>
                <w:sz w:val="10"/>
                <w:szCs w:val="10"/>
                <w:color w:val="auto"/>
              </w:rPr>
            </w:pPr>
          </w:p>
        </w:tc>
        <w:tc>
          <w:tcPr>
            <w:tcW w:w="4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7"/>
              </w:rPr>
              <w:t>costs</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rPr>
              <w:t>Land</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lease</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improvements</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rPr>
              <w:t>Total</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8"/>
              </w:rPr>
              <w:t>amortization</w:t>
            </w:r>
          </w:p>
        </w:tc>
        <w:tc>
          <w:tcPr>
            <w:tcW w:w="5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construction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0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w w:val="98"/>
              </w:rPr>
              <w:t>North American Markets</w:t>
            </w:r>
          </w:p>
        </w:tc>
        <w:tc>
          <w:tcPr>
            <w:tcW w:w="4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1"/>
                <w:szCs w:val="11"/>
                <w:color w:val="auto"/>
              </w:rPr>
              <w:t>Northern Virginia</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92"/>
              </w:rPr>
              <w:t>$122,168</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3"/>
          </w:tcPr>
          <w:p>
            <w:pPr>
              <w:ind w:left="240"/>
              <w:spacing w:after="0"/>
              <w:rPr>
                <w:sz w:val="20"/>
                <w:szCs w:val="20"/>
                <w:color w:val="auto"/>
              </w:rPr>
            </w:pPr>
            <w:r>
              <w:rPr>
                <w:rFonts w:ascii="Times New Roman" w:cs="Times New Roman" w:eastAsia="Times New Roman" w:hAnsi="Times New Roman"/>
                <w:sz w:val="11"/>
                <w:szCs w:val="11"/>
                <w:color w:val="auto"/>
              </w:rPr>
              <w:t>—   $</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466,221</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   3,319,576</w:t>
            </w:r>
          </w:p>
        </w:tc>
        <w:tc>
          <w:tcPr>
            <w:tcW w:w="10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$155,785</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  3,752,180</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$ 3,907,965</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 (1,228,345)</w:t>
            </w: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2005 - 2019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Dallas</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50,533</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241,081</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1,189,497</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46,718</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1,434,393</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1,481,111</w:t>
            </w:r>
          </w:p>
        </w:tc>
        <w:tc>
          <w:tcPr>
            <w:tcW w:w="8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(720,962)</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7"/>
              </w:rPr>
              <w:t>2002 - 2015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1"/>
                <w:szCs w:val="11"/>
                <w:color w:val="auto"/>
              </w:rPr>
              <w:t>Chicago</w:t>
            </w:r>
          </w:p>
        </w:tc>
        <w:tc>
          <w:tcPr>
            <w:tcW w:w="560" w:type="dxa"/>
            <w:vAlign w:val="bottom"/>
            <w:gridSpan w:val="2"/>
          </w:tcPr>
          <w:p>
            <w:pPr>
              <w:jc w:val="right"/>
              <w:ind w:right="8"/>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54,382</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3"/>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408,801</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1,008,444</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54,343</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1,417,284</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1,471,627</w:t>
            </w:r>
          </w:p>
        </w:tc>
        <w:tc>
          <w:tcPr>
            <w:tcW w:w="800" w:type="dxa"/>
            <w:vAlign w:val="bottom"/>
            <w:gridSpan w:val="4"/>
          </w:tcPr>
          <w:p>
            <w:pPr>
              <w:jc w:val="right"/>
              <w:ind w:right="100"/>
              <w:spacing w:after="0"/>
              <w:rPr>
                <w:sz w:val="20"/>
                <w:szCs w:val="20"/>
                <w:color w:val="auto"/>
              </w:rPr>
            </w:pPr>
            <w:r>
              <w:rPr>
                <w:rFonts w:ascii="Times New Roman" w:cs="Times New Roman" w:eastAsia="Times New Roman" w:hAnsi="Times New Roman"/>
                <w:sz w:val="11"/>
                <w:szCs w:val="11"/>
                <w:color w:val="auto"/>
              </w:rPr>
              <w:t>(659,778)</w:t>
            </w: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2005 - 2017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New York</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8,743</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354,361</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1,190,970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w w:val="92"/>
              </w:rPr>
              <w:t>(116,486)</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13,160</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1,424,428</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1,437,588</w:t>
            </w:r>
          </w:p>
        </w:tc>
        <w:tc>
          <w:tcPr>
            <w:tcW w:w="8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(724,286)</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7"/>
              </w:rPr>
              <w:t>2002 - 2015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1"/>
                <w:szCs w:val="11"/>
                <w:color w:val="auto"/>
              </w:rPr>
              <w:t>Silicon Valley</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126,095</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3"/>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819,685</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481,264</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126,486</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1,300,558</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1,427,044</w:t>
            </w:r>
          </w:p>
        </w:tc>
        <w:tc>
          <w:tcPr>
            <w:tcW w:w="800" w:type="dxa"/>
            <w:vAlign w:val="bottom"/>
            <w:gridSpan w:val="4"/>
          </w:tcPr>
          <w:p>
            <w:pPr>
              <w:jc w:val="right"/>
              <w:ind w:right="100"/>
              <w:spacing w:after="0"/>
              <w:rPr>
                <w:sz w:val="20"/>
                <w:szCs w:val="20"/>
                <w:color w:val="auto"/>
              </w:rPr>
            </w:pPr>
            <w:r>
              <w:rPr>
                <w:rFonts w:ascii="Times New Roman" w:cs="Times New Roman" w:eastAsia="Times New Roman" w:hAnsi="Times New Roman"/>
                <w:sz w:val="11"/>
                <w:szCs w:val="11"/>
                <w:color w:val="auto"/>
              </w:rPr>
              <w:t>(650,030)</w:t>
            </w: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2002 - 2018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Portland</w:t>
            </w:r>
          </w:p>
        </w:tc>
        <w:tc>
          <w:tcPr>
            <w:tcW w:w="5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1,689</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3,131</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1,200,982</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16,699</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1,189,103</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1,205,802</w:t>
            </w:r>
          </w:p>
        </w:tc>
        <w:tc>
          <w:tcPr>
            <w:tcW w:w="8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(178,789)</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7"/>
              </w:rPr>
              <w:t>2011 - 2015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1"/>
                <w:szCs w:val="11"/>
                <w:color w:val="auto"/>
              </w:rPr>
              <w:t>Phoenix</w:t>
            </w:r>
          </w:p>
        </w:tc>
        <w:tc>
          <w:tcPr>
            <w:tcW w:w="560" w:type="dxa"/>
            <w:vAlign w:val="bottom"/>
            <w:gridSpan w:val="2"/>
          </w:tcPr>
          <w:p>
            <w:pPr>
              <w:jc w:val="right"/>
              <w:ind w:right="8"/>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11,859</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3"/>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399,122</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397,923</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11,859</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797,045</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808,904</w:t>
            </w:r>
          </w:p>
        </w:tc>
        <w:tc>
          <w:tcPr>
            <w:tcW w:w="800" w:type="dxa"/>
            <w:vAlign w:val="bottom"/>
            <w:gridSpan w:val="4"/>
          </w:tcPr>
          <w:p>
            <w:pPr>
              <w:jc w:val="right"/>
              <w:ind w:right="100"/>
              <w:spacing w:after="0"/>
              <w:rPr>
                <w:sz w:val="20"/>
                <w:szCs w:val="20"/>
                <w:color w:val="auto"/>
              </w:rPr>
            </w:pPr>
            <w:r>
              <w:rPr>
                <w:rFonts w:ascii="Times New Roman" w:cs="Times New Roman" w:eastAsia="Times New Roman" w:hAnsi="Times New Roman"/>
                <w:sz w:val="11"/>
                <w:szCs w:val="11"/>
                <w:color w:val="auto"/>
              </w:rPr>
              <w:t>(439,467)</w:t>
            </w: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2006 - 2015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San Francisco</w:t>
            </w:r>
          </w:p>
        </w:tc>
        <w:tc>
          <w:tcPr>
            <w:tcW w:w="5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41,165</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358,066</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329,384</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41,478</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687,137</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728,615</w:t>
            </w:r>
          </w:p>
        </w:tc>
        <w:tc>
          <w:tcPr>
            <w:tcW w:w="8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(339,915)</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7"/>
              </w:rPr>
              <w:t>2004 - 2015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1"/>
                <w:szCs w:val="11"/>
                <w:color w:val="auto"/>
              </w:rPr>
              <w:t>Toronto</w:t>
            </w:r>
          </w:p>
        </w:tc>
        <w:tc>
          <w:tcPr>
            <w:tcW w:w="560" w:type="dxa"/>
            <w:vAlign w:val="bottom"/>
            <w:gridSpan w:val="2"/>
          </w:tcPr>
          <w:p>
            <w:pPr>
              <w:jc w:val="right"/>
              <w:ind w:right="8"/>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26,600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3"/>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116,863</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466,874</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27,648</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582,689</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610,337</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(90,348)</w:t>
            </w: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2013 - 2017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Atlanta</w:t>
            </w:r>
          </w:p>
        </w:tc>
        <w:tc>
          <w:tcPr>
            <w:tcW w:w="5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6,537</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264,948</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149,480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6,552</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414,413</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420,965</w:t>
            </w:r>
          </w:p>
        </w:tc>
        <w:tc>
          <w:tcPr>
            <w:tcW w:w="8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(160,706)</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7"/>
              </w:rPr>
              <w:t>2011 - 2017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1"/>
                <w:szCs w:val="11"/>
                <w:color w:val="auto"/>
              </w:rPr>
              <w:t>Boston</w:t>
            </w:r>
          </w:p>
        </w:tc>
        <w:tc>
          <w:tcPr>
            <w:tcW w:w="560" w:type="dxa"/>
            <w:vAlign w:val="bottom"/>
            <w:gridSpan w:val="2"/>
          </w:tcPr>
          <w:p>
            <w:pPr>
              <w:jc w:val="right"/>
              <w:ind w:right="8"/>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17,826</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3"/>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253,711</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114,556</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(74,641)</w:t>
            </w:r>
          </w:p>
        </w:tc>
        <w:tc>
          <w:tcPr>
            <w:tcW w:w="40" w:type="dxa"/>
            <w:vAlign w:val="bottom"/>
          </w:tcPr>
          <w:p>
            <w:pPr>
              <w:spacing w:after="0"/>
              <w:rPr>
                <w:sz w:val="11"/>
                <w:szCs w:val="11"/>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16,600</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294,852</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311,452</w:t>
            </w:r>
          </w:p>
        </w:tc>
        <w:tc>
          <w:tcPr>
            <w:tcW w:w="800" w:type="dxa"/>
            <w:vAlign w:val="bottom"/>
            <w:gridSpan w:val="4"/>
          </w:tcPr>
          <w:p>
            <w:pPr>
              <w:jc w:val="right"/>
              <w:ind w:right="100"/>
              <w:spacing w:after="0"/>
              <w:rPr>
                <w:sz w:val="20"/>
                <w:szCs w:val="20"/>
                <w:color w:val="auto"/>
              </w:rPr>
            </w:pPr>
            <w:r>
              <w:rPr>
                <w:rFonts w:ascii="Times New Roman" w:cs="Times New Roman" w:eastAsia="Times New Roman" w:hAnsi="Times New Roman"/>
                <w:sz w:val="11"/>
                <w:szCs w:val="11"/>
                <w:color w:val="auto"/>
              </w:rPr>
              <w:t>(198,978)</w:t>
            </w: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2006 - 2011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Los Angeles</w:t>
            </w:r>
          </w:p>
        </w:tc>
        <w:tc>
          <w:tcPr>
            <w:tcW w:w="5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29,531</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105,910</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169,633</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29,118</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275,956</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305,074</w:t>
            </w:r>
          </w:p>
        </w:tc>
        <w:tc>
          <w:tcPr>
            <w:tcW w:w="8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(164,992)</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7"/>
              </w:rPr>
              <w:t>2004 - 2015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1"/>
                <w:szCs w:val="11"/>
                <w:color w:val="auto"/>
              </w:rPr>
              <w:t>Houston</w:t>
            </w:r>
          </w:p>
        </w:tc>
        <w:tc>
          <w:tcPr>
            <w:tcW w:w="560" w:type="dxa"/>
            <w:vAlign w:val="bottom"/>
            <w:gridSpan w:val="2"/>
          </w:tcPr>
          <w:p>
            <w:pPr>
              <w:jc w:val="right"/>
              <w:ind w:right="8"/>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6,965</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3"/>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23,492</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160,860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6,965</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184,352</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191,317</w:t>
            </w:r>
          </w:p>
        </w:tc>
        <w:tc>
          <w:tcPr>
            <w:tcW w:w="800" w:type="dxa"/>
            <w:vAlign w:val="bottom"/>
            <w:gridSpan w:val="4"/>
          </w:tcPr>
          <w:p>
            <w:pPr>
              <w:jc w:val="right"/>
              <w:ind w:right="100"/>
              <w:spacing w:after="0"/>
              <w:rPr>
                <w:sz w:val="20"/>
                <w:szCs w:val="20"/>
                <w:color w:val="auto"/>
              </w:rPr>
            </w:pPr>
            <w:r>
              <w:rPr>
                <w:rFonts w:ascii="Times New Roman" w:cs="Times New Roman" w:eastAsia="Times New Roman" w:hAnsi="Times New Roman"/>
                <w:sz w:val="11"/>
                <w:szCs w:val="11"/>
                <w:color w:val="auto"/>
              </w:rPr>
              <w:t>(125,621)</w:t>
            </w: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2,006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Austin</w:t>
            </w:r>
          </w:p>
        </w:tc>
        <w:tc>
          <w:tcPr>
            <w:tcW w:w="5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1,177</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4,877</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81,656</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1,177</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86,533</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87,710</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(31,565)</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2005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1"/>
                <w:szCs w:val="11"/>
                <w:color w:val="auto"/>
              </w:rPr>
              <w:t>Miami</w:t>
            </w:r>
          </w:p>
        </w:tc>
        <w:tc>
          <w:tcPr>
            <w:tcW w:w="560" w:type="dxa"/>
            <w:vAlign w:val="bottom"/>
            <w:gridSpan w:val="2"/>
          </w:tcPr>
          <w:p>
            <w:pPr>
              <w:jc w:val="right"/>
              <w:ind w:right="8"/>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2,964</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3"/>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29,793</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44,240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w:t>
            </w:r>
          </w:p>
        </w:tc>
        <w:tc>
          <w:tcPr>
            <w:tcW w:w="40" w:type="dxa"/>
            <w:vAlign w:val="bottom"/>
          </w:tcPr>
          <w:p>
            <w:pPr>
              <w:spacing w:after="0"/>
              <w:rPr>
                <w:sz w:val="11"/>
                <w:szCs w:val="11"/>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2,964</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73,976</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76,940</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(43,113)</w:t>
            </w: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2002 - 2015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Seattle</w:t>
            </w:r>
          </w:p>
        </w:tc>
        <w:tc>
          <w:tcPr>
            <w:tcW w:w="5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135,000</w:t>
            </w: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43,110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329,283</w:t>
            </w:r>
          </w:p>
        </w:tc>
        <w:tc>
          <w:tcPr>
            <w:tcW w:w="8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(306,850)</w:t>
            </w: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65,543</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65,543</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(12,503)</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2020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1"/>
                <w:szCs w:val="11"/>
                <w:color w:val="auto"/>
              </w:rPr>
              <w:t>North America - Other</w:t>
            </w:r>
          </w:p>
        </w:tc>
        <w:tc>
          <w:tcPr>
            <w:tcW w:w="560" w:type="dxa"/>
            <w:vAlign w:val="bottom"/>
            <w:gridSpan w:val="2"/>
          </w:tcPr>
          <w:p>
            <w:pPr>
              <w:jc w:val="right"/>
              <w:ind w:right="8"/>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4,117</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3"/>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13,068</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256,369</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4,118</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269,436</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273,554</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(76,231)</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0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Total North America</w:t>
            </w:r>
          </w:p>
        </w:tc>
        <w:tc>
          <w:tcPr>
            <w:tcW w:w="4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ind w:right="8"/>
              <w:spacing w:after="0" w:line="124" w:lineRule="exact"/>
              <w:rPr>
                <w:sz w:val="20"/>
                <w:szCs w:val="20"/>
                <w:color w:val="auto"/>
              </w:rPr>
            </w:pPr>
            <w:r>
              <w:rPr>
                <w:rFonts w:ascii="Times New Roman" w:cs="Times New Roman" w:eastAsia="Times New Roman" w:hAnsi="Times New Roman"/>
                <w:sz w:val="11"/>
                <w:szCs w:val="11"/>
                <w:color w:val="auto"/>
              </w:rPr>
              <w:t>101</w:t>
            </w: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135,000</w:t>
            </w:r>
          </w:p>
        </w:tc>
        <w:tc>
          <w:tcPr>
            <w:tcW w:w="10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555,461</w:t>
            </w: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ind w:left="240"/>
              <w:spacing w:after="0" w:line="124"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4,192,413</w:t>
            </w:r>
          </w:p>
        </w:tc>
        <w:tc>
          <w:tcPr>
            <w:tcW w:w="1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10,254,858</w:t>
            </w: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w w:val="92"/>
              </w:rPr>
              <w:t>(191,184)</w:t>
            </w: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561,670</w:t>
            </w:r>
          </w:p>
        </w:tc>
        <w:tc>
          <w:tcPr>
            <w:tcW w:w="1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14,249,878</w:t>
            </w:r>
          </w:p>
        </w:tc>
        <w:tc>
          <w:tcPr>
            <w:tcW w:w="10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14,811,548</w:t>
            </w:r>
          </w:p>
        </w:tc>
        <w:tc>
          <w:tcPr>
            <w:tcW w:w="10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(5,845,629)</w:t>
            </w:r>
          </w:p>
        </w:tc>
        <w:tc>
          <w:tcPr>
            <w:tcW w:w="10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1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EMEA Markets</w:t>
            </w: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1"/>
                <w:szCs w:val="11"/>
                <w:color w:val="auto"/>
              </w:rPr>
              <w:t>London</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76,906</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3"/>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1,273,661</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441,475</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35,440</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1,756,602</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1,792,042</w:t>
            </w:r>
          </w:p>
        </w:tc>
        <w:tc>
          <w:tcPr>
            <w:tcW w:w="800" w:type="dxa"/>
            <w:vAlign w:val="bottom"/>
            <w:gridSpan w:val="4"/>
          </w:tcPr>
          <w:p>
            <w:pPr>
              <w:jc w:val="right"/>
              <w:ind w:right="100"/>
              <w:spacing w:after="0"/>
              <w:rPr>
                <w:sz w:val="20"/>
                <w:szCs w:val="20"/>
                <w:color w:val="auto"/>
              </w:rPr>
            </w:pPr>
            <w:r>
              <w:rPr>
                <w:rFonts w:ascii="Times New Roman" w:cs="Times New Roman" w:eastAsia="Times New Roman" w:hAnsi="Times New Roman"/>
                <w:sz w:val="11"/>
                <w:szCs w:val="11"/>
                <w:color w:val="auto"/>
              </w:rPr>
              <w:t>(561,572)</w:t>
            </w: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2007 - 2024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Frankfurt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25,717</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876,342</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661,779</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97,156</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1,466,682</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1,563,838</w:t>
            </w:r>
          </w:p>
        </w:tc>
        <w:tc>
          <w:tcPr>
            <w:tcW w:w="8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(301,651)</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7"/>
              </w:rPr>
              <w:t>2016 - 2020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1"/>
                <w:szCs w:val="11"/>
                <w:color w:val="auto"/>
              </w:rPr>
              <w:t>Paris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82,789</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3"/>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355,386</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879,436</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94,775</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1,222,836</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1,317,611</w:t>
            </w:r>
          </w:p>
        </w:tc>
        <w:tc>
          <w:tcPr>
            <w:tcW w:w="800" w:type="dxa"/>
            <w:vAlign w:val="bottom"/>
            <w:gridSpan w:val="4"/>
          </w:tcPr>
          <w:p>
            <w:pPr>
              <w:jc w:val="right"/>
              <w:ind w:right="100"/>
              <w:spacing w:after="0"/>
              <w:rPr>
                <w:sz w:val="20"/>
                <w:szCs w:val="20"/>
                <w:color w:val="auto"/>
              </w:rPr>
            </w:pPr>
            <w:r>
              <w:rPr>
                <w:rFonts w:ascii="Times New Roman" w:cs="Times New Roman" w:eastAsia="Times New Roman" w:hAnsi="Times New Roman"/>
                <w:sz w:val="11"/>
                <w:szCs w:val="11"/>
                <w:color w:val="auto"/>
              </w:rPr>
              <w:t>(166,481)</w:t>
            </w: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2012 - 2024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Johannesburg</w:t>
            </w:r>
          </w:p>
        </w:tc>
        <w:tc>
          <w:tcPr>
            <w:tcW w:w="5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10,099</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1,008,751</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293,876</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8,853</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1,303,873</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1,312,726</w:t>
            </w:r>
          </w:p>
        </w:tc>
        <w:tc>
          <w:tcPr>
            <w:tcW w:w="8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(190,141)</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2022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1"/>
                <w:szCs w:val="11"/>
                <w:color w:val="auto"/>
              </w:rPr>
              <w:t>Amsterdam</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87,674</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3"/>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975,654</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124,964</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83,102</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1,105,190</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1,188,292</w:t>
            </w:r>
          </w:p>
        </w:tc>
        <w:tc>
          <w:tcPr>
            <w:tcW w:w="800" w:type="dxa"/>
            <w:vAlign w:val="bottom"/>
            <w:gridSpan w:val="4"/>
          </w:tcPr>
          <w:p>
            <w:pPr>
              <w:jc w:val="right"/>
              <w:ind w:right="100"/>
              <w:spacing w:after="0"/>
              <w:rPr>
                <w:sz w:val="20"/>
                <w:szCs w:val="20"/>
                <w:color w:val="auto"/>
              </w:rPr>
            </w:pPr>
            <w:r>
              <w:rPr>
                <w:rFonts w:ascii="Times New Roman" w:cs="Times New Roman" w:eastAsia="Times New Roman" w:hAnsi="Times New Roman"/>
                <w:sz w:val="11"/>
                <w:szCs w:val="11"/>
                <w:color w:val="auto"/>
              </w:rPr>
              <w:t>(303,068)</w:t>
            </w: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2005 - 2024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Marseille</w:t>
            </w:r>
          </w:p>
        </w:tc>
        <w:tc>
          <w:tcPr>
            <w:tcW w:w="5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1,121</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220,737</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431,426</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1,014</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652,271</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653,285</w:t>
            </w:r>
          </w:p>
        </w:tc>
        <w:tc>
          <w:tcPr>
            <w:tcW w:w="8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(104,746)</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2020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1"/>
                <w:szCs w:val="11"/>
                <w:color w:val="auto"/>
              </w:rPr>
              <w:t>Zurich</w:t>
            </w:r>
          </w:p>
        </w:tc>
        <w:tc>
          <w:tcPr>
            <w:tcW w:w="560" w:type="dxa"/>
            <w:vAlign w:val="bottom"/>
            <w:gridSpan w:val="2"/>
          </w:tcPr>
          <w:p>
            <w:pPr>
              <w:jc w:val="right"/>
              <w:ind w:right="8"/>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20,605</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3"/>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48,325</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532,316</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44,011</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557,235</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601,246</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(66,645)</w:t>
            </w: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2020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Cape Town</w:t>
            </w:r>
          </w:p>
        </w:tc>
        <w:tc>
          <w:tcPr>
            <w:tcW w:w="5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5,100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276,021</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190,733</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4,470</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467,384</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471,854</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(44,348)</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2022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1"/>
                <w:szCs w:val="11"/>
                <w:color w:val="auto"/>
              </w:rPr>
              <w:t>Dublin</w:t>
            </w:r>
          </w:p>
        </w:tc>
        <w:tc>
          <w:tcPr>
            <w:tcW w:w="560" w:type="dxa"/>
            <w:vAlign w:val="bottom"/>
            <w:gridSpan w:val="2"/>
          </w:tcPr>
          <w:p>
            <w:pPr>
              <w:jc w:val="right"/>
              <w:ind w:right="8"/>
              <w:spacing w:after="0"/>
              <w:rPr>
                <w:sz w:val="20"/>
                <w:szCs w:val="20"/>
                <w:color w:val="auto"/>
              </w:rPr>
            </w:pPr>
            <w:r>
              <w:rPr>
                <w:rFonts w:ascii="Times New Roman" w:cs="Times New Roman" w:eastAsia="Times New Roman" w:hAnsi="Times New Roman"/>
                <w:sz w:val="11"/>
                <w:szCs w:val="11"/>
                <w:color w:val="auto"/>
              </w:rPr>
              <w:t>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11,722</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90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89,597</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365,981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7,308</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86</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459,996</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467,390</w:t>
            </w:r>
          </w:p>
        </w:tc>
        <w:tc>
          <w:tcPr>
            <w:tcW w:w="800" w:type="dxa"/>
            <w:vAlign w:val="bottom"/>
            <w:gridSpan w:val="4"/>
          </w:tcPr>
          <w:p>
            <w:pPr>
              <w:jc w:val="right"/>
              <w:ind w:right="100"/>
              <w:spacing w:after="0"/>
              <w:rPr>
                <w:sz w:val="20"/>
                <w:szCs w:val="20"/>
                <w:color w:val="auto"/>
              </w:rPr>
            </w:pPr>
            <w:r>
              <w:rPr>
                <w:rFonts w:ascii="Times New Roman" w:cs="Times New Roman" w:eastAsia="Times New Roman" w:hAnsi="Times New Roman"/>
                <w:sz w:val="11"/>
                <w:szCs w:val="11"/>
                <w:color w:val="auto"/>
              </w:rPr>
              <w:t>(148,253)</w:t>
            </w: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2006 - 2020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Vienna</w:t>
            </w:r>
          </w:p>
        </w:tc>
        <w:tc>
          <w:tcPr>
            <w:tcW w:w="5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14,159</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364,949</w:t>
            </w:r>
          </w:p>
        </w:tc>
        <w:tc>
          <w:tcPr>
            <w:tcW w:w="8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(303)</w:t>
            </w: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12,291</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366,514</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378,805</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(89,174)</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2020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1"/>
                <w:szCs w:val="11"/>
                <w:color w:val="auto"/>
              </w:rPr>
              <w:t>Brussels</w:t>
            </w:r>
          </w:p>
        </w:tc>
        <w:tc>
          <w:tcPr>
            <w:tcW w:w="560" w:type="dxa"/>
            <w:vAlign w:val="bottom"/>
            <w:gridSpan w:val="2"/>
          </w:tcPr>
          <w:p>
            <w:pPr>
              <w:jc w:val="right"/>
              <w:ind w:right="8"/>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3,874</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3"/>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118,034</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160,651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10,785</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271,774</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282,559</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(36,063)</w:t>
            </w: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2020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Madrid</w:t>
            </w:r>
          </w:p>
        </w:tc>
        <w:tc>
          <w:tcPr>
            <w:tcW w:w="5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8,456</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134,817</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59,959</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12,561</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190,671</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203,232</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(37,257)</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2020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1"/>
                <w:szCs w:val="11"/>
                <w:color w:val="auto"/>
              </w:rPr>
              <w:t>Copenhagen</w:t>
            </w:r>
          </w:p>
        </w:tc>
        <w:tc>
          <w:tcPr>
            <w:tcW w:w="560" w:type="dxa"/>
            <w:vAlign w:val="bottom"/>
            <w:gridSpan w:val="2"/>
          </w:tcPr>
          <w:p>
            <w:pPr>
              <w:jc w:val="right"/>
              <w:ind w:right="8"/>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11,665</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3"/>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107,529</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53,859</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4,295</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168,758</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173,053</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(31,909)</w:t>
            </w: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2020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Stockholm</w:t>
            </w:r>
          </w:p>
        </w:tc>
        <w:tc>
          <w:tcPr>
            <w:tcW w:w="5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93,861</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59,609</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153,344</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153,470</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(36,164)</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2020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1"/>
                <w:szCs w:val="11"/>
                <w:color w:val="auto"/>
              </w:rPr>
              <w:t>Dusseldorf</w:t>
            </w:r>
          </w:p>
        </w:tc>
        <w:tc>
          <w:tcPr>
            <w:tcW w:w="560" w:type="dxa"/>
            <w:vAlign w:val="bottom"/>
            <w:gridSpan w:val="2"/>
          </w:tcPr>
          <w:p>
            <w:pPr>
              <w:jc w:val="right"/>
              <w:ind w:right="8"/>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3"/>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30,093</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108,371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138,464</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138,464</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(24,839)</w:t>
            </w: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2020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Durban</w:t>
            </w:r>
          </w:p>
        </w:tc>
        <w:tc>
          <w:tcPr>
            <w:tcW w:w="5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66,646</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4,062</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789</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70,819</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71,608</w:t>
            </w:r>
          </w:p>
        </w:tc>
        <w:tc>
          <w:tcPr>
            <w:tcW w:w="8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(8,578)</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2022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1"/>
                <w:szCs w:val="11"/>
                <w:color w:val="auto"/>
              </w:rPr>
              <w:t>Europe - Other</w:t>
            </w:r>
          </w:p>
        </w:tc>
        <w:tc>
          <w:tcPr>
            <w:tcW w:w="560" w:type="dxa"/>
            <w:vAlign w:val="bottom"/>
            <w:gridSpan w:val="2"/>
          </w:tcPr>
          <w:p>
            <w:pPr>
              <w:jc w:val="right"/>
              <w:ind w:right="8"/>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3,144</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3"/>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43,046</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533,741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88,641</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491,290</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579,931</w:t>
            </w:r>
          </w:p>
        </w:tc>
        <w:tc>
          <w:tcPr>
            <w:tcW w:w="800" w:type="dxa"/>
            <w:vAlign w:val="bottom"/>
            <w:gridSpan w:val="4"/>
          </w:tcPr>
          <w:p>
            <w:pPr>
              <w:jc w:val="right"/>
              <w:ind w:right="100"/>
              <w:spacing w:after="0"/>
              <w:rPr>
                <w:sz w:val="20"/>
                <w:szCs w:val="20"/>
                <w:color w:val="auto"/>
              </w:rPr>
            </w:pPr>
            <w:r>
              <w:rPr>
                <w:rFonts w:ascii="Times New Roman" w:cs="Times New Roman" w:eastAsia="Times New Roman" w:hAnsi="Times New Roman"/>
                <w:sz w:val="11"/>
                <w:szCs w:val="11"/>
                <w:color w:val="auto"/>
              </w:rPr>
              <w:t>(172,162)</w:t>
            </w: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Africa - Other</w:t>
            </w:r>
          </w:p>
        </w:tc>
        <w:tc>
          <w:tcPr>
            <w:tcW w:w="5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39,913</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3,647</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36,266</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39,913</w:t>
            </w:r>
          </w:p>
        </w:tc>
        <w:tc>
          <w:tcPr>
            <w:tcW w:w="8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(5,005)</w:t>
            </w: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220" w:type="dxa"/>
            <w:vAlign w:val="bottom"/>
            <w:gridSpan w:val="2"/>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Total EMEA</w:t>
            </w:r>
          </w:p>
        </w:tc>
        <w:tc>
          <w:tcPr>
            <w:tcW w:w="40" w:type="dxa"/>
            <w:vAlign w:val="bottom"/>
          </w:tcPr>
          <w:p>
            <w:pPr>
              <w:spacing w:after="0"/>
              <w:rPr>
                <w:sz w:val="10"/>
                <w:szCs w:val="10"/>
                <w:color w:val="auto"/>
              </w:rPr>
            </w:pPr>
          </w:p>
        </w:tc>
        <w:tc>
          <w:tcPr>
            <w:tcW w:w="520" w:type="dxa"/>
            <w:vAlign w:val="bottom"/>
            <w:tcBorders>
              <w:top w:val="single" w:sz="8" w:color="auto"/>
            </w:tcBorders>
          </w:tcPr>
          <w:p>
            <w:pPr>
              <w:jc w:val="right"/>
              <w:ind w:right="8"/>
              <w:spacing w:after="0" w:line="124" w:lineRule="exact"/>
              <w:rPr>
                <w:sz w:val="20"/>
                <w:szCs w:val="20"/>
                <w:color w:val="auto"/>
              </w:rPr>
            </w:pPr>
            <w:r>
              <w:rPr>
                <w:rFonts w:ascii="Times New Roman" w:cs="Times New Roman" w:eastAsia="Times New Roman" w:hAnsi="Times New Roman"/>
                <w:sz w:val="11"/>
                <w:szCs w:val="11"/>
                <w:color w:val="auto"/>
              </w:rPr>
              <w:t>118</w:t>
            </w: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440" w:type="dxa"/>
            <w:vAlign w:val="bottom"/>
            <w:tcBorders>
              <w:top w:val="single" w:sz="8" w:color="auto"/>
            </w:tcBorders>
            <w:gridSpan w:val="2"/>
          </w:tcPr>
          <w:p>
            <w:pPr>
              <w:jc w:val="right"/>
              <w:spacing w:after="0" w:line="124" w:lineRule="exact"/>
              <w:rPr>
                <w:sz w:val="20"/>
                <w:szCs w:val="20"/>
                <w:color w:val="auto"/>
              </w:rPr>
            </w:pPr>
            <w:r>
              <w:rPr>
                <w:rFonts w:ascii="Times New Roman" w:cs="Times New Roman" w:eastAsia="Times New Roman" w:hAnsi="Times New Roman"/>
                <w:sz w:val="11"/>
                <w:szCs w:val="11"/>
                <w:color w:val="auto"/>
              </w:rPr>
              <w:t>363,931</w:t>
            </w: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ind w:left="240"/>
              <w:spacing w:after="0" w:line="124" w:lineRule="exact"/>
              <w:rPr>
                <w:sz w:val="20"/>
                <w:szCs w:val="20"/>
                <w:color w:val="auto"/>
              </w:rPr>
            </w:pPr>
            <w:r>
              <w:rPr>
                <w:rFonts w:ascii="Times New Roman" w:cs="Times New Roman" w:eastAsia="Times New Roman" w:hAnsi="Times New Roman"/>
                <w:sz w:val="11"/>
                <w:szCs w:val="11"/>
                <w:color w:val="auto"/>
              </w:rPr>
              <w:t>90</w:t>
            </w: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6,083,448</w:t>
            </w:r>
          </w:p>
        </w:tc>
        <w:tc>
          <w:tcPr>
            <w:tcW w:w="100" w:type="dxa"/>
            <w:vAlign w:val="bottom"/>
          </w:tcPr>
          <w:p>
            <w:pPr>
              <w:spacing w:after="0"/>
              <w:rPr>
                <w:sz w:val="10"/>
                <w:szCs w:val="10"/>
                <w:color w:val="auto"/>
              </w:rPr>
            </w:pPr>
          </w:p>
        </w:tc>
        <w:tc>
          <w:tcPr>
            <w:tcW w:w="660" w:type="dxa"/>
            <w:vAlign w:val="bottom"/>
            <w:tcBorders>
              <w:top w:val="single" w:sz="8" w:color="auto"/>
            </w:tcBorders>
            <w:gridSpan w:val="2"/>
          </w:tcPr>
          <w:p>
            <w:pPr>
              <w:jc w:val="right"/>
              <w:spacing w:after="0" w:line="124" w:lineRule="exact"/>
              <w:rPr>
                <w:sz w:val="20"/>
                <w:szCs w:val="20"/>
                <w:color w:val="auto"/>
              </w:rPr>
            </w:pPr>
            <w:r>
              <w:rPr>
                <w:rFonts w:ascii="Times New Roman" w:cs="Times New Roman" w:eastAsia="Times New Roman" w:hAnsi="Times New Roman"/>
                <w:sz w:val="11"/>
                <w:szCs w:val="11"/>
                <w:color w:val="auto"/>
              </w:rPr>
              <w:t>4,941,850</w:t>
            </w: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Borders>
              <w:top w:val="single" w:sz="8" w:color="auto"/>
            </w:tcBorders>
            <w:gridSpan w:val="2"/>
          </w:tcPr>
          <w:p>
            <w:pPr>
              <w:jc w:val="right"/>
              <w:spacing w:after="0" w:line="124" w:lineRule="exact"/>
              <w:rPr>
                <w:sz w:val="20"/>
                <w:szCs w:val="20"/>
                <w:color w:val="auto"/>
              </w:rPr>
            </w:pPr>
            <w:r>
              <w:rPr>
                <w:rFonts w:ascii="Times New Roman" w:cs="Times New Roman" w:eastAsia="Times New Roman" w:hAnsi="Times New Roman"/>
                <w:sz w:val="11"/>
                <w:szCs w:val="11"/>
                <w:color w:val="auto"/>
              </w:rPr>
              <w:t>509,264</w:t>
            </w:r>
          </w:p>
        </w:tc>
        <w:tc>
          <w:tcPr>
            <w:tcW w:w="10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gridSpan w:val="2"/>
          </w:tcPr>
          <w:p>
            <w:pPr>
              <w:jc w:val="right"/>
              <w:spacing w:after="0" w:line="124" w:lineRule="exact"/>
              <w:rPr>
                <w:sz w:val="20"/>
                <w:szCs w:val="20"/>
                <w:color w:val="auto"/>
              </w:rPr>
            </w:pPr>
            <w:r>
              <w:rPr>
                <w:rFonts w:ascii="Times New Roman" w:cs="Times New Roman" w:eastAsia="Times New Roman" w:hAnsi="Times New Roman"/>
                <w:sz w:val="11"/>
                <w:szCs w:val="11"/>
                <w:color w:val="auto"/>
              </w:rPr>
              <w:t>86</w:t>
            </w:r>
          </w:p>
        </w:tc>
        <w:tc>
          <w:tcPr>
            <w:tcW w:w="100" w:type="dxa"/>
            <w:vAlign w:val="bottom"/>
          </w:tcPr>
          <w:p>
            <w:pPr>
              <w:spacing w:after="0"/>
              <w:rPr>
                <w:sz w:val="10"/>
                <w:szCs w:val="10"/>
                <w:color w:val="auto"/>
              </w:rPr>
            </w:pPr>
          </w:p>
        </w:tc>
        <w:tc>
          <w:tcPr>
            <w:tcW w:w="640" w:type="dxa"/>
            <w:vAlign w:val="bottom"/>
            <w:tcBorders>
              <w:top w:val="single" w:sz="8" w:color="auto"/>
            </w:tcBorders>
            <w:gridSpan w:val="2"/>
          </w:tcPr>
          <w:p>
            <w:pPr>
              <w:jc w:val="right"/>
              <w:spacing w:after="0" w:line="124" w:lineRule="exact"/>
              <w:rPr>
                <w:sz w:val="20"/>
                <w:szCs w:val="20"/>
                <w:color w:val="auto"/>
              </w:rPr>
            </w:pPr>
            <w:r>
              <w:rPr>
                <w:rFonts w:ascii="Times New Roman" w:cs="Times New Roman" w:eastAsia="Times New Roman" w:hAnsi="Times New Roman"/>
                <w:sz w:val="11"/>
                <w:szCs w:val="11"/>
                <w:color w:val="auto"/>
              </w:rPr>
              <w:t>10,879,969</w:t>
            </w:r>
          </w:p>
        </w:tc>
        <w:tc>
          <w:tcPr>
            <w:tcW w:w="100" w:type="dxa"/>
            <w:vAlign w:val="bottom"/>
          </w:tcPr>
          <w:p>
            <w:pPr>
              <w:spacing w:after="0"/>
              <w:rPr>
                <w:sz w:val="10"/>
                <w:szCs w:val="10"/>
                <w:color w:val="auto"/>
              </w:rPr>
            </w:pPr>
          </w:p>
        </w:tc>
        <w:tc>
          <w:tcPr>
            <w:tcW w:w="580" w:type="dxa"/>
            <w:vAlign w:val="bottom"/>
            <w:tcBorders>
              <w:top w:val="single" w:sz="8" w:color="auto"/>
            </w:tcBorders>
            <w:gridSpan w:val="2"/>
          </w:tcPr>
          <w:p>
            <w:pPr>
              <w:jc w:val="right"/>
              <w:spacing w:after="0" w:line="124" w:lineRule="exact"/>
              <w:rPr>
                <w:sz w:val="20"/>
                <w:szCs w:val="20"/>
                <w:color w:val="auto"/>
              </w:rPr>
            </w:pPr>
            <w:r>
              <w:rPr>
                <w:rFonts w:ascii="Times New Roman" w:cs="Times New Roman" w:eastAsia="Times New Roman" w:hAnsi="Times New Roman"/>
                <w:sz w:val="11"/>
                <w:szCs w:val="11"/>
                <w:color w:val="auto"/>
              </w:rPr>
              <w:t>11,389,319</w:t>
            </w:r>
          </w:p>
        </w:tc>
        <w:tc>
          <w:tcPr>
            <w:tcW w:w="100" w:type="dxa"/>
            <w:vAlign w:val="bottom"/>
          </w:tcPr>
          <w:p>
            <w:pPr>
              <w:spacing w:after="0"/>
              <w:rPr>
                <w:sz w:val="10"/>
                <w:szCs w:val="10"/>
                <w:color w:val="auto"/>
              </w:rPr>
            </w:pPr>
          </w:p>
        </w:tc>
        <w:tc>
          <w:tcPr>
            <w:tcW w:w="600" w:type="dxa"/>
            <w:vAlign w:val="bottom"/>
            <w:tcBorders>
              <w:top w:val="single" w:sz="8" w:color="auto"/>
            </w:tcBorders>
            <w:gridSpan w:val="2"/>
          </w:tcPr>
          <w:p>
            <w:pPr>
              <w:jc w:val="right"/>
              <w:spacing w:after="0" w:line="124" w:lineRule="exact"/>
              <w:rPr>
                <w:sz w:val="20"/>
                <w:szCs w:val="20"/>
                <w:color w:val="auto"/>
              </w:rPr>
            </w:pPr>
            <w:r>
              <w:rPr>
                <w:rFonts w:ascii="Times New Roman" w:cs="Times New Roman" w:eastAsia="Times New Roman" w:hAnsi="Times New Roman"/>
                <w:sz w:val="11"/>
                <w:szCs w:val="11"/>
                <w:color w:val="auto"/>
              </w:rPr>
              <w:t>(2,328,056)</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APAC Markets</w:t>
            </w: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Singapore</w:t>
            </w:r>
          </w:p>
        </w:tc>
        <w:tc>
          <w:tcPr>
            <w:tcW w:w="5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137,545</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722,405</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859,950</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859,950</w:t>
            </w:r>
          </w:p>
        </w:tc>
        <w:tc>
          <w:tcPr>
            <w:tcW w:w="8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(335,413)</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7"/>
              </w:rPr>
              <w:t>2010 - 2015</w:t>
            </w:r>
          </w:p>
        </w:tc>
        <w:tc>
          <w:tcPr>
            <w:tcW w:w="0" w:type="dxa"/>
            <w:vAlign w:val="bottom"/>
          </w:tcPr>
          <w:p>
            <w:pPr>
              <w:spacing w:after="0"/>
              <w:rPr>
                <w:sz w:val="1"/>
                <w:szCs w:val="1"/>
                <w:color w:val="auto"/>
              </w:rPr>
            </w:pPr>
          </w:p>
        </w:tc>
      </w:tr>
    </w:tbl>
    <w:p>
      <w:pPr>
        <w:spacing w:after="0" w:line="37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310515</wp:posOffset>
            </wp:positionV>
            <wp:extent cx="5632450" cy="152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632450" cy="15240"/>
                    </a:xfrm>
                    <a:prstGeom prst="rect">
                      <a:avLst/>
                    </a:prstGeom>
                    <a:noFill/>
                  </pic:spPr>
                </pic:pic>
              </a:graphicData>
            </a:graphic>
          </wp:anchor>
        </w:drawing>
      </w:r>
    </w:p>
    <w:p>
      <w:pPr>
        <w:sectPr>
          <w:pgSz w:w="11900" w:h="16840" w:orient="portrait"/>
          <w:cols w:equalWidth="0" w:num="1">
            <w:col w:w="9580"/>
          </w:cols>
          <w:pgMar w:left="1440" w:top="557" w:right="880" w:bottom="1440" w:gutter="0" w:footer="0" w:header="0"/>
        </w:sectPr>
      </w:pPr>
    </w:p>
    <w:bookmarkStart w:id="162" w:name="page163"/>
    <w:bookmarkEnd w:id="162"/>
    <w:p>
      <w:pPr>
        <w:ind w:left="6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92" w:lineRule="exact"/>
        <w:rPr>
          <w:sz w:val="20"/>
          <w:szCs w:val="20"/>
          <w:color w:val="auto"/>
        </w:rPr>
      </w:pPr>
    </w:p>
    <w:p>
      <w:pPr>
        <w:ind w:left="6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DIGITAL REALTY TRUST,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DIGITAL REALTY TRUST, L.P.</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SCHEDULE III</w:t>
      </w:r>
    </w:p>
    <w:p>
      <w:pPr>
        <w:jc w:val="center"/>
        <w:spacing w:after="0" w:line="235" w:lineRule="auto"/>
        <w:rPr>
          <w:sz w:val="20"/>
          <w:szCs w:val="20"/>
          <w:color w:val="auto"/>
        </w:rPr>
      </w:pPr>
      <w:r>
        <w:rPr>
          <w:rFonts w:ascii="Times New Roman" w:cs="Times New Roman" w:eastAsia="Times New Roman" w:hAnsi="Times New Roman"/>
          <w:sz w:val="16"/>
          <w:szCs w:val="16"/>
          <w:b w:val="1"/>
          <w:bCs w:val="1"/>
          <w:color w:val="auto"/>
        </w:rPr>
        <w:t xml:space="preserve">PROPERTIES AND ACCUMULATED </w:t>
      </w:r>
      <w:r>
        <w:rPr>
          <w:rFonts w:ascii="Times New Roman" w:cs="Times New Roman" w:eastAsia="Times New Roman" w:hAnsi="Times New Roman"/>
          <w:sz w:val="16"/>
          <w:szCs w:val="16"/>
          <w:color w:val="auto"/>
        </w:rPr>
        <w:t>DEPRECIATION</w:t>
      </w:r>
      <w:r>
        <w:rPr>
          <w:rFonts w:ascii="Times New Roman" w:cs="Times New Roman" w:eastAsia="Times New Roman" w:hAnsi="Times New Roman"/>
          <w:sz w:val="16"/>
          <w:szCs w:val="16"/>
          <w:b w:val="1"/>
          <w:bCs w:val="1"/>
          <w:color w:val="auto"/>
        </w:rPr>
        <w:t>- (Continued)</w:t>
      </w:r>
    </w:p>
    <w:p>
      <w:pPr>
        <w:jc w:val="center"/>
        <w:spacing w:after="0" w:line="235" w:lineRule="auto"/>
        <w:rPr>
          <w:sz w:val="20"/>
          <w:szCs w:val="20"/>
          <w:color w:val="auto"/>
        </w:rPr>
      </w:pPr>
      <w:r>
        <w:rPr>
          <w:rFonts w:ascii="Times New Roman" w:cs="Times New Roman" w:eastAsia="Times New Roman" w:hAnsi="Times New Roman"/>
          <w:sz w:val="16"/>
          <w:szCs w:val="16"/>
          <w:b w:val="1"/>
          <w:bCs w:val="1"/>
          <w:color w:val="auto"/>
        </w:rPr>
        <w:t>December 31, 2024</w:t>
      </w: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(Dollar amounts in thousands)</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132"/>
        </w:trPr>
        <w:tc>
          <w:tcPr>
            <w:tcW w:w="1000" w:type="dxa"/>
            <w:vAlign w:val="bottom"/>
          </w:tcPr>
          <w:p>
            <w:pPr>
              <w:spacing w:after="0"/>
              <w:rPr>
                <w:sz w:val="20"/>
                <w:szCs w:val="20"/>
                <w:color w:val="auto"/>
              </w:rPr>
            </w:pPr>
            <w:r>
              <w:rPr>
                <w:rFonts w:ascii="Times New Roman" w:cs="Times New Roman" w:eastAsia="Times New Roman" w:hAnsi="Times New Roman"/>
                <w:sz w:val="11"/>
                <w:szCs w:val="11"/>
                <w:color w:val="auto"/>
              </w:rPr>
              <w:t>Sydney</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18,285</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3,868</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174,150</w:t>
            </w:r>
          </w:p>
        </w:tc>
        <w:tc>
          <w:tcPr>
            <w:tcW w:w="8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19,221</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177,082</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196,303</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(50,907)</w:t>
            </w:r>
          </w:p>
        </w:tc>
        <w:tc>
          <w:tcPr>
            <w:tcW w:w="40" w:type="dxa"/>
            <w:vAlign w:val="bottom"/>
          </w:tcPr>
          <w:p>
            <w:pPr>
              <w:spacing w:after="0"/>
              <w:rPr>
                <w:sz w:val="11"/>
                <w:szCs w:val="11"/>
                <w:color w:val="auto"/>
              </w:rPr>
            </w:pP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w w:val="97"/>
              </w:rPr>
              <w:t>2011 - 2012</w:t>
            </w:r>
          </w:p>
        </w:tc>
      </w:tr>
      <w:tr>
        <w:trPr>
          <w:trHeight w:val="132"/>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Seoul</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116,622</w:t>
            </w: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15,384</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101,238</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116,622</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(11,708)</w:t>
            </w: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2022</w:t>
            </w:r>
          </w:p>
        </w:tc>
        <w:tc>
          <w:tcPr>
            <w:tcW w:w="20" w:type="dxa"/>
            <w:vAlign w:val="bottom"/>
          </w:tcPr>
          <w:p>
            <w:pPr>
              <w:spacing w:after="0"/>
              <w:rPr>
                <w:sz w:val="11"/>
                <w:szCs w:val="11"/>
                <w:color w:val="auto"/>
              </w:rPr>
            </w:pPr>
          </w:p>
        </w:tc>
      </w:tr>
      <w:tr>
        <w:trPr>
          <w:trHeight w:val="132"/>
        </w:trPr>
        <w:tc>
          <w:tcPr>
            <w:tcW w:w="1000" w:type="dxa"/>
            <w:vAlign w:val="bottom"/>
          </w:tcPr>
          <w:p>
            <w:pPr>
              <w:spacing w:after="0"/>
              <w:rPr>
                <w:sz w:val="20"/>
                <w:szCs w:val="20"/>
                <w:color w:val="auto"/>
              </w:rPr>
            </w:pPr>
            <w:r>
              <w:rPr>
                <w:rFonts w:ascii="Times New Roman" w:cs="Times New Roman" w:eastAsia="Times New Roman" w:hAnsi="Times New Roman"/>
                <w:sz w:val="11"/>
                <w:szCs w:val="11"/>
                <w:color w:val="auto"/>
              </w:rPr>
              <w:t>Melbourne</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4,467</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95,045</w:t>
            </w:r>
          </w:p>
        </w:tc>
        <w:tc>
          <w:tcPr>
            <w:tcW w:w="8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2,712</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96,800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99,512</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(50,819)</w:t>
            </w:r>
          </w:p>
        </w:tc>
        <w:tc>
          <w:tcPr>
            <w:tcW w:w="40" w:type="dxa"/>
            <w:vAlign w:val="bottom"/>
          </w:tcPr>
          <w:p>
            <w:pPr>
              <w:spacing w:after="0"/>
              <w:rPr>
                <w:sz w:val="11"/>
                <w:szCs w:val="11"/>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2011</w:t>
            </w:r>
          </w:p>
        </w:tc>
        <w:tc>
          <w:tcPr>
            <w:tcW w:w="20" w:type="dxa"/>
            <w:vAlign w:val="bottom"/>
          </w:tcPr>
          <w:p>
            <w:pPr>
              <w:spacing w:after="0"/>
              <w:rPr>
                <w:sz w:val="11"/>
                <w:szCs w:val="11"/>
                <w:color w:val="auto"/>
              </w:rPr>
            </w:pPr>
          </w:p>
        </w:tc>
      </w:tr>
      <w:tr>
        <w:trPr>
          <w:trHeight w:val="132"/>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Hong Kong</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79,612</w:t>
            </w: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79,612</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79,612</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(16,349)</w:t>
            </w: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2021</w:t>
            </w:r>
          </w:p>
        </w:tc>
        <w:tc>
          <w:tcPr>
            <w:tcW w:w="20" w:type="dxa"/>
            <w:vAlign w:val="bottom"/>
          </w:tcPr>
          <w:p>
            <w:pPr>
              <w:spacing w:after="0"/>
              <w:rPr>
                <w:sz w:val="11"/>
                <w:szCs w:val="11"/>
                <w:color w:val="auto"/>
              </w:rPr>
            </w:pPr>
          </w:p>
        </w:tc>
      </w:tr>
      <w:tr>
        <w:trPr>
          <w:trHeight w:val="132"/>
        </w:trPr>
        <w:tc>
          <w:tcPr>
            <w:tcW w:w="1000" w:type="dxa"/>
            <w:vAlign w:val="bottom"/>
          </w:tcPr>
          <w:p>
            <w:pPr>
              <w:spacing w:after="0"/>
              <w:rPr>
                <w:sz w:val="20"/>
                <w:szCs w:val="20"/>
                <w:color w:val="auto"/>
              </w:rPr>
            </w:pPr>
            <w:r>
              <w:rPr>
                <w:rFonts w:ascii="Times New Roman" w:cs="Times New Roman" w:eastAsia="Times New Roman" w:hAnsi="Times New Roman"/>
                <w:sz w:val="11"/>
                <w:szCs w:val="11"/>
                <w:color w:val="auto"/>
              </w:rPr>
              <w:t>Asia Pacific - Other</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6,128</w:t>
            </w:r>
          </w:p>
        </w:tc>
        <w:tc>
          <w:tcPr>
            <w:tcW w:w="8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6,128</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6,128</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(2,450)</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4"/>
        </w:trPr>
        <w:tc>
          <w:tcPr>
            <w:tcW w:w="100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Total APAC</w:t>
            </w:r>
          </w:p>
        </w:tc>
        <w:tc>
          <w:tcPr>
            <w:tcW w:w="40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11</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22,752</w:t>
            </w:r>
          </w:p>
        </w:tc>
        <w:tc>
          <w:tcPr>
            <w:tcW w:w="6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ind w:left="160"/>
              <w:spacing w:after="0" w:line="124"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141,413</w:t>
            </w:r>
          </w:p>
        </w:tc>
        <w:tc>
          <w:tcPr>
            <w:tcW w:w="8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1,193,962</w:t>
            </w:r>
          </w:p>
        </w:tc>
        <w:tc>
          <w:tcPr>
            <w:tcW w:w="8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37,317</w:t>
            </w:r>
          </w:p>
        </w:tc>
        <w:tc>
          <w:tcPr>
            <w:tcW w:w="8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ind w:left="160"/>
              <w:spacing w:after="0" w:line="124"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1,320,810</w:t>
            </w:r>
          </w:p>
        </w:tc>
        <w:tc>
          <w:tcPr>
            <w:tcW w:w="8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1,358,127</w:t>
            </w:r>
          </w:p>
        </w:tc>
        <w:tc>
          <w:tcPr>
            <w:tcW w:w="8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(467,646)</w:t>
            </w:r>
          </w:p>
        </w:tc>
        <w:tc>
          <w:tcPr>
            <w:tcW w:w="4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CCEEFF"/>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32"/>
        </w:trPr>
        <w:tc>
          <w:tcPr>
            <w:tcW w:w="100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540" w:type="dxa"/>
            <w:vAlign w:val="bottom"/>
            <w:tcBorders>
              <w:bottom w:val="single" w:sz="8" w:color="CCEEFF"/>
            </w:tcBorders>
          </w:tcPr>
          <w:p>
            <w:pPr>
              <w:spacing w:after="0"/>
              <w:rPr>
                <w:sz w:val="11"/>
                <w:szCs w:val="11"/>
                <w:color w:val="auto"/>
              </w:rPr>
            </w:pPr>
          </w:p>
        </w:tc>
        <w:tc>
          <w:tcPr>
            <w:tcW w:w="20" w:type="dxa"/>
            <w:vAlign w:val="bottom"/>
          </w:tcPr>
          <w:p>
            <w:pPr>
              <w:spacing w:after="0"/>
              <w:rPr>
                <w:sz w:val="11"/>
                <w:szCs w:val="11"/>
                <w:color w:val="auto"/>
              </w:rPr>
            </w:pPr>
          </w:p>
        </w:tc>
      </w:tr>
      <w:tr>
        <w:trPr>
          <w:trHeight w:val="124"/>
        </w:trPr>
        <w:tc>
          <w:tcPr>
            <w:tcW w:w="1000" w:type="dxa"/>
            <w:vAlign w:val="bottom"/>
            <w:tcBorders>
              <w:bottom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Total Portfolio</w:t>
            </w:r>
          </w:p>
        </w:tc>
        <w:tc>
          <w:tcPr>
            <w:tcW w:w="40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230</w:t>
            </w: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6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135,000</w:t>
            </w:r>
          </w:p>
        </w:tc>
        <w:tc>
          <w:tcPr>
            <w:tcW w:w="6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  942,144</w:t>
            </w:r>
          </w:p>
        </w:tc>
        <w:tc>
          <w:tcPr>
            <w:tcW w:w="6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jc w:val="right"/>
              <w:ind w:right="106"/>
              <w:spacing w:after="0" w:line="124"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300" w:type="dxa"/>
            <w:vAlign w:val="bottom"/>
            <w:tcBorders>
              <w:bottom w:val="single" w:sz="8" w:color="auto"/>
            </w:tcBorders>
            <w:shd w:val="clear" w:color="auto" w:fill="CCEEFF"/>
          </w:tcPr>
          <w:p>
            <w:pPr>
              <w:ind w:left="160"/>
              <w:spacing w:after="0" w:line="124" w:lineRule="exact"/>
              <w:rPr>
                <w:sz w:val="20"/>
                <w:szCs w:val="20"/>
                <w:color w:val="auto"/>
              </w:rPr>
            </w:pPr>
            <w:r>
              <w:rPr>
                <w:rFonts w:ascii="Times New Roman" w:cs="Times New Roman" w:eastAsia="Times New Roman" w:hAnsi="Times New Roman"/>
                <w:sz w:val="11"/>
                <w:szCs w:val="11"/>
                <w:b w:val="1"/>
                <w:bCs w:val="1"/>
                <w:color w:val="auto"/>
              </w:rPr>
              <w:t>90</w:t>
            </w:r>
          </w:p>
        </w:tc>
        <w:tc>
          <w:tcPr>
            <w:tcW w:w="8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u w:val="single" w:color="auto"/>
                <w:color w:val="auto"/>
                <w:w w:val="94"/>
              </w:rPr>
              <w:t>$</w:t>
            </w:r>
            <w:r>
              <w:rPr>
                <w:rFonts w:ascii="Times New Roman" w:cs="Times New Roman" w:eastAsia="Times New Roman" w:hAnsi="Times New Roman"/>
                <w:sz w:val="11"/>
                <w:szCs w:val="11"/>
                <w:b w:val="1"/>
                <w:bCs w:val="1"/>
                <w:color w:val="auto"/>
                <w:w w:val="94"/>
              </w:rPr>
              <w:t>10,417,274</w:t>
            </w:r>
          </w:p>
        </w:tc>
        <w:tc>
          <w:tcPr>
            <w:tcW w:w="8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u w:val="single" w:color="auto"/>
                <w:color w:val="auto"/>
                <w:w w:val="94"/>
              </w:rPr>
              <w:t>$</w:t>
            </w:r>
            <w:r>
              <w:rPr>
                <w:rFonts w:ascii="Times New Roman" w:cs="Times New Roman" w:eastAsia="Times New Roman" w:hAnsi="Times New Roman"/>
                <w:sz w:val="11"/>
                <w:szCs w:val="11"/>
                <w:b w:val="1"/>
                <w:bCs w:val="1"/>
                <w:color w:val="auto"/>
                <w:w w:val="94"/>
              </w:rPr>
              <w:t>16,390,670</w:t>
            </w:r>
          </w:p>
        </w:tc>
        <w:tc>
          <w:tcPr>
            <w:tcW w:w="8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w w:val="97"/>
              </w:rPr>
              <w:t>$ (191,184)</w:t>
            </w:r>
          </w:p>
        </w:tc>
        <w:tc>
          <w:tcPr>
            <w:tcW w:w="8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u w:val="single" w:color="auto"/>
                <w:color w:val="auto"/>
                <w:w w:val="92"/>
              </w:rPr>
              <w:t>$</w:t>
            </w:r>
            <w:r>
              <w:rPr>
                <w:rFonts w:ascii="Times New Roman" w:cs="Times New Roman" w:eastAsia="Times New Roman" w:hAnsi="Times New Roman"/>
                <w:sz w:val="11"/>
                <w:szCs w:val="11"/>
                <w:b w:val="1"/>
                <w:bCs w:val="1"/>
                <w:color w:val="auto"/>
                <w:w w:val="92"/>
              </w:rPr>
              <w:t>1,108,251</w:t>
            </w:r>
          </w:p>
        </w:tc>
        <w:tc>
          <w:tcPr>
            <w:tcW w:w="8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300" w:type="dxa"/>
            <w:vAlign w:val="bottom"/>
            <w:tcBorders>
              <w:bottom w:val="single" w:sz="8" w:color="auto"/>
            </w:tcBorders>
            <w:shd w:val="clear" w:color="auto" w:fill="CCEEFF"/>
          </w:tcPr>
          <w:p>
            <w:pPr>
              <w:ind w:left="160"/>
              <w:spacing w:after="0" w:line="124" w:lineRule="exact"/>
              <w:rPr>
                <w:sz w:val="20"/>
                <w:szCs w:val="20"/>
                <w:color w:val="auto"/>
              </w:rPr>
            </w:pPr>
            <w:r>
              <w:rPr>
                <w:rFonts w:ascii="Times New Roman" w:cs="Times New Roman" w:eastAsia="Times New Roman" w:hAnsi="Times New Roman"/>
                <w:sz w:val="11"/>
                <w:szCs w:val="11"/>
                <w:b w:val="1"/>
                <w:bCs w:val="1"/>
                <w:color w:val="auto"/>
              </w:rPr>
              <w:t>86</w:t>
            </w:r>
          </w:p>
        </w:tc>
        <w:tc>
          <w:tcPr>
            <w:tcW w:w="8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u w:val="single" w:color="auto"/>
                <w:color w:val="auto"/>
                <w:w w:val="94"/>
              </w:rPr>
              <w:t>$</w:t>
            </w:r>
            <w:r>
              <w:rPr>
                <w:rFonts w:ascii="Times New Roman" w:cs="Times New Roman" w:eastAsia="Times New Roman" w:hAnsi="Times New Roman"/>
                <w:sz w:val="11"/>
                <w:szCs w:val="11"/>
                <w:b w:val="1"/>
                <w:bCs w:val="1"/>
                <w:color w:val="auto"/>
                <w:w w:val="94"/>
              </w:rPr>
              <w:t>26,450,657</w:t>
            </w:r>
          </w:p>
        </w:tc>
        <w:tc>
          <w:tcPr>
            <w:tcW w:w="8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u w:val="single" w:color="auto"/>
                <w:color w:val="auto"/>
                <w:w w:val="94"/>
              </w:rPr>
              <w:t>$</w:t>
            </w:r>
            <w:r>
              <w:rPr>
                <w:rFonts w:ascii="Times New Roman" w:cs="Times New Roman" w:eastAsia="Times New Roman" w:hAnsi="Times New Roman"/>
                <w:sz w:val="11"/>
                <w:szCs w:val="11"/>
                <w:b w:val="1"/>
                <w:bCs w:val="1"/>
                <w:color w:val="auto"/>
                <w:w w:val="94"/>
              </w:rPr>
              <w:t>27,558,994</w:t>
            </w:r>
          </w:p>
        </w:tc>
        <w:tc>
          <w:tcPr>
            <w:tcW w:w="8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u w:val="single" w:color="auto"/>
                <w:color w:val="auto"/>
                <w:w w:val="94"/>
              </w:rPr>
              <w:t>$</w:t>
            </w:r>
            <w:r>
              <w:rPr>
                <w:rFonts w:ascii="Times New Roman" w:cs="Times New Roman" w:eastAsia="Times New Roman" w:hAnsi="Times New Roman"/>
                <w:sz w:val="11"/>
                <w:szCs w:val="11"/>
                <w:b w:val="1"/>
                <w:bCs w:val="1"/>
                <w:color w:val="auto"/>
                <w:w w:val="94"/>
              </w:rPr>
              <w:t>(8,641,331)</w:t>
            </w:r>
          </w:p>
        </w:tc>
        <w:tc>
          <w:tcPr>
            <w:tcW w:w="4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0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310515</wp:posOffset>
            </wp:positionV>
            <wp:extent cx="5632450" cy="152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63245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63" w:name="page164"/>
    <w:bookmarkEnd w:id="163"/>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DIGITAL REALTY TRUST,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DIGITAL REALTY TRUST, L.P.</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SCHEDULE III</w:t>
      </w:r>
    </w:p>
    <w:p>
      <w:pPr>
        <w:jc w:val="center"/>
        <w:spacing w:after="0" w:line="235" w:lineRule="auto"/>
        <w:rPr>
          <w:sz w:val="20"/>
          <w:szCs w:val="20"/>
          <w:color w:val="auto"/>
        </w:rPr>
      </w:pPr>
      <w:r>
        <w:rPr>
          <w:rFonts w:ascii="Times New Roman" w:cs="Times New Roman" w:eastAsia="Times New Roman" w:hAnsi="Times New Roman"/>
          <w:sz w:val="16"/>
          <w:szCs w:val="16"/>
          <w:b w:val="1"/>
          <w:bCs w:val="1"/>
          <w:color w:val="auto"/>
        </w:rPr>
        <w:t>PROPERTIES AND ACCUMULATED DEPRECIATION</w:t>
      </w:r>
    </w:p>
    <w:p>
      <w:pPr>
        <w:jc w:val="center"/>
        <w:spacing w:after="0" w:line="235" w:lineRule="auto"/>
        <w:rPr>
          <w:sz w:val="20"/>
          <w:szCs w:val="20"/>
          <w:color w:val="auto"/>
        </w:rPr>
      </w:pPr>
      <w:r>
        <w:rPr>
          <w:rFonts w:ascii="Times New Roman" w:cs="Times New Roman" w:eastAsia="Times New Roman" w:hAnsi="Times New Roman"/>
          <w:sz w:val="16"/>
          <w:szCs w:val="16"/>
          <w:b w:val="1"/>
          <w:bCs w:val="1"/>
          <w:color w:val="auto"/>
        </w:rPr>
        <w:t>December 31, 2024</w:t>
      </w:r>
    </w:p>
    <w:p>
      <w:pPr>
        <w:jc w:val="center"/>
        <w:spacing w:after="0" w:line="235" w:lineRule="auto"/>
        <w:rPr>
          <w:sz w:val="20"/>
          <w:szCs w:val="20"/>
          <w:color w:val="auto"/>
        </w:rPr>
      </w:pPr>
      <w:r>
        <w:rPr>
          <w:rFonts w:ascii="Times New Roman" w:cs="Times New Roman" w:eastAsia="Times New Roman" w:hAnsi="Times New Roman"/>
          <w:sz w:val="16"/>
          <w:szCs w:val="16"/>
          <w:b w:val="1"/>
          <w:bCs w:val="1"/>
          <w:color w:val="auto"/>
        </w:rPr>
        <w:t>(Dollar amounts in thousands)</w:t>
      </w:r>
    </w:p>
    <w:p>
      <w:pPr>
        <w:ind w:left="320"/>
        <w:spacing w:after="0"/>
        <w:rPr>
          <w:sz w:val="20"/>
          <w:szCs w:val="20"/>
          <w:color w:val="auto"/>
        </w:rPr>
      </w:pPr>
      <w:r>
        <w:rPr>
          <w:rFonts w:ascii="Times New Roman" w:cs="Times New Roman" w:eastAsia="Times New Roman" w:hAnsi="Times New Roman"/>
          <w:sz w:val="16"/>
          <w:szCs w:val="16"/>
          <w:b w:val="1"/>
          <w:bCs w:val="1"/>
          <w:color w:val="auto"/>
        </w:rPr>
        <w:t>(1) Tax Cost</w:t>
      </w:r>
    </w:p>
    <w:p>
      <w:pPr>
        <w:spacing w:after="0" w:line="170" w:lineRule="exact"/>
        <w:rPr>
          <w:sz w:val="20"/>
          <w:szCs w:val="20"/>
          <w:color w:val="auto"/>
        </w:rPr>
      </w:pPr>
    </w:p>
    <w:p>
      <w:pPr>
        <w:ind w:left="320" w:right="340"/>
        <w:spacing w:after="0" w:line="259" w:lineRule="auto"/>
        <w:rPr>
          <w:sz w:val="20"/>
          <w:szCs w:val="20"/>
          <w:color w:val="auto"/>
        </w:rPr>
      </w:pPr>
      <w:r>
        <w:rPr>
          <w:rFonts w:ascii="Times New Roman" w:cs="Times New Roman" w:eastAsia="Times New Roman" w:hAnsi="Times New Roman"/>
          <w:sz w:val="16"/>
          <w:szCs w:val="16"/>
          <w:color w:val="auto"/>
        </w:rPr>
        <w:t>The aggregate gross cost of the Company’s properties for U.S. federal income tax purposes approximated $44.5 billion (unaudited) as of December 31, 2024.</w:t>
      </w:r>
    </w:p>
    <w:p>
      <w:pPr>
        <w:spacing w:after="0" w:line="1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(2) Historical Cost and Accumulated Depreciation and Amortization</w:t>
      </w:r>
    </w:p>
    <w:p>
      <w:pPr>
        <w:spacing w:after="0" w:line="190" w:lineRule="exact"/>
        <w:rPr>
          <w:sz w:val="20"/>
          <w:szCs w:val="20"/>
          <w:color w:val="auto"/>
        </w:rPr>
      </w:pPr>
    </w:p>
    <w:p>
      <w:pPr>
        <w:ind w:left="320" w:right="360"/>
        <w:spacing w:after="0" w:line="259" w:lineRule="auto"/>
        <w:rPr>
          <w:sz w:val="20"/>
          <w:szCs w:val="20"/>
          <w:color w:val="auto"/>
        </w:rPr>
      </w:pPr>
      <w:r>
        <w:rPr>
          <w:rFonts w:ascii="Times New Roman" w:cs="Times New Roman" w:eastAsia="Times New Roman" w:hAnsi="Times New Roman"/>
          <w:sz w:val="16"/>
          <w:szCs w:val="16"/>
          <w:color w:val="auto"/>
        </w:rPr>
        <w:t>The following table reconciles the historical cost of the Company’s properties for financial reporting purposes for each of the years in the three-year period ended December 31, 2024.</w:t>
      </w:r>
    </w:p>
    <w:p>
      <w:pPr>
        <w:spacing w:after="0" w:line="154" w:lineRule="exact"/>
        <w:rPr>
          <w:sz w:val="20"/>
          <w:szCs w:val="20"/>
          <w:color w:val="auto"/>
        </w:rPr>
      </w:pPr>
    </w:p>
    <w:tbl>
      <w:tblPr>
        <w:tblLayout w:type="fixed"/>
        <w:tblInd w:w="320" w:type="dxa"/>
        <w:tblCellMar>
          <w:top w:w="0" w:type="dxa"/>
          <w:left w:w="0" w:type="dxa"/>
          <w:bottom w:w="0" w:type="dxa"/>
          <w:right w:w="0" w:type="dxa"/>
        </w:tblCellMar>
      </w:tblPr>
      <w:tr>
        <w:trPr>
          <w:trHeight w:val="170"/>
        </w:trPr>
        <w:tc>
          <w:tcPr>
            <w:tcW w:w="3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4"/>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r>
        <w:trPr>
          <w:trHeight w:val="148"/>
        </w:trPr>
        <w:tc>
          <w:tcPr>
            <w:tcW w:w="34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64"/>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24"/>
              <w:spacing w:after="0" w:line="148" w:lineRule="exact"/>
              <w:rPr>
                <w:sz w:val="20"/>
                <w:szCs w:val="20"/>
                <w:color w:val="auto"/>
              </w:rPr>
            </w:pPr>
            <w:r>
              <w:rPr>
                <w:rFonts w:ascii="Times New Roman" w:cs="Times New Roman" w:eastAsia="Times New Roman" w:hAnsi="Times New Roman"/>
                <w:sz w:val="13"/>
                <w:szCs w:val="13"/>
                <w:b w:val="1"/>
                <w:bCs w:val="1"/>
                <w:color w:val="auto"/>
              </w:rPr>
              <w:t>2023</w:t>
            </w:r>
          </w:p>
        </w:tc>
        <w:tc>
          <w:tcPr>
            <w:tcW w:w="2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24"/>
              <w:spacing w:after="0" w:line="148" w:lineRule="exact"/>
              <w:rPr>
                <w:sz w:val="20"/>
                <w:szCs w:val="20"/>
                <w:color w:val="auto"/>
              </w:rPr>
            </w:pPr>
            <w:r>
              <w:rPr>
                <w:rFonts w:ascii="Times New Roman" w:cs="Times New Roman" w:eastAsia="Times New Roman" w:hAnsi="Times New Roman"/>
                <w:sz w:val="13"/>
                <w:szCs w:val="13"/>
                <w:b w:val="1"/>
                <w:bCs w:val="1"/>
                <w:color w:val="auto"/>
              </w:rPr>
              <w:t>2022</w:t>
            </w:r>
          </w:p>
        </w:tc>
      </w:tr>
      <w:tr>
        <w:trPr>
          <w:trHeight w:val="172"/>
        </w:trPr>
        <w:tc>
          <w:tcPr>
            <w:tcW w:w="340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Balance, beginning of year</w:t>
            </w: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27,306,368</w:t>
            </w: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26,136,057</w:t>
            </w: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23,625,450</w:t>
            </w:r>
          </w:p>
        </w:tc>
      </w:tr>
      <w:tr>
        <w:trPr>
          <w:trHeight w:val="167"/>
        </w:trPr>
        <w:tc>
          <w:tcPr>
            <w:tcW w:w="340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Additions during period (acquisitions and</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93"/>
        </w:trPr>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improvements)</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2,051,279</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3,494,450</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2,553,946</w:t>
            </w:r>
          </w:p>
        </w:tc>
      </w:tr>
      <w:tr>
        <w:trPr>
          <w:trHeight w:val="167"/>
        </w:trPr>
        <w:tc>
          <w:tcPr>
            <w:tcW w:w="34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Deductions during period (dispositions,</w:t>
            </w: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93"/>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impairments and assets held for sale)</w:t>
            </w:r>
          </w:p>
        </w:tc>
        <w:tc>
          <w:tcPr>
            <w:tcW w:w="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(1,798,653)</w:t>
            </w:r>
          </w:p>
        </w:tc>
        <w:tc>
          <w:tcPr>
            <w:tcW w:w="2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(2,324,139)</w:t>
            </w:r>
          </w:p>
        </w:tc>
        <w:tc>
          <w:tcPr>
            <w:tcW w:w="26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(43,339)</w:t>
            </w:r>
          </w:p>
        </w:tc>
      </w:tr>
      <w:tr>
        <w:trPr>
          <w:trHeight w:val="172"/>
        </w:trPr>
        <w:tc>
          <w:tcPr>
            <w:tcW w:w="340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Balance, end of year</w:t>
            </w: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27,558,994</w:t>
            </w:r>
          </w:p>
        </w:tc>
        <w:tc>
          <w:tcPr>
            <w:tcW w:w="280" w:type="dxa"/>
            <w:vAlign w:val="bottom"/>
          </w:tcPr>
          <w:p>
            <w:pPr>
              <w:spacing w:after="0"/>
              <w:rPr>
                <w:sz w:val="14"/>
                <w:szCs w:val="14"/>
                <w:color w:val="auto"/>
              </w:rPr>
            </w:pPr>
          </w:p>
        </w:tc>
        <w:tc>
          <w:tcPr>
            <w:tcW w:w="3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27,306,368</w:t>
            </w:r>
          </w:p>
        </w:tc>
        <w:tc>
          <w:tcPr>
            <w:tcW w:w="260" w:type="dxa"/>
            <w:vAlign w:val="bottom"/>
          </w:tcPr>
          <w:p>
            <w:pPr>
              <w:spacing w:after="0"/>
              <w:rPr>
                <w:sz w:val="14"/>
                <w:szCs w:val="14"/>
                <w:color w:val="auto"/>
              </w:rPr>
            </w:pPr>
          </w:p>
        </w:tc>
        <w:tc>
          <w:tcPr>
            <w:tcW w:w="320" w:type="dxa"/>
            <w:vAlign w:val="bottom"/>
            <w:tcBorders>
              <w:bottom w:val="single" w:sz="8" w:color="auto"/>
            </w:tcBorders>
          </w:tcPr>
          <w:p>
            <w:pPr>
              <w:jc w:val="right"/>
              <w:ind w:right="16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26,136,057</w:t>
            </w:r>
          </w:p>
        </w:tc>
      </w:tr>
      <w:tr>
        <w:trPr>
          <w:trHeight w:val="20"/>
        </w:trPr>
        <w:tc>
          <w:tcPr>
            <w:tcW w:w="3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320" w:right="840"/>
        <w:spacing w:after="0" w:line="259" w:lineRule="auto"/>
        <w:rPr>
          <w:sz w:val="20"/>
          <w:szCs w:val="20"/>
          <w:color w:val="auto"/>
        </w:rPr>
      </w:pPr>
      <w:r>
        <w:rPr>
          <w:rFonts w:ascii="Times New Roman" w:cs="Times New Roman" w:eastAsia="Times New Roman" w:hAnsi="Times New Roman"/>
          <w:sz w:val="16"/>
          <w:szCs w:val="16"/>
          <w:color w:val="auto"/>
        </w:rPr>
        <w:t>The following table reconciles accumulated depreciation and amortization of the Company’s properties for financial reporting purposes for each of the years in the three-year period ended December 31, 2024.</w:t>
      </w:r>
    </w:p>
    <w:p>
      <w:pPr>
        <w:spacing w:after="0" w:line="154" w:lineRule="exact"/>
        <w:rPr>
          <w:sz w:val="20"/>
          <w:szCs w:val="20"/>
          <w:color w:val="auto"/>
        </w:rPr>
      </w:pPr>
    </w:p>
    <w:tbl>
      <w:tblPr>
        <w:tblLayout w:type="fixed"/>
        <w:tblInd w:w="320" w:type="dxa"/>
        <w:tblCellMar>
          <w:top w:w="0" w:type="dxa"/>
          <w:left w:w="0" w:type="dxa"/>
          <w:bottom w:w="0" w:type="dxa"/>
          <w:right w:w="0" w:type="dxa"/>
        </w:tblCellMar>
      </w:tblPr>
      <w:tr>
        <w:trPr>
          <w:trHeight w:val="170"/>
        </w:trPr>
        <w:tc>
          <w:tcPr>
            <w:tcW w:w="3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4"/>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r>
        <w:trPr>
          <w:trHeight w:val="148"/>
        </w:trPr>
        <w:tc>
          <w:tcPr>
            <w:tcW w:w="34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64"/>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24"/>
              <w:spacing w:after="0" w:line="148" w:lineRule="exact"/>
              <w:rPr>
                <w:sz w:val="20"/>
                <w:szCs w:val="20"/>
                <w:color w:val="auto"/>
              </w:rPr>
            </w:pPr>
            <w:r>
              <w:rPr>
                <w:rFonts w:ascii="Times New Roman" w:cs="Times New Roman" w:eastAsia="Times New Roman" w:hAnsi="Times New Roman"/>
                <w:sz w:val="13"/>
                <w:szCs w:val="13"/>
                <w:b w:val="1"/>
                <w:bCs w:val="1"/>
                <w:color w:val="auto"/>
              </w:rPr>
              <w:t>2023</w:t>
            </w:r>
          </w:p>
        </w:tc>
        <w:tc>
          <w:tcPr>
            <w:tcW w:w="2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24"/>
              <w:spacing w:after="0" w:line="148" w:lineRule="exact"/>
              <w:rPr>
                <w:sz w:val="20"/>
                <w:szCs w:val="20"/>
                <w:color w:val="auto"/>
              </w:rPr>
            </w:pPr>
            <w:r>
              <w:rPr>
                <w:rFonts w:ascii="Times New Roman" w:cs="Times New Roman" w:eastAsia="Times New Roman" w:hAnsi="Times New Roman"/>
                <w:sz w:val="13"/>
                <w:szCs w:val="13"/>
                <w:b w:val="1"/>
                <w:bCs w:val="1"/>
                <w:color w:val="auto"/>
              </w:rPr>
              <w:t>2022</w:t>
            </w:r>
          </w:p>
        </w:tc>
      </w:tr>
      <w:tr>
        <w:trPr>
          <w:trHeight w:val="172"/>
        </w:trPr>
        <w:tc>
          <w:tcPr>
            <w:tcW w:w="340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Balance, beginning of year</w:t>
            </w: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7,823,685</w:t>
            </w: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7,268,981</w:t>
            </w: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6,210,281</w:t>
            </w:r>
          </w:p>
        </w:tc>
      </w:tr>
      <w:tr>
        <w:trPr>
          <w:trHeight w:val="167"/>
        </w:trPr>
        <w:tc>
          <w:tcPr>
            <w:tcW w:w="340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Additions during period (depreciation and</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93"/>
        </w:trPr>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expense)</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1,228,311</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1,338,912</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1,079,497</w:t>
            </w:r>
          </w:p>
        </w:tc>
      </w:tr>
      <w:tr>
        <w:trPr>
          <w:trHeight w:val="167"/>
        </w:trPr>
        <w:tc>
          <w:tcPr>
            <w:tcW w:w="34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Deductions during period (dispositions and assets</w:t>
            </w: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93"/>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held for sale)</w:t>
            </w:r>
          </w:p>
        </w:tc>
        <w:tc>
          <w:tcPr>
            <w:tcW w:w="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(410,665)</w:t>
            </w:r>
          </w:p>
        </w:tc>
        <w:tc>
          <w:tcPr>
            <w:tcW w:w="2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(784,208)</w:t>
            </w:r>
          </w:p>
        </w:tc>
        <w:tc>
          <w:tcPr>
            <w:tcW w:w="26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(20,797)</w:t>
            </w:r>
          </w:p>
        </w:tc>
      </w:tr>
      <w:tr>
        <w:trPr>
          <w:trHeight w:val="172"/>
        </w:trPr>
        <w:tc>
          <w:tcPr>
            <w:tcW w:w="340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Balance, end of year</w:t>
            </w: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8,641,331</w:t>
            </w:r>
          </w:p>
        </w:tc>
        <w:tc>
          <w:tcPr>
            <w:tcW w:w="280" w:type="dxa"/>
            <w:vAlign w:val="bottom"/>
          </w:tcPr>
          <w:p>
            <w:pPr>
              <w:spacing w:after="0"/>
              <w:rPr>
                <w:sz w:val="14"/>
                <w:szCs w:val="14"/>
                <w:color w:val="auto"/>
              </w:rPr>
            </w:pPr>
          </w:p>
        </w:tc>
        <w:tc>
          <w:tcPr>
            <w:tcW w:w="3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7,823,685</w:t>
            </w:r>
          </w:p>
        </w:tc>
        <w:tc>
          <w:tcPr>
            <w:tcW w:w="260" w:type="dxa"/>
            <w:vAlign w:val="bottom"/>
          </w:tcPr>
          <w:p>
            <w:pPr>
              <w:spacing w:after="0"/>
              <w:rPr>
                <w:sz w:val="14"/>
                <w:szCs w:val="14"/>
                <w:color w:val="auto"/>
              </w:rPr>
            </w:pPr>
          </w:p>
        </w:tc>
        <w:tc>
          <w:tcPr>
            <w:tcW w:w="320" w:type="dxa"/>
            <w:vAlign w:val="bottom"/>
            <w:tcBorders>
              <w:bottom w:val="single" w:sz="8" w:color="auto"/>
            </w:tcBorders>
          </w:tcPr>
          <w:p>
            <w:pPr>
              <w:jc w:val="right"/>
              <w:ind w:right="16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7,268,981</w:t>
            </w:r>
          </w:p>
        </w:tc>
      </w:tr>
      <w:tr>
        <w:trPr>
          <w:trHeight w:val="20"/>
        </w:trPr>
        <w:tc>
          <w:tcPr>
            <w:tcW w:w="3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320" w:right="680"/>
        <w:spacing w:after="0" w:line="259" w:lineRule="auto"/>
        <w:rPr>
          <w:sz w:val="20"/>
          <w:szCs w:val="20"/>
          <w:color w:val="auto"/>
        </w:rPr>
      </w:pPr>
      <w:r>
        <w:rPr>
          <w:rFonts w:ascii="Times New Roman" w:cs="Times New Roman" w:eastAsia="Times New Roman" w:hAnsi="Times New Roman"/>
          <w:sz w:val="16"/>
          <w:szCs w:val="16"/>
          <w:color w:val="auto"/>
        </w:rPr>
        <w:t>Schedules other than those listed above are omitted because they are not applicable or the information required is included in the Consolidated Financial Statements or the notes thereto.</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64" w:name="page165"/>
    <w:bookmarkEnd w:id="164"/>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174" w:lineRule="exact"/>
        <w:rPr>
          <w:sz w:val="20"/>
          <w:szCs w:val="20"/>
          <w:color w:val="auto"/>
        </w:rPr>
      </w:pPr>
    </w:p>
    <w:p>
      <w:pPr>
        <w:ind w:left="320" w:right="480"/>
        <w:spacing w:after="0" w:line="262" w:lineRule="auto"/>
        <w:rPr>
          <w:sz w:val="20"/>
          <w:szCs w:val="20"/>
          <w:color w:val="auto"/>
        </w:rPr>
      </w:pPr>
      <w:r>
        <w:rPr>
          <w:rFonts w:ascii="Times New Roman" w:cs="Times New Roman" w:eastAsia="Times New Roman" w:hAnsi="Times New Roman"/>
          <w:sz w:val="16"/>
          <w:szCs w:val="16"/>
          <w:b w:val="1"/>
          <w:bCs w:val="1"/>
          <w:color w:val="auto"/>
        </w:rPr>
        <w:t>ITEM 9. CHANGES IN AND DISAGREEMENTS WITH ACCOUNTANTS ON ACCOUNTING AND FINANCIAL DISCLOSURE</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None.</w:t>
      </w:r>
    </w:p>
    <w:p>
      <w:pPr>
        <w:spacing w:after="0" w:line="174" w:lineRule="exact"/>
        <w:rPr>
          <w:sz w:val="20"/>
          <w:szCs w:val="20"/>
          <w:color w:val="auto"/>
        </w:rPr>
      </w:pPr>
    </w:p>
    <w:p>
      <w:pPr>
        <w:ind w:left="320"/>
        <w:spacing w:after="0"/>
        <w:tabs>
          <w:tab w:leader="none" w:pos="1340" w:val="left"/>
        </w:tabs>
        <w:rPr>
          <w:sz w:val="20"/>
          <w:szCs w:val="20"/>
          <w:color w:val="auto"/>
        </w:rPr>
      </w:pPr>
      <w:r>
        <w:rPr>
          <w:rFonts w:ascii="Times New Roman" w:cs="Times New Roman" w:eastAsia="Times New Roman" w:hAnsi="Times New Roman"/>
          <w:sz w:val="16"/>
          <w:szCs w:val="16"/>
          <w:b w:val="1"/>
          <w:bCs w:val="1"/>
          <w:color w:val="auto"/>
        </w:rPr>
        <w:t>ITEM 9A.</w:t>
      </w:r>
      <w:r>
        <w:rPr>
          <w:sz w:val="20"/>
          <w:szCs w:val="20"/>
          <w:color w:val="auto"/>
        </w:rPr>
        <w:tab/>
      </w:r>
      <w:r>
        <w:rPr>
          <w:rFonts w:ascii="Times New Roman" w:cs="Times New Roman" w:eastAsia="Times New Roman" w:hAnsi="Times New Roman"/>
          <w:sz w:val="14"/>
          <w:szCs w:val="14"/>
          <w:b w:val="1"/>
          <w:bCs w:val="1"/>
          <w:color w:val="auto"/>
        </w:rPr>
        <w:t>CONTROLS AND PROCEDURES</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Our Management’s Reports on Internal Control over Financial Reporting for Digital Realty Trust, Inc. and Digital Realty Trust, L.P.</w:t>
      </w:r>
    </w:p>
    <w:p>
      <w:pPr>
        <w:spacing w:after="0" w:line="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are included in Part II, Item 8, Financial Statements and Supplementary Data on page 84.</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Evaluation of Disclosure Controls and Procedures (Digital Realty Trust, Inc.)</w:t>
      </w:r>
    </w:p>
    <w:p>
      <w:pPr>
        <w:spacing w:after="0" w:line="190" w:lineRule="exact"/>
        <w:rPr>
          <w:sz w:val="20"/>
          <w:szCs w:val="20"/>
          <w:color w:val="auto"/>
        </w:rPr>
      </w:pPr>
    </w:p>
    <w:p>
      <w:pPr>
        <w:ind w:left="320" w:right="320"/>
        <w:spacing w:after="0" w:line="237" w:lineRule="auto"/>
        <w:rPr>
          <w:sz w:val="20"/>
          <w:szCs w:val="20"/>
          <w:color w:val="auto"/>
        </w:rPr>
      </w:pPr>
      <w:r>
        <w:rPr>
          <w:rFonts w:ascii="Times New Roman" w:cs="Times New Roman" w:eastAsia="Times New Roman" w:hAnsi="Times New Roman"/>
          <w:sz w:val="16"/>
          <w:szCs w:val="16"/>
          <w:color w:val="auto"/>
        </w:rPr>
        <w:t>The Company maintains disclosure controls and procedures that are designed to ensure that information required to be disclosed in its reports filed under the Securities Exchange Act of 1934, as amended, is recorded, processed, summarized and reported within the time periods specified in the U.S. Securities and Exchange Commission’s rules and forms, and that such information is accumulated and communicated to its management, including its chief executive officer and chief financial officer, as appropriate, to allow timely decisions regarding required disclosure. In designing and evaluating the disclosure controls and procedures, the Company’s management recognizes that any controls and procedures, no matter how well designed and operated, can provide only reasonable assurance of achieving the desired control objectives, and its management is required to apply its judgment in evaluating the cost-benefit relationship of possible controls and procedures. Also, the Company has investments in certain unconsolidated entities, which are accounted for using the equity method of accounting. As the Company does not control or manage these entities, its disclosure controls and procedures with respect to such entities may be substantially more limited than those it maintains with respect to its consolidated subsidiaries.</w:t>
      </w:r>
    </w:p>
    <w:p>
      <w:pPr>
        <w:spacing w:after="0" w:line="174" w:lineRule="exact"/>
        <w:rPr>
          <w:sz w:val="20"/>
          <w:szCs w:val="20"/>
          <w:color w:val="auto"/>
        </w:rPr>
      </w:pPr>
    </w:p>
    <w:p>
      <w:pPr>
        <w:ind w:left="320" w:right="360"/>
        <w:spacing w:after="0" w:line="241" w:lineRule="auto"/>
        <w:rPr>
          <w:sz w:val="20"/>
          <w:szCs w:val="20"/>
          <w:color w:val="auto"/>
        </w:rPr>
      </w:pPr>
      <w:r>
        <w:rPr>
          <w:rFonts w:ascii="Times New Roman" w:cs="Times New Roman" w:eastAsia="Times New Roman" w:hAnsi="Times New Roman"/>
          <w:sz w:val="16"/>
          <w:szCs w:val="16"/>
          <w:color w:val="auto"/>
        </w:rPr>
        <w:t>As required by Rule 13a-15(b) or Rule 15d-15(b) of the Securities Exchange Act of 1934, as amended, management of the Company carried out an evaluation, under the supervision and with participation of its chief executive officer and chief financial officer, of the effectiveness of the design and operation of its disclosure controls and procedures that were in effect as of December 31, 2024. Based on the foregoing, the Company’s management concluded that its disclosure controls and procedures were effective at the reasonable assurance level.</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Changes in Internal Control over Financial Reporting</w:t>
      </w:r>
    </w:p>
    <w:p>
      <w:pPr>
        <w:spacing w:after="0" w:line="190" w:lineRule="exact"/>
        <w:rPr>
          <w:sz w:val="20"/>
          <w:szCs w:val="20"/>
          <w:color w:val="auto"/>
        </w:rPr>
      </w:pPr>
    </w:p>
    <w:p>
      <w:pPr>
        <w:ind w:left="320" w:right="520"/>
        <w:spacing w:after="0" w:line="259" w:lineRule="auto"/>
        <w:rPr>
          <w:sz w:val="20"/>
          <w:szCs w:val="20"/>
          <w:color w:val="auto"/>
        </w:rPr>
      </w:pPr>
      <w:r>
        <w:rPr>
          <w:rFonts w:ascii="Times New Roman" w:cs="Times New Roman" w:eastAsia="Times New Roman" w:hAnsi="Times New Roman"/>
          <w:sz w:val="16"/>
          <w:szCs w:val="16"/>
          <w:color w:val="auto"/>
        </w:rPr>
        <w:t>There has not been any change in our internal control over financial reporting during the three months December 31, 2024, that has materially affected, or is reasonably likely to materially affect, our internal control over financial reporting.</w:t>
      </w:r>
    </w:p>
    <w:p>
      <w:pPr>
        <w:spacing w:after="0" w:line="1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Evaluation of Disclosure Controls and Procedures (Digital Realty Trust, L.P.)</w:t>
      </w:r>
    </w:p>
    <w:p>
      <w:pPr>
        <w:spacing w:after="0" w:line="190" w:lineRule="exact"/>
        <w:rPr>
          <w:sz w:val="20"/>
          <w:szCs w:val="20"/>
          <w:color w:val="auto"/>
        </w:rPr>
      </w:pPr>
    </w:p>
    <w:p>
      <w:pPr>
        <w:ind w:left="320" w:right="340"/>
        <w:spacing w:after="0" w:line="237" w:lineRule="auto"/>
        <w:rPr>
          <w:sz w:val="20"/>
          <w:szCs w:val="20"/>
          <w:color w:val="auto"/>
        </w:rPr>
      </w:pPr>
      <w:r>
        <w:rPr>
          <w:rFonts w:ascii="Times New Roman" w:cs="Times New Roman" w:eastAsia="Times New Roman" w:hAnsi="Times New Roman"/>
          <w:sz w:val="16"/>
          <w:szCs w:val="16"/>
          <w:color w:val="auto"/>
        </w:rPr>
        <w:t>The Operating Partnership maintains disclosure controls and procedures that are designed to ensure that information required to be disclosed in its reports filed under the Securities Exchange Act of 1934, as amended, is recorded, processed, summarized and reported within the time periods specified in the U.S. Securities and Exchange Commission’s rules and forms, and that such information is accumulated and communicated to its management, including the chief executive officer and chief financial officer of its general partner, as appropriate, to allow timely decisions regarding required disclosure. In designing and evaluating the disclosure controls and procedures, the Operating Partnership’s management recognizes that any controls and procedures, no matter how well designed and operated, can provide only reasonable assurance of achieving the desired control objectives, and its management is required to apply its judgment in evaluating the cost-benefit relationship of possible controls and procedures. Also, the Operating Partnership has investments in certain unconsolidated entities, which are accounted for using the equity method of accounting. As the Operating Partnership does not control or manage these entities, its disclosure controls and procedures with respect to such entities may be substantially more limited than those it maintains with respect to its consolidated subsidiaries.</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65" w:name="page166"/>
    <w:bookmarkEnd w:id="165"/>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176" w:lineRule="exact"/>
        <w:rPr>
          <w:sz w:val="20"/>
          <w:szCs w:val="20"/>
          <w:color w:val="auto"/>
        </w:rPr>
      </w:pPr>
    </w:p>
    <w:p>
      <w:pPr>
        <w:ind w:left="320" w:right="380"/>
        <w:spacing w:after="0" w:line="241" w:lineRule="auto"/>
        <w:rPr>
          <w:sz w:val="20"/>
          <w:szCs w:val="20"/>
          <w:color w:val="auto"/>
        </w:rPr>
      </w:pPr>
      <w:r>
        <w:rPr>
          <w:rFonts w:ascii="Times New Roman" w:cs="Times New Roman" w:eastAsia="Times New Roman" w:hAnsi="Times New Roman"/>
          <w:sz w:val="16"/>
          <w:szCs w:val="16"/>
          <w:color w:val="auto"/>
        </w:rPr>
        <w:t>As required by Rule 13a-15(b) or Rule 15d- 15(b) of the Securities Exchange Act of 1934, as amended, management of the Operating Partnership carried out an evaluation, under the supervision and with participation of the chief executive officer and chief financial officer of its general partner, of the effectiveness of the design and operation of its disclosure controls and procedures that were in effect as of December 31, 2024. Based on the foregoing, the Operating Partnership’s management concluded that its disclosure controls and procedures were effective at the reasonable assurance level.</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Changes in Internal Control over Financial Reporting</w:t>
      </w:r>
    </w:p>
    <w:p>
      <w:pPr>
        <w:spacing w:after="0" w:line="190" w:lineRule="exact"/>
        <w:rPr>
          <w:sz w:val="20"/>
          <w:szCs w:val="20"/>
          <w:color w:val="auto"/>
        </w:rPr>
      </w:pPr>
    </w:p>
    <w:p>
      <w:pPr>
        <w:ind w:left="320" w:right="580"/>
        <w:spacing w:after="0" w:line="259" w:lineRule="auto"/>
        <w:rPr>
          <w:sz w:val="20"/>
          <w:szCs w:val="20"/>
          <w:color w:val="auto"/>
        </w:rPr>
      </w:pPr>
      <w:r>
        <w:rPr>
          <w:rFonts w:ascii="Times New Roman" w:cs="Times New Roman" w:eastAsia="Times New Roman" w:hAnsi="Times New Roman"/>
          <w:sz w:val="16"/>
          <w:szCs w:val="16"/>
          <w:color w:val="auto"/>
        </w:rPr>
        <w:t>There has not been any change in our internal control over financial reporting during the three months ended December 31, 2024, that has materially affected, or is reasonably likely to materially affect, our internal control over financial reporting.</w:t>
      </w:r>
    </w:p>
    <w:p>
      <w:pPr>
        <w:spacing w:after="0" w:line="141" w:lineRule="exact"/>
        <w:rPr>
          <w:sz w:val="20"/>
          <w:szCs w:val="20"/>
          <w:color w:val="auto"/>
        </w:rPr>
      </w:pPr>
    </w:p>
    <w:p>
      <w:pPr>
        <w:ind w:left="320"/>
        <w:spacing w:after="0"/>
        <w:tabs>
          <w:tab w:leader="none" w:pos="1360" w:val="left"/>
        </w:tabs>
        <w:rPr>
          <w:sz w:val="20"/>
          <w:szCs w:val="20"/>
          <w:color w:val="auto"/>
        </w:rPr>
      </w:pPr>
      <w:r>
        <w:rPr>
          <w:rFonts w:ascii="Times New Roman" w:cs="Times New Roman" w:eastAsia="Times New Roman" w:hAnsi="Times New Roman"/>
          <w:sz w:val="16"/>
          <w:szCs w:val="16"/>
          <w:b w:val="1"/>
          <w:bCs w:val="1"/>
          <w:color w:val="auto"/>
        </w:rPr>
        <w:t>ITEM 9B.</w:t>
      </w:r>
      <w:r>
        <w:rPr>
          <w:sz w:val="20"/>
          <w:szCs w:val="20"/>
          <w:color w:val="auto"/>
        </w:rPr>
        <w:tab/>
      </w:r>
      <w:r>
        <w:rPr>
          <w:rFonts w:ascii="Times New Roman" w:cs="Times New Roman" w:eastAsia="Times New Roman" w:hAnsi="Times New Roman"/>
          <w:sz w:val="14"/>
          <w:szCs w:val="14"/>
          <w:b w:val="1"/>
          <w:bCs w:val="1"/>
          <w:color w:val="auto"/>
        </w:rPr>
        <w:t>OTHER INFORMATION</w:t>
      </w:r>
    </w:p>
    <w:p>
      <w:pPr>
        <w:spacing w:after="0" w:line="19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None.</w:t>
      </w:r>
    </w:p>
    <w:p>
      <w:pPr>
        <w:spacing w:after="0" w:line="186" w:lineRule="exact"/>
        <w:rPr>
          <w:sz w:val="20"/>
          <w:szCs w:val="20"/>
          <w:color w:val="auto"/>
        </w:rPr>
      </w:pPr>
    </w:p>
    <w:p>
      <w:pPr>
        <w:ind w:left="320"/>
        <w:spacing w:after="0"/>
        <w:tabs>
          <w:tab w:leader="none" w:pos="1380" w:val="left"/>
        </w:tabs>
        <w:rPr>
          <w:sz w:val="20"/>
          <w:szCs w:val="20"/>
          <w:color w:val="auto"/>
        </w:rPr>
      </w:pPr>
      <w:r>
        <w:rPr>
          <w:rFonts w:ascii="Times New Roman" w:cs="Times New Roman" w:eastAsia="Times New Roman" w:hAnsi="Times New Roman"/>
          <w:sz w:val="16"/>
          <w:szCs w:val="16"/>
          <w:b w:val="1"/>
          <w:bCs w:val="1"/>
          <w:color w:val="auto"/>
        </w:rPr>
        <w:t>ITEM 9C.</w:t>
      </w:r>
      <w:r>
        <w:rPr>
          <w:sz w:val="20"/>
          <w:szCs w:val="20"/>
          <w:color w:val="auto"/>
        </w:rPr>
        <w:tab/>
      </w:r>
      <w:r>
        <w:rPr>
          <w:rFonts w:ascii="Times New Roman" w:cs="Times New Roman" w:eastAsia="Times New Roman" w:hAnsi="Times New Roman"/>
          <w:sz w:val="14"/>
          <w:szCs w:val="14"/>
          <w:b w:val="1"/>
          <w:bCs w:val="1"/>
          <w:color w:val="auto"/>
        </w:rPr>
        <w:t>DISCLOSURE REGARDING FOREIGN JURISDICTIONS THAT PREVENT INSPECTIONS</w:t>
      </w:r>
    </w:p>
    <w:p>
      <w:pPr>
        <w:spacing w:after="0" w:line="19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66" w:name="page167"/>
    <w:bookmarkEnd w:id="166"/>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1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PART III</w:t>
      </w:r>
    </w:p>
    <w:p>
      <w:pPr>
        <w:spacing w:after="0" w:line="188" w:lineRule="exact"/>
        <w:rPr>
          <w:sz w:val="20"/>
          <w:szCs w:val="20"/>
          <w:color w:val="auto"/>
        </w:rPr>
      </w:pPr>
    </w:p>
    <w:p>
      <w:pPr>
        <w:ind w:left="320"/>
        <w:spacing w:after="0"/>
        <w:tabs>
          <w:tab w:leader="none" w:pos="1420" w:val="left"/>
        </w:tabs>
        <w:rPr>
          <w:sz w:val="20"/>
          <w:szCs w:val="20"/>
          <w:color w:val="auto"/>
        </w:rPr>
      </w:pPr>
      <w:r>
        <w:rPr>
          <w:rFonts w:ascii="Times New Roman" w:cs="Times New Roman" w:eastAsia="Times New Roman" w:hAnsi="Times New Roman"/>
          <w:sz w:val="16"/>
          <w:szCs w:val="16"/>
          <w:b w:val="1"/>
          <w:bCs w:val="1"/>
          <w:color w:val="auto"/>
        </w:rPr>
        <w:t>ITEM 10.</w:t>
      </w:r>
      <w:r>
        <w:rPr>
          <w:sz w:val="20"/>
          <w:szCs w:val="20"/>
          <w:color w:val="auto"/>
        </w:rPr>
        <w:tab/>
      </w:r>
      <w:r>
        <w:rPr>
          <w:rFonts w:ascii="Times New Roman" w:cs="Times New Roman" w:eastAsia="Times New Roman" w:hAnsi="Times New Roman"/>
          <w:sz w:val="14"/>
          <w:szCs w:val="14"/>
          <w:b w:val="1"/>
          <w:bCs w:val="1"/>
          <w:color w:val="auto"/>
        </w:rPr>
        <w:t>DIRECTORS, EXECUTIVE OFFICERS AND CORPORATE GOVERNANCE</w:t>
      </w:r>
    </w:p>
    <w:p>
      <w:pPr>
        <w:spacing w:after="0" w:line="190" w:lineRule="exact"/>
        <w:rPr>
          <w:sz w:val="20"/>
          <w:szCs w:val="20"/>
          <w:color w:val="auto"/>
        </w:rPr>
      </w:pPr>
    </w:p>
    <w:p>
      <w:pPr>
        <w:ind w:left="320" w:right="580"/>
        <w:spacing w:after="0" w:line="259" w:lineRule="auto"/>
        <w:rPr>
          <w:sz w:val="20"/>
          <w:szCs w:val="20"/>
          <w:color w:val="auto"/>
        </w:rPr>
      </w:pPr>
      <w:r>
        <w:rPr>
          <w:rFonts w:ascii="Times New Roman" w:cs="Times New Roman" w:eastAsia="Times New Roman" w:hAnsi="Times New Roman"/>
          <w:sz w:val="16"/>
          <w:szCs w:val="16"/>
          <w:color w:val="auto"/>
        </w:rPr>
        <w:t>The information concerning our directors, executive officers and corporate governance required by Item 10 will be included in the Proxy Statement to be filed relating to our 2025 Annual Meeting of Stockholders and is incorporated herein by reference.</w:t>
      </w:r>
    </w:p>
    <w:p>
      <w:pPr>
        <w:spacing w:after="0" w:line="155" w:lineRule="exact"/>
        <w:rPr>
          <w:sz w:val="20"/>
          <w:szCs w:val="20"/>
          <w:color w:val="auto"/>
        </w:rPr>
      </w:pPr>
    </w:p>
    <w:p>
      <w:pPr>
        <w:ind w:left="320" w:right="420"/>
        <w:spacing w:after="0" w:line="278" w:lineRule="auto"/>
        <w:rPr>
          <w:sz w:val="20"/>
          <w:szCs w:val="20"/>
          <w:color w:val="auto"/>
        </w:rPr>
      </w:pPr>
      <w:r>
        <w:rPr>
          <w:rFonts w:ascii="Times New Roman" w:cs="Times New Roman" w:eastAsia="Times New Roman" w:hAnsi="Times New Roman"/>
          <w:sz w:val="14"/>
          <w:szCs w:val="14"/>
          <w:color w:val="auto"/>
        </w:rPr>
        <w:t>We have filed, as exhibits to this Annual Report on Form 10-K for the year ended December 31, 2024, the certifications of our Chief Executive Officer and Chief Financial Officer required under Section 302 of the Sarbanes Oxley Act to be filed with the Securities and Exchange Commission regarding the quality of our public disclosure. We have furnished to the Securities and Exchange Commission as exhibits to this Annual Report on Form 10-K for the year ended December 31, 2024, the certifications of our Chief Executive Officer and Chief Financial Officer required under Section 906 of the Sarbanes Oxley Act. In addition, as required by Section 303A.12 of the NYSE Listed Company Manual, our Chief Executive Officer made his annual certification to the NYSE stating that he was not aware of any violation by the Company of the corporate governance listing standards of the NYSE.</w:t>
      </w:r>
    </w:p>
    <w:p>
      <w:pPr>
        <w:spacing w:after="0" w:line="325" w:lineRule="exact"/>
        <w:rPr>
          <w:sz w:val="20"/>
          <w:szCs w:val="20"/>
          <w:color w:val="auto"/>
        </w:rPr>
      </w:pPr>
    </w:p>
    <w:p>
      <w:pPr>
        <w:ind w:left="320"/>
        <w:spacing w:after="0"/>
        <w:tabs>
          <w:tab w:leader="none" w:pos="1420" w:val="left"/>
        </w:tabs>
        <w:rPr>
          <w:sz w:val="20"/>
          <w:szCs w:val="20"/>
          <w:color w:val="auto"/>
        </w:rPr>
      </w:pPr>
      <w:r>
        <w:rPr>
          <w:rFonts w:ascii="Times New Roman" w:cs="Times New Roman" w:eastAsia="Times New Roman" w:hAnsi="Times New Roman"/>
          <w:sz w:val="16"/>
          <w:szCs w:val="16"/>
          <w:b w:val="1"/>
          <w:bCs w:val="1"/>
          <w:color w:val="auto"/>
        </w:rPr>
        <w:t>ITEM 11.</w:t>
      </w:r>
      <w:r>
        <w:rPr>
          <w:sz w:val="20"/>
          <w:szCs w:val="20"/>
          <w:color w:val="auto"/>
        </w:rPr>
        <w:tab/>
      </w:r>
      <w:r>
        <w:rPr>
          <w:rFonts w:ascii="Times New Roman" w:cs="Times New Roman" w:eastAsia="Times New Roman" w:hAnsi="Times New Roman"/>
          <w:sz w:val="14"/>
          <w:szCs w:val="14"/>
          <w:b w:val="1"/>
          <w:bCs w:val="1"/>
          <w:color w:val="auto"/>
        </w:rPr>
        <w:t>EXECUTIVE COMPENSATION</w:t>
      </w:r>
    </w:p>
    <w:p>
      <w:pPr>
        <w:spacing w:after="0" w:line="190" w:lineRule="exact"/>
        <w:rPr>
          <w:sz w:val="20"/>
          <w:szCs w:val="20"/>
          <w:color w:val="auto"/>
        </w:rPr>
      </w:pPr>
    </w:p>
    <w:p>
      <w:pPr>
        <w:ind w:left="320" w:right="720"/>
        <w:spacing w:after="0" w:line="259" w:lineRule="auto"/>
        <w:rPr>
          <w:sz w:val="20"/>
          <w:szCs w:val="20"/>
          <w:color w:val="auto"/>
        </w:rPr>
      </w:pPr>
      <w:r>
        <w:rPr>
          <w:rFonts w:ascii="Times New Roman" w:cs="Times New Roman" w:eastAsia="Times New Roman" w:hAnsi="Times New Roman"/>
          <w:sz w:val="16"/>
          <w:szCs w:val="16"/>
          <w:color w:val="auto"/>
        </w:rPr>
        <w:t>The information concerning our executive compensation required by Item 11 will be included in the Proxy Statement to be filed relating to our 2025 Annual Meeting of Stockholders and is incorporated herein by reference.</w:t>
      </w:r>
    </w:p>
    <w:p>
      <w:pPr>
        <w:spacing w:after="0" w:line="141" w:lineRule="exact"/>
        <w:rPr>
          <w:sz w:val="20"/>
          <w:szCs w:val="20"/>
          <w:color w:val="auto"/>
        </w:rPr>
      </w:pPr>
    </w:p>
    <w:p>
      <w:pPr>
        <w:ind w:left="320" w:right="1040"/>
        <w:spacing w:after="0" w:line="262" w:lineRule="auto"/>
        <w:rPr>
          <w:sz w:val="20"/>
          <w:szCs w:val="20"/>
          <w:color w:val="auto"/>
        </w:rPr>
      </w:pPr>
      <w:r>
        <w:rPr>
          <w:rFonts w:ascii="Times New Roman" w:cs="Times New Roman" w:eastAsia="Times New Roman" w:hAnsi="Times New Roman"/>
          <w:sz w:val="16"/>
          <w:szCs w:val="16"/>
          <w:b w:val="1"/>
          <w:bCs w:val="1"/>
          <w:color w:val="auto"/>
        </w:rPr>
        <w:t>ITEM 12. SECURITY OWNERSHIP OF CERTAIN BENEFICIAL OWNERS AND MANAGEMENT AND RELATED STOCKHOLDER MATTERS</w:t>
      </w:r>
    </w:p>
    <w:p>
      <w:pPr>
        <w:spacing w:after="0" w:line="152" w:lineRule="exact"/>
        <w:rPr>
          <w:sz w:val="20"/>
          <w:szCs w:val="20"/>
          <w:color w:val="auto"/>
        </w:rPr>
      </w:pPr>
    </w:p>
    <w:p>
      <w:pPr>
        <w:ind w:left="320" w:right="460"/>
        <w:spacing w:after="0" w:line="247" w:lineRule="auto"/>
        <w:rPr>
          <w:sz w:val="20"/>
          <w:szCs w:val="20"/>
          <w:color w:val="auto"/>
        </w:rPr>
      </w:pPr>
      <w:r>
        <w:rPr>
          <w:rFonts w:ascii="Times New Roman" w:cs="Times New Roman" w:eastAsia="Times New Roman" w:hAnsi="Times New Roman"/>
          <w:sz w:val="16"/>
          <w:szCs w:val="16"/>
          <w:color w:val="auto"/>
        </w:rPr>
        <w:t>The information concerning the security ownership of certain beneficial owners and management and related stockholder matters (including equity compensation plan information) required by Item 12 will be included in the Proxy Statement to be filed relating to our 2025 Annual Meeting of Stockholders and is incorporated herein by reference.</w:t>
      </w:r>
    </w:p>
    <w:p>
      <w:pPr>
        <w:spacing w:after="0" w:line="150" w:lineRule="exact"/>
        <w:rPr>
          <w:sz w:val="20"/>
          <w:szCs w:val="20"/>
          <w:color w:val="auto"/>
        </w:rPr>
      </w:pPr>
    </w:p>
    <w:p>
      <w:pPr>
        <w:ind w:left="320"/>
        <w:spacing w:after="0"/>
        <w:tabs>
          <w:tab w:leader="none" w:pos="1420" w:val="left"/>
        </w:tabs>
        <w:rPr>
          <w:sz w:val="20"/>
          <w:szCs w:val="20"/>
          <w:color w:val="auto"/>
        </w:rPr>
      </w:pPr>
      <w:r>
        <w:rPr>
          <w:rFonts w:ascii="Times New Roman" w:cs="Times New Roman" w:eastAsia="Times New Roman" w:hAnsi="Times New Roman"/>
          <w:sz w:val="16"/>
          <w:szCs w:val="16"/>
          <w:b w:val="1"/>
          <w:bCs w:val="1"/>
          <w:color w:val="auto"/>
        </w:rPr>
        <w:t>ITEM 13.</w:t>
      </w:r>
      <w:r>
        <w:rPr>
          <w:sz w:val="20"/>
          <w:szCs w:val="20"/>
          <w:color w:val="auto"/>
        </w:rPr>
        <w:tab/>
      </w:r>
      <w:r>
        <w:rPr>
          <w:rFonts w:ascii="Times New Roman" w:cs="Times New Roman" w:eastAsia="Times New Roman" w:hAnsi="Times New Roman"/>
          <w:sz w:val="14"/>
          <w:szCs w:val="14"/>
          <w:b w:val="1"/>
          <w:bCs w:val="1"/>
          <w:color w:val="auto"/>
        </w:rPr>
        <w:t>CERTAIN RELATIONSHIPS AND RELATED TRANSACTIONS AND DIRECTOR INDEPENDENCE</w:t>
      </w:r>
    </w:p>
    <w:p>
      <w:pPr>
        <w:spacing w:after="0" w:line="190" w:lineRule="exact"/>
        <w:rPr>
          <w:sz w:val="20"/>
          <w:szCs w:val="20"/>
          <w:color w:val="auto"/>
        </w:rPr>
      </w:pPr>
    </w:p>
    <w:p>
      <w:pPr>
        <w:ind w:left="320" w:right="360"/>
        <w:spacing w:after="0" w:line="331" w:lineRule="auto"/>
        <w:rPr>
          <w:sz w:val="20"/>
          <w:szCs w:val="20"/>
          <w:color w:val="auto"/>
        </w:rPr>
      </w:pPr>
      <w:r>
        <w:rPr>
          <w:rFonts w:ascii="Times New Roman" w:cs="Times New Roman" w:eastAsia="Times New Roman" w:hAnsi="Times New Roman"/>
          <w:sz w:val="14"/>
          <w:szCs w:val="14"/>
          <w:color w:val="auto"/>
        </w:rPr>
        <w:t>The information concerning certain relationships, related transactions and director independence required by Item 13 will be included in the Proxy Statement to be filed relating to our 2025 Annual Meeting of Stockholders and is incorporated herein by reference.</w:t>
      </w:r>
    </w:p>
    <w:p>
      <w:pPr>
        <w:spacing w:after="0" w:line="94" w:lineRule="exact"/>
        <w:rPr>
          <w:sz w:val="20"/>
          <w:szCs w:val="20"/>
          <w:color w:val="auto"/>
        </w:rPr>
      </w:pPr>
    </w:p>
    <w:p>
      <w:pPr>
        <w:ind w:left="320"/>
        <w:spacing w:after="0"/>
        <w:tabs>
          <w:tab w:leader="none" w:pos="1420" w:val="left"/>
        </w:tabs>
        <w:rPr>
          <w:sz w:val="20"/>
          <w:szCs w:val="20"/>
          <w:color w:val="auto"/>
        </w:rPr>
      </w:pPr>
      <w:r>
        <w:rPr>
          <w:rFonts w:ascii="Times New Roman" w:cs="Times New Roman" w:eastAsia="Times New Roman" w:hAnsi="Times New Roman"/>
          <w:sz w:val="16"/>
          <w:szCs w:val="16"/>
          <w:b w:val="1"/>
          <w:bCs w:val="1"/>
          <w:color w:val="auto"/>
        </w:rPr>
        <w:t>ITEM 14.</w:t>
      </w:r>
      <w:r>
        <w:rPr>
          <w:sz w:val="20"/>
          <w:szCs w:val="20"/>
          <w:color w:val="auto"/>
        </w:rPr>
        <w:tab/>
      </w:r>
      <w:r>
        <w:rPr>
          <w:rFonts w:ascii="Times New Roman" w:cs="Times New Roman" w:eastAsia="Times New Roman" w:hAnsi="Times New Roman"/>
          <w:sz w:val="14"/>
          <w:szCs w:val="14"/>
          <w:b w:val="1"/>
          <w:bCs w:val="1"/>
          <w:color w:val="auto"/>
        </w:rPr>
        <w:t>PRINCIPAL ACCOUNTING FEES AND SERVICES</w:t>
      </w:r>
    </w:p>
    <w:p>
      <w:pPr>
        <w:spacing w:after="0" w:line="190" w:lineRule="exact"/>
        <w:rPr>
          <w:sz w:val="20"/>
          <w:szCs w:val="20"/>
          <w:color w:val="auto"/>
        </w:rPr>
      </w:pPr>
    </w:p>
    <w:p>
      <w:pPr>
        <w:ind w:left="320" w:right="360"/>
        <w:spacing w:after="0" w:line="259" w:lineRule="auto"/>
        <w:rPr>
          <w:sz w:val="20"/>
          <w:szCs w:val="20"/>
          <w:color w:val="auto"/>
        </w:rPr>
      </w:pPr>
      <w:r>
        <w:rPr>
          <w:rFonts w:ascii="Times New Roman" w:cs="Times New Roman" w:eastAsia="Times New Roman" w:hAnsi="Times New Roman"/>
          <w:sz w:val="16"/>
          <w:szCs w:val="16"/>
          <w:color w:val="auto"/>
        </w:rPr>
        <w:t>The information concerning our principal accounting fees and services required by Item 14 will be included in the Proxy Statement to be filed relating to our 2025 Annual Meeting of Stockholders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67" w:name="page168"/>
    <w:bookmarkEnd w:id="167"/>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174" w:lineRule="exact"/>
        <w:rPr>
          <w:sz w:val="20"/>
          <w:szCs w:val="20"/>
          <w:color w:val="auto"/>
        </w:rPr>
      </w:pPr>
    </w:p>
    <w:tbl>
      <w:tblPr>
        <w:tblLayout w:type="fixed"/>
        <w:tblInd w:w="320" w:type="dxa"/>
        <w:tblCellMar>
          <w:top w:w="0" w:type="dxa"/>
          <w:left w:w="0" w:type="dxa"/>
          <w:bottom w:w="0" w:type="dxa"/>
          <w:right w:w="0" w:type="dxa"/>
        </w:tblCellMar>
      </w:tblPr>
      <w:tr>
        <w:trPr>
          <w:trHeight w:val="205"/>
        </w:trPr>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520" w:type="dxa"/>
            <w:vAlign w:val="bottom"/>
            <w:gridSpan w:val="23"/>
          </w:tcPr>
          <w:p>
            <w:pPr>
              <w:spacing w:after="0"/>
              <w:rPr>
                <w:sz w:val="20"/>
                <w:szCs w:val="20"/>
                <w:color w:val="auto"/>
              </w:rPr>
            </w:pPr>
            <w:r>
              <w:rPr>
                <w:rFonts w:ascii="Times New Roman" w:cs="Times New Roman" w:eastAsia="Times New Roman" w:hAnsi="Times New Roman"/>
                <w:sz w:val="16"/>
                <w:szCs w:val="16"/>
                <w:b w:val="1"/>
                <w:bCs w:val="1"/>
                <w:color w:val="auto"/>
              </w:rPr>
              <w:t>PART IV</w:t>
            </w:r>
          </w:p>
        </w:tc>
      </w:tr>
      <w:tr>
        <w:trPr>
          <w:trHeight w:val="372"/>
        </w:trPr>
        <w:tc>
          <w:tcPr>
            <w:tcW w:w="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5"/>
              </w:rPr>
              <w:t>ITEM 15.</w:t>
            </w:r>
          </w:p>
        </w:tc>
        <w:tc>
          <w:tcPr>
            <w:tcW w:w="260" w:type="dxa"/>
            <w:vAlign w:val="bottom"/>
          </w:tcPr>
          <w:p>
            <w:pPr>
              <w:spacing w:after="0"/>
              <w:rPr>
                <w:sz w:val="24"/>
                <w:szCs w:val="24"/>
                <w:color w:val="auto"/>
              </w:rPr>
            </w:pPr>
          </w:p>
        </w:tc>
        <w:tc>
          <w:tcPr>
            <w:tcW w:w="7460" w:type="dxa"/>
            <w:vAlign w:val="bottom"/>
            <w:gridSpan w:val="28"/>
          </w:tcPr>
          <w:p>
            <w:pPr>
              <w:ind w:left="240"/>
              <w:spacing w:after="0"/>
              <w:rPr>
                <w:sz w:val="20"/>
                <w:szCs w:val="20"/>
                <w:color w:val="auto"/>
              </w:rPr>
            </w:pPr>
            <w:r>
              <w:rPr>
                <w:rFonts w:ascii="Times New Roman" w:cs="Times New Roman" w:eastAsia="Times New Roman" w:hAnsi="Times New Roman"/>
                <w:sz w:val="16"/>
                <w:szCs w:val="16"/>
                <w:b w:val="1"/>
                <w:bCs w:val="1"/>
                <w:color w:val="auto"/>
              </w:rPr>
              <w:t>EXHIBITS.</w:t>
            </w:r>
          </w:p>
        </w:tc>
      </w:tr>
      <w:tr>
        <w:trPr>
          <w:trHeight w:val="361"/>
        </w:trPr>
        <w:tc>
          <w:tcPr>
            <w:tcW w:w="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0"/>
        </w:trPr>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260" w:type="dxa"/>
            <w:vAlign w:val="bottom"/>
          </w:tcPr>
          <w:p>
            <w:pPr>
              <w:spacing w:after="0"/>
              <w:rPr>
                <w:sz w:val="14"/>
                <w:szCs w:val="14"/>
                <w:color w:val="auto"/>
              </w:rPr>
            </w:pPr>
          </w:p>
        </w:tc>
        <w:tc>
          <w:tcPr>
            <w:tcW w:w="7460" w:type="dxa"/>
            <w:vAlign w:val="bottom"/>
            <w:tcBorders>
              <w:bottom w:val="single" w:sz="8" w:color="auto"/>
            </w:tcBorders>
            <w:gridSpan w:val="28"/>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328"/>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3.1</w:t>
            </w:r>
          </w:p>
        </w:tc>
        <w:tc>
          <w:tcPr>
            <w:tcW w:w="260" w:type="dxa"/>
            <w:vAlign w:val="bottom"/>
          </w:tcPr>
          <w:p>
            <w:pPr>
              <w:spacing w:after="0"/>
              <w:rPr>
                <w:sz w:val="24"/>
                <w:szCs w:val="24"/>
                <w:color w:val="auto"/>
              </w:rPr>
            </w:pPr>
          </w:p>
        </w:tc>
        <w:tc>
          <w:tcPr>
            <w:tcW w:w="7460" w:type="dxa"/>
            <w:vAlign w:val="bottom"/>
            <w:gridSpan w:val="28"/>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Articles of Amendment and Restatement of Digital Realty Trust, Inc</w:t>
              </w:r>
            </w:hyperlink>
            <w:r>
              <w:rPr>
                <w:rFonts w:ascii="Times New Roman" w:cs="Times New Roman" w:eastAsia="Times New Roman" w:hAnsi="Times New Roman"/>
                <w:sz w:val="16"/>
                <w:szCs w:val="16"/>
                <w:color w:val="0000EE"/>
              </w:rPr>
              <w:t>.</w:t>
            </w:r>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3.2</w:t>
            </w:r>
          </w:p>
        </w:tc>
        <w:tc>
          <w:tcPr>
            <w:tcW w:w="260" w:type="dxa"/>
            <w:vAlign w:val="bottom"/>
          </w:tcPr>
          <w:p>
            <w:pPr>
              <w:spacing w:after="0"/>
              <w:rPr>
                <w:sz w:val="24"/>
                <w:szCs w:val="24"/>
                <w:color w:val="auto"/>
              </w:rPr>
            </w:pPr>
          </w:p>
        </w:tc>
        <w:tc>
          <w:tcPr>
            <w:tcW w:w="7460" w:type="dxa"/>
            <w:vAlign w:val="bottom"/>
            <w:gridSpan w:val="28"/>
          </w:tcPr>
          <w:p>
            <w:pPr>
              <w:spacing w:after="0"/>
              <w:rPr>
                <w:rFonts w:ascii="Times New Roman" w:cs="Times New Roman" w:eastAsia="Times New Roman" w:hAnsi="Times New Roman"/>
                <w:sz w:val="16"/>
                <w:szCs w:val="16"/>
                <w:color w:val="0000EE"/>
              </w:rPr>
            </w:pPr>
            <w:hyperlink r:id="rId186">
              <w:r>
                <w:rPr>
                  <w:rFonts w:ascii="Times New Roman" w:cs="Times New Roman" w:eastAsia="Times New Roman" w:hAnsi="Times New Roman"/>
                  <w:sz w:val="16"/>
                  <w:szCs w:val="16"/>
                  <w:color w:val="0000EE"/>
                </w:rPr>
                <w:t>Ninth Amended and Restated Bylaws of Digital Realty Trust, Inc. (incorporated by reference to Exhibit 3.1 to the</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100" w:type="dxa"/>
            <w:vAlign w:val="bottom"/>
            <w:tcBorders>
              <w:top w:val="single" w:sz="8" w:color="0000EE"/>
            </w:tcBorders>
            <w:gridSpan w:val="15"/>
          </w:tcPr>
          <w:p>
            <w:pPr>
              <w:spacing w:after="0" w:line="160" w:lineRule="exact"/>
              <w:rPr>
                <w:rFonts w:ascii="Times New Roman" w:cs="Times New Roman" w:eastAsia="Times New Roman" w:hAnsi="Times New Roman"/>
                <w:sz w:val="16"/>
                <w:szCs w:val="16"/>
                <w:color w:val="0000EE"/>
                <w:w w:val="97"/>
              </w:rPr>
            </w:pPr>
            <w:hyperlink r:id="rId186">
              <w:r>
                <w:rPr>
                  <w:rFonts w:ascii="Times New Roman" w:cs="Times New Roman" w:eastAsia="Times New Roman" w:hAnsi="Times New Roman"/>
                  <w:sz w:val="16"/>
                  <w:szCs w:val="16"/>
                  <w:color w:val="0000EE"/>
                  <w:w w:val="97"/>
                </w:rPr>
                <w:t>Combined Current Report on Form 8-K of Digital Realty Trust, Inc. and Digital Realty Trust, L.P. (File Nos. 001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80" w:type="dxa"/>
            <w:vAlign w:val="bottom"/>
            <w:tcBorders>
              <w:top w:val="single" w:sz="8" w:color="0000EE"/>
            </w:tcBorders>
            <w:gridSpan w:val="14"/>
          </w:tcPr>
          <w:p>
            <w:pPr>
              <w:spacing w:after="0" w:line="160" w:lineRule="exact"/>
              <w:rPr>
                <w:rFonts w:ascii="Times New Roman" w:cs="Times New Roman" w:eastAsia="Times New Roman" w:hAnsi="Times New Roman"/>
                <w:sz w:val="16"/>
                <w:szCs w:val="16"/>
                <w:color w:val="0000EE"/>
              </w:rPr>
            </w:pPr>
            <w:hyperlink r:id="rId186">
              <w:r>
                <w:rPr>
                  <w:rFonts w:ascii="Times New Roman" w:cs="Times New Roman" w:eastAsia="Times New Roman" w:hAnsi="Times New Roman"/>
                  <w:sz w:val="16"/>
                  <w:szCs w:val="16"/>
                  <w:color w:val="0000EE"/>
                </w:rPr>
                <w:t>32336 and 000 54023) filed on April 3, 2023).</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3.3</w:t>
            </w:r>
          </w:p>
        </w:tc>
        <w:tc>
          <w:tcPr>
            <w:tcW w:w="260" w:type="dxa"/>
            <w:vAlign w:val="bottom"/>
          </w:tcPr>
          <w:p>
            <w:pPr>
              <w:spacing w:after="0"/>
              <w:rPr>
                <w:sz w:val="24"/>
                <w:szCs w:val="24"/>
                <w:color w:val="auto"/>
              </w:rPr>
            </w:pPr>
          </w:p>
        </w:tc>
        <w:tc>
          <w:tcPr>
            <w:tcW w:w="7460" w:type="dxa"/>
            <w:vAlign w:val="bottom"/>
            <w:gridSpan w:val="28"/>
          </w:tcPr>
          <w:p>
            <w:pPr>
              <w:spacing w:after="0"/>
              <w:rPr>
                <w:rFonts w:ascii="Times New Roman" w:cs="Times New Roman" w:eastAsia="Times New Roman" w:hAnsi="Times New Roman"/>
                <w:sz w:val="16"/>
                <w:szCs w:val="16"/>
                <w:color w:val="0000EE"/>
              </w:rPr>
            </w:pPr>
            <w:hyperlink r:id="rId187">
              <w:r>
                <w:rPr>
                  <w:rFonts w:ascii="Times New Roman" w:cs="Times New Roman" w:eastAsia="Times New Roman" w:hAnsi="Times New Roman"/>
                  <w:sz w:val="16"/>
                  <w:szCs w:val="16"/>
                  <w:color w:val="0000EE"/>
                </w:rPr>
                <w:t>Certificate of Limited Partnership of Digital Realty Trust, L.P. (incorporated by reference to Exhibit 3.1 to Digital</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140" w:type="dxa"/>
            <w:vAlign w:val="bottom"/>
            <w:tcBorders>
              <w:top w:val="single" w:sz="8" w:color="0000EE"/>
            </w:tcBorders>
            <w:gridSpan w:val="17"/>
          </w:tcPr>
          <w:p>
            <w:pPr>
              <w:spacing w:after="0" w:line="160" w:lineRule="exact"/>
              <w:rPr>
                <w:rFonts w:ascii="Times New Roman" w:cs="Times New Roman" w:eastAsia="Times New Roman" w:hAnsi="Times New Roman"/>
                <w:sz w:val="16"/>
                <w:szCs w:val="16"/>
                <w:color w:val="0000EE"/>
                <w:w w:val="97"/>
              </w:rPr>
            </w:pPr>
            <w:hyperlink r:id="rId187">
              <w:r>
                <w:rPr>
                  <w:rFonts w:ascii="Times New Roman" w:cs="Times New Roman" w:eastAsia="Times New Roman" w:hAnsi="Times New Roman"/>
                  <w:sz w:val="16"/>
                  <w:szCs w:val="16"/>
                  <w:color w:val="0000EE"/>
                  <w:w w:val="97"/>
                </w:rPr>
                <w:t>Realty Trust, L.P.’s General Form for Registration of Securities on Form 10 filed on June 25, 2010 (File No. 000-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Borders>
              <w:top w:val="single" w:sz="8" w:color="0000EE"/>
              <w:bottom w:val="single" w:sz="8" w:color="0000EE"/>
            </w:tcBorders>
          </w:tcPr>
          <w:p>
            <w:pPr>
              <w:spacing w:after="0" w:line="160" w:lineRule="exact"/>
              <w:rPr>
                <w:rFonts w:ascii="Times New Roman" w:cs="Times New Roman" w:eastAsia="Times New Roman" w:hAnsi="Times New Roman"/>
                <w:sz w:val="16"/>
                <w:szCs w:val="16"/>
                <w:color w:val="0000EE"/>
                <w:w w:val="91"/>
              </w:rPr>
            </w:pPr>
            <w:hyperlink r:id="rId187">
              <w:r>
                <w:rPr>
                  <w:rFonts w:ascii="Times New Roman" w:cs="Times New Roman" w:eastAsia="Times New Roman" w:hAnsi="Times New Roman"/>
                  <w:sz w:val="16"/>
                  <w:szCs w:val="16"/>
                  <w:color w:val="0000EE"/>
                  <w:w w:val="91"/>
                </w:rPr>
                <w:t>54023)</w:t>
              </w:r>
              <w:r>
                <w:rPr>
                  <w:rFonts w:ascii="Times New Roman" w:cs="Times New Roman" w:eastAsia="Times New Roman" w:hAnsi="Times New Roman"/>
                  <w:sz w:val="16"/>
                  <w:szCs w:val="16"/>
                  <w:u w:val="single" w:color="auto"/>
                  <w:color w:val="0000EE"/>
                  <w:w w:val="91"/>
                </w:rPr>
                <w:t>)</w:t>
              </w:r>
              <w:r>
                <w:rPr>
                  <w:rFonts w:ascii="Times New Roman" w:cs="Times New Roman" w:eastAsia="Times New Roman" w:hAnsi="Times New Roman"/>
                  <w:sz w:val="16"/>
                  <w:szCs w:val="16"/>
                  <w:color w:val="0000EE"/>
                  <w:w w:val="91"/>
                </w:rPr>
                <w:t>.</w:t>
              </w:r>
            </w:hyperlink>
          </w:p>
        </w:tc>
        <w:tc>
          <w:tcPr>
            <w:tcW w:w="640" w:type="dxa"/>
            <w:vAlign w:val="bottom"/>
            <w:tcBorders>
              <w:top w:val="single" w:sz="8" w:color="0000EE"/>
            </w:tcBorders>
          </w:tcPr>
          <w:p>
            <w:pPr>
              <w:spacing w:after="0"/>
              <w:rPr>
                <w:sz w:val="13"/>
                <w:szCs w:val="13"/>
                <w:color w:val="auto"/>
              </w:rPr>
            </w:pPr>
          </w:p>
        </w:tc>
        <w:tc>
          <w:tcPr>
            <w:tcW w:w="520" w:type="dxa"/>
            <w:vAlign w:val="bottom"/>
            <w:tcBorders>
              <w:top w:val="single" w:sz="8" w:color="0000EE"/>
            </w:tcBorders>
          </w:tcPr>
          <w:p>
            <w:pPr>
              <w:spacing w:after="0"/>
              <w:rPr>
                <w:sz w:val="13"/>
                <w:szCs w:val="13"/>
                <w:color w:val="auto"/>
              </w:rPr>
            </w:pPr>
          </w:p>
        </w:tc>
        <w:tc>
          <w:tcPr>
            <w:tcW w:w="120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1280" w:type="dxa"/>
            <w:vAlign w:val="bottom"/>
            <w:tcBorders>
              <w:top w:val="single" w:sz="8" w:color="0000EE"/>
            </w:tcBorders>
          </w:tcPr>
          <w:p>
            <w:pPr>
              <w:spacing w:after="0"/>
              <w:rPr>
                <w:sz w:val="13"/>
                <w:szCs w:val="13"/>
                <w:color w:val="auto"/>
              </w:rPr>
            </w:pPr>
          </w:p>
        </w:tc>
        <w:tc>
          <w:tcPr>
            <w:tcW w:w="540" w:type="dxa"/>
            <w:vAlign w:val="bottom"/>
            <w:tcBorders>
              <w:top w:val="single" w:sz="8" w:color="0000EE"/>
            </w:tcBorders>
          </w:tcPr>
          <w:p>
            <w:pPr>
              <w:spacing w:after="0"/>
              <w:rPr>
                <w:sz w:val="13"/>
                <w:szCs w:val="13"/>
                <w:color w:val="auto"/>
              </w:rPr>
            </w:pPr>
          </w:p>
        </w:tc>
        <w:tc>
          <w:tcPr>
            <w:tcW w:w="1220" w:type="dxa"/>
            <w:vAlign w:val="bottom"/>
            <w:tcBorders>
              <w:top w:val="single" w:sz="8" w:color="0000EE"/>
            </w:tcBorders>
          </w:tcPr>
          <w:p>
            <w:pPr>
              <w:spacing w:after="0"/>
              <w:rPr>
                <w:sz w:val="13"/>
                <w:szCs w:val="13"/>
                <w:color w:val="auto"/>
              </w:rPr>
            </w:pPr>
          </w:p>
        </w:tc>
        <w:tc>
          <w:tcPr>
            <w:tcW w:w="86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3.4</w:t>
            </w:r>
          </w:p>
        </w:tc>
        <w:tc>
          <w:tcPr>
            <w:tcW w:w="260" w:type="dxa"/>
            <w:vAlign w:val="bottom"/>
          </w:tcPr>
          <w:p>
            <w:pPr>
              <w:spacing w:after="0"/>
              <w:rPr>
                <w:sz w:val="24"/>
                <w:szCs w:val="24"/>
                <w:color w:val="auto"/>
              </w:rPr>
            </w:pPr>
          </w:p>
        </w:tc>
        <w:tc>
          <w:tcPr>
            <w:tcW w:w="7220" w:type="dxa"/>
            <w:vAlign w:val="bottom"/>
            <w:tcBorders>
              <w:bottom w:val="single" w:sz="8" w:color="0000EE"/>
            </w:tcBorders>
            <w:gridSpan w:val="21"/>
          </w:tcPr>
          <w:p>
            <w:pPr>
              <w:spacing w:after="0"/>
              <w:rPr>
                <w:rFonts w:ascii="Times New Roman" w:cs="Times New Roman" w:eastAsia="Times New Roman" w:hAnsi="Times New Roman"/>
                <w:sz w:val="16"/>
                <w:szCs w:val="16"/>
                <w:color w:val="0000EE"/>
                <w:w w:val="97"/>
              </w:rPr>
            </w:pPr>
            <w:hyperlink r:id="rId188">
              <w:r>
                <w:rPr>
                  <w:rFonts w:ascii="Times New Roman" w:cs="Times New Roman" w:eastAsia="Times New Roman" w:hAnsi="Times New Roman"/>
                  <w:sz w:val="16"/>
                  <w:szCs w:val="16"/>
                  <w:color w:val="0000EE"/>
                  <w:w w:val="97"/>
                </w:rPr>
                <w:t>Nineteenth Amended and Restated Agreement of Limited Partnership of Digital Realty Trust, L.P. (incorporated by</w:t>
              </w:r>
            </w:hyperlink>
          </w:p>
        </w:tc>
        <w:tc>
          <w:tcPr>
            <w:tcW w:w="240" w:type="dxa"/>
            <w:vAlign w:val="bottom"/>
            <w:gridSpan w:val="7"/>
          </w:tcPr>
          <w:p>
            <w:pPr>
              <w:spacing w:after="0"/>
              <w:rPr>
                <w:sz w:val="24"/>
                <w:szCs w:val="24"/>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60" w:type="dxa"/>
            <w:vAlign w:val="bottom"/>
            <w:gridSpan w:val="28"/>
          </w:tcPr>
          <w:p>
            <w:pPr>
              <w:spacing w:after="0" w:line="160" w:lineRule="exact"/>
              <w:rPr>
                <w:rFonts w:ascii="Times New Roman" w:cs="Times New Roman" w:eastAsia="Times New Roman" w:hAnsi="Times New Roman"/>
                <w:sz w:val="16"/>
                <w:szCs w:val="16"/>
                <w:color w:val="0000EE"/>
                <w:w w:val="98"/>
              </w:rPr>
            </w:pPr>
            <w:hyperlink r:id="rId188">
              <w:r>
                <w:rPr>
                  <w:rFonts w:ascii="Times New Roman" w:cs="Times New Roman" w:eastAsia="Times New Roman" w:hAnsi="Times New Roman"/>
                  <w:sz w:val="16"/>
                  <w:szCs w:val="16"/>
                  <w:color w:val="0000EE"/>
                  <w:w w:val="98"/>
                </w:rPr>
                <w:t>reference to Exhibit 3.1 to the Combined Current Report on Form 8-K of Digital Realty Trust, Inc. and Digital Realty</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360" w:type="dxa"/>
            <w:vAlign w:val="bottom"/>
            <w:tcBorders>
              <w:top w:val="single" w:sz="8" w:color="0000EE"/>
            </w:tcBorders>
            <w:gridSpan w:val="24"/>
          </w:tcPr>
          <w:p>
            <w:pPr>
              <w:spacing w:after="0" w:line="160" w:lineRule="exact"/>
              <w:rPr>
                <w:rFonts w:ascii="Times New Roman" w:cs="Times New Roman" w:eastAsia="Times New Roman" w:hAnsi="Times New Roman"/>
                <w:sz w:val="16"/>
                <w:szCs w:val="16"/>
                <w:color w:val="0000EE"/>
              </w:rPr>
            </w:pPr>
            <w:hyperlink r:id="rId188">
              <w:r>
                <w:rPr>
                  <w:rFonts w:ascii="Times New Roman" w:cs="Times New Roman" w:eastAsia="Times New Roman" w:hAnsi="Times New Roman"/>
                  <w:sz w:val="16"/>
                  <w:szCs w:val="16"/>
                  <w:color w:val="0000EE"/>
                </w:rPr>
                <w:t>Trust, L.P. (File Nos. 001-32336 and 000-54023) filed on October 10, 2019).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4.1</w:t>
            </w:r>
          </w:p>
        </w:tc>
        <w:tc>
          <w:tcPr>
            <w:tcW w:w="260" w:type="dxa"/>
            <w:vAlign w:val="bottom"/>
          </w:tcPr>
          <w:p>
            <w:pPr>
              <w:spacing w:after="0"/>
              <w:rPr>
                <w:sz w:val="24"/>
                <w:szCs w:val="24"/>
                <w:color w:val="auto"/>
              </w:rPr>
            </w:pPr>
          </w:p>
        </w:tc>
        <w:tc>
          <w:tcPr>
            <w:tcW w:w="7140" w:type="dxa"/>
            <w:vAlign w:val="bottom"/>
            <w:tcBorders>
              <w:bottom w:val="single" w:sz="8" w:color="0000EE"/>
            </w:tcBorders>
            <w:gridSpan w:val="17"/>
          </w:tcPr>
          <w:p>
            <w:pPr>
              <w:spacing w:after="0"/>
              <w:rPr>
                <w:rFonts w:ascii="Times New Roman" w:cs="Times New Roman" w:eastAsia="Times New Roman" w:hAnsi="Times New Roman"/>
                <w:sz w:val="16"/>
                <w:szCs w:val="16"/>
                <w:color w:val="0000EE"/>
                <w:w w:val="97"/>
              </w:rPr>
            </w:pPr>
            <w:hyperlink r:id="rId189">
              <w:r>
                <w:rPr>
                  <w:rFonts w:ascii="Times New Roman" w:cs="Times New Roman" w:eastAsia="Times New Roman" w:hAnsi="Times New Roman"/>
                  <w:sz w:val="16"/>
                  <w:szCs w:val="16"/>
                  <w:color w:val="0000EE"/>
                  <w:w w:val="97"/>
                </w:rPr>
                <w:t>Specimen Certificate for Common Stock for Digital Realty Trust, Inc. (incorporated by reference to Exhibit 4.1 to</w:t>
              </w:r>
            </w:hyperlink>
          </w:p>
        </w:tc>
        <w:tc>
          <w:tcPr>
            <w:tcW w:w="320" w:type="dxa"/>
            <w:vAlign w:val="bottom"/>
            <w:gridSpan w:val="11"/>
          </w:tcPr>
          <w:p>
            <w:pPr>
              <w:spacing w:after="0"/>
              <w:rPr>
                <w:sz w:val="24"/>
                <w:szCs w:val="24"/>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60" w:type="dxa"/>
            <w:vAlign w:val="bottom"/>
            <w:gridSpan w:val="28"/>
          </w:tcPr>
          <w:p>
            <w:pPr>
              <w:spacing w:after="0" w:line="160" w:lineRule="exact"/>
              <w:rPr>
                <w:rFonts w:ascii="Times New Roman" w:cs="Times New Roman" w:eastAsia="Times New Roman" w:hAnsi="Times New Roman"/>
                <w:sz w:val="16"/>
                <w:szCs w:val="16"/>
                <w:color w:val="0000EE"/>
                <w:w w:val="98"/>
              </w:rPr>
            </w:pPr>
            <w:hyperlink r:id="rId189">
              <w:r>
                <w:rPr>
                  <w:rFonts w:ascii="Times New Roman" w:cs="Times New Roman" w:eastAsia="Times New Roman" w:hAnsi="Times New Roman"/>
                  <w:sz w:val="16"/>
                  <w:szCs w:val="16"/>
                  <w:color w:val="0000EE"/>
                  <w:w w:val="98"/>
                </w:rPr>
                <w:t>Digital Realty Trust, Inc.’s Registration Statement on Form S-11 (Registration No. 333-117865) (File No. 001-32336)</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0" w:type="dxa"/>
            <w:vAlign w:val="bottom"/>
            <w:tcBorders>
              <w:top w:val="single" w:sz="8" w:color="0000EE"/>
            </w:tcBorders>
            <w:gridSpan w:val="26"/>
          </w:tcPr>
          <w:p>
            <w:pPr>
              <w:spacing w:after="0" w:line="160" w:lineRule="exact"/>
              <w:rPr>
                <w:rFonts w:ascii="Times New Roman" w:cs="Times New Roman" w:eastAsia="Times New Roman" w:hAnsi="Times New Roman"/>
                <w:sz w:val="16"/>
                <w:szCs w:val="16"/>
                <w:color w:val="0000EE"/>
              </w:rPr>
            </w:pPr>
            <w:hyperlink r:id="rId189">
              <w:r>
                <w:rPr>
                  <w:rFonts w:ascii="Times New Roman" w:cs="Times New Roman" w:eastAsia="Times New Roman" w:hAnsi="Times New Roman"/>
                  <w:sz w:val="16"/>
                  <w:szCs w:val="16"/>
                  <w:color w:val="0000EE"/>
                </w:rPr>
                <w:t>filed on October 26, 2004).</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4.2</w:t>
            </w:r>
          </w:p>
        </w:tc>
        <w:tc>
          <w:tcPr>
            <w:tcW w:w="260" w:type="dxa"/>
            <w:vAlign w:val="bottom"/>
          </w:tcPr>
          <w:p>
            <w:pPr>
              <w:spacing w:after="0"/>
              <w:rPr>
                <w:sz w:val="24"/>
                <w:szCs w:val="24"/>
                <w:color w:val="auto"/>
              </w:rPr>
            </w:pPr>
          </w:p>
        </w:tc>
        <w:tc>
          <w:tcPr>
            <w:tcW w:w="7460" w:type="dxa"/>
            <w:vAlign w:val="bottom"/>
            <w:gridSpan w:val="28"/>
          </w:tcPr>
          <w:p>
            <w:pPr>
              <w:spacing w:after="0"/>
              <w:rPr>
                <w:rFonts w:ascii="Times New Roman" w:cs="Times New Roman" w:eastAsia="Times New Roman" w:hAnsi="Times New Roman"/>
                <w:sz w:val="16"/>
                <w:szCs w:val="16"/>
                <w:color w:val="0000EE"/>
                <w:w w:val="98"/>
              </w:rPr>
            </w:pPr>
            <w:hyperlink r:id="rId190">
              <w:r>
                <w:rPr>
                  <w:rFonts w:ascii="Times New Roman" w:cs="Times New Roman" w:eastAsia="Times New Roman" w:hAnsi="Times New Roman"/>
                  <w:sz w:val="16"/>
                  <w:szCs w:val="16"/>
                  <w:color w:val="0000EE"/>
                  <w:w w:val="98"/>
                </w:rPr>
                <w:t>Registration Rights Agreement, dated as of October 27, 2004, by and among Digital Realty Trust, Inc., Digital Realty</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380" w:type="dxa"/>
            <w:vAlign w:val="bottom"/>
            <w:tcBorders>
              <w:top w:val="single" w:sz="8" w:color="0000EE"/>
            </w:tcBorders>
            <w:gridSpan w:val="25"/>
          </w:tcPr>
          <w:p>
            <w:pPr>
              <w:spacing w:after="0" w:line="160" w:lineRule="exact"/>
              <w:rPr>
                <w:rFonts w:ascii="Times New Roman" w:cs="Times New Roman" w:eastAsia="Times New Roman" w:hAnsi="Times New Roman"/>
                <w:sz w:val="16"/>
                <w:szCs w:val="16"/>
                <w:color w:val="0000EE"/>
              </w:rPr>
            </w:pPr>
            <w:hyperlink r:id="rId190">
              <w:r>
                <w:rPr>
                  <w:rFonts w:ascii="Times New Roman" w:cs="Times New Roman" w:eastAsia="Times New Roman" w:hAnsi="Times New Roman"/>
                  <w:sz w:val="16"/>
                  <w:szCs w:val="16"/>
                  <w:color w:val="0000EE"/>
                </w:rPr>
                <w:t>Trust, L.P. and the Unit Holders, as defined therein (incorporated by reference to Exhibit 10.2 to Digital Realty</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920" w:type="dxa"/>
            <w:vAlign w:val="bottom"/>
            <w:tcBorders>
              <w:top w:val="single" w:sz="8" w:color="0000EE"/>
            </w:tcBorders>
            <w:gridSpan w:val="11"/>
          </w:tcPr>
          <w:p>
            <w:pPr>
              <w:spacing w:after="0" w:line="160" w:lineRule="exact"/>
              <w:rPr>
                <w:rFonts w:ascii="Times New Roman" w:cs="Times New Roman" w:eastAsia="Times New Roman" w:hAnsi="Times New Roman"/>
                <w:sz w:val="16"/>
                <w:szCs w:val="16"/>
                <w:color w:val="0000EE"/>
              </w:rPr>
            </w:pPr>
            <w:hyperlink r:id="rId190">
              <w:r>
                <w:rPr>
                  <w:rFonts w:ascii="Times New Roman" w:cs="Times New Roman" w:eastAsia="Times New Roman" w:hAnsi="Times New Roman"/>
                  <w:sz w:val="16"/>
                  <w:szCs w:val="16"/>
                  <w:color w:val="0000EE"/>
                </w:rPr>
                <w:t>Trust, Inc.’s Quarterly Report on Form 10-Q (File No. 001-32336) filed on December 13, 2004).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40" w:type="dxa"/>
            <w:vAlign w:val="bottom"/>
            <w:gridSpan w:val="3"/>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4.3</w:t>
            </w:r>
          </w:p>
        </w:tc>
        <w:tc>
          <w:tcPr>
            <w:tcW w:w="260" w:type="dxa"/>
            <w:vAlign w:val="bottom"/>
          </w:tcPr>
          <w:p>
            <w:pPr>
              <w:spacing w:after="0"/>
              <w:rPr>
                <w:sz w:val="24"/>
                <w:szCs w:val="24"/>
                <w:color w:val="auto"/>
              </w:rPr>
            </w:pPr>
          </w:p>
        </w:tc>
        <w:tc>
          <w:tcPr>
            <w:tcW w:w="7460" w:type="dxa"/>
            <w:vAlign w:val="bottom"/>
            <w:gridSpan w:val="28"/>
          </w:tcPr>
          <w:p>
            <w:pPr>
              <w:spacing w:after="0"/>
              <w:rPr>
                <w:rFonts w:ascii="Times New Roman" w:cs="Times New Roman" w:eastAsia="Times New Roman" w:hAnsi="Times New Roman"/>
                <w:sz w:val="16"/>
                <w:szCs w:val="16"/>
                <w:color w:val="0000EE"/>
              </w:rPr>
            </w:pPr>
            <w:hyperlink r:id="rId191">
              <w:r>
                <w:rPr>
                  <w:rFonts w:ascii="Times New Roman" w:cs="Times New Roman" w:eastAsia="Times New Roman" w:hAnsi="Times New Roman"/>
                  <w:sz w:val="16"/>
                  <w:szCs w:val="16"/>
                  <w:color w:val="0000EE"/>
                </w:rPr>
                <w:t>Indenture, dated as of March 8, 2011, among Digital Realty Trust, L.P., as issuer, Digital Realty Trust, Inc., as</w:t>
              </w:r>
            </w:hyperlink>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900" w:type="dxa"/>
            <w:vAlign w:val="bottom"/>
            <w:tcBorders>
              <w:right w:val="single" w:sz="8" w:color="0000EE"/>
            </w:tcBorders>
            <w:gridSpan w:val="4"/>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60" w:type="dxa"/>
            <w:vAlign w:val="bottom"/>
            <w:gridSpan w:val="28"/>
          </w:tcPr>
          <w:p>
            <w:pPr>
              <w:spacing w:after="0" w:line="160" w:lineRule="exact"/>
              <w:rPr>
                <w:rFonts w:ascii="Times New Roman" w:cs="Times New Roman" w:eastAsia="Times New Roman" w:hAnsi="Times New Roman"/>
                <w:sz w:val="16"/>
                <w:szCs w:val="16"/>
                <w:color w:val="0000EE"/>
              </w:rPr>
            </w:pPr>
            <w:hyperlink r:id="rId191">
              <w:r>
                <w:rPr>
                  <w:rFonts w:ascii="Times New Roman" w:cs="Times New Roman" w:eastAsia="Times New Roman" w:hAnsi="Times New Roman"/>
                  <w:sz w:val="16"/>
                  <w:szCs w:val="16"/>
                  <w:color w:val="0000EE"/>
                </w:rPr>
                <w:t>guarantor, and Deutsche Bank Trust Company Americas, as trustee (incorporated by reference to Exhibit 4.1 to the</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180" w:type="dxa"/>
            <w:vAlign w:val="bottom"/>
            <w:tcBorders>
              <w:top w:val="single" w:sz="8" w:color="0000EE"/>
            </w:tcBorders>
            <w:gridSpan w:val="19"/>
          </w:tcPr>
          <w:p>
            <w:pPr>
              <w:spacing w:after="0" w:line="160" w:lineRule="exact"/>
              <w:rPr>
                <w:rFonts w:ascii="Times New Roman" w:cs="Times New Roman" w:eastAsia="Times New Roman" w:hAnsi="Times New Roman"/>
                <w:sz w:val="16"/>
                <w:szCs w:val="16"/>
                <w:color w:val="0000EE"/>
                <w:w w:val="97"/>
              </w:rPr>
            </w:pPr>
            <w:hyperlink r:id="rId191">
              <w:r>
                <w:rPr>
                  <w:rFonts w:ascii="Times New Roman" w:cs="Times New Roman" w:eastAsia="Times New Roman" w:hAnsi="Times New Roman"/>
                  <w:sz w:val="16"/>
                  <w:szCs w:val="16"/>
                  <w:color w:val="0000EE"/>
                  <w:w w:val="97"/>
                </w:rPr>
                <w:t>Combined Current Report on Form 8-K of Digital Realty Trust, Inc. and Digital Realty Trust, L.P. (File Nos. 001-</w:t>
              </w:r>
            </w:hyperlink>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980" w:type="dxa"/>
            <w:vAlign w:val="bottom"/>
            <w:tcBorders>
              <w:top w:val="single" w:sz="8" w:color="0000EE"/>
              <w:bottom w:val="single" w:sz="8" w:color="0000EE"/>
            </w:tcBorders>
            <w:gridSpan w:val="6"/>
          </w:tcPr>
          <w:p>
            <w:pPr>
              <w:spacing w:after="0" w:line="160" w:lineRule="exact"/>
              <w:rPr>
                <w:rFonts w:ascii="Times New Roman" w:cs="Times New Roman" w:eastAsia="Times New Roman" w:hAnsi="Times New Roman"/>
                <w:sz w:val="16"/>
                <w:szCs w:val="16"/>
                <w:color w:val="0000EE"/>
                <w:w w:val="96"/>
              </w:rPr>
            </w:pPr>
            <w:hyperlink r:id="rId191">
              <w:r>
                <w:rPr>
                  <w:rFonts w:ascii="Times New Roman" w:cs="Times New Roman" w:eastAsia="Times New Roman" w:hAnsi="Times New Roman"/>
                  <w:sz w:val="16"/>
                  <w:szCs w:val="16"/>
                  <w:color w:val="0000EE"/>
                  <w:w w:val="96"/>
                </w:rPr>
                <w:t>32336 and 000-54023) filed on March 8, 2011).</w:t>
              </w:r>
            </w:hyperlink>
          </w:p>
        </w:tc>
        <w:tc>
          <w:tcPr>
            <w:tcW w:w="4180" w:type="dxa"/>
            <w:vAlign w:val="bottom"/>
            <w:tcBorders>
              <w:top w:val="single" w:sz="8" w:color="0000EE"/>
            </w:tcBorders>
            <w:gridSpan w:val="12"/>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4.4</w:t>
            </w:r>
          </w:p>
        </w:tc>
        <w:tc>
          <w:tcPr>
            <w:tcW w:w="260" w:type="dxa"/>
            <w:vAlign w:val="bottom"/>
          </w:tcPr>
          <w:p>
            <w:pPr>
              <w:spacing w:after="0"/>
              <w:rPr>
                <w:sz w:val="24"/>
                <w:szCs w:val="24"/>
                <w:color w:val="auto"/>
              </w:rPr>
            </w:pPr>
          </w:p>
        </w:tc>
        <w:tc>
          <w:tcPr>
            <w:tcW w:w="7460" w:type="dxa"/>
            <w:vAlign w:val="bottom"/>
            <w:gridSpan w:val="28"/>
          </w:tcPr>
          <w:p>
            <w:pPr>
              <w:spacing w:after="0"/>
              <w:rPr>
                <w:rFonts w:ascii="Times New Roman" w:cs="Times New Roman" w:eastAsia="Times New Roman" w:hAnsi="Times New Roman"/>
                <w:sz w:val="16"/>
                <w:szCs w:val="16"/>
                <w:color w:val="0000EE"/>
                <w:w w:val="98"/>
              </w:rPr>
            </w:pPr>
            <w:hyperlink r:id="rId192">
              <w:r>
                <w:rPr>
                  <w:rFonts w:ascii="Times New Roman" w:cs="Times New Roman" w:eastAsia="Times New Roman" w:hAnsi="Times New Roman"/>
                  <w:sz w:val="16"/>
                  <w:szCs w:val="16"/>
                  <w:color w:val="0000EE"/>
                  <w:w w:val="98"/>
                </w:rPr>
                <w:t>Indenture, dated as of January 18, 2013, among Digital Stout Holding, LLC, Digital Realty Trust, Inc., Digital Realty</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340" w:type="dxa"/>
            <w:vAlign w:val="bottom"/>
            <w:tcBorders>
              <w:top w:val="single" w:sz="8" w:color="0000EE"/>
            </w:tcBorders>
            <w:gridSpan w:val="23"/>
          </w:tcPr>
          <w:p>
            <w:pPr>
              <w:spacing w:after="0" w:line="160" w:lineRule="exact"/>
              <w:rPr>
                <w:rFonts w:ascii="Times New Roman" w:cs="Times New Roman" w:eastAsia="Times New Roman" w:hAnsi="Times New Roman"/>
                <w:sz w:val="16"/>
                <w:szCs w:val="16"/>
                <w:color w:val="0000EE"/>
                <w:w w:val="97"/>
              </w:rPr>
            </w:pPr>
            <w:hyperlink r:id="rId192">
              <w:r>
                <w:rPr>
                  <w:rFonts w:ascii="Times New Roman" w:cs="Times New Roman" w:eastAsia="Times New Roman" w:hAnsi="Times New Roman"/>
                  <w:sz w:val="16"/>
                  <w:szCs w:val="16"/>
                  <w:color w:val="0000EE"/>
                  <w:w w:val="97"/>
                </w:rPr>
                <w:t>Trust, L.P., Deutsche Trustee Company Limited, as trustee, Deutsche Bank AG, London Branch, as paying agent and</w:t>
              </w:r>
            </w:hyperlink>
          </w:p>
        </w:tc>
        <w:tc>
          <w:tcPr>
            <w:tcW w:w="120" w:type="dxa"/>
            <w:vAlign w:val="bottom"/>
            <w:gridSpan w:val="5"/>
          </w:tcPr>
          <w:p>
            <w:pPr>
              <w:ind w:left="20"/>
              <w:spacing w:after="0" w:line="160" w:lineRule="exact"/>
              <w:rPr>
                <w:rFonts w:ascii="Times New Roman" w:cs="Times New Roman" w:eastAsia="Times New Roman" w:hAnsi="Times New Roman"/>
                <w:sz w:val="16"/>
                <w:szCs w:val="16"/>
                <w:color w:val="0000EE"/>
              </w:rPr>
            </w:pPr>
            <w:hyperlink r:id="rId192">
              <w:r>
                <w:rPr>
                  <w:rFonts w:ascii="Times New Roman" w:cs="Times New Roman" w:eastAsia="Times New Roman" w:hAnsi="Times New Roman"/>
                  <w:sz w:val="16"/>
                  <w:szCs w:val="16"/>
                  <w:color w:val="0000EE"/>
                </w:rPr>
                <w:t>a</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40" w:type="dxa"/>
            <w:vAlign w:val="bottom"/>
            <w:tcBorders>
              <w:top w:val="single" w:sz="8" w:color="0000EE"/>
            </w:tcBorders>
            <w:gridSpan w:val="27"/>
          </w:tcPr>
          <w:p>
            <w:pPr>
              <w:spacing w:after="0" w:line="160" w:lineRule="exact"/>
              <w:rPr>
                <w:rFonts w:ascii="Times New Roman" w:cs="Times New Roman" w:eastAsia="Times New Roman" w:hAnsi="Times New Roman"/>
                <w:sz w:val="16"/>
                <w:szCs w:val="16"/>
                <w:color w:val="0000EE"/>
              </w:rPr>
            </w:pPr>
            <w:hyperlink r:id="rId192">
              <w:r>
                <w:rPr>
                  <w:rFonts w:ascii="Times New Roman" w:cs="Times New Roman" w:eastAsia="Times New Roman" w:hAnsi="Times New Roman"/>
                  <w:sz w:val="16"/>
                  <w:szCs w:val="16"/>
                  <w:color w:val="0000EE"/>
                </w:rPr>
                <w:t>transfer agent, and Deutsche Bank Luxembourg S.A., as registrar and a transfer agent, including the form of the</w:t>
              </w:r>
            </w:hyperlink>
          </w:p>
        </w:tc>
        <w:tc>
          <w:tcPr>
            <w:tcW w:w="20" w:type="dxa"/>
            <w:vAlign w:val="bottom"/>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960" w:type="dxa"/>
            <w:vAlign w:val="bottom"/>
            <w:tcBorders>
              <w:top w:val="single" w:sz="8" w:color="0000EE"/>
              <w:bottom w:val="single" w:sz="8" w:color="0000EE"/>
            </w:tcBorders>
            <w:gridSpan w:val="13"/>
          </w:tcPr>
          <w:p>
            <w:pPr>
              <w:spacing w:after="0" w:line="160" w:lineRule="exact"/>
              <w:rPr>
                <w:rFonts w:ascii="Times New Roman" w:cs="Times New Roman" w:eastAsia="Times New Roman" w:hAnsi="Times New Roman"/>
                <w:sz w:val="16"/>
                <w:szCs w:val="16"/>
                <w:color w:val="0000EE"/>
                <w:w w:val="98"/>
              </w:rPr>
            </w:pPr>
            <w:hyperlink r:id="rId192">
              <w:r>
                <w:rPr>
                  <w:rFonts w:ascii="Times New Roman" w:cs="Times New Roman" w:eastAsia="Times New Roman" w:hAnsi="Times New Roman"/>
                  <w:sz w:val="16"/>
                  <w:szCs w:val="16"/>
                  <w:color w:val="0000EE"/>
                  <w:w w:val="98"/>
                </w:rPr>
                <w:t>4.</w:t>
              </w:r>
              <w:r>
                <w:rPr>
                  <w:rFonts w:ascii="Times New Roman" w:cs="Times New Roman" w:eastAsia="Times New Roman" w:hAnsi="Times New Roman"/>
                  <w:sz w:val="16"/>
                  <w:szCs w:val="16"/>
                  <w:u w:val="single" w:color="auto"/>
                  <w:color w:val="0000EE"/>
                  <w:w w:val="98"/>
                </w:rPr>
                <w:t>250%</w:t>
              </w:r>
              <w:r>
                <w:rPr>
                  <w:rFonts w:ascii="Times New Roman" w:cs="Times New Roman" w:eastAsia="Times New Roman" w:hAnsi="Times New Roman"/>
                  <w:sz w:val="16"/>
                  <w:szCs w:val="16"/>
                  <w:color w:val="0000EE"/>
                  <w:w w:val="98"/>
                </w:rPr>
                <w:t xml:space="preserve"> Guaranteed Notes due 2025 (incorporated by reference to Exhibit 4.1 to the Combined Current Report</w:t>
              </w:r>
            </w:hyperlink>
          </w:p>
        </w:tc>
        <w:tc>
          <w:tcPr>
            <w:tcW w:w="140" w:type="dxa"/>
            <w:vAlign w:val="bottom"/>
            <w:tcBorders>
              <w:bottom w:val="single" w:sz="8" w:color="0000EE"/>
            </w:tcBorders>
            <w:gridSpan w:val="2"/>
          </w:tcPr>
          <w:p>
            <w:pPr>
              <w:spacing w:after="0" w:line="160" w:lineRule="exact"/>
              <w:rPr>
                <w:rFonts w:ascii="Times New Roman" w:cs="Times New Roman" w:eastAsia="Times New Roman" w:hAnsi="Times New Roman"/>
                <w:sz w:val="16"/>
                <w:szCs w:val="16"/>
                <w:color w:val="0000EE"/>
                <w:w w:val="74"/>
              </w:rPr>
            </w:pPr>
            <w:hyperlink r:id="rId192">
              <w:r>
                <w:rPr>
                  <w:rFonts w:ascii="Times New Roman" w:cs="Times New Roman" w:eastAsia="Times New Roman" w:hAnsi="Times New Roman"/>
                  <w:sz w:val="16"/>
                  <w:szCs w:val="16"/>
                  <w:color w:val="0000EE"/>
                  <w:w w:val="74"/>
                </w:rPr>
                <w:t>on</w:t>
              </w:r>
            </w:hyperlink>
          </w:p>
        </w:tc>
        <w:tc>
          <w:tcPr>
            <w:tcW w:w="360" w:type="dxa"/>
            <w:vAlign w:val="bottom"/>
            <w:gridSpan w:val="13"/>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60" w:type="dxa"/>
            <w:vAlign w:val="bottom"/>
            <w:gridSpan w:val="28"/>
          </w:tcPr>
          <w:p>
            <w:pPr>
              <w:spacing w:after="0" w:line="160" w:lineRule="exact"/>
              <w:rPr>
                <w:rFonts w:ascii="Times New Roman" w:cs="Times New Roman" w:eastAsia="Times New Roman" w:hAnsi="Times New Roman"/>
                <w:sz w:val="16"/>
                <w:szCs w:val="16"/>
                <w:color w:val="0000EE"/>
              </w:rPr>
            </w:pPr>
            <w:hyperlink r:id="rId192">
              <w:r>
                <w:rPr>
                  <w:rFonts w:ascii="Times New Roman" w:cs="Times New Roman" w:eastAsia="Times New Roman" w:hAnsi="Times New Roman"/>
                  <w:sz w:val="16"/>
                  <w:szCs w:val="16"/>
                  <w:color w:val="0000EE"/>
                </w:rPr>
                <w:t>Form 8-K of Digital Realty Trust, Inc. and Digital Realty Trust, L.P. (File Nos. 001-32336 and 000-54023) filed on</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Borders>
              <w:top w:val="single" w:sz="8" w:color="0000EE"/>
              <w:bottom w:val="single" w:sz="8" w:color="0000EE"/>
            </w:tcBorders>
            <w:gridSpan w:val="2"/>
          </w:tcPr>
          <w:p>
            <w:pPr>
              <w:spacing w:after="0" w:line="160" w:lineRule="exact"/>
              <w:rPr>
                <w:rFonts w:ascii="Times New Roman" w:cs="Times New Roman" w:eastAsia="Times New Roman" w:hAnsi="Times New Roman"/>
                <w:sz w:val="16"/>
                <w:szCs w:val="16"/>
                <w:color w:val="0000EE"/>
                <w:w w:val="95"/>
              </w:rPr>
            </w:pPr>
            <w:hyperlink r:id="rId192">
              <w:r>
                <w:rPr>
                  <w:rFonts w:ascii="Times New Roman" w:cs="Times New Roman" w:eastAsia="Times New Roman" w:hAnsi="Times New Roman"/>
                  <w:sz w:val="16"/>
                  <w:szCs w:val="16"/>
                  <w:color w:val="0000EE"/>
                  <w:w w:val="95"/>
                </w:rPr>
                <w:t>January 25, 2013).</w:t>
              </w:r>
            </w:hyperlink>
          </w:p>
        </w:tc>
        <w:tc>
          <w:tcPr>
            <w:tcW w:w="6040" w:type="dxa"/>
            <w:vAlign w:val="bottom"/>
            <w:tcBorders>
              <w:top w:val="single" w:sz="8" w:color="0000EE"/>
            </w:tcBorders>
            <w:gridSpan w:val="18"/>
          </w:tcPr>
          <w:p>
            <w:pPr>
              <w:spacing w:after="0"/>
              <w:rPr>
                <w:sz w:val="13"/>
                <w:szCs w:val="13"/>
                <w:color w:val="auto"/>
              </w:rPr>
            </w:pPr>
          </w:p>
        </w:tc>
        <w:tc>
          <w:tcPr>
            <w:tcW w:w="120" w:type="dxa"/>
            <w:vAlign w:val="bottom"/>
            <w:gridSpan w:val="2"/>
          </w:tcPr>
          <w:p>
            <w:pPr>
              <w:spacing w:after="0"/>
              <w:rPr>
                <w:sz w:val="13"/>
                <w:szCs w:val="13"/>
                <w:color w:val="auto"/>
              </w:rPr>
            </w:pPr>
          </w:p>
        </w:tc>
        <w:tc>
          <w:tcPr>
            <w:tcW w:w="140" w:type="dxa"/>
            <w:vAlign w:val="bottom"/>
            <w:gridSpan w:val="6"/>
          </w:tcPr>
          <w:p>
            <w:pPr>
              <w:spacing w:after="0"/>
              <w:rPr>
                <w:sz w:val="13"/>
                <w:szCs w:val="13"/>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4.5</w:t>
            </w:r>
          </w:p>
        </w:tc>
        <w:tc>
          <w:tcPr>
            <w:tcW w:w="260" w:type="dxa"/>
            <w:vAlign w:val="bottom"/>
          </w:tcPr>
          <w:p>
            <w:pPr>
              <w:spacing w:after="0"/>
              <w:rPr>
                <w:sz w:val="24"/>
                <w:szCs w:val="24"/>
                <w:color w:val="auto"/>
              </w:rPr>
            </w:pPr>
          </w:p>
        </w:tc>
        <w:tc>
          <w:tcPr>
            <w:tcW w:w="7460" w:type="dxa"/>
            <w:vAlign w:val="bottom"/>
            <w:gridSpan w:val="28"/>
          </w:tcPr>
          <w:p>
            <w:pPr>
              <w:spacing w:after="0"/>
              <w:rPr>
                <w:rFonts w:ascii="Times New Roman" w:cs="Times New Roman" w:eastAsia="Times New Roman" w:hAnsi="Times New Roman"/>
                <w:sz w:val="16"/>
                <w:szCs w:val="16"/>
                <w:color w:val="0000EE"/>
              </w:rPr>
            </w:pPr>
            <w:hyperlink r:id="rId193">
              <w:r>
                <w:rPr>
                  <w:rFonts w:ascii="Times New Roman" w:cs="Times New Roman" w:eastAsia="Times New Roman" w:hAnsi="Times New Roman"/>
                  <w:sz w:val="16"/>
                  <w:szCs w:val="16"/>
                  <w:color w:val="0000EE"/>
                </w:rPr>
                <w:t>Indenture, dated as of June 23, 2015, among Digital Realty Trust, L.P., as issuer, Digital Realty Trust, Inc., as</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80" w:type="dxa"/>
            <w:vAlign w:val="bottom"/>
            <w:tcBorders>
              <w:top w:val="single" w:sz="8" w:color="0000EE"/>
              <w:bottom w:val="single" w:sz="8" w:color="0000EE"/>
            </w:tcBorders>
            <w:gridSpan w:val="10"/>
          </w:tcPr>
          <w:p>
            <w:pPr>
              <w:spacing w:after="0" w:line="160" w:lineRule="exact"/>
              <w:rPr>
                <w:rFonts w:ascii="Times New Roman" w:cs="Times New Roman" w:eastAsia="Times New Roman" w:hAnsi="Times New Roman"/>
                <w:sz w:val="16"/>
                <w:szCs w:val="16"/>
                <w:color w:val="0000EE"/>
                <w:w w:val="96"/>
              </w:rPr>
            </w:pPr>
            <w:hyperlink r:id="rId193">
              <w:r>
                <w:rPr>
                  <w:rFonts w:ascii="Times New Roman" w:cs="Times New Roman" w:eastAsia="Times New Roman" w:hAnsi="Times New Roman"/>
                  <w:sz w:val="16"/>
                  <w:szCs w:val="16"/>
                  <w:color w:val="0000EE"/>
                  <w:w w:val="96"/>
                </w:rPr>
                <w:t>guarantor, and Wells Fargo Bank, National Association, as trustee (incorporated by reference to Exhibit 4.1 to</w:t>
              </w:r>
            </w:hyperlink>
          </w:p>
        </w:tc>
        <w:tc>
          <w:tcPr>
            <w:tcW w:w="240" w:type="dxa"/>
            <w:vAlign w:val="bottom"/>
            <w:tcBorders>
              <w:bottom w:val="single" w:sz="8" w:color="0000EE"/>
            </w:tcBorders>
            <w:gridSpan w:val="6"/>
          </w:tcPr>
          <w:p>
            <w:pPr>
              <w:ind w:left="20"/>
              <w:spacing w:after="0" w:line="160" w:lineRule="exact"/>
              <w:rPr>
                <w:rFonts w:ascii="Times New Roman" w:cs="Times New Roman" w:eastAsia="Times New Roman" w:hAnsi="Times New Roman"/>
                <w:sz w:val="16"/>
                <w:szCs w:val="16"/>
                <w:color w:val="0000EE"/>
              </w:rPr>
            </w:pPr>
            <w:hyperlink r:id="rId193">
              <w:r>
                <w:rPr>
                  <w:rFonts w:ascii="Times New Roman" w:cs="Times New Roman" w:eastAsia="Times New Roman" w:hAnsi="Times New Roman"/>
                  <w:sz w:val="16"/>
                  <w:szCs w:val="16"/>
                  <w:color w:val="0000EE"/>
                </w:rPr>
                <w:t>the</w:t>
              </w:r>
            </w:hyperlink>
          </w:p>
        </w:tc>
        <w:tc>
          <w:tcPr>
            <w:tcW w:w="340" w:type="dxa"/>
            <w:vAlign w:val="bottom"/>
            <w:gridSpan w:val="12"/>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60" w:type="dxa"/>
            <w:vAlign w:val="bottom"/>
            <w:gridSpan w:val="28"/>
          </w:tcPr>
          <w:p>
            <w:pPr>
              <w:spacing w:after="0" w:line="160" w:lineRule="exact"/>
              <w:rPr>
                <w:rFonts w:ascii="Times New Roman" w:cs="Times New Roman" w:eastAsia="Times New Roman" w:hAnsi="Times New Roman"/>
                <w:sz w:val="16"/>
                <w:szCs w:val="16"/>
                <w:color w:val="0000EE"/>
              </w:rPr>
            </w:pPr>
            <w:hyperlink r:id="rId193">
              <w:r>
                <w:rPr>
                  <w:rFonts w:ascii="Times New Roman" w:cs="Times New Roman" w:eastAsia="Times New Roman" w:hAnsi="Times New Roman"/>
                  <w:sz w:val="16"/>
                  <w:szCs w:val="16"/>
                  <w:color w:val="0000EE"/>
                </w:rPr>
                <w:t>Combined Current Report on Form 8-K of Digital Realty Trust, Inc. and Digital Realty Trust, L.P. (File Nos. 001-</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940" w:type="dxa"/>
            <w:vAlign w:val="bottom"/>
            <w:tcBorders>
              <w:top w:val="single" w:sz="8" w:color="0000EE"/>
              <w:bottom w:val="single" w:sz="8" w:color="0000EE"/>
            </w:tcBorders>
            <w:gridSpan w:val="5"/>
          </w:tcPr>
          <w:p>
            <w:pPr>
              <w:spacing w:after="0" w:line="160" w:lineRule="exact"/>
              <w:rPr>
                <w:rFonts w:ascii="Times New Roman" w:cs="Times New Roman" w:eastAsia="Times New Roman" w:hAnsi="Times New Roman"/>
                <w:sz w:val="16"/>
                <w:szCs w:val="16"/>
                <w:color w:val="0000EE"/>
                <w:w w:val="96"/>
              </w:rPr>
            </w:pPr>
            <w:hyperlink r:id="rId193">
              <w:r>
                <w:rPr>
                  <w:rFonts w:ascii="Times New Roman" w:cs="Times New Roman" w:eastAsia="Times New Roman" w:hAnsi="Times New Roman"/>
                  <w:sz w:val="16"/>
                  <w:szCs w:val="16"/>
                  <w:color w:val="0000EE"/>
                  <w:w w:val="96"/>
                </w:rPr>
                <w:t>32336 and 000-54023) filed on June 23, 2015).</w:t>
              </w:r>
            </w:hyperlink>
          </w:p>
        </w:tc>
        <w:tc>
          <w:tcPr>
            <w:tcW w:w="4220" w:type="dxa"/>
            <w:vAlign w:val="bottom"/>
            <w:tcBorders>
              <w:top w:val="single" w:sz="8" w:color="0000EE"/>
            </w:tcBorders>
            <w:gridSpan w:val="13"/>
          </w:tcPr>
          <w:p>
            <w:pPr>
              <w:spacing w:after="0"/>
              <w:rPr>
                <w:sz w:val="13"/>
                <w:szCs w:val="13"/>
                <w:color w:val="auto"/>
              </w:rPr>
            </w:pPr>
          </w:p>
        </w:tc>
        <w:tc>
          <w:tcPr>
            <w:tcW w:w="160" w:type="dxa"/>
            <w:vAlign w:val="bottom"/>
            <w:gridSpan w:val="4"/>
          </w:tcPr>
          <w:p>
            <w:pPr>
              <w:spacing w:after="0"/>
              <w:rPr>
                <w:sz w:val="13"/>
                <w:szCs w:val="13"/>
                <w:color w:val="auto"/>
              </w:rPr>
            </w:pPr>
          </w:p>
        </w:tc>
        <w:tc>
          <w:tcPr>
            <w:tcW w:w="140" w:type="dxa"/>
            <w:vAlign w:val="bottom"/>
            <w:gridSpan w:val="6"/>
          </w:tcPr>
          <w:p>
            <w:pPr>
              <w:spacing w:after="0"/>
              <w:rPr>
                <w:sz w:val="13"/>
                <w:szCs w:val="13"/>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4.6</w:t>
            </w:r>
          </w:p>
        </w:tc>
        <w:tc>
          <w:tcPr>
            <w:tcW w:w="260" w:type="dxa"/>
            <w:vAlign w:val="bottom"/>
          </w:tcPr>
          <w:p>
            <w:pPr>
              <w:spacing w:after="0"/>
              <w:rPr>
                <w:sz w:val="24"/>
                <w:szCs w:val="24"/>
                <w:color w:val="auto"/>
              </w:rPr>
            </w:pPr>
          </w:p>
        </w:tc>
        <w:tc>
          <w:tcPr>
            <w:tcW w:w="7460" w:type="dxa"/>
            <w:vAlign w:val="bottom"/>
            <w:gridSpan w:val="28"/>
          </w:tcPr>
          <w:p>
            <w:pPr>
              <w:spacing w:after="0"/>
              <w:rPr>
                <w:rFonts w:ascii="Times New Roman" w:cs="Times New Roman" w:eastAsia="Times New Roman" w:hAnsi="Times New Roman"/>
                <w:sz w:val="16"/>
                <w:szCs w:val="16"/>
                <w:color w:val="0000EE"/>
                <w:w w:val="98"/>
              </w:rPr>
            </w:pPr>
            <w:hyperlink r:id="rId194">
              <w:r>
                <w:rPr>
                  <w:rFonts w:ascii="Times New Roman" w:cs="Times New Roman" w:eastAsia="Times New Roman" w:hAnsi="Times New Roman"/>
                  <w:sz w:val="16"/>
                  <w:szCs w:val="16"/>
                  <w:color w:val="0000EE"/>
                  <w:w w:val="98"/>
                </w:rPr>
                <w:t>Supplemental Indenture No. 2, dated as of August 7, 2017, among Digital Realty Trust, L.P., as issuer, Digital Realty</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940" w:type="dxa"/>
            <w:vAlign w:val="bottom"/>
            <w:tcBorders>
              <w:top w:val="single" w:sz="8" w:color="0000EE"/>
              <w:bottom w:val="single" w:sz="8" w:color="0000EE"/>
            </w:tcBorders>
            <w:gridSpan w:val="12"/>
          </w:tcPr>
          <w:p>
            <w:pPr>
              <w:spacing w:after="0" w:line="160" w:lineRule="exact"/>
              <w:rPr>
                <w:rFonts w:ascii="Times New Roman" w:cs="Times New Roman" w:eastAsia="Times New Roman" w:hAnsi="Times New Roman"/>
                <w:sz w:val="16"/>
                <w:szCs w:val="16"/>
                <w:color w:val="0000EE"/>
                <w:w w:val="97"/>
              </w:rPr>
            </w:pPr>
            <w:hyperlink r:id="rId194">
              <w:r>
                <w:rPr>
                  <w:rFonts w:ascii="Times New Roman" w:cs="Times New Roman" w:eastAsia="Times New Roman" w:hAnsi="Times New Roman"/>
                  <w:sz w:val="16"/>
                  <w:szCs w:val="16"/>
                  <w:color w:val="0000EE"/>
                  <w:w w:val="97"/>
                </w:rPr>
                <w:t>Trust, Inc., as guarantor, and Wells Fargo Bank, National Association, as trustee, including the form of 2.750%</w:t>
              </w:r>
            </w:hyperlink>
          </w:p>
        </w:tc>
        <w:tc>
          <w:tcPr>
            <w:tcW w:w="380" w:type="dxa"/>
            <w:vAlign w:val="bottom"/>
            <w:tcBorders>
              <w:top w:val="single" w:sz="8" w:color="0000EE"/>
            </w:tcBorders>
            <w:gridSpan w:val="10"/>
          </w:tcPr>
          <w:p>
            <w:pPr>
              <w:spacing w:after="0"/>
              <w:rPr>
                <w:sz w:val="13"/>
                <w:szCs w:val="13"/>
                <w:color w:val="auto"/>
              </w:rPr>
            </w:pPr>
          </w:p>
        </w:tc>
        <w:tc>
          <w:tcPr>
            <w:tcW w:w="140" w:type="dxa"/>
            <w:vAlign w:val="bottom"/>
            <w:gridSpan w:val="6"/>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60" w:type="dxa"/>
            <w:vAlign w:val="bottom"/>
            <w:tcBorders>
              <w:bottom w:val="single" w:sz="8" w:color="0000EE"/>
            </w:tcBorders>
            <w:gridSpan w:val="28"/>
          </w:tcPr>
          <w:p>
            <w:pPr>
              <w:spacing w:after="0" w:line="160" w:lineRule="exact"/>
              <w:rPr>
                <w:rFonts w:ascii="Times New Roman" w:cs="Times New Roman" w:eastAsia="Times New Roman" w:hAnsi="Times New Roman"/>
                <w:sz w:val="16"/>
                <w:szCs w:val="16"/>
                <w:color w:val="0000EE"/>
                <w:w w:val="97"/>
              </w:rPr>
            </w:pPr>
            <w:hyperlink r:id="rId194">
              <w:r>
                <w:rPr>
                  <w:rFonts w:ascii="Times New Roman" w:cs="Times New Roman" w:eastAsia="Times New Roman" w:hAnsi="Times New Roman"/>
                  <w:sz w:val="16"/>
                  <w:szCs w:val="16"/>
                  <w:color w:val="0000EE"/>
                  <w:w w:val="97"/>
                </w:rPr>
                <w:t>Notes due 2023, the form of 3.700% Notes due 2027 and the guarantees (incorporated by reference to Exhibit 4.2 to the</w:t>
              </w:r>
            </w:hyperlink>
          </w:p>
        </w:tc>
      </w:tr>
    </w:tbl>
    <w:p>
      <w:pPr>
        <w:ind w:left="1240" w:right="660"/>
        <w:spacing w:after="0" w:line="258" w:lineRule="auto"/>
        <w:rPr>
          <w:rFonts w:ascii="Times New Roman" w:cs="Times New Roman" w:eastAsia="Times New Roman" w:hAnsi="Times New Roman"/>
          <w:sz w:val="16"/>
          <w:szCs w:val="16"/>
          <w:u w:val="single" w:color="auto"/>
          <w:color w:val="0000EE"/>
        </w:rPr>
      </w:pPr>
      <w:hyperlink r:id="rId194">
        <w:r>
          <w:rPr>
            <w:rFonts w:ascii="Times New Roman" w:cs="Times New Roman" w:eastAsia="Times New Roman" w:hAnsi="Times New Roman"/>
            <w:sz w:val="16"/>
            <w:szCs w:val="16"/>
            <w:u w:val="single" w:color="auto"/>
            <w:color w:val="0000EE"/>
          </w:rPr>
          <w:t>Combined Current Report on Form 8-K of Digital Realty Trust, Inc. and Digital Realty Trust, L.P. (File Nos. 001-</w:t>
        </w:r>
      </w:hyperlink>
      <w:hyperlink r:id="rId194">
        <w:r>
          <w:rPr>
            <w:rFonts w:ascii="Times New Roman" w:cs="Times New Roman" w:eastAsia="Times New Roman" w:hAnsi="Times New Roman"/>
            <w:sz w:val="16"/>
            <w:szCs w:val="16"/>
            <w:u w:val="single" w:color="auto"/>
            <w:color w:val="0000EE"/>
          </w:rPr>
          <w:t>32336 and 000-54023) filed on August 9, 2017).</w:t>
        </w:r>
      </w:hyperlink>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5">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68" w:name="page169"/>
    <w:bookmarkEnd w:id="168"/>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12" w:lineRule="exact"/>
        <w:rPr>
          <w:sz w:val="20"/>
          <w:szCs w:val="20"/>
          <w:color w:val="auto"/>
        </w:rPr>
      </w:pPr>
    </w:p>
    <w:tbl>
      <w:tblPr>
        <w:tblLayout w:type="fixed"/>
        <w:tblInd w:w="320" w:type="dxa"/>
        <w:tblCellMar>
          <w:top w:w="0" w:type="dxa"/>
          <w:left w:w="0" w:type="dxa"/>
          <w:bottom w:w="0" w:type="dxa"/>
          <w:right w:w="0" w:type="dxa"/>
        </w:tblCellMar>
      </w:tblPr>
      <w:tr>
        <w:trPr>
          <w:trHeight w:val="156"/>
        </w:trPr>
        <w:tc>
          <w:tcPr>
            <w:tcW w:w="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0"/>
        </w:trPr>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260" w:type="dxa"/>
            <w:vAlign w:val="bottom"/>
          </w:tcPr>
          <w:p>
            <w:pPr>
              <w:spacing w:after="0"/>
              <w:rPr>
                <w:sz w:val="14"/>
                <w:szCs w:val="14"/>
                <w:color w:val="auto"/>
              </w:rPr>
            </w:pPr>
          </w:p>
        </w:tc>
        <w:tc>
          <w:tcPr>
            <w:tcW w:w="7460" w:type="dxa"/>
            <w:vAlign w:val="bottom"/>
            <w:tcBorders>
              <w:bottom w:val="single" w:sz="8" w:color="auto"/>
            </w:tcBorders>
            <w:gridSpan w:val="25"/>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328"/>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4.7</w:t>
            </w:r>
          </w:p>
        </w:tc>
        <w:tc>
          <w:tcPr>
            <w:tcW w:w="260" w:type="dxa"/>
            <w:vAlign w:val="bottom"/>
          </w:tcPr>
          <w:p>
            <w:pPr>
              <w:spacing w:after="0"/>
              <w:rPr>
                <w:sz w:val="24"/>
                <w:szCs w:val="24"/>
                <w:color w:val="auto"/>
              </w:rPr>
            </w:pPr>
          </w:p>
        </w:tc>
        <w:tc>
          <w:tcPr>
            <w:tcW w:w="7460" w:type="dxa"/>
            <w:vAlign w:val="bottom"/>
            <w:gridSpan w:val="25"/>
          </w:tcPr>
          <w:p>
            <w:pPr>
              <w:spacing w:after="0"/>
              <w:rPr>
                <w:rFonts w:ascii="Times New Roman" w:cs="Times New Roman" w:eastAsia="Times New Roman" w:hAnsi="Times New Roman"/>
                <w:sz w:val="16"/>
                <w:szCs w:val="16"/>
                <w:color w:val="0000EE"/>
              </w:rPr>
            </w:pPr>
            <w:hyperlink r:id="rId196">
              <w:r>
                <w:rPr>
                  <w:rFonts w:ascii="Times New Roman" w:cs="Times New Roman" w:eastAsia="Times New Roman" w:hAnsi="Times New Roman"/>
                  <w:sz w:val="16"/>
                  <w:szCs w:val="16"/>
                  <w:color w:val="0000EE"/>
                </w:rPr>
                <w:t>Indenture, dated as of July 21, 2017, among Digital Stout Holding, LLC, Digital Realty Trust, Inc., Digital Realty</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100" w:type="dxa"/>
            <w:vAlign w:val="bottom"/>
            <w:tcBorders>
              <w:top w:val="single" w:sz="8" w:color="0000EE"/>
            </w:tcBorders>
            <w:gridSpan w:val="15"/>
          </w:tcPr>
          <w:p>
            <w:pPr>
              <w:spacing w:after="0" w:line="160" w:lineRule="exact"/>
              <w:rPr>
                <w:rFonts w:ascii="Times New Roman" w:cs="Times New Roman" w:eastAsia="Times New Roman" w:hAnsi="Times New Roman"/>
                <w:sz w:val="16"/>
                <w:szCs w:val="16"/>
                <w:color w:val="0000EE"/>
                <w:w w:val="97"/>
              </w:rPr>
            </w:pPr>
            <w:hyperlink r:id="rId196">
              <w:r>
                <w:rPr>
                  <w:rFonts w:ascii="Times New Roman" w:cs="Times New Roman" w:eastAsia="Times New Roman" w:hAnsi="Times New Roman"/>
                  <w:sz w:val="16"/>
                  <w:szCs w:val="16"/>
                  <w:color w:val="0000EE"/>
                  <w:w w:val="97"/>
                </w:rPr>
                <w:t>Trust, L.P., Deutsche Trustee Company Limited, as trustee, Deutsche Bank AG, London Branch, as paying agent</w:t>
              </w:r>
            </w:hyperlink>
          </w:p>
        </w:tc>
        <w:tc>
          <w:tcPr>
            <w:tcW w:w="360" w:type="dxa"/>
            <w:vAlign w:val="bottom"/>
            <w:gridSpan w:val="10"/>
          </w:tcPr>
          <w:p>
            <w:pPr>
              <w:jc w:val="right"/>
              <w:ind w:right="40"/>
              <w:spacing w:after="0" w:line="160" w:lineRule="exact"/>
              <w:rPr>
                <w:rFonts w:ascii="Times New Roman" w:cs="Times New Roman" w:eastAsia="Times New Roman" w:hAnsi="Times New Roman"/>
                <w:sz w:val="16"/>
                <w:szCs w:val="16"/>
                <w:color w:val="0000EE"/>
                <w:w w:val="87"/>
              </w:rPr>
            </w:pPr>
            <w:hyperlink r:id="rId196">
              <w:r>
                <w:rPr>
                  <w:rFonts w:ascii="Times New Roman" w:cs="Times New Roman" w:eastAsia="Times New Roman" w:hAnsi="Times New Roman"/>
                  <w:sz w:val="16"/>
                  <w:szCs w:val="16"/>
                  <w:color w:val="0000EE"/>
                  <w:w w:val="87"/>
                </w:rPr>
                <w:t>and a</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40" w:type="dxa"/>
            <w:vAlign w:val="bottom"/>
            <w:tcBorders>
              <w:top w:val="single" w:sz="8" w:color="0000EE"/>
            </w:tcBorders>
            <w:gridSpan w:val="24"/>
          </w:tcPr>
          <w:p>
            <w:pPr>
              <w:spacing w:after="0" w:line="160" w:lineRule="exact"/>
              <w:rPr>
                <w:rFonts w:ascii="Times New Roman" w:cs="Times New Roman" w:eastAsia="Times New Roman" w:hAnsi="Times New Roman"/>
                <w:sz w:val="16"/>
                <w:szCs w:val="16"/>
                <w:color w:val="0000EE"/>
              </w:rPr>
            </w:pPr>
            <w:hyperlink r:id="rId196">
              <w:r>
                <w:rPr>
                  <w:rFonts w:ascii="Times New Roman" w:cs="Times New Roman" w:eastAsia="Times New Roman" w:hAnsi="Times New Roman"/>
                  <w:sz w:val="16"/>
                  <w:szCs w:val="16"/>
                  <w:color w:val="0000EE"/>
                </w:rPr>
                <w:t>transfer agent, and Deutsche Bank Luxembourg S.A., as registrar and a transfer agent, including the form of the</w:t>
              </w:r>
            </w:hyperlink>
          </w:p>
        </w:tc>
        <w:tc>
          <w:tcPr>
            <w:tcW w:w="20" w:type="dxa"/>
            <w:vAlign w:val="bottom"/>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960" w:type="dxa"/>
            <w:vAlign w:val="bottom"/>
            <w:tcBorders>
              <w:top w:val="single" w:sz="8" w:color="0000EE"/>
              <w:bottom w:val="single" w:sz="8" w:color="0000EE"/>
            </w:tcBorders>
            <w:gridSpan w:val="11"/>
          </w:tcPr>
          <w:p>
            <w:pPr>
              <w:spacing w:after="0" w:line="160" w:lineRule="exact"/>
              <w:rPr>
                <w:rFonts w:ascii="Times New Roman" w:cs="Times New Roman" w:eastAsia="Times New Roman" w:hAnsi="Times New Roman"/>
                <w:sz w:val="16"/>
                <w:szCs w:val="16"/>
                <w:color w:val="0000EE"/>
                <w:w w:val="98"/>
              </w:rPr>
            </w:pPr>
            <w:hyperlink r:id="rId196">
              <w:r>
                <w:rPr>
                  <w:rFonts w:ascii="Times New Roman" w:cs="Times New Roman" w:eastAsia="Times New Roman" w:hAnsi="Times New Roman"/>
                  <w:sz w:val="16"/>
                  <w:szCs w:val="16"/>
                  <w:color w:val="0000EE"/>
                  <w:w w:val="98"/>
                </w:rPr>
                <w:t>3.</w:t>
              </w:r>
              <w:r>
                <w:rPr>
                  <w:rFonts w:ascii="Times New Roman" w:cs="Times New Roman" w:eastAsia="Times New Roman" w:hAnsi="Times New Roman"/>
                  <w:sz w:val="16"/>
                  <w:szCs w:val="16"/>
                  <w:u w:val="single" w:color="auto"/>
                  <w:color w:val="0000EE"/>
                  <w:w w:val="98"/>
                </w:rPr>
                <w:t>300%</w:t>
              </w:r>
              <w:r>
                <w:rPr>
                  <w:rFonts w:ascii="Times New Roman" w:cs="Times New Roman" w:eastAsia="Times New Roman" w:hAnsi="Times New Roman"/>
                  <w:sz w:val="16"/>
                  <w:szCs w:val="16"/>
                  <w:color w:val="0000EE"/>
                  <w:w w:val="98"/>
                </w:rPr>
                <w:t xml:space="preserve"> Guaranteed Notes due 2029 (incorporated by reference to Exhibit 4.2 to the Combined Current Report</w:t>
              </w:r>
            </w:hyperlink>
          </w:p>
        </w:tc>
        <w:tc>
          <w:tcPr>
            <w:tcW w:w="140" w:type="dxa"/>
            <w:vAlign w:val="bottom"/>
            <w:tcBorders>
              <w:bottom w:val="single" w:sz="8" w:color="0000EE"/>
            </w:tcBorders>
            <w:gridSpan w:val="4"/>
          </w:tcPr>
          <w:p>
            <w:pPr>
              <w:spacing w:after="0" w:line="160" w:lineRule="exact"/>
              <w:rPr>
                <w:rFonts w:ascii="Times New Roman" w:cs="Times New Roman" w:eastAsia="Times New Roman" w:hAnsi="Times New Roman"/>
                <w:sz w:val="16"/>
                <w:szCs w:val="16"/>
                <w:color w:val="0000EE"/>
                <w:w w:val="74"/>
              </w:rPr>
            </w:pPr>
            <w:hyperlink r:id="rId196">
              <w:r>
                <w:rPr>
                  <w:rFonts w:ascii="Times New Roman" w:cs="Times New Roman" w:eastAsia="Times New Roman" w:hAnsi="Times New Roman"/>
                  <w:sz w:val="16"/>
                  <w:szCs w:val="16"/>
                  <w:color w:val="0000EE"/>
                  <w:w w:val="74"/>
                </w:rPr>
                <w:t>on</w:t>
              </w:r>
            </w:hyperlink>
          </w:p>
        </w:tc>
        <w:tc>
          <w:tcPr>
            <w:tcW w:w="360" w:type="dxa"/>
            <w:vAlign w:val="bottom"/>
            <w:gridSpan w:val="10"/>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60" w:type="dxa"/>
            <w:vAlign w:val="bottom"/>
            <w:gridSpan w:val="25"/>
          </w:tcPr>
          <w:p>
            <w:pPr>
              <w:spacing w:after="0" w:line="160" w:lineRule="exact"/>
              <w:rPr>
                <w:rFonts w:ascii="Times New Roman" w:cs="Times New Roman" w:eastAsia="Times New Roman" w:hAnsi="Times New Roman"/>
                <w:sz w:val="16"/>
                <w:szCs w:val="16"/>
                <w:color w:val="0000EE"/>
              </w:rPr>
            </w:pPr>
            <w:hyperlink r:id="rId196">
              <w:r>
                <w:rPr>
                  <w:rFonts w:ascii="Times New Roman" w:cs="Times New Roman" w:eastAsia="Times New Roman" w:hAnsi="Times New Roman"/>
                  <w:sz w:val="16"/>
                  <w:szCs w:val="16"/>
                  <w:color w:val="0000EE"/>
                </w:rPr>
                <w:t>Form 8-K of Digital Realty Trust, Inc. and Digital Realty Trust, L.P. (File Nos. 001-32336 and 000-54023) filed on</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0" w:type="dxa"/>
            <w:vAlign w:val="bottom"/>
            <w:tcBorders>
              <w:top w:val="single" w:sz="8" w:color="0000EE"/>
            </w:tcBorders>
            <w:gridSpan w:val="16"/>
          </w:tcPr>
          <w:p>
            <w:pPr>
              <w:spacing w:after="0" w:line="160" w:lineRule="exact"/>
              <w:rPr>
                <w:rFonts w:ascii="Times New Roman" w:cs="Times New Roman" w:eastAsia="Times New Roman" w:hAnsi="Times New Roman"/>
                <w:sz w:val="16"/>
                <w:szCs w:val="16"/>
                <w:color w:val="0000EE"/>
              </w:rPr>
            </w:pPr>
            <w:hyperlink r:id="rId196">
              <w:r>
                <w:rPr>
                  <w:rFonts w:ascii="Times New Roman" w:cs="Times New Roman" w:eastAsia="Times New Roman" w:hAnsi="Times New Roman"/>
                  <w:sz w:val="16"/>
                  <w:szCs w:val="16"/>
                  <w:color w:val="0000EE"/>
                </w:rPr>
                <w:t>July 21, 2017).</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4.8</w:t>
            </w:r>
          </w:p>
        </w:tc>
        <w:tc>
          <w:tcPr>
            <w:tcW w:w="260" w:type="dxa"/>
            <w:vAlign w:val="bottom"/>
          </w:tcPr>
          <w:p>
            <w:pPr>
              <w:spacing w:after="0"/>
              <w:rPr>
                <w:sz w:val="24"/>
                <w:szCs w:val="24"/>
                <w:color w:val="auto"/>
              </w:rPr>
            </w:pPr>
          </w:p>
        </w:tc>
        <w:tc>
          <w:tcPr>
            <w:tcW w:w="7460" w:type="dxa"/>
            <w:vAlign w:val="bottom"/>
            <w:gridSpan w:val="25"/>
          </w:tcPr>
          <w:p>
            <w:pPr>
              <w:spacing w:after="0"/>
              <w:rPr>
                <w:rFonts w:ascii="Times New Roman" w:cs="Times New Roman" w:eastAsia="Times New Roman" w:hAnsi="Times New Roman"/>
                <w:sz w:val="16"/>
                <w:szCs w:val="16"/>
                <w:color w:val="0000EE"/>
              </w:rPr>
            </w:pPr>
            <w:hyperlink r:id="rId197">
              <w:r>
                <w:rPr>
                  <w:rFonts w:ascii="Times New Roman" w:cs="Times New Roman" w:eastAsia="Times New Roman" w:hAnsi="Times New Roman"/>
                  <w:sz w:val="16"/>
                  <w:szCs w:val="16"/>
                  <w:color w:val="0000EE"/>
                </w:rPr>
                <w:t>Specimen Certificate for Digital Realty Trust, Inc.’s 5.250% Series J Cumulative Redeemable Preferred Stock</w:t>
              </w:r>
            </w:hyperlink>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60" w:type="dxa"/>
            <w:vAlign w:val="bottom"/>
            <w:gridSpan w:val="25"/>
          </w:tcPr>
          <w:p>
            <w:pPr>
              <w:spacing w:after="0" w:line="160" w:lineRule="exact"/>
              <w:rPr>
                <w:rFonts w:ascii="Times New Roman" w:cs="Times New Roman" w:eastAsia="Times New Roman" w:hAnsi="Times New Roman"/>
                <w:sz w:val="16"/>
                <w:szCs w:val="16"/>
                <w:color w:val="0000EE"/>
                <w:w w:val="98"/>
              </w:rPr>
            </w:pPr>
            <w:hyperlink r:id="rId197">
              <w:r>
                <w:rPr>
                  <w:rFonts w:ascii="Times New Roman" w:cs="Times New Roman" w:eastAsia="Times New Roman" w:hAnsi="Times New Roman"/>
                  <w:sz w:val="16"/>
                  <w:szCs w:val="16"/>
                  <w:color w:val="0000EE"/>
                  <w:w w:val="98"/>
                </w:rPr>
                <w:t>(incorporated by reference to Exhibit 4.1 to the Registration Statement on Form 8-A of Digital Realty Trust, Inc. (File</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0" w:type="dxa"/>
            <w:vAlign w:val="bottom"/>
            <w:tcBorders>
              <w:top w:val="single" w:sz="8" w:color="0000EE"/>
              <w:bottom w:val="single" w:sz="8" w:color="0000EE"/>
            </w:tcBorders>
            <w:gridSpan w:val="4"/>
          </w:tcPr>
          <w:p>
            <w:pPr>
              <w:spacing w:after="0" w:line="160" w:lineRule="exact"/>
              <w:rPr>
                <w:rFonts w:ascii="Times New Roman" w:cs="Times New Roman" w:eastAsia="Times New Roman" w:hAnsi="Times New Roman"/>
                <w:sz w:val="16"/>
                <w:szCs w:val="16"/>
                <w:color w:val="0000EE"/>
                <w:w w:val="96"/>
              </w:rPr>
            </w:pPr>
            <w:hyperlink r:id="rId197">
              <w:r>
                <w:rPr>
                  <w:rFonts w:ascii="Times New Roman" w:cs="Times New Roman" w:eastAsia="Times New Roman" w:hAnsi="Times New Roman"/>
                  <w:sz w:val="16"/>
                  <w:szCs w:val="16"/>
                  <w:color w:val="0000EE"/>
                  <w:w w:val="96"/>
                </w:rPr>
                <w:t>No. 001-32336) filed on August 4, 2017).</w:t>
              </w:r>
            </w:hyperlink>
          </w:p>
        </w:tc>
        <w:tc>
          <w:tcPr>
            <w:tcW w:w="4760" w:type="dxa"/>
            <w:vAlign w:val="bottom"/>
            <w:tcBorders>
              <w:top w:val="single" w:sz="8" w:color="0000EE"/>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4.9</w:t>
            </w:r>
          </w:p>
        </w:tc>
        <w:tc>
          <w:tcPr>
            <w:tcW w:w="260" w:type="dxa"/>
            <w:vAlign w:val="bottom"/>
          </w:tcPr>
          <w:p>
            <w:pPr>
              <w:spacing w:after="0"/>
              <w:rPr>
                <w:sz w:val="24"/>
                <w:szCs w:val="24"/>
                <w:color w:val="auto"/>
              </w:rPr>
            </w:pPr>
          </w:p>
        </w:tc>
        <w:tc>
          <w:tcPr>
            <w:tcW w:w="7460" w:type="dxa"/>
            <w:vAlign w:val="bottom"/>
            <w:gridSpan w:val="25"/>
          </w:tcPr>
          <w:p>
            <w:pPr>
              <w:spacing w:after="0"/>
              <w:rPr>
                <w:rFonts w:ascii="Times New Roman" w:cs="Times New Roman" w:eastAsia="Times New Roman" w:hAnsi="Times New Roman"/>
                <w:sz w:val="16"/>
                <w:szCs w:val="16"/>
                <w:color w:val="0000EE"/>
              </w:rPr>
            </w:pPr>
            <w:hyperlink r:id="rId198">
              <w:r>
                <w:rPr>
                  <w:rFonts w:ascii="Times New Roman" w:cs="Times New Roman" w:eastAsia="Times New Roman" w:hAnsi="Times New Roman"/>
                  <w:sz w:val="16"/>
                  <w:szCs w:val="16"/>
                  <w:color w:val="0000EE"/>
                </w:rPr>
                <w:t>Supplemental Indenture No. 3, dated as of June 21, 2018, among Digital Realty Trust, L.P., as issuer, Digital Realty</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940" w:type="dxa"/>
            <w:vAlign w:val="bottom"/>
            <w:tcBorders>
              <w:top w:val="single" w:sz="8" w:color="0000EE"/>
              <w:bottom w:val="single" w:sz="8" w:color="0000EE"/>
            </w:tcBorders>
            <w:gridSpan w:val="10"/>
          </w:tcPr>
          <w:p>
            <w:pPr>
              <w:spacing w:after="0" w:line="160" w:lineRule="exact"/>
              <w:rPr>
                <w:rFonts w:ascii="Times New Roman" w:cs="Times New Roman" w:eastAsia="Times New Roman" w:hAnsi="Times New Roman"/>
                <w:sz w:val="16"/>
                <w:szCs w:val="16"/>
                <w:color w:val="0000EE"/>
                <w:w w:val="97"/>
              </w:rPr>
            </w:pPr>
            <w:hyperlink r:id="rId198">
              <w:r>
                <w:rPr>
                  <w:rFonts w:ascii="Times New Roman" w:cs="Times New Roman" w:eastAsia="Times New Roman" w:hAnsi="Times New Roman"/>
                  <w:sz w:val="16"/>
                  <w:szCs w:val="16"/>
                  <w:color w:val="0000EE"/>
                  <w:w w:val="97"/>
                </w:rPr>
                <w:t>Trust, Inc., as guarantor, and Wells Fargo Bank, National Association, as trustee, including the form of 4.450%</w:t>
              </w:r>
            </w:hyperlink>
          </w:p>
        </w:tc>
        <w:tc>
          <w:tcPr>
            <w:tcW w:w="320" w:type="dxa"/>
            <w:vAlign w:val="bottom"/>
            <w:tcBorders>
              <w:top w:val="single" w:sz="8" w:color="0000EE"/>
            </w:tcBorders>
            <w:gridSpan w:val="8"/>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60" w:type="dxa"/>
            <w:vAlign w:val="bottom"/>
            <w:gridSpan w:val="25"/>
          </w:tcPr>
          <w:p>
            <w:pPr>
              <w:spacing w:after="0" w:line="160" w:lineRule="exact"/>
              <w:rPr>
                <w:rFonts w:ascii="Times New Roman" w:cs="Times New Roman" w:eastAsia="Times New Roman" w:hAnsi="Times New Roman"/>
                <w:sz w:val="16"/>
                <w:szCs w:val="16"/>
                <w:color w:val="0000EE"/>
              </w:rPr>
            </w:pPr>
            <w:hyperlink r:id="rId198">
              <w:r>
                <w:rPr>
                  <w:rFonts w:ascii="Times New Roman" w:cs="Times New Roman" w:eastAsia="Times New Roman" w:hAnsi="Times New Roman"/>
                  <w:sz w:val="16"/>
                  <w:szCs w:val="16"/>
                  <w:color w:val="0000EE"/>
                </w:rPr>
                <w:t>Notes due 2028 and the guarantees (incorporated by reference to Exhibit 4.2 to the Combined Current Report on</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340" w:type="dxa"/>
            <w:vAlign w:val="bottom"/>
            <w:tcBorders>
              <w:top w:val="single" w:sz="8" w:color="0000EE"/>
              <w:bottom w:val="single" w:sz="8" w:color="0000EE"/>
            </w:tcBorders>
            <w:gridSpan w:val="7"/>
          </w:tcPr>
          <w:p>
            <w:pPr>
              <w:spacing w:after="0" w:line="160" w:lineRule="exact"/>
              <w:rPr>
                <w:rFonts w:ascii="Times New Roman" w:cs="Times New Roman" w:eastAsia="Times New Roman" w:hAnsi="Times New Roman"/>
                <w:sz w:val="16"/>
                <w:szCs w:val="16"/>
                <w:color w:val="0000EE"/>
                <w:w w:val="97"/>
              </w:rPr>
            </w:pPr>
            <w:hyperlink r:id="rId198">
              <w:r>
                <w:rPr>
                  <w:rFonts w:ascii="Times New Roman" w:cs="Times New Roman" w:eastAsia="Times New Roman" w:hAnsi="Times New Roman"/>
                  <w:sz w:val="16"/>
                  <w:szCs w:val="16"/>
                  <w:color w:val="0000EE"/>
                  <w:w w:val="97"/>
                </w:rPr>
                <w:t>Form 8-K of Digital Realty Trust, L.P. (File Nos. 001-32336 and 000-54023) filed on June 21, 2018).</w:t>
              </w:r>
            </w:hyperlink>
          </w:p>
        </w:tc>
        <w:tc>
          <w:tcPr>
            <w:tcW w:w="680" w:type="dxa"/>
            <w:vAlign w:val="bottom"/>
            <w:tcBorders>
              <w:top w:val="single" w:sz="8" w:color="0000EE"/>
            </w:tcBorders>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4.10</w:t>
            </w:r>
          </w:p>
        </w:tc>
        <w:tc>
          <w:tcPr>
            <w:tcW w:w="260" w:type="dxa"/>
            <w:vAlign w:val="bottom"/>
          </w:tcPr>
          <w:p>
            <w:pPr>
              <w:spacing w:after="0"/>
              <w:rPr>
                <w:sz w:val="24"/>
                <w:szCs w:val="24"/>
                <w:color w:val="auto"/>
              </w:rPr>
            </w:pPr>
          </w:p>
        </w:tc>
        <w:tc>
          <w:tcPr>
            <w:tcW w:w="7460" w:type="dxa"/>
            <w:vAlign w:val="bottom"/>
            <w:gridSpan w:val="25"/>
          </w:tcPr>
          <w:p>
            <w:pPr>
              <w:spacing w:after="0"/>
              <w:rPr>
                <w:rFonts w:ascii="Times New Roman" w:cs="Times New Roman" w:eastAsia="Times New Roman" w:hAnsi="Times New Roman"/>
                <w:sz w:val="16"/>
                <w:szCs w:val="16"/>
                <w:color w:val="0000EE"/>
                <w:w w:val="98"/>
              </w:rPr>
            </w:pPr>
            <w:hyperlink r:id="rId199">
              <w:r>
                <w:rPr>
                  <w:rFonts w:ascii="Times New Roman" w:cs="Times New Roman" w:eastAsia="Times New Roman" w:hAnsi="Times New Roman"/>
                  <w:sz w:val="16"/>
                  <w:szCs w:val="16"/>
                  <w:color w:val="0000EE"/>
                  <w:w w:val="98"/>
                </w:rPr>
                <w:t>Indenture, dated as of October 17, 2018, among Digital Stout Holding, LLC, Digital Realty Trust, Inc., Digital Realty</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380" w:type="dxa"/>
            <w:vAlign w:val="bottom"/>
            <w:tcBorders>
              <w:top w:val="single" w:sz="8" w:color="0000EE"/>
            </w:tcBorders>
            <w:gridSpan w:val="22"/>
          </w:tcPr>
          <w:p>
            <w:pPr>
              <w:spacing w:after="0" w:line="160" w:lineRule="exact"/>
              <w:rPr>
                <w:rFonts w:ascii="Times New Roman" w:cs="Times New Roman" w:eastAsia="Times New Roman" w:hAnsi="Times New Roman"/>
                <w:sz w:val="16"/>
                <w:szCs w:val="16"/>
                <w:color w:val="0000EE"/>
                <w:w w:val="97"/>
              </w:rPr>
            </w:pPr>
            <w:hyperlink r:id="rId199">
              <w:r>
                <w:rPr>
                  <w:rFonts w:ascii="Times New Roman" w:cs="Times New Roman" w:eastAsia="Times New Roman" w:hAnsi="Times New Roman"/>
                  <w:sz w:val="16"/>
                  <w:szCs w:val="16"/>
                  <w:color w:val="0000EE"/>
                  <w:w w:val="97"/>
                </w:rPr>
                <w:t>Trust, L.P., Deutsche Trustee Company Limited, as trustee, Deutsche Bank AG, London Branch, as paying agent and</w:t>
              </w:r>
            </w:hyperlink>
          </w:p>
        </w:tc>
        <w:tc>
          <w:tcPr>
            <w:tcW w:w="80" w:type="dxa"/>
            <w:vAlign w:val="bottom"/>
            <w:gridSpan w:val="3"/>
          </w:tcPr>
          <w:p>
            <w:pPr>
              <w:jc w:val="right"/>
              <w:ind w:right="40"/>
              <w:spacing w:after="0"/>
              <w:rPr>
                <w:rFonts w:ascii="Times New Roman" w:cs="Times New Roman" w:eastAsia="Times New Roman" w:hAnsi="Times New Roman"/>
                <w:sz w:val="6"/>
                <w:szCs w:val="6"/>
                <w:color w:val="0000EE"/>
                <w:w w:val="73"/>
              </w:rPr>
            </w:pPr>
            <w:hyperlink r:id="rId199">
              <w:r>
                <w:rPr>
                  <w:rFonts w:ascii="Times New Roman" w:cs="Times New Roman" w:eastAsia="Times New Roman" w:hAnsi="Times New Roman"/>
                  <w:sz w:val="6"/>
                  <w:szCs w:val="6"/>
                  <w:color w:val="0000EE"/>
                  <w:w w:val="73"/>
                </w:rPr>
                <w:t>a</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40" w:type="dxa"/>
            <w:vAlign w:val="bottom"/>
            <w:tcBorders>
              <w:top w:val="single" w:sz="8" w:color="0000EE"/>
            </w:tcBorders>
            <w:gridSpan w:val="24"/>
          </w:tcPr>
          <w:p>
            <w:pPr>
              <w:spacing w:after="0" w:line="160" w:lineRule="exact"/>
              <w:rPr>
                <w:rFonts w:ascii="Times New Roman" w:cs="Times New Roman" w:eastAsia="Times New Roman" w:hAnsi="Times New Roman"/>
                <w:sz w:val="16"/>
                <w:szCs w:val="16"/>
                <w:color w:val="0000EE"/>
              </w:rPr>
            </w:pPr>
            <w:hyperlink r:id="rId199">
              <w:r>
                <w:rPr>
                  <w:rFonts w:ascii="Times New Roman" w:cs="Times New Roman" w:eastAsia="Times New Roman" w:hAnsi="Times New Roman"/>
                  <w:sz w:val="16"/>
                  <w:szCs w:val="16"/>
                  <w:color w:val="0000EE"/>
                </w:rPr>
                <w:t>transfer agent, and Deutsche Bank Luxembourg S.A., as registrar and a transfer agent, including the form of the</w:t>
              </w:r>
            </w:hyperlink>
          </w:p>
        </w:tc>
        <w:tc>
          <w:tcPr>
            <w:tcW w:w="20" w:type="dxa"/>
            <w:vAlign w:val="bottom"/>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960" w:type="dxa"/>
            <w:vAlign w:val="bottom"/>
            <w:tcBorders>
              <w:top w:val="single" w:sz="8" w:color="0000EE"/>
              <w:bottom w:val="single" w:sz="8" w:color="0000EE"/>
            </w:tcBorders>
            <w:gridSpan w:val="11"/>
          </w:tcPr>
          <w:p>
            <w:pPr>
              <w:spacing w:after="0" w:line="160" w:lineRule="exact"/>
              <w:rPr>
                <w:rFonts w:ascii="Times New Roman" w:cs="Times New Roman" w:eastAsia="Times New Roman" w:hAnsi="Times New Roman"/>
                <w:sz w:val="16"/>
                <w:szCs w:val="16"/>
                <w:color w:val="0000EE"/>
                <w:w w:val="98"/>
              </w:rPr>
            </w:pPr>
            <w:hyperlink r:id="rId199">
              <w:r>
                <w:rPr>
                  <w:rFonts w:ascii="Times New Roman" w:cs="Times New Roman" w:eastAsia="Times New Roman" w:hAnsi="Times New Roman"/>
                  <w:sz w:val="16"/>
                  <w:szCs w:val="16"/>
                  <w:color w:val="0000EE"/>
                  <w:w w:val="98"/>
                </w:rPr>
                <w:t>3.</w:t>
              </w:r>
              <w:r>
                <w:rPr>
                  <w:rFonts w:ascii="Times New Roman" w:cs="Times New Roman" w:eastAsia="Times New Roman" w:hAnsi="Times New Roman"/>
                  <w:sz w:val="16"/>
                  <w:szCs w:val="16"/>
                  <w:u w:val="single" w:color="auto"/>
                  <w:color w:val="0000EE"/>
                  <w:w w:val="98"/>
                </w:rPr>
                <w:t>750%</w:t>
              </w:r>
              <w:r>
                <w:rPr>
                  <w:rFonts w:ascii="Times New Roman" w:cs="Times New Roman" w:eastAsia="Times New Roman" w:hAnsi="Times New Roman"/>
                  <w:sz w:val="16"/>
                  <w:szCs w:val="16"/>
                  <w:color w:val="0000EE"/>
                  <w:w w:val="98"/>
                </w:rPr>
                <w:t xml:space="preserve"> Guaranteed Notes due 2030 (incorporated by reference to Exhibit 4.1 to the Combined Current Report</w:t>
              </w:r>
            </w:hyperlink>
          </w:p>
        </w:tc>
        <w:tc>
          <w:tcPr>
            <w:tcW w:w="140" w:type="dxa"/>
            <w:vAlign w:val="bottom"/>
            <w:tcBorders>
              <w:bottom w:val="single" w:sz="8" w:color="0000EE"/>
            </w:tcBorders>
            <w:gridSpan w:val="4"/>
          </w:tcPr>
          <w:p>
            <w:pPr>
              <w:spacing w:after="0" w:line="160" w:lineRule="exact"/>
              <w:rPr>
                <w:rFonts w:ascii="Times New Roman" w:cs="Times New Roman" w:eastAsia="Times New Roman" w:hAnsi="Times New Roman"/>
                <w:sz w:val="16"/>
                <w:szCs w:val="16"/>
                <w:color w:val="0000EE"/>
                <w:w w:val="74"/>
              </w:rPr>
            </w:pPr>
            <w:hyperlink r:id="rId199">
              <w:r>
                <w:rPr>
                  <w:rFonts w:ascii="Times New Roman" w:cs="Times New Roman" w:eastAsia="Times New Roman" w:hAnsi="Times New Roman"/>
                  <w:sz w:val="16"/>
                  <w:szCs w:val="16"/>
                  <w:color w:val="0000EE"/>
                  <w:w w:val="74"/>
                </w:rPr>
                <w:t>on</w:t>
              </w:r>
            </w:hyperlink>
          </w:p>
        </w:tc>
        <w:tc>
          <w:tcPr>
            <w:tcW w:w="360" w:type="dxa"/>
            <w:vAlign w:val="bottom"/>
            <w:gridSpan w:val="10"/>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60" w:type="dxa"/>
            <w:vAlign w:val="bottom"/>
            <w:gridSpan w:val="25"/>
          </w:tcPr>
          <w:p>
            <w:pPr>
              <w:spacing w:after="0" w:line="160" w:lineRule="exact"/>
              <w:rPr>
                <w:rFonts w:ascii="Times New Roman" w:cs="Times New Roman" w:eastAsia="Times New Roman" w:hAnsi="Times New Roman"/>
                <w:sz w:val="16"/>
                <w:szCs w:val="16"/>
                <w:color w:val="0000EE"/>
              </w:rPr>
            </w:pPr>
            <w:hyperlink r:id="rId199">
              <w:r>
                <w:rPr>
                  <w:rFonts w:ascii="Times New Roman" w:cs="Times New Roman" w:eastAsia="Times New Roman" w:hAnsi="Times New Roman"/>
                  <w:sz w:val="16"/>
                  <w:szCs w:val="16"/>
                  <w:color w:val="0000EE"/>
                </w:rPr>
                <w:t>Form 8-K of Digital Realty Trust, Inc. and Digital Realty Trust, L.P. (File Nos. 001-32336 and 000-54023) filed on</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0" w:type="dxa"/>
            <w:vAlign w:val="bottom"/>
            <w:tcBorders>
              <w:top w:val="single" w:sz="8" w:color="0000EE"/>
            </w:tcBorders>
            <w:gridSpan w:val="16"/>
          </w:tcPr>
          <w:p>
            <w:pPr>
              <w:spacing w:after="0" w:line="160" w:lineRule="exact"/>
              <w:rPr>
                <w:rFonts w:ascii="Times New Roman" w:cs="Times New Roman" w:eastAsia="Times New Roman" w:hAnsi="Times New Roman"/>
                <w:sz w:val="16"/>
                <w:szCs w:val="16"/>
                <w:color w:val="0000EE"/>
              </w:rPr>
            </w:pPr>
            <w:hyperlink r:id="rId199">
              <w:r>
                <w:rPr>
                  <w:rFonts w:ascii="Times New Roman" w:cs="Times New Roman" w:eastAsia="Times New Roman" w:hAnsi="Times New Roman"/>
                  <w:sz w:val="16"/>
                  <w:szCs w:val="16"/>
                  <w:color w:val="0000EE"/>
                </w:rPr>
                <w:t>October 18, 2018).</w:t>
              </w:r>
            </w:hyperlink>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4.11</w:t>
            </w:r>
          </w:p>
        </w:tc>
        <w:tc>
          <w:tcPr>
            <w:tcW w:w="260" w:type="dxa"/>
            <w:vAlign w:val="bottom"/>
          </w:tcPr>
          <w:p>
            <w:pPr>
              <w:spacing w:after="0"/>
              <w:rPr>
                <w:sz w:val="24"/>
                <w:szCs w:val="24"/>
                <w:color w:val="auto"/>
              </w:rPr>
            </w:pPr>
          </w:p>
        </w:tc>
        <w:tc>
          <w:tcPr>
            <w:tcW w:w="7460" w:type="dxa"/>
            <w:vAlign w:val="bottom"/>
            <w:gridSpan w:val="25"/>
          </w:tcPr>
          <w:p>
            <w:pPr>
              <w:spacing w:after="0"/>
              <w:rPr>
                <w:rFonts w:ascii="Times New Roman" w:cs="Times New Roman" w:eastAsia="Times New Roman" w:hAnsi="Times New Roman"/>
                <w:sz w:val="16"/>
                <w:szCs w:val="16"/>
                <w:color w:val="0000EE"/>
              </w:rPr>
            </w:pPr>
            <w:hyperlink r:id="rId200">
              <w:r>
                <w:rPr>
                  <w:rFonts w:ascii="Times New Roman" w:cs="Times New Roman" w:eastAsia="Times New Roman" w:hAnsi="Times New Roman"/>
                  <w:sz w:val="16"/>
                  <w:szCs w:val="16"/>
                  <w:color w:val="0000EE"/>
                </w:rPr>
                <w:t>Indenture, dated as of January 16, 2019, among Digital Euro Finco, LLC, as issuer, Digital Realty Trust, L.P. and</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80" w:type="dxa"/>
            <w:vAlign w:val="bottom"/>
            <w:tcBorders>
              <w:top w:val="single" w:sz="8" w:color="0000EE"/>
            </w:tcBorders>
            <w:gridSpan w:val="14"/>
          </w:tcPr>
          <w:p>
            <w:pPr>
              <w:spacing w:after="0" w:line="160" w:lineRule="exact"/>
              <w:rPr>
                <w:rFonts w:ascii="Times New Roman" w:cs="Times New Roman" w:eastAsia="Times New Roman" w:hAnsi="Times New Roman"/>
                <w:sz w:val="16"/>
                <w:szCs w:val="16"/>
                <w:color w:val="0000EE"/>
                <w:w w:val="97"/>
              </w:rPr>
            </w:pPr>
            <w:hyperlink r:id="rId200">
              <w:r>
                <w:rPr>
                  <w:rFonts w:ascii="Times New Roman" w:cs="Times New Roman" w:eastAsia="Times New Roman" w:hAnsi="Times New Roman"/>
                  <w:sz w:val="16"/>
                  <w:szCs w:val="16"/>
                  <w:color w:val="0000EE"/>
                  <w:w w:val="97"/>
                </w:rPr>
                <w:t>Digital Realty Trust, Inc., as guarantors, Deutsche Trustee Company Limited, as the trustee, Deutsche Bank AG,</w:t>
              </w:r>
            </w:hyperlink>
          </w:p>
        </w:tc>
        <w:tc>
          <w:tcPr>
            <w:tcW w:w="140" w:type="dxa"/>
            <w:vAlign w:val="bottom"/>
            <w:gridSpan w:val="3"/>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40" w:type="dxa"/>
            <w:vAlign w:val="bottom"/>
            <w:tcBorders>
              <w:top w:val="single" w:sz="8" w:color="0000EE"/>
            </w:tcBorders>
            <w:gridSpan w:val="13"/>
          </w:tcPr>
          <w:p>
            <w:pPr>
              <w:spacing w:after="0" w:line="160" w:lineRule="exact"/>
              <w:rPr>
                <w:rFonts w:ascii="Times New Roman" w:cs="Times New Roman" w:eastAsia="Times New Roman" w:hAnsi="Times New Roman"/>
                <w:sz w:val="16"/>
                <w:szCs w:val="16"/>
                <w:color w:val="0000EE"/>
                <w:w w:val="99"/>
              </w:rPr>
            </w:pPr>
            <w:hyperlink r:id="rId200">
              <w:r>
                <w:rPr>
                  <w:rFonts w:ascii="Times New Roman" w:cs="Times New Roman" w:eastAsia="Times New Roman" w:hAnsi="Times New Roman"/>
                  <w:sz w:val="16"/>
                  <w:szCs w:val="16"/>
                  <w:color w:val="0000EE"/>
                  <w:w w:val="99"/>
                </w:rPr>
                <w:t>London Branch, as paying agent and a transfer agent, and Deutsche Bank Luxembourg S.A., as registrar and a</w:t>
              </w:r>
            </w:hyperlink>
          </w:p>
        </w:tc>
        <w:tc>
          <w:tcPr>
            <w:tcW w:w="420" w:type="dxa"/>
            <w:vAlign w:val="bottom"/>
            <w:gridSpan w:val="12"/>
          </w:tcPr>
          <w:p>
            <w:pPr>
              <w:spacing w:after="0" w:line="160" w:lineRule="exact"/>
              <w:rPr>
                <w:rFonts w:ascii="Times New Roman" w:cs="Times New Roman" w:eastAsia="Times New Roman" w:hAnsi="Times New Roman"/>
                <w:sz w:val="16"/>
                <w:szCs w:val="16"/>
                <w:color w:val="0000EE"/>
                <w:w w:val="81"/>
              </w:rPr>
            </w:pPr>
            <w:hyperlink r:id="rId200">
              <w:r>
                <w:rPr>
                  <w:rFonts w:ascii="Times New Roman" w:cs="Times New Roman" w:eastAsia="Times New Roman" w:hAnsi="Times New Roman"/>
                  <w:sz w:val="16"/>
                  <w:szCs w:val="16"/>
                  <w:color w:val="0000EE"/>
                  <w:w w:val="81"/>
                </w:rPr>
                <w:t>transfer</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0" w:type="dxa"/>
            <w:vAlign w:val="bottom"/>
            <w:tcBorders>
              <w:top w:val="single" w:sz="8" w:color="0000EE"/>
            </w:tcBorders>
            <w:gridSpan w:val="23"/>
          </w:tcPr>
          <w:p>
            <w:pPr>
              <w:spacing w:after="0" w:line="160" w:lineRule="exact"/>
              <w:rPr>
                <w:rFonts w:ascii="Times New Roman" w:cs="Times New Roman" w:eastAsia="Times New Roman" w:hAnsi="Times New Roman"/>
                <w:sz w:val="16"/>
                <w:szCs w:val="16"/>
                <w:color w:val="0000EE"/>
                <w:w w:val="98"/>
              </w:rPr>
            </w:pPr>
            <w:hyperlink r:id="rId200">
              <w:r>
                <w:rPr>
                  <w:rFonts w:ascii="Times New Roman" w:cs="Times New Roman" w:eastAsia="Times New Roman" w:hAnsi="Times New Roman"/>
                  <w:sz w:val="16"/>
                  <w:szCs w:val="16"/>
                  <w:color w:val="0000EE"/>
                  <w:w w:val="98"/>
                </w:rPr>
                <w:t>agent (incorporated by reference to Exhibit 4.1 to the Combined Current Report on Form 8-K of Digital Realty Trust,</w:t>
              </w:r>
            </w:hyperlink>
          </w:p>
        </w:tc>
        <w:tc>
          <w:tcPr>
            <w:tcW w:w="60" w:type="dxa"/>
            <w:vAlign w:val="bottom"/>
            <w:gridSpan w:val="2"/>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320" w:type="dxa"/>
            <w:vAlign w:val="bottom"/>
            <w:tcBorders>
              <w:top w:val="single" w:sz="8" w:color="0000EE"/>
            </w:tcBorders>
            <w:gridSpan w:val="19"/>
          </w:tcPr>
          <w:p>
            <w:pPr>
              <w:spacing w:after="0" w:line="160" w:lineRule="exact"/>
              <w:rPr>
                <w:rFonts w:ascii="Times New Roman" w:cs="Times New Roman" w:eastAsia="Times New Roman" w:hAnsi="Times New Roman"/>
                <w:sz w:val="16"/>
                <w:szCs w:val="16"/>
                <w:color w:val="0000EE"/>
              </w:rPr>
            </w:pPr>
            <w:hyperlink r:id="rId200">
              <w:r>
                <w:rPr>
                  <w:rFonts w:ascii="Times New Roman" w:cs="Times New Roman" w:eastAsia="Times New Roman" w:hAnsi="Times New Roman"/>
                  <w:sz w:val="16"/>
                  <w:szCs w:val="16"/>
                  <w:color w:val="0000EE"/>
                </w:rPr>
                <w:t>Inc. and Digital Realty Trust, L.P. (File Nos. 001-32336 and 000-54023) filed on January 16, 2019).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80" w:type="dxa"/>
            <w:vAlign w:val="bottom"/>
            <w:gridSpan w:val="4"/>
            <w:shd w:val="clear" w:color="auto" w:fill="0000EE"/>
          </w:tcPr>
          <w:p>
            <w:pPr>
              <w:spacing w:after="0" w:line="20" w:lineRule="exact"/>
              <w:rPr>
                <w:sz w:val="1"/>
                <w:szCs w:val="1"/>
                <w:color w:val="auto"/>
              </w:rPr>
            </w:pPr>
          </w:p>
        </w:tc>
        <w:tc>
          <w:tcPr>
            <w:tcW w:w="3600" w:type="dxa"/>
            <w:vAlign w:val="bottom"/>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4.12</w:t>
            </w:r>
          </w:p>
        </w:tc>
        <w:tc>
          <w:tcPr>
            <w:tcW w:w="260" w:type="dxa"/>
            <w:vAlign w:val="bottom"/>
          </w:tcPr>
          <w:p>
            <w:pPr>
              <w:spacing w:after="0"/>
              <w:rPr>
                <w:sz w:val="24"/>
                <w:szCs w:val="24"/>
                <w:color w:val="auto"/>
              </w:rPr>
            </w:pPr>
          </w:p>
        </w:tc>
        <w:tc>
          <w:tcPr>
            <w:tcW w:w="7460" w:type="dxa"/>
            <w:vAlign w:val="bottom"/>
            <w:tcBorders>
              <w:bottom w:val="single" w:sz="8" w:color="0000EE"/>
            </w:tcBorders>
            <w:gridSpan w:val="25"/>
          </w:tcPr>
          <w:p>
            <w:pPr>
              <w:spacing w:after="0"/>
              <w:rPr>
                <w:rFonts w:ascii="Times New Roman" w:cs="Times New Roman" w:eastAsia="Times New Roman" w:hAnsi="Times New Roman"/>
                <w:sz w:val="16"/>
                <w:szCs w:val="16"/>
                <w:color w:val="0000EE"/>
                <w:w w:val="96"/>
              </w:rPr>
            </w:pPr>
            <w:hyperlink r:id="rId201">
              <w:r>
                <w:rPr>
                  <w:rFonts w:ascii="Times New Roman" w:cs="Times New Roman" w:eastAsia="Times New Roman" w:hAnsi="Times New Roman"/>
                  <w:sz w:val="16"/>
                  <w:szCs w:val="16"/>
                  <w:color w:val="0000EE"/>
                  <w:w w:val="96"/>
                </w:rPr>
                <w:t>Form of Specimen Certificate for Digital Realty Trust, Inc.’s 5.850% Series K Cumulative Redeemable Preferred Stock</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60" w:type="dxa"/>
            <w:vAlign w:val="bottom"/>
            <w:gridSpan w:val="25"/>
          </w:tcPr>
          <w:p>
            <w:pPr>
              <w:spacing w:after="0" w:line="160" w:lineRule="exact"/>
              <w:rPr>
                <w:rFonts w:ascii="Times New Roman" w:cs="Times New Roman" w:eastAsia="Times New Roman" w:hAnsi="Times New Roman"/>
                <w:sz w:val="16"/>
                <w:szCs w:val="16"/>
                <w:color w:val="0000EE"/>
                <w:w w:val="98"/>
              </w:rPr>
            </w:pPr>
            <w:hyperlink r:id="rId201">
              <w:r>
                <w:rPr>
                  <w:rFonts w:ascii="Times New Roman" w:cs="Times New Roman" w:eastAsia="Times New Roman" w:hAnsi="Times New Roman"/>
                  <w:sz w:val="16"/>
                  <w:szCs w:val="16"/>
                  <w:color w:val="0000EE"/>
                  <w:w w:val="98"/>
                </w:rPr>
                <w:t>(incorporated by reference to Exhibit 4.1 to the Registration Statement on Form 8-A of Digital Realty Trust, Inc. (File</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40" w:type="dxa"/>
            <w:vAlign w:val="bottom"/>
            <w:tcBorders>
              <w:top w:val="single" w:sz="8" w:color="0000EE"/>
              <w:bottom w:val="single" w:sz="8" w:color="0000EE"/>
            </w:tcBorders>
            <w:gridSpan w:val="5"/>
          </w:tcPr>
          <w:p>
            <w:pPr>
              <w:spacing w:after="0" w:line="160" w:lineRule="exact"/>
              <w:rPr>
                <w:rFonts w:ascii="Times New Roman" w:cs="Times New Roman" w:eastAsia="Times New Roman" w:hAnsi="Times New Roman"/>
                <w:sz w:val="16"/>
                <w:szCs w:val="16"/>
                <w:color w:val="0000EE"/>
                <w:w w:val="96"/>
              </w:rPr>
            </w:pPr>
            <w:hyperlink r:id="rId201">
              <w:r>
                <w:rPr>
                  <w:rFonts w:ascii="Times New Roman" w:cs="Times New Roman" w:eastAsia="Times New Roman" w:hAnsi="Times New Roman"/>
                  <w:sz w:val="16"/>
                  <w:szCs w:val="16"/>
                  <w:color w:val="0000EE"/>
                  <w:w w:val="96"/>
                </w:rPr>
                <w:t>No. 001-32336) filed on March 12, 2019).</w:t>
              </w:r>
            </w:hyperlink>
          </w:p>
        </w:tc>
        <w:tc>
          <w:tcPr>
            <w:tcW w:w="4720" w:type="dxa"/>
            <w:vAlign w:val="bottom"/>
            <w:tcBorders>
              <w:top w:val="single" w:sz="8" w:color="0000EE"/>
            </w:tcBorders>
            <w:gridSpan w:val="16"/>
          </w:tcPr>
          <w:p>
            <w:pPr>
              <w:spacing w:after="0"/>
              <w:rPr>
                <w:sz w:val="13"/>
                <w:szCs w:val="13"/>
                <w:color w:val="auto"/>
              </w:rPr>
            </w:pPr>
          </w:p>
        </w:tc>
        <w:tc>
          <w:tcPr>
            <w:tcW w:w="100" w:type="dxa"/>
            <w:vAlign w:val="bottom"/>
            <w:gridSpan w:val="4"/>
          </w:tcPr>
          <w:p>
            <w:pPr>
              <w:spacing w:after="0"/>
              <w:rPr>
                <w:sz w:val="13"/>
                <w:szCs w:val="13"/>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4.13</w:t>
            </w:r>
          </w:p>
        </w:tc>
        <w:tc>
          <w:tcPr>
            <w:tcW w:w="260" w:type="dxa"/>
            <w:vAlign w:val="bottom"/>
          </w:tcPr>
          <w:p>
            <w:pPr>
              <w:spacing w:after="0"/>
              <w:rPr>
                <w:sz w:val="24"/>
                <w:szCs w:val="24"/>
                <w:color w:val="auto"/>
              </w:rPr>
            </w:pPr>
          </w:p>
        </w:tc>
        <w:tc>
          <w:tcPr>
            <w:tcW w:w="7460" w:type="dxa"/>
            <w:vAlign w:val="bottom"/>
            <w:gridSpan w:val="25"/>
          </w:tcPr>
          <w:p>
            <w:pPr>
              <w:spacing w:after="0"/>
              <w:rPr>
                <w:rFonts w:ascii="Times New Roman" w:cs="Times New Roman" w:eastAsia="Times New Roman" w:hAnsi="Times New Roman"/>
                <w:sz w:val="16"/>
                <w:szCs w:val="16"/>
                <w:color w:val="0000EE"/>
              </w:rPr>
            </w:pPr>
            <w:hyperlink r:id="rId202">
              <w:r>
                <w:rPr>
                  <w:rFonts w:ascii="Times New Roman" w:cs="Times New Roman" w:eastAsia="Times New Roman" w:hAnsi="Times New Roman"/>
                  <w:sz w:val="16"/>
                  <w:szCs w:val="16"/>
                  <w:color w:val="0000EE"/>
                </w:rPr>
                <w:t>Supplemental Indenture No. 4, dated as of June 14, 2019, among Digital Realty Trust, L.P., as issuer, Digital Realty</w:t>
              </w:r>
            </w:hyperlink>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80" w:type="dxa"/>
            <w:vAlign w:val="bottom"/>
            <w:gridSpan w:val="4"/>
            <w:shd w:val="clear" w:color="auto" w:fill="0000EE"/>
          </w:tcPr>
          <w:p>
            <w:pPr>
              <w:spacing w:after="0" w:line="20" w:lineRule="exact"/>
              <w:rPr>
                <w:sz w:val="1"/>
                <w:szCs w:val="1"/>
                <w:color w:val="auto"/>
              </w:rPr>
            </w:pPr>
          </w:p>
        </w:tc>
        <w:tc>
          <w:tcPr>
            <w:tcW w:w="4260" w:type="dxa"/>
            <w:vAlign w:val="bottom"/>
            <w:gridSpan w:val="4"/>
            <w:shd w:val="clear" w:color="auto" w:fill="0000EE"/>
          </w:tcPr>
          <w:p>
            <w:pPr>
              <w:spacing w:after="0" w:line="20" w:lineRule="exact"/>
              <w:rPr>
                <w:sz w:val="1"/>
                <w:szCs w:val="1"/>
                <w:color w:val="auto"/>
              </w:rPr>
            </w:pPr>
          </w:p>
        </w:tc>
        <w:tc>
          <w:tcPr>
            <w:tcW w:w="320" w:type="dxa"/>
            <w:vAlign w:val="bottom"/>
            <w:gridSpan w:val="8"/>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60" w:type="dxa"/>
            <w:vAlign w:val="bottom"/>
            <w:gridSpan w:val="25"/>
          </w:tcPr>
          <w:p>
            <w:pPr>
              <w:spacing w:after="0" w:line="160" w:lineRule="exact"/>
              <w:rPr>
                <w:rFonts w:ascii="Times New Roman" w:cs="Times New Roman" w:eastAsia="Times New Roman" w:hAnsi="Times New Roman"/>
                <w:sz w:val="16"/>
                <w:szCs w:val="16"/>
                <w:color w:val="0000EE"/>
                <w:w w:val="98"/>
              </w:rPr>
            </w:pPr>
            <w:hyperlink r:id="rId202">
              <w:r>
                <w:rPr>
                  <w:rFonts w:ascii="Times New Roman" w:cs="Times New Roman" w:eastAsia="Times New Roman" w:hAnsi="Times New Roman"/>
                  <w:sz w:val="16"/>
                  <w:szCs w:val="16"/>
                  <w:color w:val="0000EE"/>
                  <w:w w:val="98"/>
                </w:rPr>
                <w:t>Trust, Inc., as guarantor, and Wells Fargo Bank, National Association, as trustee, including the form of 3.600% Notes</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340" w:type="dxa"/>
            <w:vAlign w:val="bottom"/>
            <w:tcBorders>
              <w:top w:val="single" w:sz="8" w:color="0000EE"/>
            </w:tcBorders>
            <w:gridSpan w:val="20"/>
          </w:tcPr>
          <w:p>
            <w:pPr>
              <w:spacing w:after="0" w:line="160" w:lineRule="exact"/>
              <w:rPr>
                <w:rFonts w:ascii="Times New Roman" w:cs="Times New Roman" w:eastAsia="Times New Roman" w:hAnsi="Times New Roman"/>
                <w:sz w:val="16"/>
                <w:szCs w:val="16"/>
                <w:color w:val="0000EE"/>
                <w:w w:val="96"/>
              </w:rPr>
            </w:pPr>
            <w:hyperlink r:id="rId202">
              <w:r>
                <w:rPr>
                  <w:rFonts w:ascii="Times New Roman" w:cs="Times New Roman" w:eastAsia="Times New Roman" w:hAnsi="Times New Roman"/>
                  <w:sz w:val="16"/>
                  <w:szCs w:val="16"/>
                  <w:color w:val="0000EE"/>
                  <w:w w:val="96"/>
                </w:rPr>
                <w:t>due 2029 and the guarantee (incorporated by reference to Exhibit 4.2 to the Combined Current Report on Form 8-K of</w:t>
              </w:r>
            </w:hyperlink>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380" w:type="dxa"/>
            <w:vAlign w:val="bottom"/>
            <w:tcBorders>
              <w:top w:val="single" w:sz="8" w:color="0000EE"/>
              <w:bottom w:val="single" w:sz="8" w:color="0000EE"/>
            </w:tcBorders>
            <w:gridSpan w:val="22"/>
          </w:tcPr>
          <w:p>
            <w:pPr>
              <w:spacing w:after="0" w:line="160" w:lineRule="exact"/>
              <w:rPr>
                <w:rFonts w:ascii="Times New Roman" w:cs="Times New Roman" w:eastAsia="Times New Roman" w:hAnsi="Times New Roman"/>
                <w:sz w:val="16"/>
                <w:szCs w:val="16"/>
                <w:color w:val="0000EE"/>
                <w:w w:val="97"/>
              </w:rPr>
            </w:pPr>
            <w:hyperlink r:id="rId202">
              <w:r>
                <w:rPr>
                  <w:rFonts w:ascii="Times New Roman" w:cs="Times New Roman" w:eastAsia="Times New Roman" w:hAnsi="Times New Roman"/>
                  <w:sz w:val="16"/>
                  <w:szCs w:val="16"/>
                  <w:color w:val="0000EE"/>
                  <w:w w:val="97"/>
                </w:rPr>
                <w:t>Digital Realty Trust, Inc. and Digital Realty Trust, L.P. (File Nos. 001-32336 and 000-54023) filed on June 14, 2019).</w:t>
              </w:r>
            </w:hyperlink>
          </w:p>
        </w:tc>
        <w:tc>
          <w:tcPr>
            <w:tcW w:w="80" w:type="dxa"/>
            <w:vAlign w:val="bottom"/>
            <w:gridSpan w:val="3"/>
          </w:tcPr>
          <w:p>
            <w:pPr>
              <w:spacing w:after="0"/>
              <w:rPr>
                <w:sz w:val="13"/>
                <w:szCs w:val="13"/>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4.14</w:t>
            </w:r>
          </w:p>
        </w:tc>
        <w:tc>
          <w:tcPr>
            <w:tcW w:w="260" w:type="dxa"/>
            <w:vAlign w:val="bottom"/>
          </w:tcPr>
          <w:p>
            <w:pPr>
              <w:spacing w:after="0"/>
              <w:rPr>
                <w:sz w:val="24"/>
                <w:szCs w:val="24"/>
                <w:color w:val="auto"/>
              </w:rPr>
            </w:pPr>
          </w:p>
        </w:tc>
        <w:tc>
          <w:tcPr>
            <w:tcW w:w="7460" w:type="dxa"/>
            <w:vAlign w:val="bottom"/>
            <w:gridSpan w:val="25"/>
          </w:tcPr>
          <w:p>
            <w:pPr>
              <w:spacing w:after="0"/>
              <w:rPr>
                <w:rFonts w:ascii="Times New Roman" w:cs="Times New Roman" w:eastAsia="Times New Roman" w:hAnsi="Times New Roman"/>
                <w:sz w:val="16"/>
                <w:szCs w:val="16"/>
                <w:color w:val="0000EE"/>
              </w:rPr>
            </w:pPr>
            <w:hyperlink r:id="rId203">
              <w:r>
                <w:rPr>
                  <w:rFonts w:ascii="Times New Roman" w:cs="Times New Roman" w:eastAsia="Times New Roman" w:hAnsi="Times New Roman"/>
                  <w:sz w:val="16"/>
                  <w:szCs w:val="16"/>
                  <w:color w:val="0000EE"/>
                </w:rPr>
                <w:t>Indenture, dated as of October 9, 2019, among Digital Euro Finco, LLC, Digital Realty Trust, Inc., Digital Realty</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80" w:type="dxa"/>
            <w:vAlign w:val="bottom"/>
            <w:tcBorders>
              <w:top w:val="single" w:sz="8" w:color="0000EE"/>
            </w:tcBorders>
            <w:gridSpan w:val="14"/>
          </w:tcPr>
          <w:p>
            <w:pPr>
              <w:spacing w:after="0" w:line="160" w:lineRule="exact"/>
              <w:rPr>
                <w:rFonts w:ascii="Times New Roman" w:cs="Times New Roman" w:eastAsia="Times New Roman" w:hAnsi="Times New Roman"/>
                <w:sz w:val="16"/>
                <w:szCs w:val="16"/>
                <w:color w:val="0000EE"/>
                <w:w w:val="97"/>
              </w:rPr>
            </w:pPr>
            <w:hyperlink r:id="rId203">
              <w:r>
                <w:rPr>
                  <w:rFonts w:ascii="Times New Roman" w:cs="Times New Roman" w:eastAsia="Times New Roman" w:hAnsi="Times New Roman"/>
                  <w:sz w:val="16"/>
                  <w:szCs w:val="16"/>
                  <w:color w:val="0000EE"/>
                  <w:w w:val="97"/>
                </w:rPr>
                <w:t>Trust, L.P., Deutsche Trustee Company Limited, as trustee, Deutsche Bank AG, London Branch, as paying agent</w:t>
              </w:r>
            </w:hyperlink>
          </w:p>
        </w:tc>
        <w:tc>
          <w:tcPr>
            <w:tcW w:w="380" w:type="dxa"/>
            <w:vAlign w:val="bottom"/>
            <w:gridSpan w:val="11"/>
          </w:tcPr>
          <w:p>
            <w:pPr>
              <w:jc w:val="right"/>
              <w:ind w:right="40"/>
              <w:spacing w:after="0" w:line="160" w:lineRule="exact"/>
              <w:rPr>
                <w:rFonts w:ascii="Times New Roman" w:cs="Times New Roman" w:eastAsia="Times New Roman" w:hAnsi="Times New Roman"/>
                <w:sz w:val="16"/>
                <w:szCs w:val="16"/>
                <w:color w:val="0000EE"/>
                <w:w w:val="93"/>
              </w:rPr>
            </w:pPr>
            <w:hyperlink r:id="rId203">
              <w:r>
                <w:rPr>
                  <w:rFonts w:ascii="Times New Roman" w:cs="Times New Roman" w:eastAsia="Times New Roman" w:hAnsi="Times New Roman"/>
                  <w:sz w:val="16"/>
                  <w:szCs w:val="16"/>
                  <w:color w:val="0000EE"/>
                  <w:w w:val="93"/>
                </w:rPr>
                <w:t>and a</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40" w:type="dxa"/>
            <w:vAlign w:val="bottom"/>
            <w:tcBorders>
              <w:top w:val="single" w:sz="8" w:color="0000EE"/>
            </w:tcBorders>
            <w:gridSpan w:val="24"/>
          </w:tcPr>
          <w:p>
            <w:pPr>
              <w:spacing w:after="0" w:line="160" w:lineRule="exact"/>
              <w:rPr>
                <w:rFonts w:ascii="Times New Roman" w:cs="Times New Roman" w:eastAsia="Times New Roman" w:hAnsi="Times New Roman"/>
                <w:sz w:val="16"/>
                <w:szCs w:val="16"/>
                <w:color w:val="0000EE"/>
              </w:rPr>
            </w:pPr>
            <w:hyperlink r:id="rId203">
              <w:r>
                <w:rPr>
                  <w:rFonts w:ascii="Times New Roman" w:cs="Times New Roman" w:eastAsia="Times New Roman" w:hAnsi="Times New Roman"/>
                  <w:sz w:val="16"/>
                  <w:szCs w:val="16"/>
                  <w:color w:val="0000EE"/>
                </w:rPr>
                <w:t>transfer agent, and Deutsche Bank Luxembourg S.A., as registrar and a transfer agent, including the form of the</w:t>
              </w:r>
            </w:hyperlink>
          </w:p>
        </w:tc>
        <w:tc>
          <w:tcPr>
            <w:tcW w:w="20" w:type="dxa"/>
            <w:vAlign w:val="bottom"/>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960" w:type="dxa"/>
            <w:vAlign w:val="bottom"/>
            <w:tcBorders>
              <w:top w:val="single" w:sz="8" w:color="0000EE"/>
              <w:bottom w:val="single" w:sz="8" w:color="0000EE"/>
            </w:tcBorders>
            <w:gridSpan w:val="11"/>
          </w:tcPr>
          <w:p>
            <w:pPr>
              <w:spacing w:after="0" w:line="160" w:lineRule="exact"/>
              <w:rPr>
                <w:rFonts w:ascii="Times New Roman" w:cs="Times New Roman" w:eastAsia="Times New Roman" w:hAnsi="Times New Roman"/>
                <w:sz w:val="16"/>
                <w:szCs w:val="16"/>
                <w:color w:val="0000EE"/>
                <w:w w:val="98"/>
              </w:rPr>
            </w:pPr>
            <w:hyperlink r:id="rId203">
              <w:r>
                <w:rPr>
                  <w:rFonts w:ascii="Times New Roman" w:cs="Times New Roman" w:eastAsia="Times New Roman" w:hAnsi="Times New Roman"/>
                  <w:sz w:val="16"/>
                  <w:szCs w:val="16"/>
                  <w:color w:val="0000EE"/>
                  <w:w w:val="98"/>
                </w:rPr>
                <w:t>1.</w:t>
              </w:r>
              <w:r>
                <w:rPr>
                  <w:rFonts w:ascii="Times New Roman" w:cs="Times New Roman" w:eastAsia="Times New Roman" w:hAnsi="Times New Roman"/>
                  <w:sz w:val="16"/>
                  <w:szCs w:val="16"/>
                  <w:u w:val="single" w:color="auto"/>
                  <w:color w:val="0000EE"/>
                  <w:w w:val="98"/>
                </w:rPr>
                <w:t>125%</w:t>
              </w:r>
              <w:r>
                <w:rPr>
                  <w:rFonts w:ascii="Times New Roman" w:cs="Times New Roman" w:eastAsia="Times New Roman" w:hAnsi="Times New Roman"/>
                  <w:sz w:val="16"/>
                  <w:szCs w:val="16"/>
                  <w:color w:val="0000EE"/>
                  <w:w w:val="98"/>
                </w:rPr>
                <w:t xml:space="preserve"> Guaranteed Notes due 2028 (incorporated by reference to Exhibit 4.1 to the Combined Current Report</w:t>
              </w:r>
            </w:hyperlink>
          </w:p>
        </w:tc>
        <w:tc>
          <w:tcPr>
            <w:tcW w:w="500" w:type="dxa"/>
            <w:vAlign w:val="bottom"/>
            <w:tcBorders>
              <w:bottom w:val="single" w:sz="8" w:color="0000EE"/>
            </w:tcBorders>
            <w:gridSpan w:val="14"/>
          </w:tcPr>
          <w:p>
            <w:pPr>
              <w:spacing w:after="0" w:line="160" w:lineRule="exact"/>
              <w:rPr>
                <w:rFonts w:ascii="Times New Roman" w:cs="Times New Roman" w:eastAsia="Times New Roman" w:hAnsi="Times New Roman"/>
                <w:sz w:val="16"/>
                <w:szCs w:val="16"/>
                <w:color w:val="0000EE"/>
                <w:w w:val="87"/>
              </w:rPr>
            </w:pPr>
            <w:hyperlink r:id="rId203">
              <w:r>
                <w:rPr>
                  <w:rFonts w:ascii="Times New Roman" w:cs="Times New Roman" w:eastAsia="Times New Roman" w:hAnsi="Times New Roman"/>
                  <w:sz w:val="16"/>
                  <w:szCs w:val="16"/>
                  <w:color w:val="0000EE"/>
                  <w:w w:val="87"/>
                </w:rPr>
                <w:t>on Form</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60" w:type="dxa"/>
            <w:vAlign w:val="bottom"/>
            <w:gridSpan w:val="25"/>
          </w:tcPr>
          <w:p>
            <w:pPr>
              <w:spacing w:after="0" w:line="160" w:lineRule="exact"/>
              <w:rPr>
                <w:rFonts w:ascii="Times New Roman" w:cs="Times New Roman" w:eastAsia="Times New Roman" w:hAnsi="Times New Roman"/>
                <w:sz w:val="16"/>
                <w:szCs w:val="16"/>
                <w:color w:val="0000EE"/>
                <w:w w:val="98"/>
              </w:rPr>
            </w:pPr>
            <w:hyperlink r:id="rId203">
              <w:r>
                <w:rPr>
                  <w:rFonts w:ascii="Times New Roman" w:cs="Times New Roman" w:eastAsia="Times New Roman" w:hAnsi="Times New Roman"/>
                  <w:sz w:val="16"/>
                  <w:szCs w:val="16"/>
                  <w:color w:val="0000EE"/>
                  <w:w w:val="98"/>
                </w:rPr>
                <w:t>8-K of Digital Realty Trust, Inc. and Digital Realty Trust, L.P. (File Nos. 001-32336 and 000-54023) filed on October</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Borders>
              <w:top w:val="single" w:sz="8" w:color="0000EE"/>
              <w:bottom w:val="single" w:sz="8" w:color="0000EE"/>
            </w:tcBorders>
          </w:tcPr>
          <w:p>
            <w:pPr>
              <w:spacing w:after="0" w:line="160" w:lineRule="exact"/>
              <w:rPr>
                <w:rFonts w:ascii="Times New Roman" w:cs="Times New Roman" w:eastAsia="Times New Roman" w:hAnsi="Times New Roman"/>
                <w:sz w:val="16"/>
                <w:szCs w:val="16"/>
                <w:color w:val="0000EE"/>
                <w:w w:val="94"/>
              </w:rPr>
            </w:pPr>
            <w:hyperlink r:id="rId203">
              <w:r>
                <w:rPr>
                  <w:rFonts w:ascii="Times New Roman" w:cs="Times New Roman" w:eastAsia="Times New Roman" w:hAnsi="Times New Roman"/>
                  <w:sz w:val="16"/>
                  <w:szCs w:val="16"/>
                  <w:color w:val="0000EE"/>
                  <w:w w:val="94"/>
                </w:rPr>
                <w:t>9, 2019).</w:t>
              </w:r>
            </w:hyperlink>
          </w:p>
        </w:tc>
        <w:tc>
          <w:tcPr>
            <w:tcW w:w="360" w:type="dxa"/>
            <w:vAlign w:val="bottom"/>
            <w:tcBorders>
              <w:top w:val="single" w:sz="8" w:color="0000EE"/>
            </w:tcBorders>
          </w:tcPr>
          <w:p>
            <w:pPr>
              <w:spacing w:after="0"/>
              <w:rPr>
                <w:sz w:val="13"/>
                <w:szCs w:val="13"/>
                <w:color w:val="auto"/>
              </w:rPr>
            </w:pPr>
          </w:p>
        </w:tc>
        <w:tc>
          <w:tcPr>
            <w:tcW w:w="240" w:type="dxa"/>
            <w:vAlign w:val="bottom"/>
            <w:tcBorders>
              <w:top w:val="single" w:sz="8" w:color="0000EE"/>
            </w:tcBorders>
          </w:tcPr>
          <w:p>
            <w:pPr>
              <w:spacing w:after="0"/>
              <w:rPr>
                <w:sz w:val="13"/>
                <w:szCs w:val="13"/>
                <w:color w:val="auto"/>
              </w:rPr>
            </w:pPr>
          </w:p>
        </w:tc>
        <w:tc>
          <w:tcPr>
            <w:tcW w:w="144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360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5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88"/>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4.15</w:t>
            </w:r>
          </w:p>
        </w:tc>
        <w:tc>
          <w:tcPr>
            <w:tcW w:w="260" w:type="dxa"/>
            <w:vAlign w:val="bottom"/>
          </w:tcPr>
          <w:p>
            <w:pPr>
              <w:spacing w:after="0"/>
              <w:rPr>
                <w:sz w:val="24"/>
                <w:szCs w:val="24"/>
                <w:color w:val="auto"/>
              </w:rPr>
            </w:pPr>
          </w:p>
        </w:tc>
        <w:tc>
          <w:tcPr>
            <w:tcW w:w="7460" w:type="dxa"/>
            <w:vAlign w:val="bottom"/>
            <w:gridSpan w:val="25"/>
          </w:tcPr>
          <w:p>
            <w:pPr>
              <w:spacing w:after="0"/>
              <w:rPr>
                <w:rFonts w:ascii="Times New Roman" w:cs="Times New Roman" w:eastAsia="Times New Roman" w:hAnsi="Times New Roman"/>
                <w:sz w:val="16"/>
                <w:szCs w:val="16"/>
                <w:color w:val="0000EE"/>
              </w:rPr>
            </w:pPr>
            <w:hyperlink r:id="rId204">
              <w:r>
                <w:rPr>
                  <w:rFonts w:ascii="Times New Roman" w:cs="Times New Roman" w:eastAsia="Times New Roman" w:hAnsi="Times New Roman"/>
                  <w:sz w:val="16"/>
                  <w:szCs w:val="16"/>
                  <w:color w:val="0000EE"/>
                </w:rPr>
                <w:t>Specimen Certificate for Digital Realty Trust, Inc.’s 5.200% Series L Cumulative Redeemable Preferred Stock</w:t>
              </w:r>
            </w:hyperlink>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40" w:type="dxa"/>
            <w:vAlign w:val="bottom"/>
            <w:gridSpan w:val="5"/>
            <w:shd w:val="clear" w:color="auto" w:fill="0000EE"/>
          </w:tcPr>
          <w:p>
            <w:pPr>
              <w:spacing w:after="0" w:line="20" w:lineRule="exact"/>
              <w:rPr>
                <w:sz w:val="1"/>
                <w:szCs w:val="1"/>
                <w:color w:val="auto"/>
              </w:rPr>
            </w:pPr>
          </w:p>
        </w:tc>
        <w:tc>
          <w:tcPr>
            <w:tcW w:w="4260" w:type="dxa"/>
            <w:vAlign w:val="bottom"/>
            <w:gridSpan w:val="4"/>
            <w:shd w:val="clear" w:color="auto" w:fill="0000EE"/>
          </w:tcPr>
          <w:p>
            <w:pPr>
              <w:spacing w:after="0" w:line="20" w:lineRule="exact"/>
              <w:rPr>
                <w:sz w:val="1"/>
                <w:szCs w:val="1"/>
                <w:color w:val="auto"/>
              </w:rPr>
            </w:pPr>
          </w:p>
        </w:tc>
        <w:tc>
          <w:tcPr>
            <w:tcW w:w="560" w:type="dxa"/>
            <w:vAlign w:val="bottom"/>
            <w:gridSpan w:val="16"/>
          </w:tcPr>
          <w:p>
            <w:pPr>
              <w:spacing w:after="0" w:line="20" w:lineRule="exact"/>
              <w:rPr>
                <w:sz w:val="1"/>
                <w:szCs w:val="1"/>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60" w:type="dxa"/>
            <w:vAlign w:val="bottom"/>
            <w:gridSpan w:val="25"/>
          </w:tcPr>
          <w:p>
            <w:pPr>
              <w:spacing w:after="0" w:line="160" w:lineRule="exact"/>
              <w:rPr>
                <w:rFonts w:ascii="Times New Roman" w:cs="Times New Roman" w:eastAsia="Times New Roman" w:hAnsi="Times New Roman"/>
                <w:sz w:val="16"/>
                <w:szCs w:val="16"/>
                <w:color w:val="0000EE"/>
                <w:w w:val="98"/>
              </w:rPr>
            </w:pPr>
            <w:hyperlink r:id="rId204">
              <w:r>
                <w:rPr>
                  <w:rFonts w:ascii="Times New Roman" w:cs="Times New Roman" w:eastAsia="Times New Roman" w:hAnsi="Times New Roman"/>
                  <w:sz w:val="16"/>
                  <w:szCs w:val="16"/>
                  <w:color w:val="0000EE"/>
                  <w:w w:val="98"/>
                </w:rPr>
                <w:t>(incorporated by reference to Exhibit 4.1 to the Registration Statement on Form 8-A of Digital Realty Trust, Inc. (File</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360" w:type="dxa"/>
            <w:vAlign w:val="bottom"/>
            <w:tcBorders>
              <w:top w:val="single" w:sz="8" w:color="0000EE"/>
            </w:tcBorders>
            <w:gridSpan w:val="21"/>
          </w:tcPr>
          <w:p>
            <w:pPr>
              <w:spacing w:after="0" w:line="160" w:lineRule="exact"/>
              <w:rPr>
                <w:rFonts w:ascii="Times New Roman" w:cs="Times New Roman" w:eastAsia="Times New Roman" w:hAnsi="Times New Roman"/>
                <w:sz w:val="16"/>
                <w:szCs w:val="16"/>
                <w:color w:val="0000EE"/>
              </w:rPr>
            </w:pPr>
            <w:hyperlink r:id="rId204">
              <w:r>
                <w:rPr>
                  <w:rFonts w:ascii="Times New Roman" w:cs="Times New Roman" w:eastAsia="Times New Roman" w:hAnsi="Times New Roman"/>
                  <w:sz w:val="16"/>
                  <w:szCs w:val="16"/>
                  <w:color w:val="0000EE"/>
                </w:rPr>
                <w:t>No. 001-32336) filed on October 9, 2019).</w:t>
              </w:r>
            </w:hyperlink>
          </w:p>
        </w:tc>
        <w:tc>
          <w:tcPr>
            <w:tcW w:w="100" w:type="dxa"/>
            <w:vAlign w:val="bottom"/>
            <w:gridSpan w:val="4"/>
          </w:tcPr>
          <w:p>
            <w:pPr>
              <w:spacing w:after="0"/>
              <w:rPr>
                <w:sz w:val="13"/>
                <w:szCs w:val="13"/>
                <w:color w:val="auto"/>
              </w:rPr>
            </w:pPr>
          </w:p>
        </w:tc>
      </w:tr>
      <w:tr>
        <w:trPr>
          <w:trHeight w:val="578"/>
        </w:trPr>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40" w:type="dxa"/>
            <w:vAlign w:val="bottom"/>
            <w:tcBorders>
              <w:top w:val="single" w:sz="8" w:color="0000EE"/>
            </w:tcBorders>
            <w:gridSpan w:val="5"/>
          </w:tcPr>
          <w:p>
            <w:pPr>
              <w:spacing w:after="0"/>
              <w:rPr>
                <w:sz w:val="24"/>
                <w:szCs w:val="24"/>
                <w:color w:val="auto"/>
              </w:rPr>
            </w:pPr>
          </w:p>
        </w:tc>
        <w:tc>
          <w:tcPr>
            <w:tcW w:w="3600" w:type="dxa"/>
            <w:vAlign w:val="bottom"/>
          </w:tcPr>
          <w:p>
            <w:pPr>
              <w:jc w:val="right"/>
              <w:ind w:right="2782"/>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4"/>
        </w:trPr>
        <w:tc>
          <w:tcPr>
            <w:tcW w:w="6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40" w:orient="portrait"/>
          <w:cols w:equalWidth="0" w:num="1">
            <w:col w:w="9020"/>
          </w:cols>
          <w:pgMar w:left="1440" w:top="557" w:right="1440" w:bottom="1440" w:gutter="0" w:footer="0" w:header="0"/>
        </w:sectPr>
      </w:pPr>
    </w:p>
    <w:bookmarkStart w:id="169" w:name="page170"/>
    <w:bookmarkEnd w:id="169"/>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b w:val="1"/>
          <w:bCs w:val="1"/>
          <w:color w:val="auto"/>
        </w:rPr>
        <w:t>Exhibit</w:t>
      </w:r>
    </w:p>
    <w:p>
      <w:pPr>
        <w:spacing w:after="0" w:line="23" w:lineRule="exact"/>
        <w:rPr>
          <w:sz w:val="20"/>
          <w:szCs w:val="20"/>
          <w:color w:val="auto"/>
        </w:rPr>
      </w:pPr>
    </w:p>
    <w:p>
      <w:pPr>
        <w:ind w:left="320"/>
        <w:spacing w:after="0"/>
        <w:tabs>
          <w:tab w:leader="none" w:pos="1220" w:val="left"/>
        </w:tabs>
        <w:rPr>
          <w:sz w:val="20"/>
          <w:szCs w:val="20"/>
          <w:color w:val="auto"/>
        </w:rPr>
      </w:pPr>
      <w:r>
        <w:rPr>
          <w:rFonts w:ascii="Times New Roman" w:cs="Times New Roman" w:eastAsia="Times New Roman" w:hAnsi="Times New Roman"/>
          <w:sz w:val="13"/>
          <w:szCs w:val="13"/>
          <w:b w:val="1"/>
          <w:bCs w:val="1"/>
          <w:color w:val="auto"/>
        </w:rPr>
        <w:t>Number</w:t>
      </w:r>
      <w:r>
        <w:rPr>
          <w:sz w:val="20"/>
          <w:szCs w:val="20"/>
          <w:color w:val="auto"/>
        </w:rPr>
        <w:tab/>
      </w:r>
      <w:r>
        <w:rPr>
          <w:rFonts w:ascii="Times New Roman" w:cs="Times New Roman" w:eastAsia="Times New Roman" w:hAnsi="Times New Roman"/>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2540</wp:posOffset>
            </wp:positionV>
            <wp:extent cx="5320030"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5">
                      <a:extLst>
                        <a:ext uri="{28A0092B-C50C-407E-A947-70E740481C1C}"/>
                      </a:extLst>
                    </a:blip>
                    <a:srcRect/>
                    <a:stretch>
                      <a:fillRect/>
                    </a:stretch>
                  </pic:blipFill>
                  <pic:spPr bwMode="auto">
                    <a:xfrm>
                      <a:off x="0" y="0"/>
                      <a:ext cx="5320030" cy="7620"/>
                    </a:xfrm>
                    <a:prstGeom prst="rect">
                      <a:avLst/>
                    </a:prstGeom>
                    <a:noFill/>
                  </pic:spPr>
                </pic:pic>
              </a:graphicData>
            </a:graphic>
          </wp:anchor>
        </w:drawing>
      </w:r>
    </w:p>
    <w:p>
      <w:pPr>
        <w:spacing w:after="0" w:line="328"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920" w:type="dxa"/>
            <w:vAlign w:val="bottom"/>
          </w:tcPr>
          <w:p>
            <w:pPr>
              <w:jc w:val="right"/>
              <w:ind w:right="562"/>
              <w:spacing w:after="0"/>
              <w:rPr>
                <w:sz w:val="20"/>
                <w:szCs w:val="20"/>
                <w:color w:val="auto"/>
              </w:rPr>
            </w:pPr>
            <w:r>
              <w:rPr>
                <w:rFonts w:ascii="Times New Roman" w:cs="Times New Roman" w:eastAsia="Times New Roman" w:hAnsi="Times New Roman"/>
                <w:sz w:val="16"/>
                <w:szCs w:val="16"/>
                <w:color w:val="auto"/>
                <w:w w:val="92"/>
              </w:rPr>
              <w:t>4.16</w:t>
            </w:r>
          </w:p>
        </w:tc>
        <w:tc>
          <w:tcPr>
            <w:tcW w:w="7460" w:type="dxa"/>
            <w:vAlign w:val="bottom"/>
            <w:gridSpan w:val="18"/>
          </w:tcPr>
          <w:p>
            <w:pPr>
              <w:spacing w:after="0"/>
              <w:rPr>
                <w:rFonts w:ascii="Times New Roman" w:cs="Times New Roman" w:eastAsia="Times New Roman" w:hAnsi="Times New Roman"/>
                <w:sz w:val="16"/>
                <w:szCs w:val="16"/>
                <w:color w:val="0000EE"/>
                <w:w w:val="98"/>
              </w:rPr>
            </w:pPr>
            <w:hyperlink r:id="rId206">
              <w:r>
                <w:rPr>
                  <w:rFonts w:ascii="Times New Roman" w:cs="Times New Roman" w:eastAsia="Times New Roman" w:hAnsi="Times New Roman"/>
                  <w:sz w:val="16"/>
                  <w:szCs w:val="16"/>
                  <w:color w:val="0000EE"/>
                  <w:w w:val="98"/>
                </w:rPr>
                <w:t>Description of Securities (incorporated by reference to exhibit 4.20 to the Combined Annual Report on Form 10-K of</w:t>
              </w:r>
            </w:hyperlink>
          </w:p>
        </w:tc>
      </w:tr>
      <w:tr>
        <w:trPr>
          <w:trHeight w:val="160"/>
        </w:trPr>
        <w:tc>
          <w:tcPr>
            <w:tcW w:w="920" w:type="dxa"/>
            <w:vAlign w:val="bottom"/>
          </w:tcPr>
          <w:p>
            <w:pPr>
              <w:spacing w:after="0"/>
              <w:rPr>
                <w:sz w:val="13"/>
                <w:szCs w:val="13"/>
                <w:color w:val="auto"/>
              </w:rPr>
            </w:pPr>
          </w:p>
        </w:tc>
        <w:tc>
          <w:tcPr>
            <w:tcW w:w="7320" w:type="dxa"/>
            <w:vAlign w:val="bottom"/>
            <w:tcBorders>
              <w:top w:val="single" w:sz="8" w:color="0000EE"/>
            </w:tcBorders>
            <w:gridSpan w:val="14"/>
          </w:tcPr>
          <w:p>
            <w:pPr>
              <w:spacing w:after="0" w:line="160" w:lineRule="exact"/>
              <w:rPr>
                <w:rFonts w:ascii="Times New Roman" w:cs="Times New Roman" w:eastAsia="Times New Roman" w:hAnsi="Times New Roman"/>
                <w:sz w:val="16"/>
                <w:szCs w:val="16"/>
                <w:color w:val="0000EE"/>
                <w:w w:val="98"/>
              </w:rPr>
            </w:pPr>
            <w:hyperlink r:id="rId206">
              <w:r>
                <w:rPr>
                  <w:rFonts w:ascii="Times New Roman" w:cs="Times New Roman" w:eastAsia="Times New Roman" w:hAnsi="Times New Roman"/>
                  <w:sz w:val="16"/>
                  <w:szCs w:val="16"/>
                  <w:color w:val="0000EE"/>
                  <w:w w:val="98"/>
                </w:rPr>
                <w:t>Digital Realty Trust, Inc. and Digital Realty Trust, L.P. (File Nos. 001-32336 and 000-54023) filed on February 25,</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920" w:type="dxa"/>
            <w:vAlign w:val="bottom"/>
          </w:tcPr>
          <w:p>
            <w:pPr>
              <w:spacing w:after="0"/>
              <w:rPr>
                <w:sz w:val="13"/>
                <w:szCs w:val="13"/>
                <w:color w:val="auto"/>
              </w:rPr>
            </w:pPr>
          </w:p>
        </w:tc>
        <w:tc>
          <w:tcPr>
            <w:tcW w:w="400" w:type="dxa"/>
            <w:vAlign w:val="bottom"/>
            <w:tcBorders>
              <w:top w:val="single" w:sz="8" w:color="0000EE"/>
              <w:bottom w:val="single" w:sz="8" w:color="0000EE"/>
            </w:tcBorders>
          </w:tcPr>
          <w:p>
            <w:pPr>
              <w:spacing w:after="0" w:line="160" w:lineRule="exact"/>
              <w:rPr>
                <w:rFonts w:ascii="Times New Roman" w:cs="Times New Roman" w:eastAsia="Times New Roman" w:hAnsi="Times New Roman"/>
                <w:sz w:val="16"/>
                <w:szCs w:val="16"/>
                <w:color w:val="0000EE"/>
                <w:w w:val="91"/>
              </w:rPr>
            </w:pPr>
            <w:hyperlink r:id="rId206">
              <w:r>
                <w:rPr>
                  <w:rFonts w:ascii="Times New Roman" w:cs="Times New Roman" w:eastAsia="Times New Roman" w:hAnsi="Times New Roman"/>
                  <w:sz w:val="16"/>
                  <w:szCs w:val="16"/>
                  <w:color w:val="0000EE"/>
                  <w:w w:val="91"/>
                </w:rPr>
                <w:t>2022).</w:t>
              </w:r>
            </w:hyperlink>
          </w:p>
        </w:tc>
        <w:tc>
          <w:tcPr>
            <w:tcW w:w="56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1580" w:type="dxa"/>
            <w:vAlign w:val="bottom"/>
            <w:tcBorders>
              <w:top w:val="single" w:sz="8" w:color="0000EE"/>
            </w:tcBorders>
          </w:tcPr>
          <w:p>
            <w:pPr>
              <w:spacing w:after="0"/>
              <w:rPr>
                <w:sz w:val="13"/>
                <w:szCs w:val="13"/>
                <w:color w:val="auto"/>
              </w:rPr>
            </w:pPr>
          </w:p>
        </w:tc>
        <w:tc>
          <w:tcPr>
            <w:tcW w:w="3880" w:type="dxa"/>
            <w:vAlign w:val="bottom"/>
            <w:tcBorders>
              <w:top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0"/>
        </w:trPr>
        <w:tc>
          <w:tcPr>
            <w:tcW w:w="920" w:type="dxa"/>
            <w:vAlign w:val="bottom"/>
          </w:tcPr>
          <w:p>
            <w:pPr>
              <w:jc w:val="right"/>
              <w:ind w:right="562"/>
              <w:spacing w:after="0"/>
              <w:rPr>
                <w:sz w:val="20"/>
                <w:szCs w:val="20"/>
                <w:color w:val="auto"/>
              </w:rPr>
            </w:pPr>
            <w:r>
              <w:rPr>
                <w:rFonts w:ascii="Times New Roman" w:cs="Times New Roman" w:eastAsia="Times New Roman" w:hAnsi="Times New Roman"/>
                <w:sz w:val="16"/>
                <w:szCs w:val="16"/>
                <w:color w:val="auto"/>
                <w:w w:val="92"/>
              </w:rPr>
              <w:t>4.17</w:t>
            </w:r>
          </w:p>
        </w:tc>
        <w:tc>
          <w:tcPr>
            <w:tcW w:w="7180" w:type="dxa"/>
            <w:vAlign w:val="bottom"/>
            <w:tcBorders>
              <w:bottom w:val="single" w:sz="8" w:color="0000EE"/>
            </w:tcBorders>
            <w:gridSpan w:val="12"/>
          </w:tcPr>
          <w:p>
            <w:pPr>
              <w:spacing w:after="0"/>
              <w:rPr>
                <w:rFonts w:ascii="Times New Roman" w:cs="Times New Roman" w:eastAsia="Times New Roman" w:hAnsi="Times New Roman"/>
                <w:sz w:val="16"/>
                <w:szCs w:val="16"/>
                <w:color w:val="0000EE"/>
                <w:w w:val="97"/>
              </w:rPr>
            </w:pPr>
            <w:hyperlink r:id="rId207">
              <w:r>
                <w:rPr>
                  <w:rFonts w:ascii="Times New Roman" w:cs="Times New Roman" w:eastAsia="Times New Roman" w:hAnsi="Times New Roman"/>
                  <w:sz w:val="16"/>
                  <w:szCs w:val="16"/>
                  <w:color w:val="0000EE"/>
                  <w:w w:val="97"/>
                </w:rPr>
                <w:t>Indenture, dated as of January 17, 2020, among Digital Dutch Finco B.V., Digital Realty Trust, Inc., Digital Realty</w:t>
              </w:r>
            </w:hyperlink>
          </w:p>
        </w:tc>
        <w:tc>
          <w:tcPr>
            <w:tcW w:w="280" w:type="dxa"/>
            <w:vAlign w:val="bottom"/>
            <w:gridSpan w:val="6"/>
          </w:tcPr>
          <w:p>
            <w:pPr>
              <w:spacing w:after="0"/>
              <w:rPr>
                <w:sz w:val="24"/>
                <w:szCs w:val="24"/>
                <w:color w:val="auto"/>
              </w:rPr>
            </w:pPr>
          </w:p>
        </w:tc>
      </w:tr>
      <w:tr>
        <w:trPr>
          <w:trHeight w:val="160"/>
        </w:trPr>
        <w:tc>
          <w:tcPr>
            <w:tcW w:w="920" w:type="dxa"/>
            <w:vAlign w:val="bottom"/>
          </w:tcPr>
          <w:p>
            <w:pPr>
              <w:spacing w:after="0"/>
              <w:rPr>
                <w:sz w:val="13"/>
                <w:szCs w:val="13"/>
                <w:color w:val="auto"/>
              </w:rPr>
            </w:pPr>
          </w:p>
        </w:tc>
        <w:tc>
          <w:tcPr>
            <w:tcW w:w="7460" w:type="dxa"/>
            <w:vAlign w:val="bottom"/>
            <w:gridSpan w:val="18"/>
          </w:tcPr>
          <w:p>
            <w:pPr>
              <w:spacing w:after="0" w:line="160" w:lineRule="exact"/>
              <w:rPr>
                <w:rFonts w:ascii="Times New Roman" w:cs="Times New Roman" w:eastAsia="Times New Roman" w:hAnsi="Times New Roman"/>
                <w:sz w:val="16"/>
                <w:szCs w:val="16"/>
                <w:color w:val="0000EE"/>
                <w:w w:val="97"/>
              </w:rPr>
            </w:pPr>
            <w:hyperlink r:id="rId207">
              <w:r>
                <w:rPr>
                  <w:rFonts w:ascii="Times New Roman" w:cs="Times New Roman" w:eastAsia="Times New Roman" w:hAnsi="Times New Roman"/>
                  <w:sz w:val="16"/>
                  <w:szCs w:val="16"/>
                  <w:color w:val="0000EE"/>
                  <w:w w:val="97"/>
                </w:rPr>
                <w:t>Trust, L.P., Deutsche Trustee Company Limited, as trustee, Deutsche Bank AG, London Branch, as paying agent and a</w:t>
              </w:r>
            </w:hyperlink>
          </w:p>
        </w:tc>
      </w:tr>
      <w:tr>
        <w:trPr>
          <w:trHeight w:val="160"/>
        </w:trPr>
        <w:tc>
          <w:tcPr>
            <w:tcW w:w="920" w:type="dxa"/>
            <w:vAlign w:val="bottom"/>
          </w:tcPr>
          <w:p>
            <w:pPr>
              <w:spacing w:after="0"/>
              <w:rPr>
                <w:sz w:val="13"/>
                <w:szCs w:val="13"/>
                <w:color w:val="auto"/>
              </w:rPr>
            </w:pPr>
          </w:p>
        </w:tc>
        <w:tc>
          <w:tcPr>
            <w:tcW w:w="7440" w:type="dxa"/>
            <w:vAlign w:val="bottom"/>
            <w:tcBorders>
              <w:top w:val="single" w:sz="8" w:color="0000EE"/>
            </w:tcBorders>
            <w:gridSpan w:val="17"/>
          </w:tcPr>
          <w:p>
            <w:pPr>
              <w:spacing w:after="0" w:line="160" w:lineRule="exact"/>
              <w:rPr>
                <w:rFonts w:ascii="Times New Roman" w:cs="Times New Roman" w:eastAsia="Times New Roman" w:hAnsi="Times New Roman"/>
                <w:sz w:val="16"/>
                <w:szCs w:val="16"/>
                <w:color w:val="0000EE"/>
              </w:rPr>
            </w:pPr>
            <w:hyperlink r:id="rId207">
              <w:r>
                <w:rPr>
                  <w:rFonts w:ascii="Times New Roman" w:cs="Times New Roman" w:eastAsia="Times New Roman" w:hAnsi="Times New Roman"/>
                  <w:sz w:val="16"/>
                  <w:szCs w:val="16"/>
                  <w:color w:val="0000EE"/>
                </w:rPr>
                <w:t>transfer agent, and Deutsche Bank Luxembourg S.A., as registrar and a transfer agent, including the form of the</w:t>
              </w:r>
            </w:hyperlink>
          </w:p>
        </w:tc>
        <w:tc>
          <w:tcPr>
            <w:tcW w:w="20" w:type="dxa"/>
            <w:vAlign w:val="bottom"/>
          </w:tcPr>
          <w:p>
            <w:pPr>
              <w:spacing w:after="0"/>
              <w:rPr>
                <w:sz w:val="13"/>
                <w:szCs w:val="13"/>
                <w:color w:val="auto"/>
              </w:rPr>
            </w:pPr>
          </w:p>
        </w:tc>
      </w:tr>
      <w:tr>
        <w:trPr>
          <w:trHeight w:val="160"/>
        </w:trPr>
        <w:tc>
          <w:tcPr>
            <w:tcW w:w="920" w:type="dxa"/>
            <w:vAlign w:val="bottom"/>
          </w:tcPr>
          <w:p>
            <w:pPr>
              <w:spacing w:after="0"/>
              <w:rPr>
                <w:sz w:val="13"/>
                <w:szCs w:val="13"/>
                <w:color w:val="auto"/>
              </w:rPr>
            </w:pPr>
          </w:p>
        </w:tc>
        <w:tc>
          <w:tcPr>
            <w:tcW w:w="6960" w:type="dxa"/>
            <w:vAlign w:val="bottom"/>
            <w:tcBorders>
              <w:top w:val="single" w:sz="8" w:color="0000EE"/>
            </w:tcBorders>
            <w:gridSpan w:val="8"/>
          </w:tcPr>
          <w:p>
            <w:pPr>
              <w:spacing w:after="0" w:line="160" w:lineRule="exact"/>
              <w:rPr>
                <w:rFonts w:ascii="Times New Roman" w:cs="Times New Roman" w:eastAsia="Times New Roman" w:hAnsi="Times New Roman"/>
                <w:sz w:val="16"/>
                <w:szCs w:val="16"/>
                <w:color w:val="0000EE"/>
                <w:w w:val="98"/>
              </w:rPr>
            </w:pPr>
            <w:hyperlink r:id="rId207">
              <w:r>
                <w:rPr>
                  <w:rFonts w:ascii="Times New Roman" w:cs="Times New Roman" w:eastAsia="Times New Roman" w:hAnsi="Times New Roman"/>
                  <w:sz w:val="16"/>
                  <w:szCs w:val="16"/>
                  <w:color w:val="0000EE"/>
                  <w:w w:val="98"/>
                </w:rPr>
                <w:t>0.</w:t>
              </w:r>
              <w:r>
                <w:rPr>
                  <w:rFonts w:ascii="Times New Roman" w:cs="Times New Roman" w:eastAsia="Times New Roman" w:hAnsi="Times New Roman"/>
                  <w:sz w:val="16"/>
                  <w:szCs w:val="16"/>
                  <w:u w:val="single" w:color="auto"/>
                  <w:color w:val="0000EE"/>
                  <w:w w:val="98"/>
                </w:rPr>
                <w:t>625%</w:t>
              </w:r>
              <w:r>
                <w:rPr>
                  <w:rFonts w:ascii="Times New Roman" w:cs="Times New Roman" w:eastAsia="Times New Roman" w:hAnsi="Times New Roman"/>
                  <w:sz w:val="16"/>
                  <w:szCs w:val="16"/>
                  <w:color w:val="0000EE"/>
                  <w:w w:val="98"/>
                </w:rPr>
                <w:t xml:space="preserve"> Guaranteed Notes due 2025 (incorporated by reference to Exhibit 4.2 to the Combined Current Report</w:t>
              </w:r>
            </w:hyperlink>
          </w:p>
        </w:tc>
        <w:tc>
          <w:tcPr>
            <w:tcW w:w="500" w:type="dxa"/>
            <w:vAlign w:val="bottom"/>
            <w:gridSpan w:val="10"/>
          </w:tcPr>
          <w:p>
            <w:pPr>
              <w:spacing w:after="0" w:line="160" w:lineRule="exact"/>
              <w:rPr>
                <w:rFonts w:ascii="Times New Roman" w:cs="Times New Roman" w:eastAsia="Times New Roman" w:hAnsi="Times New Roman"/>
                <w:sz w:val="16"/>
                <w:szCs w:val="16"/>
                <w:color w:val="0000EE"/>
              </w:rPr>
            </w:pPr>
            <w:hyperlink r:id="rId207">
              <w:r>
                <w:rPr>
                  <w:rFonts w:ascii="Times New Roman" w:cs="Times New Roman" w:eastAsia="Times New Roman" w:hAnsi="Times New Roman"/>
                  <w:sz w:val="16"/>
                  <w:szCs w:val="16"/>
                  <w:color w:val="0000EE"/>
                </w:rPr>
                <w:t>on</w:t>
              </w:r>
            </w:hyperlink>
          </w:p>
        </w:tc>
      </w:tr>
      <w:tr>
        <w:trPr>
          <w:trHeight w:val="20"/>
        </w:trPr>
        <w:tc>
          <w:tcPr>
            <w:tcW w:w="92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38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60"/>
        </w:trPr>
        <w:tc>
          <w:tcPr>
            <w:tcW w:w="920" w:type="dxa"/>
            <w:vAlign w:val="bottom"/>
          </w:tcPr>
          <w:p>
            <w:pPr>
              <w:spacing w:after="0"/>
              <w:rPr>
                <w:sz w:val="13"/>
                <w:szCs w:val="13"/>
                <w:color w:val="auto"/>
              </w:rPr>
            </w:pPr>
          </w:p>
        </w:tc>
        <w:tc>
          <w:tcPr>
            <w:tcW w:w="7460" w:type="dxa"/>
            <w:vAlign w:val="bottom"/>
            <w:gridSpan w:val="18"/>
          </w:tcPr>
          <w:p>
            <w:pPr>
              <w:spacing w:after="0" w:line="160" w:lineRule="exact"/>
              <w:rPr>
                <w:rFonts w:ascii="Times New Roman" w:cs="Times New Roman" w:eastAsia="Times New Roman" w:hAnsi="Times New Roman"/>
                <w:sz w:val="16"/>
                <w:szCs w:val="16"/>
                <w:color w:val="0000EE"/>
              </w:rPr>
            </w:pPr>
            <w:hyperlink r:id="rId207">
              <w:r>
                <w:rPr>
                  <w:rFonts w:ascii="Times New Roman" w:cs="Times New Roman" w:eastAsia="Times New Roman" w:hAnsi="Times New Roman"/>
                  <w:sz w:val="16"/>
                  <w:szCs w:val="16"/>
                  <w:color w:val="0000EE"/>
                </w:rPr>
                <w:t>Form 8-K of Digital Realty Trust, Inc. and Digital Realty Trust, L.P. (File Nos. 001-32336 and 000-54023) filed on</w:t>
              </w:r>
            </w:hyperlink>
          </w:p>
        </w:tc>
      </w:tr>
      <w:tr>
        <w:trPr>
          <w:trHeight w:val="160"/>
        </w:trPr>
        <w:tc>
          <w:tcPr>
            <w:tcW w:w="920" w:type="dxa"/>
            <w:vAlign w:val="bottom"/>
          </w:tcPr>
          <w:p>
            <w:pPr>
              <w:spacing w:after="0"/>
              <w:rPr>
                <w:sz w:val="13"/>
                <w:szCs w:val="13"/>
                <w:color w:val="auto"/>
              </w:rPr>
            </w:pPr>
          </w:p>
        </w:tc>
        <w:tc>
          <w:tcPr>
            <w:tcW w:w="1160" w:type="dxa"/>
            <w:vAlign w:val="bottom"/>
            <w:tcBorders>
              <w:top w:val="single" w:sz="8" w:color="0000EE"/>
              <w:bottom w:val="single" w:sz="8" w:color="0000EE"/>
            </w:tcBorders>
            <w:gridSpan w:val="4"/>
          </w:tcPr>
          <w:p>
            <w:pPr>
              <w:spacing w:after="0" w:line="160" w:lineRule="exact"/>
              <w:rPr>
                <w:rFonts w:ascii="Times New Roman" w:cs="Times New Roman" w:eastAsia="Times New Roman" w:hAnsi="Times New Roman"/>
                <w:sz w:val="16"/>
                <w:szCs w:val="16"/>
                <w:color w:val="0000EE"/>
                <w:w w:val="95"/>
              </w:rPr>
            </w:pPr>
            <w:hyperlink r:id="rId207">
              <w:r>
                <w:rPr>
                  <w:rFonts w:ascii="Times New Roman" w:cs="Times New Roman" w:eastAsia="Times New Roman" w:hAnsi="Times New Roman"/>
                  <w:sz w:val="16"/>
                  <w:szCs w:val="16"/>
                  <w:color w:val="0000EE"/>
                  <w:w w:val="95"/>
                </w:rPr>
                <w:t>January 17, 2020).</w:t>
              </w:r>
            </w:hyperlink>
          </w:p>
        </w:tc>
        <w:tc>
          <w:tcPr>
            <w:tcW w:w="6040" w:type="dxa"/>
            <w:vAlign w:val="bottom"/>
            <w:tcBorders>
              <w:top w:val="single" w:sz="8" w:color="0000EE"/>
            </w:tcBorders>
            <w:gridSpan w:val="9"/>
          </w:tcPr>
          <w:p>
            <w:pPr>
              <w:spacing w:after="0"/>
              <w:rPr>
                <w:sz w:val="13"/>
                <w:szCs w:val="13"/>
                <w:color w:val="auto"/>
              </w:rPr>
            </w:pPr>
          </w:p>
        </w:tc>
        <w:tc>
          <w:tcPr>
            <w:tcW w:w="1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r>
      <w:tr>
        <w:trPr>
          <w:trHeight w:val="340"/>
        </w:trPr>
        <w:tc>
          <w:tcPr>
            <w:tcW w:w="920" w:type="dxa"/>
            <w:vAlign w:val="bottom"/>
          </w:tcPr>
          <w:p>
            <w:pPr>
              <w:jc w:val="right"/>
              <w:ind w:right="562"/>
              <w:spacing w:after="0"/>
              <w:rPr>
                <w:sz w:val="20"/>
                <w:szCs w:val="20"/>
                <w:color w:val="auto"/>
              </w:rPr>
            </w:pPr>
            <w:r>
              <w:rPr>
                <w:rFonts w:ascii="Times New Roman" w:cs="Times New Roman" w:eastAsia="Times New Roman" w:hAnsi="Times New Roman"/>
                <w:sz w:val="16"/>
                <w:szCs w:val="16"/>
                <w:color w:val="auto"/>
                <w:w w:val="92"/>
              </w:rPr>
              <w:t>4.18</w:t>
            </w:r>
          </w:p>
        </w:tc>
        <w:tc>
          <w:tcPr>
            <w:tcW w:w="7180" w:type="dxa"/>
            <w:vAlign w:val="bottom"/>
            <w:tcBorders>
              <w:bottom w:val="single" w:sz="8" w:color="0000EE"/>
            </w:tcBorders>
            <w:gridSpan w:val="12"/>
          </w:tcPr>
          <w:p>
            <w:pPr>
              <w:spacing w:after="0"/>
              <w:rPr>
                <w:rFonts w:ascii="Times New Roman" w:cs="Times New Roman" w:eastAsia="Times New Roman" w:hAnsi="Times New Roman"/>
                <w:sz w:val="16"/>
                <w:szCs w:val="16"/>
                <w:color w:val="0000EE"/>
                <w:w w:val="97"/>
              </w:rPr>
            </w:pPr>
            <w:hyperlink r:id="rId208">
              <w:r>
                <w:rPr>
                  <w:rFonts w:ascii="Times New Roman" w:cs="Times New Roman" w:eastAsia="Times New Roman" w:hAnsi="Times New Roman"/>
                  <w:sz w:val="16"/>
                  <w:szCs w:val="16"/>
                  <w:color w:val="0000EE"/>
                  <w:w w:val="97"/>
                </w:rPr>
                <w:t>Indenture, dated as of January 17, 2020, among Digital Dutch Finco B.V., Digital Realty Trust, Inc., Digital Realty</w:t>
              </w:r>
            </w:hyperlink>
          </w:p>
        </w:tc>
        <w:tc>
          <w:tcPr>
            <w:tcW w:w="280" w:type="dxa"/>
            <w:vAlign w:val="bottom"/>
            <w:gridSpan w:val="6"/>
          </w:tcPr>
          <w:p>
            <w:pPr>
              <w:spacing w:after="0"/>
              <w:rPr>
                <w:sz w:val="24"/>
                <w:szCs w:val="24"/>
                <w:color w:val="auto"/>
              </w:rPr>
            </w:pPr>
          </w:p>
        </w:tc>
      </w:tr>
      <w:tr>
        <w:trPr>
          <w:trHeight w:val="160"/>
        </w:trPr>
        <w:tc>
          <w:tcPr>
            <w:tcW w:w="920" w:type="dxa"/>
            <w:vAlign w:val="bottom"/>
          </w:tcPr>
          <w:p>
            <w:pPr>
              <w:spacing w:after="0"/>
              <w:rPr>
                <w:sz w:val="13"/>
                <w:szCs w:val="13"/>
                <w:color w:val="auto"/>
              </w:rPr>
            </w:pPr>
          </w:p>
        </w:tc>
        <w:tc>
          <w:tcPr>
            <w:tcW w:w="7460" w:type="dxa"/>
            <w:vAlign w:val="bottom"/>
            <w:gridSpan w:val="18"/>
          </w:tcPr>
          <w:p>
            <w:pPr>
              <w:spacing w:after="0" w:line="160" w:lineRule="exact"/>
              <w:rPr>
                <w:rFonts w:ascii="Times New Roman" w:cs="Times New Roman" w:eastAsia="Times New Roman" w:hAnsi="Times New Roman"/>
                <w:sz w:val="16"/>
                <w:szCs w:val="16"/>
                <w:color w:val="0000EE"/>
                <w:w w:val="97"/>
              </w:rPr>
            </w:pPr>
            <w:hyperlink r:id="rId208">
              <w:r>
                <w:rPr>
                  <w:rFonts w:ascii="Times New Roman" w:cs="Times New Roman" w:eastAsia="Times New Roman" w:hAnsi="Times New Roman"/>
                  <w:sz w:val="16"/>
                  <w:szCs w:val="16"/>
                  <w:color w:val="0000EE"/>
                  <w:w w:val="97"/>
                </w:rPr>
                <w:t>Trust, L.P., Deutsche Trustee Company Limited, as trustee, Deutsche Bank AG, London Branch, as paying agent and a</w:t>
              </w:r>
            </w:hyperlink>
          </w:p>
        </w:tc>
      </w:tr>
      <w:tr>
        <w:trPr>
          <w:trHeight w:val="160"/>
        </w:trPr>
        <w:tc>
          <w:tcPr>
            <w:tcW w:w="920" w:type="dxa"/>
            <w:vAlign w:val="bottom"/>
          </w:tcPr>
          <w:p>
            <w:pPr>
              <w:spacing w:after="0"/>
              <w:rPr>
                <w:sz w:val="13"/>
                <w:szCs w:val="13"/>
                <w:color w:val="auto"/>
              </w:rPr>
            </w:pPr>
          </w:p>
        </w:tc>
        <w:tc>
          <w:tcPr>
            <w:tcW w:w="7440" w:type="dxa"/>
            <w:vAlign w:val="bottom"/>
            <w:tcBorders>
              <w:top w:val="single" w:sz="8" w:color="0000EE"/>
            </w:tcBorders>
            <w:gridSpan w:val="17"/>
          </w:tcPr>
          <w:p>
            <w:pPr>
              <w:spacing w:after="0" w:line="160" w:lineRule="exact"/>
              <w:rPr>
                <w:rFonts w:ascii="Times New Roman" w:cs="Times New Roman" w:eastAsia="Times New Roman" w:hAnsi="Times New Roman"/>
                <w:sz w:val="16"/>
                <w:szCs w:val="16"/>
                <w:color w:val="0000EE"/>
              </w:rPr>
            </w:pPr>
            <w:hyperlink r:id="rId208">
              <w:r>
                <w:rPr>
                  <w:rFonts w:ascii="Times New Roman" w:cs="Times New Roman" w:eastAsia="Times New Roman" w:hAnsi="Times New Roman"/>
                  <w:sz w:val="16"/>
                  <w:szCs w:val="16"/>
                  <w:color w:val="0000EE"/>
                </w:rPr>
                <w:t>transfer agent, and Deutsche Bank Luxembourg S.A., as registrar and a transfer agent, including the form of the</w:t>
              </w:r>
            </w:hyperlink>
          </w:p>
        </w:tc>
        <w:tc>
          <w:tcPr>
            <w:tcW w:w="20" w:type="dxa"/>
            <w:vAlign w:val="bottom"/>
          </w:tcPr>
          <w:p>
            <w:pPr>
              <w:spacing w:after="0"/>
              <w:rPr>
                <w:sz w:val="13"/>
                <w:szCs w:val="13"/>
                <w:color w:val="auto"/>
              </w:rPr>
            </w:pPr>
          </w:p>
        </w:tc>
      </w:tr>
      <w:tr>
        <w:trPr>
          <w:trHeight w:val="160"/>
        </w:trPr>
        <w:tc>
          <w:tcPr>
            <w:tcW w:w="920" w:type="dxa"/>
            <w:vAlign w:val="bottom"/>
          </w:tcPr>
          <w:p>
            <w:pPr>
              <w:spacing w:after="0"/>
              <w:rPr>
                <w:sz w:val="13"/>
                <w:szCs w:val="13"/>
                <w:color w:val="auto"/>
              </w:rPr>
            </w:pPr>
          </w:p>
        </w:tc>
        <w:tc>
          <w:tcPr>
            <w:tcW w:w="6960" w:type="dxa"/>
            <w:vAlign w:val="bottom"/>
            <w:tcBorders>
              <w:top w:val="single" w:sz="8" w:color="0000EE"/>
            </w:tcBorders>
            <w:gridSpan w:val="8"/>
          </w:tcPr>
          <w:p>
            <w:pPr>
              <w:spacing w:after="0" w:line="160" w:lineRule="exact"/>
              <w:rPr>
                <w:rFonts w:ascii="Times New Roman" w:cs="Times New Roman" w:eastAsia="Times New Roman" w:hAnsi="Times New Roman"/>
                <w:sz w:val="16"/>
                <w:szCs w:val="16"/>
                <w:color w:val="0000EE"/>
                <w:w w:val="98"/>
              </w:rPr>
            </w:pPr>
            <w:hyperlink r:id="rId208">
              <w:r>
                <w:rPr>
                  <w:rFonts w:ascii="Times New Roman" w:cs="Times New Roman" w:eastAsia="Times New Roman" w:hAnsi="Times New Roman"/>
                  <w:sz w:val="16"/>
                  <w:szCs w:val="16"/>
                  <w:color w:val="0000EE"/>
                  <w:w w:val="98"/>
                </w:rPr>
                <w:t>1.</w:t>
              </w:r>
              <w:r>
                <w:rPr>
                  <w:rFonts w:ascii="Times New Roman" w:cs="Times New Roman" w:eastAsia="Times New Roman" w:hAnsi="Times New Roman"/>
                  <w:sz w:val="16"/>
                  <w:szCs w:val="16"/>
                  <w:u w:val="single" w:color="auto"/>
                  <w:color w:val="0000EE"/>
                  <w:w w:val="98"/>
                </w:rPr>
                <w:t>500%</w:t>
              </w:r>
              <w:r>
                <w:rPr>
                  <w:rFonts w:ascii="Times New Roman" w:cs="Times New Roman" w:eastAsia="Times New Roman" w:hAnsi="Times New Roman"/>
                  <w:sz w:val="16"/>
                  <w:szCs w:val="16"/>
                  <w:color w:val="0000EE"/>
                  <w:w w:val="98"/>
                </w:rPr>
                <w:t xml:space="preserve"> Guaranteed Notes due 2030 (incorporated by reference to Exhibit 4.3 to the Combined Current Report</w:t>
              </w:r>
            </w:hyperlink>
          </w:p>
        </w:tc>
        <w:tc>
          <w:tcPr>
            <w:tcW w:w="500" w:type="dxa"/>
            <w:vAlign w:val="bottom"/>
            <w:gridSpan w:val="10"/>
          </w:tcPr>
          <w:p>
            <w:pPr>
              <w:spacing w:after="0" w:line="160" w:lineRule="exact"/>
              <w:rPr>
                <w:rFonts w:ascii="Times New Roman" w:cs="Times New Roman" w:eastAsia="Times New Roman" w:hAnsi="Times New Roman"/>
                <w:sz w:val="16"/>
                <w:szCs w:val="16"/>
                <w:color w:val="0000EE"/>
              </w:rPr>
            </w:pPr>
            <w:hyperlink r:id="rId208">
              <w:r>
                <w:rPr>
                  <w:rFonts w:ascii="Times New Roman" w:cs="Times New Roman" w:eastAsia="Times New Roman" w:hAnsi="Times New Roman"/>
                  <w:sz w:val="16"/>
                  <w:szCs w:val="16"/>
                  <w:color w:val="0000EE"/>
                </w:rPr>
                <w:t>on</w:t>
              </w:r>
            </w:hyperlink>
          </w:p>
        </w:tc>
      </w:tr>
      <w:tr>
        <w:trPr>
          <w:trHeight w:val="20"/>
        </w:trPr>
        <w:tc>
          <w:tcPr>
            <w:tcW w:w="92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38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60"/>
        </w:trPr>
        <w:tc>
          <w:tcPr>
            <w:tcW w:w="920" w:type="dxa"/>
            <w:vAlign w:val="bottom"/>
          </w:tcPr>
          <w:p>
            <w:pPr>
              <w:spacing w:after="0"/>
              <w:rPr>
                <w:sz w:val="13"/>
                <w:szCs w:val="13"/>
                <w:color w:val="auto"/>
              </w:rPr>
            </w:pPr>
          </w:p>
        </w:tc>
        <w:tc>
          <w:tcPr>
            <w:tcW w:w="7460" w:type="dxa"/>
            <w:vAlign w:val="bottom"/>
            <w:gridSpan w:val="18"/>
          </w:tcPr>
          <w:p>
            <w:pPr>
              <w:spacing w:after="0" w:line="160" w:lineRule="exact"/>
              <w:rPr>
                <w:rFonts w:ascii="Times New Roman" w:cs="Times New Roman" w:eastAsia="Times New Roman" w:hAnsi="Times New Roman"/>
                <w:sz w:val="16"/>
                <w:szCs w:val="16"/>
                <w:color w:val="0000EE"/>
              </w:rPr>
            </w:pPr>
            <w:hyperlink r:id="rId208">
              <w:r>
                <w:rPr>
                  <w:rFonts w:ascii="Times New Roman" w:cs="Times New Roman" w:eastAsia="Times New Roman" w:hAnsi="Times New Roman"/>
                  <w:sz w:val="16"/>
                  <w:szCs w:val="16"/>
                  <w:color w:val="0000EE"/>
                </w:rPr>
                <w:t>Form 8-K of Digital Realty Trust, Inc. and Digital Realty Trust, L.P. (File Nos. 001-32336 and 000-54023) filed on</w:t>
              </w:r>
            </w:hyperlink>
          </w:p>
        </w:tc>
      </w:tr>
      <w:tr>
        <w:trPr>
          <w:trHeight w:val="160"/>
        </w:trPr>
        <w:tc>
          <w:tcPr>
            <w:tcW w:w="920" w:type="dxa"/>
            <w:vAlign w:val="bottom"/>
          </w:tcPr>
          <w:p>
            <w:pPr>
              <w:spacing w:after="0"/>
              <w:rPr>
                <w:sz w:val="13"/>
                <w:szCs w:val="13"/>
                <w:color w:val="auto"/>
              </w:rPr>
            </w:pPr>
          </w:p>
        </w:tc>
        <w:tc>
          <w:tcPr>
            <w:tcW w:w="1160" w:type="dxa"/>
            <w:vAlign w:val="bottom"/>
            <w:tcBorders>
              <w:top w:val="single" w:sz="8" w:color="0000EE"/>
              <w:bottom w:val="single" w:sz="8" w:color="0000EE"/>
            </w:tcBorders>
            <w:gridSpan w:val="4"/>
          </w:tcPr>
          <w:p>
            <w:pPr>
              <w:spacing w:after="0" w:line="160" w:lineRule="exact"/>
              <w:rPr>
                <w:rFonts w:ascii="Times New Roman" w:cs="Times New Roman" w:eastAsia="Times New Roman" w:hAnsi="Times New Roman"/>
                <w:sz w:val="16"/>
                <w:szCs w:val="16"/>
                <w:color w:val="0000EE"/>
                <w:w w:val="95"/>
              </w:rPr>
            </w:pPr>
            <w:hyperlink r:id="rId208">
              <w:r>
                <w:rPr>
                  <w:rFonts w:ascii="Times New Roman" w:cs="Times New Roman" w:eastAsia="Times New Roman" w:hAnsi="Times New Roman"/>
                  <w:sz w:val="16"/>
                  <w:szCs w:val="16"/>
                  <w:color w:val="0000EE"/>
                  <w:w w:val="95"/>
                </w:rPr>
                <w:t>January 17, 2020).</w:t>
              </w:r>
            </w:hyperlink>
          </w:p>
        </w:tc>
        <w:tc>
          <w:tcPr>
            <w:tcW w:w="6040" w:type="dxa"/>
            <w:vAlign w:val="bottom"/>
            <w:tcBorders>
              <w:top w:val="single" w:sz="8" w:color="0000EE"/>
            </w:tcBorders>
            <w:gridSpan w:val="9"/>
          </w:tcPr>
          <w:p>
            <w:pPr>
              <w:spacing w:after="0"/>
              <w:rPr>
                <w:sz w:val="13"/>
                <w:szCs w:val="13"/>
                <w:color w:val="auto"/>
              </w:rPr>
            </w:pPr>
          </w:p>
        </w:tc>
        <w:tc>
          <w:tcPr>
            <w:tcW w:w="1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r>
      <w:tr>
        <w:trPr>
          <w:trHeight w:val="496"/>
        </w:trPr>
        <w:tc>
          <w:tcPr>
            <w:tcW w:w="920" w:type="dxa"/>
            <w:vAlign w:val="bottom"/>
          </w:tcPr>
          <w:p>
            <w:pPr>
              <w:jc w:val="right"/>
              <w:ind w:right="562"/>
              <w:spacing w:after="0"/>
              <w:rPr>
                <w:sz w:val="20"/>
                <w:szCs w:val="20"/>
                <w:color w:val="auto"/>
              </w:rPr>
            </w:pPr>
            <w:r>
              <w:rPr>
                <w:rFonts w:ascii="Times New Roman" w:cs="Times New Roman" w:eastAsia="Times New Roman" w:hAnsi="Times New Roman"/>
                <w:sz w:val="16"/>
                <w:szCs w:val="16"/>
                <w:color w:val="auto"/>
                <w:w w:val="92"/>
              </w:rPr>
              <w:t>4.19</w:t>
            </w:r>
          </w:p>
        </w:tc>
        <w:tc>
          <w:tcPr>
            <w:tcW w:w="7460" w:type="dxa"/>
            <w:vAlign w:val="bottom"/>
            <w:gridSpan w:val="18"/>
          </w:tcPr>
          <w:p>
            <w:pPr>
              <w:spacing w:after="0"/>
              <w:rPr>
                <w:rFonts w:ascii="Times New Roman" w:cs="Times New Roman" w:eastAsia="Times New Roman" w:hAnsi="Times New Roman"/>
                <w:sz w:val="16"/>
                <w:szCs w:val="16"/>
                <w:color w:val="0000EE"/>
                <w:w w:val="98"/>
              </w:rPr>
            </w:pPr>
            <w:hyperlink r:id="rId209">
              <w:r>
                <w:rPr>
                  <w:rFonts w:ascii="Times New Roman" w:cs="Times New Roman" w:eastAsia="Times New Roman" w:hAnsi="Times New Roman"/>
                  <w:sz w:val="16"/>
                  <w:szCs w:val="16"/>
                  <w:color w:val="0000EE"/>
                  <w:w w:val="98"/>
                </w:rPr>
                <w:t>Indenture, dated as of June 26, 2020, among Digital Dutch Finco B.V., Digital Realty Trust, Inc., Digital Realty Trust,</w:t>
              </w:r>
            </w:hyperlink>
          </w:p>
        </w:tc>
      </w:tr>
      <w:tr>
        <w:trPr>
          <w:trHeight w:val="160"/>
        </w:trPr>
        <w:tc>
          <w:tcPr>
            <w:tcW w:w="920" w:type="dxa"/>
            <w:vAlign w:val="bottom"/>
          </w:tcPr>
          <w:p>
            <w:pPr>
              <w:spacing w:after="0"/>
              <w:rPr>
                <w:sz w:val="13"/>
                <w:szCs w:val="13"/>
                <w:color w:val="auto"/>
              </w:rPr>
            </w:pPr>
          </w:p>
        </w:tc>
        <w:tc>
          <w:tcPr>
            <w:tcW w:w="7380" w:type="dxa"/>
            <w:vAlign w:val="bottom"/>
            <w:tcBorders>
              <w:top w:val="single" w:sz="8" w:color="0000EE"/>
            </w:tcBorders>
            <w:gridSpan w:val="16"/>
          </w:tcPr>
          <w:p>
            <w:pPr>
              <w:spacing w:after="0" w:line="160" w:lineRule="exact"/>
              <w:rPr>
                <w:rFonts w:ascii="Times New Roman" w:cs="Times New Roman" w:eastAsia="Times New Roman" w:hAnsi="Times New Roman"/>
                <w:sz w:val="16"/>
                <w:szCs w:val="16"/>
                <w:color w:val="0000EE"/>
              </w:rPr>
            </w:pPr>
            <w:hyperlink r:id="rId209">
              <w:r>
                <w:rPr>
                  <w:rFonts w:ascii="Times New Roman" w:cs="Times New Roman" w:eastAsia="Times New Roman" w:hAnsi="Times New Roman"/>
                  <w:sz w:val="16"/>
                  <w:szCs w:val="16"/>
                  <w:color w:val="0000EE"/>
                </w:rPr>
                <w:t>L.P., Deutsche Trustee Company Limited, as trustee, Deutsche Bank AG, London Branch, as paying agent and a</w:t>
              </w:r>
            </w:hyperlink>
          </w:p>
        </w:tc>
        <w:tc>
          <w:tcPr>
            <w:tcW w:w="80" w:type="dxa"/>
            <w:vAlign w:val="bottom"/>
            <w:gridSpan w:val="2"/>
          </w:tcPr>
          <w:p>
            <w:pPr>
              <w:spacing w:after="0"/>
              <w:rPr>
                <w:sz w:val="13"/>
                <w:szCs w:val="13"/>
                <w:color w:val="auto"/>
              </w:rPr>
            </w:pPr>
          </w:p>
        </w:tc>
      </w:tr>
      <w:tr>
        <w:trPr>
          <w:trHeight w:val="160"/>
        </w:trPr>
        <w:tc>
          <w:tcPr>
            <w:tcW w:w="920" w:type="dxa"/>
            <w:vAlign w:val="bottom"/>
          </w:tcPr>
          <w:p>
            <w:pPr>
              <w:spacing w:after="0"/>
              <w:rPr>
                <w:sz w:val="13"/>
                <w:szCs w:val="13"/>
                <w:color w:val="auto"/>
              </w:rPr>
            </w:pPr>
          </w:p>
        </w:tc>
        <w:tc>
          <w:tcPr>
            <w:tcW w:w="7080" w:type="dxa"/>
            <w:vAlign w:val="bottom"/>
            <w:tcBorders>
              <w:top w:val="single" w:sz="8" w:color="0000EE"/>
            </w:tcBorders>
            <w:gridSpan w:val="9"/>
          </w:tcPr>
          <w:p>
            <w:pPr>
              <w:spacing w:after="0" w:line="160" w:lineRule="exact"/>
              <w:rPr>
                <w:rFonts w:ascii="Times New Roman" w:cs="Times New Roman" w:eastAsia="Times New Roman" w:hAnsi="Times New Roman"/>
                <w:sz w:val="16"/>
                <w:szCs w:val="16"/>
                <w:color w:val="0000EE"/>
                <w:w w:val="98"/>
              </w:rPr>
            </w:pPr>
            <w:hyperlink r:id="rId209">
              <w:r>
                <w:rPr>
                  <w:rFonts w:ascii="Times New Roman" w:cs="Times New Roman" w:eastAsia="Times New Roman" w:hAnsi="Times New Roman"/>
                  <w:sz w:val="16"/>
                  <w:szCs w:val="16"/>
                  <w:color w:val="0000EE"/>
                  <w:w w:val="98"/>
                </w:rPr>
                <w:t>transfer agent, and Deutsche Bank Luxembourg S.A., as registrar and a transfer agent, including the form of the</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4"/>
          </w:tcPr>
          <w:p>
            <w:pPr>
              <w:spacing w:after="0"/>
              <w:rPr>
                <w:sz w:val="13"/>
                <w:szCs w:val="13"/>
                <w:color w:val="auto"/>
              </w:rPr>
            </w:pPr>
          </w:p>
        </w:tc>
        <w:tc>
          <w:tcPr>
            <w:tcW w:w="120" w:type="dxa"/>
            <w:vAlign w:val="bottom"/>
            <w:gridSpan w:val="3"/>
          </w:tcPr>
          <w:p>
            <w:pPr>
              <w:spacing w:after="0"/>
              <w:rPr>
                <w:sz w:val="13"/>
                <w:szCs w:val="13"/>
                <w:color w:val="auto"/>
              </w:rPr>
            </w:pPr>
          </w:p>
        </w:tc>
      </w:tr>
      <w:tr>
        <w:trPr>
          <w:trHeight w:val="160"/>
        </w:trPr>
        <w:tc>
          <w:tcPr>
            <w:tcW w:w="920" w:type="dxa"/>
            <w:vAlign w:val="bottom"/>
          </w:tcPr>
          <w:p>
            <w:pPr>
              <w:spacing w:after="0"/>
              <w:rPr>
                <w:sz w:val="13"/>
                <w:szCs w:val="13"/>
                <w:color w:val="auto"/>
              </w:rPr>
            </w:pPr>
          </w:p>
        </w:tc>
        <w:tc>
          <w:tcPr>
            <w:tcW w:w="6960" w:type="dxa"/>
            <w:vAlign w:val="bottom"/>
            <w:tcBorders>
              <w:top w:val="single" w:sz="8" w:color="0000EE"/>
            </w:tcBorders>
            <w:gridSpan w:val="8"/>
          </w:tcPr>
          <w:p>
            <w:pPr>
              <w:spacing w:after="0" w:line="160" w:lineRule="exact"/>
              <w:rPr>
                <w:rFonts w:ascii="Times New Roman" w:cs="Times New Roman" w:eastAsia="Times New Roman" w:hAnsi="Times New Roman"/>
                <w:sz w:val="16"/>
                <w:szCs w:val="16"/>
                <w:color w:val="0000EE"/>
                <w:w w:val="98"/>
              </w:rPr>
            </w:pPr>
            <w:hyperlink r:id="rId209">
              <w:r>
                <w:rPr>
                  <w:rFonts w:ascii="Times New Roman" w:cs="Times New Roman" w:eastAsia="Times New Roman" w:hAnsi="Times New Roman"/>
                  <w:sz w:val="16"/>
                  <w:szCs w:val="16"/>
                  <w:color w:val="0000EE"/>
                  <w:w w:val="98"/>
                </w:rPr>
                <w:t>1.</w:t>
              </w:r>
              <w:r>
                <w:rPr>
                  <w:rFonts w:ascii="Times New Roman" w:cs="Times New Roman" w:eastAsia="Times New Roman" w:hAnsi="Times New Roman"/>
                  <w:sz w:val="16"/>
                  <w:szCs w:val="16"/>
                  <w:u w:val="single" w:color="auto"/>
                  <w:color w:val="0000EE"/>
                  <w:w w:val="98"/>
                </w:rPr>
                <w:t>250%</w:t>
              </w:r>
              <w:r>
                <w:rPr>
                  <w:rFonts w:ascii="Times New Roman" w:cs="Times New Roman" w:eastAsia="Times New Roman" w:hAnsi="Times New Roman"/>
                  <w:sz w:val="16"/>
                  <w:szCs w:val="16"/>
                  <w:color w:val="0000EE"/>
                  <w:w w:val="98"/>
                </w:rPr>
                <w:t xml:space="preserve"> Guaranteed Notes due 2031 (incorporated by reference to Exhibit 4.1 to the Combined Current Report</w:t>
              </w:r>
            </w:hyperlink>
          </w:p>
        </w:tc>
        <w:tc>
          <w:tcPr>
            <w:tcW w:w="500" w:type="dxa"/>
            <w:vAlign w:val="bottom"/>
            <w:gridSpan w:val="10"/>
          </w:tcPr>
          <w:p>
            <w:pPr>
              <w:spacing w:after="0" w:line="160" w:lineRule="exact"/>
              <w:rPr>
                <w:rFonts w:ascii="Times New Roman" w:cs="Times New Roman" w:eastAsia="Times New Roman" w:hAnsi="Times New Roman"/>
                <w:sz w:val="16"/>
                <w:szCs w:val="16"/>
                <w:color w:val="0000EE"/>
              </w:rPr>
            </w:pPr>
            <w:hyperlink r:id="rId209">
              <w:r>
                <w:rPr>
                  <w:rFonts w:ascii="Times New Roman" w:cs="Times New Roman" w:eastAsia="Times New Roman" w:hAnsi="Times New Roman"/>
                  <w:sz w:val="16"/>
                  <w:szCs w:val="16"/>
                  <w:color w:val="0000EE"/>
                </w:rPr>
                <w:t>on</w:t>
              </w:r>
            </w:hyperlink>
          </w:p>
        </w:tc>
      </w:tr>
      <w:tr>
        <w:trPr>
          <w:trHeight w:val="20"/>
        </w:trPr>
        <w:tc>
          <w:tcPr>
            <w:tcW w:w="92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38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60"/>
        </w:trPr>
        <w:tc>
          <w:tcPr>
            <w:tcW w:w="920" w:type="dxa"/>
            <w:vAlign w:val="bottom"/>
          </w:tcPr>
          <w:p>
            <w:pPr>
              <w:spacing w:after="0"/>
              <w:rPr>
                <w:sz w:val="13"/>
                <w:szCs w:val="13"/>
                <w:color w:val="auto"/>
              </w:rPr>
            </w:pPr>
          </w:p>
        </w:tc>
        <w:tc>
          <w:tcPr>
            <w:tcW w:w="7460" w:type="dxa"/>
            <w:vAlign w:val="bottom"/>
            <w:gridSpan w:val="18"/>
          </w:tcPr>
          <w:p>
            <w:pPr>
              <w:spacing w:after="0" w:line="160" w:lineRule="exact"/>
              <w:rPr>
                <w:rFonts w:ascii="Times New Roman" w:cs="Times New Roman" w:eastAsia="Times New Roman" w:hAnsi="Times New Roman"/>
                <w:sz w:val="16"/>
                <w:szCs w:val="16"/>
                <w:color w:val="0000EE"/>
              </w:rPr>
            </w:pPr>
            <w:hyperlink r:id="rId209">
              <w:r>
                <w:rPr>
                  <w:rFonts w:ascii="Times New Roman" w:cs="Times New Roman" w:eastAsia="Times New Roman" w:hAnsi="Times New Roman"/>
                  <w:sz w:val="16"/>
                  <w:szCs w:val="16"/>
                  <w:color w:val="0000EE"/>
                </w:rPr>
                <w:t>Form 8-K of Digital Realty Trust, Inc. and Digital Realty Trust, L.P. (File Nos. 001-32336 and 000-54023) filed on</w:t>
              </w:r>
            </w:hyperlink>
          </w:p>
        </w:tc>
      </w:tr>
      <w:tr>
        <w:trPr>
          <w:trHeight w:val="160"/>
        </w:trPr>
        <w:tc>
          <w:tcPr>
            <w:tcW w:w="920" w:type="dxa"/>
            <w:vAlign w:val="bottom"/>
          </w:tcPr>
          <w:p>
            <w:pPr>
              <w:spacing w:after="0"/>
              <w:rPr>
                <w:sz w:val="13"/>
                <w:szCs w:val="13"/>
                <w:color w:val="auto"/>
              </w:rPr>
            </w:pPr>
          </w:p>
        </w:tc>
        <w:tc>
          <w:tcPr>
            <w:tcW w:w="960" w:type="dxa"/>
            <w:vAlign w:val="bottom"/>
            <w:tcBorders>
              <w:top w:val="single" w:sz="8" w:color="0000EE"/>
              <w:bottom w:val="single" w:sz="8" w:color="0000EE"/>
            </w:tcBorders>
            <w:gridSpan w:val="2"/>
          </w:tcPr>
          <w:p>
            <w:pPr>
              <w:spacing w:after="0" w:line="160" w:lineRule="exact"/>
              <w:rPr>
                <w:rFonts w:ascii="Times New Roman" w:cs="Times New Roman" w:eastAsia="Times New Roman" w:hAnsi="Times New Roman"/>
                <w:sz w:val="16"/>
                <w:szCs w:val="16"/>
                <w:color w:val="0000EE"/>
                <w:w w:val="95"/>
              </w:rPr>
            </w:pPr>
            <w:hyperlink r:id="rId209">
              <w:r>
                <w:rPr>
                  <w:rFonts w:ascii="Times New Roman" w:cs="Times New Roman" w:eastAsia="Times New Roman" w:hAnsi="Times New Roman"/>
                  <w:sz w:val="16"/>
                  <w:szCs w:val="16"/>
                  <w:color w:val="0000EE"/>
                  <w:w w:val="95"/>
                </w:rPr>
                <w:t>June 26, 2020).</w:t>
              </w:r>
            </w:hyperlink>
          </w:p>
        </w:tc>
        <w:tc>
          <w:tcPr>
            <w:tcW w:w="6240" w:type="dxa"/>
            <w:vAlign w:val="bottom"/>
            <w:tcBorders>
              <w:top w:val="single" w:sz="8" w:color="0000EE"/>
            </w:tcBorders>
            <w:gridSpan w:val="11"/>
          </w:tcPr>
          <w:p>
            <w:pPr>
              <w:spacing w:after="0"/>
              <w:rPr>
                <w:sz w:val="13"/>
                <w:szCs w:val="13"/>
                <w:color w:val="auto"/>
              </w:rPr>
            </w:pPr>
          </w:p>
        </w:tc>
        <w:tc>
          <w:tcPr>
            <w:tcW w:w="140" w:type="dxa"/>
            <w:vAlign w:val="bottom"/>
            <w:gridSpan w:val="2"/>
          </w:tcPr>
          <w:p>
            <w:pPr>
              <w:spacing w:after="0"/>
              <w:rPr>
                <w:sz w:val="13"/>
                <w:szCs w:val="13"/>
                <w:color w:val="auto"/>
              </w:rPr>
            </w:pPr>
          </w:p>
        </w:tc>
        <w:tc>
          <w:tcPr>
            <w:tcW w:w="120" w:type="dxa"/>
            <w:vAlign w:val="bottom"/>
            <w:gridSpan w:val="3"/>
          </w:tcPr>
          <w:p>
            <w:pPr>
              <w:spacing w:after="0"/>
              <w:rPr>
                <w:sz w:val="13"/>
                <w:szCs w:val="13"/>
                <w:color w:val="auto"/>
              </w:rPr>
            </w:pPr>
          </w:p>
        </w:tc>
      </w:tr>
      <w:tr>
        <w:trPr>
          <w:trHeight w:val="340"/>
        </w:trPr>
        <w:tc>
          <w:tcPr>
            <w:tcW w:w="920" w:type="dxa"/>
            <w:vAlign w:val="bottom"/>
          </w:tcPr>
          <w:p>
            <w:pPr>
              <w:jc w:val="right"/>
              <w:ind w:right="562"/>
              <w:spacing w:after="0"/>
              <w:rPr>
                <w:sz w:val="20"/>
                <w:szCs w:val="20"/>
                <w:color w:val="auto"/>
              </w:rPr>
            </w:pPr>
            <w:r>
              <w:rPr>
                <w:rFonts w:ascii="Times New Roman" w:cs="Times New Roman" w:eastAsia="Times New Roman" w:hAnsi="Times New Roman"/>
                <w:sz w:val="16"/>
                <w:szCs w:val="16"/>
                <w:color w:val="auto"/>
                <w:w w:val="92"/>
              </w:rPr>
              <w:t>4.20</w:t>
            </w:r>
          </w:p>
        </w:tc>
        <w:tc>
          <w:tcPr>
            <w:tcW w:w="7460" w:type="dxa"/>
            <w:vAlign w:val="bottom"/>
            <w:gridSpan w:val="18"/>
          </w:tcPr>
          <w:p>
            <w:pPr>
              <w:spacing w:after="0"/>
              <w:rPr>
                <w:rFonts w:ascii="Times New Roman" w:cs="Times New Roman" w:eastAsia="Times New Roman" w:hAnsi="Times New Roman"/>
                <w:sz w:val="16"/>
                <w:szCs w:val="16"/>
                <w:color w:val="0000EE"/>
                <w:w w:val="98"/>
              </w:rPr>
            </w:pPr>
            <w:hyperlink r:id="rId210">
              <w:r>
                <w:rPr>
                  <w:rFonts w:ascii="Times New Roman" w:cs="Times New Roman" w:eastAsia="Times New Roman" w:hAnsi="Times New Roman"/>
                  <w:sz w:val="16"/>
                  <w:szCs w:val="16"/>
                  <w:color w:val="0000EE"/>
                  <w:w w:val="98"/>
                </w:rPr>
                <w:t>Indenture, dated as of September 23, 2020, among Digital Dutch Finco B.V., Digital Realty Trust, Inc., Digital Realty</w:t>
              </w:r>
            </w:hyperlink>
          </w:p>
        </w:tc>
      </w:tr>
      <w:tr>
        <w:trPr>
          <w:trHeight w:val="160"/>
        </w:trPr>
        <w:tc>
          <w:tcPr>
            <w:tcW w:w="920" w:type="dxa"/>
            <w:vAlign w:val="bottom"/>
          </w:tcPr>
          <w:p>
            <w:pPr>
              <w:spacing w:after="0"/>
              <w:rPr>
                <w:sz w:val="13"/>
                <w:szCs w:val="13"/>
                <w:color w:val="auto"/>
              </w:rPr>
            </w:pPr>
          </w:p>
        </w:tc>
        <w:tc>
          <w:tcPr>
            <w:tcW w:w="7340" w:type="dxa"/>
            <w:vAlign w:val="bottom"/>
            <w:tcBorders>
              <w:top w:val="single" w:sz="8" w:color="0000EE"/>
            </w:tcBorders>
            <w:gridSpan w:val="15"/>
          </w:tcPr>
          <w:p>
            <w:pPr>
              <w:spacing w:after="0" w:line="160" w:lineRule="exact"/>
              <w:rPr>
                <w:rFonts w:ascii="Times New Roman" w:cs="Times New Roman" w:eastAsia="Times New Roman" w:hAnsi="Times New Roman"/>
                <w:sz w:val="16"/>
                <w:szCs w:val="16"/>
                <w:color w:val="0000EE"/>
                <w:w w:val="97"/>
              </w:rPr>
            </w:pPr>
            <w:hyperlink r:id="rId210">
              <w:r>
                <w:rPr>
                  <w:rFonts w:ascii="Times New Roman" w:cs="Times New Roman" w:eastAsia="Times New Roman" w:hAnsi="Times New Roman"/>
                  <w:sz w:val="16"/>
                  <w:szCs w:val="16"/>
                  <w:color w:val="0000EE"/>
                  <w:w w:val="97"/>
                </w:rPr>
                <w:t>Trust, L.P., Deutsche Trustee Company Limited, as trustee, Deutsche Bank AG, London Branch, as paying agent and</w:t>
              </w:r>
            </w:hyperlink>
          </w:p>
        </w:tc>
        <w:tc>
          <w:tcPr>
            <w:tcW w:w="120" w:type="dxa"/>
            <w:vAlign w:val="bottom"/>
            <w:gridSpan w:val="3"/>
          </w:tcPr>
          <w:p>
            <w:pPr>
              <w:ind w:left="20"/>
              <w:spacing w:after="0" w:line="160" w:lineRule="exact"/>
              <w:rPr>
                <w:rFonts w:ascii="Times New Roman" w:cs="Times New Roman" w:eastAsia="Times New Roman" w:hAnsi="Times New Roman"/>
                <w:sz w:val="16"/>
                <w:szCs w:val="16"/>
                <w:color w:val="0000EE"/>
              </w:rPr>
            </w:pPr>
            <w:hyperlink r:id="rId210">
              <w:r>
                <w:rPr>
                  <w:rFonts w:ascii="Times New Roman" w:cs="Times New Roman" w:eastAsia="Times New Roman" w:hAnsi="Times New Roman"/>
                  <w:sz w:val="16"/>
                  <w:szCs w:val="16"/>
                  <w:color w:val="0000EE"/>
                </w:rPr>
                <w:t>a</w:t>
              </w:r>
            </w:hyperlink>
          </w:p>
        </w:tc>
      </w:tr>
      <w:tr>
        <w:trPr>
          <w:trHeight w:val="160"/>
        </w:trPr>
        <w:tc>
          <w:tcPr>
            <w:tcW w:w="920" w:type="dxa"/>
            <w:vAlign w:val="bottom"/>
          </w:tcPr>
          <w:p>
            <w:pPr>
              <w:spacing w:after="0"/>
              <w:rPr>
                <w:sz w:val="13"/>
                <w:szCs w:val="13"/>
                <w:color w:val="auto"/>
              </w:rPr>
            </w:pPr>
          </w:p>
        </w:tc>
        <w:tc>
          <w:tcPr>
            <w:tcW w:w="7440" w:type="dxa"/>
            <w:vAlign w:val="bottom"/>
            <w:tcBorders>
              <w:top w:val="single" w:sz="8" w:color="0000EE"/>
            </w:tcBorders>
            <w:gridSpan w:val="17"/>
          </w:tcPr>
          <w:p>
            <w:pPr>
              <w:spacing w:after="0" w:line="160" w:lineRule="exact"/>
              <w:rPr>
                <w:rFonts w:ascii="Times New Roman" w:cs="Times New Roman" w:eastAsia="Times New Roman" w:hAnsi="Times New Roman"/>
                <w:sz w:val="16"/>
                <w:szCs w:val="16"/>
                <w:color w:val="0000EE"/>
              </w:rPr>
            </w:pPr>
            <w:hyperlink r:id="rId210">
              <w:r>
                <w:rPr>
                  <w:rFonts w:ascii="Times New Roman" w:cs="Times New Roman" w:eastAsia="Times New Roman" w:hAnsi="Times New Roman"/>
                  <w:sz w:val="16"/>
                  <w:szCs w:val="16"/>
                  <w:color w:val="0000EE"/>
                </w:rPr>
                <w:t>transfer agent, and Deutsche Bank Luxembourg S.A., as registrar and a transfer agent, including the form of the</w:t>
              </w:r>
            </w:hyperlink>
          </w:p>
        </w:tc>
        <w:tc>
          <w:tcPr>
            <w:tcW w:w="20" w:type="dxa"/>
            <w:vAlign w:val="bottom"/>
          </w:tcPr>
          <w:p>
            <w:pPr>
              <w:spacing w:after="0"/>
              <w:rPr>
                <w:sz w:val="13"/>
                <w:szCs w:val="13"/>
                <w:color w:val="auto"/>
              </w:rPr>
            </w:pPr>
          </w:p>
        </w:tc>
      </w:tr>
      <w:tr>
        <w:trPr>
          <w:trHeight w:val="160"/>
        </w:trPr>
        <w:tc>
          <w:tcPr>
            <w:tcW w:w="920" w:type="dxa"/>
            <w:vAlign w:val="bottom"/>
          </w:tcPr>
          <w:p>
            <w:pPr>
              <w:spacing w:after="0"/>
              <w:rPr>
                <w:sz w:val="13"/>
                <w:szCs w:val="13"/>
                <w:color w:val="auto"/>
              </w:rPr>
            </w:pPr>
          </w:p>
        </w:tc>
        <w:tc>
          <w:tcPr>
            <w:tcW w:w="6960" w:type="dxa"/>
            <w:vAlign w:val="bottom"/>
            <w:tcBorders>
              <w:top w:val="single" w:sz="8" w:color="0000EE"/>
            </w:tcBorders>
            <w:gridSpan w:val="8"/>
          </w:tcPr>
          <w:p>
            <w:pPr>
              <w:spacing w:after="0" w:line="160" w:lineRule="exact"/>
              <w:rPr>
                <w:rFonts w:ascii="Times New Roman" w:cs="Times New Roman" w:eastAsia="Times New Roman" w:hAnsi="Times New Roman"/>
                <w:sz w:val="16"/>
                <w:szCs w:val="16"/>
                <w:color w:val="0000EE"/>
                <w:w w:val="98"/>
              </w:rPr>
            </w:pPr>
            <w:hyperlink r:id="rId210">
              <w:r>
                <w:rPr>
                  <w:rFonts w:ascii="Times New Roman" w:cs="Times New Roman" w:eastAsia="Times New Roman" w:hAnsi="Times New Roman"/>
                  <w:sz w:val="16"/>
                  <w:szCs w:val="16"/>
                  <w:color w:val="0000EE"/>
                  <w:w w:val="98"/>
                </w:rPr>
                <w:t>1.</w:t>
              </w:r>
              <w:r>
                <w:rPr>
                  <w:rFonts w:ascii="Times New Roman" w:cs="Times New Roman" w:eastAsia="Times New Roman" w:hAnsi="Times New Roman"/>
                  <w:sz w:val="16"/>
                  <w:szCs w:val="16"/>
                  <w:u w:val="single" w:color="auto"/>
                  <w:color w:val="0000EE"/>
                  <w:w w:val="98"/>
                </w:rPr>
                <w:t>000%</w:t>
              </w:r>
              <w:r>
                <w:rPr>
                  <w:rFonts w:ascii="Times New Roman" w:cs="Times New Roman" w:eastAsia="Times New Roman" w:hAnsi="Times New Roman"/>
                  <w:sz w:val="16"/>
                  <w:szCs w:val="16"/>
                  <w:color w:val="0000EE"/>
                  <w:w w:val="98"/>
                </w:rPr>
                <w:t xml:space="preserve"> Guaranteed Notes due 2032 (incorporated by reference to Exhibit 4.1 to the Combined Current Report</w:t>
              </w:r>
            </w:hyperlink>
          </w:p>
        </w:tc>
        <w:tc>
          <w:tcPr>
            <w:tcW w:w="500" w:type="dxa"/>
            <w:vAlign w:val="bottom"/>
            <w:gridSpan w:val="10"/>
          </w:tcPr>
          <w:p>
            <w:pPr>
              <w:spacing w:after="0" w:line="160" w:lineRule="exact"/>
              <w:rPr>
                <w:rFonts w:ascii="Times New Roman" w:cs="Times New Roman" w:eastAsia="Times New Roman" w:hAnsi="Times New Roman"/>
                <w:sz w:val="16"/>
                <w:szCs w:val="16"/>
                <w:color w:val="0000EE"/>
              </w:rPr>
            </w:pPr>
            <w:hyperlink r:id="rId210">
              <w:r>
                <w:rPr>
                  <w:rFonts w:ascii="Times New Roman" w:cs="Times New Roman" w:eastAsia="Times New Roman" w:hAnsi="Times New Roman"/>
                  <w:sz w:val="16"/>
                  <w:szCs w:val="16"/>
                  <w:color w:val="0000EE"/>
                </w:rPr>
                <w:t>on</w:t>
              </w:r>
            </w:hyperlink>
          </w:p>
        </w:tc>
      </w:tr>
      <w:tr>
        <w:trPr>
          <w:trHeight w:val="20"/>
        </w:trPr>
        <w:tc>
          <w:tcPr>
            <w:tcW w:w="920" w:type="dxa"/>
            <w:vAlign w:val="bottom"/>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38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r>
      <w:tr>
        <w:trPr>
          <w:trHeight w:val="160"/>
        </w:trPr>
        <w:tc>
          <w:tcPr>
            <w:tcW w:w="920" w:type="dxa"/>
            <w:vAlign w:val="bottom"/>
          </w:tcPr>
          <w:p>
            <w:pPr>
              <w:spacing w:after="0"/>
              <w:rPr>
                <w:sz w:val="13"/>
                <w:szCs w:val="13"/>
                <w:color w:val="auto"/>
              </w:rPr>
            </w:pPr>
          </w:p>
        </w:tc>
        <w:tc>
          <w:tcPr>
            <w:tcW w:w="7460" w:type="dxa"/>
            <w:vAlign w:val="bottom"/>
            <w:gridSpan w:val="18"/>
          </w:tcPr>
          <w:p>
            <w:pPr>
              <w:spacing w:after="0" w:line="160" w:lineRule="exact"/>
              <w:rPr>
                <w:rFonts w:ascii="Times New Roman" w:cs="Times New Roman" w:eastAsia="Times New Roman" w:hAnsi="Times New Roman"/>
                <w:sz w:val="16"/>
                <w:szCs w:val="16"/>
                <w:color w:val="0000EE"/>
              </w:rPr>
            </w:pPr>
            <w:hyperlink r:id="rId210">
              <w:r>
                <w:rPr>
                  <w:rFonts w:ascii="Times New Roman" w:cs="Times New Roman" w:eastAsia="Times New Roman" w:hAnsi="Times New Roman"/>
                  <w:sz w:val="16"/>
                  <w:szCs w:val="16"/>
                  <w:color w:val="0000EE"/>
                </w:rPr>
                <w:t>Form 8-K of Digital Realty Trust, Inc. and Digital Realty Trust, L.P. (File Nos. 001-32336 and 000-54023) filed on</w:t>
              </w:r>
            </w:hyperlink>
          </w:p>
        </w:tc>
      </w:tr>
      <w:tr>
        <w:trPr>
          <w:trHeight w:val="160"/>
        </w:trPr>
        <w:tc>
          <w:tcPr>
            <w:tcW w:w="920" w:type="dxa"/>
            <w:vAlign w:val="bottom"/>
          </w:tcPr>
          <w:p>
            <w:pPr>
              <w:spacing w:after="0"/>
              <w:rPr>
                <w:sz w:val="13"/>
                <w:szCs w:val="13"/>
                <w:color w:val="auto"/>
              </w:rPr>
            </w:pPr>
          </w:p>
        </w:tc>
        <w:tc>
          <w:tcPr>
            <w:tcW w:w="1340" w:type="dxa"/>
            <w:vAlign w:val="bottom"/>
            <w:tcBorders>
              <w:top w:val="single" w:sz="8" w:color="0000EE"/>
              <w:bottom w:val="single" w:sz="8" w:color="0000EE"/>
            </w:tcBorders>
            <w:gridSpan w:val="5"/>
          </w:tcPr>
          <w:p>
            <w:pPr>
              <w:spacing w:after="0" w:line="160" w:lineRule="exact"/>
              <w:rPr>
                <w:rFonts w:ascii="Times New Roman" w:cs="Times New Roman" w:eastAsia="Times New Roman" w:hAnsi="Times New Roman"/>
                <w:sz w:val="16"/>
                <w:szCs w:val="16"/>
                <w:color w:val="0000EE"/>
                <w:w w:val="95"/>
              </w:rPr>
            </w:pPr>
            <w:hyperlink r:id="rId210">
              <w:r>
                <w:rPr>
                  <w:rFonts w:ascii="Times New Roman" w:cs="Times New Roman" w:eastAsia="Times New Roman" w:hAnsi="Times New Roman"/>
                  <w:sz w:val="16"/>
                  <w:szCs w:val="16"/>
                  <w:color w:val="0000EE"/>
                  <w:w w:val="95"/>
                </w:rPr>
                <w:t>September 23, 2020).</w:t>
              </w:r>
            </w:hyperlink>
          </w:p>
        </w:tc>
        <w:tc>
          <w:tcPr>
            <w:tcW w:w="5860" w:type="dxa"/>
            <w:vAlign w:val="bottom"/>
            <w:tcBorders>
              <w:top w:val="single" w:sz="8" w:color="0000EE"/>
            </w:tcBorders>
            <w:gridSpan w:val="8"/>
          </w:tcPr>
          <w:p>
            <w:pPr>
              <w:spacing w:after="0"/>
              <w:rPr>
                <w:sz w:val="13"/>
                <w:szCs w:val="13"/>
                <w:color w:val="auto"/>
              </w:rPr>
            </w:pPr>
          </w:p>
        </w:tc>
        <w:tc>
          <w:tcPr>
            <w:tcW w:w="260" w:type="dxa"/>
            <w:vAlign w:val="bottom"/>
            <w:gridSpan w:val="5"/>
          </w:tcPr>
          <w:p>
            <w:pPr>
              <w:spacing w:after="0"/>
              <w:rPr>
                <w:sz w:val="13"/>
                <w:szCs w:val="13"/>
                <w:color w:val="auto"/>
              </w:rPr>
            </w:pPr>
          </w:p>
        </w:tc>
      </w:tr>
      <w:tr>
        <w:trPr>
          <w:trHeight w:val="340"/>
        </w:trPr>
        <w:tc>
          <w:tcPr>
            <w:tcW w:w="920" w:type="dxa"/>
            <w:vAlign w:val="bottom"/>
          </w:tcPr>
          <w:p>
            <w:pPr>
              <w:jc w:val="right"/>
              <w:ind w:right="562"/>
              <w:spacing w:after="0"/>
              <w:rPr>
                <w:sz w:val="20"/>
                <w:szCs w:val="20"/>
                <w:color w:val="auto"/>
              </w:rPr>
            </w:pPr>
            <w:r>
              <w:rPr>
                <w:rFonts w:ascii="Times New Roman" w:cs="Times New Roman" w:eastAsia="Times New Roman" w:hAnsi="Times New Roman"/>
                <w:sz w:val="16"/>
                <w:szCs w:val="16"/>
                <w:color w:val="auto"/>
                <w:w w:val="92"/>
              </w:rPr>
              <w:t>4.21</w:t>
            </w:r>
          </w:p>
        </w:tc>
        <w:tc>
          <w:tcPr>
            <w:tcW w:w="7460" w:type="dxa"/>
            <w:vAlign w:val="bottom"/>
            <w:tcBorders>
              <w:bottom w:val="single" w:sz="8" w:color="0000EE"/>
            </w:tcBorders>
            <w:gridSpan w:val="18"/>
          </w:tcPr>
          <w:p>
            <w:pPr>
              <w:spacing w:after="0"/>
              <w:rPr>
                <w:rFonts w:ascii="Times New Roman" w:cs="Times New Roman" w:eastAsia="Times New Roman" w:hAnsi="Times New Roman"/>
                <w:sz w:val="16"/>
                <w:szCs w:val="16"/>
                <w:color w:val="0000EE"/>
                <w:w w:val="97"/>
              </w:rPr>
            </w:pPr>
            <w:hyperlink r:id="rId211">
              <w:r>
                <w:rPr>
                  <w:rFonts w:ascii="Times New Roman" w:cs="Times New Roman" w:eastAsia="Times New Roman" w:hAnsi="Times New Roman"/>
                  <w:sz w:val="16"/>
                  <w:szCs w:val="16"/>
                  <w:color w:val="0000EE"/>
                  <w:w w:val="97"/>
                </w:rPr>
                <w:t>Indenture, dated as of January 12, 2021, among Digital Intrepid Holding B.V., Digital Realty Trust, Inc., Digital Realty</w:t>
              </w:r>
            </w:hyperlink>
          </w:p>
        </w:tc>
      </w:tr>
      <w:tr>
        <w:trPr>
          <w:trHeight w:val="160"/>
        </w:trPr>
        <w:tc>
          <w:tcPr>
            <w:tcW w:w="920" w:type="dxa"/>
            <w:vAlign w:val="bottom"/>
          </w:tcPr>
          <w:p>
            <w:pPr>
              <w:spacing w:after="0"/>
              <w:rPr>
                <w:sz w:val="13"/>
                <w:szCs w:val="13"/>
                <w:color w:val="auto"/>
              </w:rPr>
            </w:pPr>
          </w:p>
        </w:tc>
        <w:tc>
          <w:tcPr>
            <w:tcW w:w="7460" w:type="dxa"/>
            <w:vAlign w:val="bottom"/>
            <w:gridSpan w:val="18"/>
          </w:tcPr>
          <w:p>
            <w:pPr>
              <w:spacing w:after="0" w:line="160" w:lineRule="exact"/>
              <w:rPr>
                <w:rFonts w:ascii="Times New Roman" w:cs="Times New Roman" w:eastAsia="Times New Roman" w:hAnsi="Times New Roman"/>
                <w:sz w:val="16"/>
                <w:szCs w:val="16"/>
                <w:color w:val="0000EE"/>
                <w:w w:val="97"/>
              </w:rPr>
            </w:pPr>
            <w:hyperlink r:id="rId211">
              <w:r>
                <w:rPr>
                  <w:rFonts w:ascii="Times New Roman" w:cs="Times New Roman" w:eastAsia="Times New Roman" w:hAnsi="Times New Roman"/>
                  <w:sz w:val="16"/>
                  <w:szCs w:val="16"/>
                  <w:color w:val="0000EE"/>
                  <w:w w:val="97"/>
                </w:rPr>
                <w:t>Trust, L.P., Deutsche Trustee Company Limited, as trustee, Deutsche Bank AG, London Branch, as paying agent and a</w:t>
              </w:r>
            </w:hyperlink>
          </w:p>
        </w:tc>
      </w:tr>
      <w:tr>
        <w:trPr>
          <w:trHeight w:val="160"/>
        </w:trPr>
        <w:tc>
          <w:tcPr>
            <w:tcW w:w="920" w:type="dxa"/>
            <w:vAlign w:val="bottom"/>
          </w:tcPr>
          <w:p>
            <w:pPr>
              <w:spacing w:after="0"/>
              <w:rPr>
                <w:sz w:val="13"/>
                <w:szCs w:val="13"/>
                <w:color w:val="auto"/>
              </w:rPr>
            </w:pPr>
          </w:p>
        </w:tc>
        <w:tc>
          <w:tcPr>
            <w:tcW w:w="7440" w:type="dxa"/>
            <w:vAlign w:val="bottom"/>
            <w:tcBorders>
              <w:top w:val="single" w:sz="8" w:color="0000EE"/>
            </w:tcBorders>
            <w:gridSpan w:val="17"/>
          </w:tcPr>
          <w:p>
            <w:pPr>
              <w:spacing w:after="0" w:line="160" w:lineRule="exact"/>
              <w:rPr>
                <w:rFonts w:ascii="Times New Roman" w:cs="Times New Roman" w:eastAsia="Times New Roman" w:hAnsi="Times New Roman"/>
                <w:sz w:val="16"/>
                <w:szCs w:val="16"/>
                <w:color w:val="0000EE"/>
              </w:rPr>
            </w:pPr>
            <w:hyperlink r:id="rId211">
              <w:r>
                <w:rPr>
                  <w:rFonts w:ascii="Times New Roman" w:cs="Times New Roman" w:eastAsia="Times New Roman" w:hAnsi="Times New Roman"/>
                  <w:sz w:val="16"/>
                  <w:szCs w:val="16"/>
                  <w:color w:val="0000EE"/>
                </w:rPr>
                <w:t>transfer agent, and Deutsche Bank Luxembourg S.A., as registrar and a transfer agent, including the form of the</w:t>
              </w:r>
            </w:hyperlink>
          </w:p>
        </w:tc>
        <w:tc>
          <w:tcPr>
            <w:tcW w:w="20" w:type="dxa"/>
            <w:vAlign w:val="bottom"/>
          </w:tcPr>
          <w:p>
            <w:pPr>
              <w:spacing w:after="0"/>
              <w:rPr>
                <w:sz w:val="13"/>
                <w:szCs w:val="13"/>
                <w:color w:val="auto"/>
              </w:rPr>
            </w:pPr>
          </w:p>
        </w:tc>
      </w:tr>
      <w:tr>
        <w:trPr>
          <w:trHeight w:val="160"/>
        </w:trPr>
        <w:tc>
          <w:tcPr>
            <w:tcW w:w="920" w:type="dxa"/>
            <w:vAlign w:val="bottom"/>
          </w:tcPr>
          <w:p>
            <w:pPr>
              <w:spacing w:after="0"/>
              <w:rPr>
                <w:sz w:val="13"/>
                <w:szCs w:val="13"/>
                <w:color w:val="auto"/>
              </w:rPr>
            </w:pPr>
          </w:p>
        </w:tc>
        <w:tc>
          <w:tcPr>
            <w:tcW w:w="6960" w:type="dxa"/>
            <w:vAlign w:val="bottom"/>
            <w:tcBorders>
              <w:top w:val="single" w:sz="8" w:color="0000EE"/>
            </w:tcBorders>
            <w:gridSpan w:val="8"/>
          </w:tcPr>
          <w:p>
            <w:pPr>
              <w:spacing w:after="0" w:line="160" w:lineRule="exact"/>
              <w:rPr>
                <w:rFonts w:ascii="Times New Roman" w:cs="Times New Roman" w:eastAsia="Times New Roman" w:hAnsi="Times New Roman"/>
                <w:sz w:val="16"/>
                <w:szCs w:val="16"/>
                <w:color w:val="0000EE"/>
                <w:w w:val="97"/>
              </w:rPr>
            </w:pPr>
            <w:hyperlink r:id="rId211">
              <w:r>
                <w:rPr>
                  <w:rFonts w:ascii="Times New Roman" w:cs="Times New Roman" w:eastAsia="Times New Roman" w:hAnsi="Times New Roman"/>
                  <w:sz w:val="16"/>
                  <w:szCs w:val="16"/>
                  <w:color w:val="0000EE"/>
                  <w:w w:val="97"/>
                </w:rPr>
                <w:t>0.</w:t>
              </w:r>
              <w:r>
                <w:rPr>
                  <w:rFonts w:ascii="Times New Roman" w:cs="Times New Roman" w:eastAsia="Times New Roman" w:hAnsi="Times New Roman"/>
                  <w:sz w:val="16"/>
                  <w:szCs w:val="16"/>
                  <w:u w:val="single" w:color="auto"/>
                  <w:color w:val="0000EE"/>
                  <w:w w:val="97"/>
                </w:rPr>
                <w:t>625%</w:t>
              </w:r>
              <w:r>
                <w:rPr>
                  <w:rFonts w:ascii="Times New Roman" w:cs="Times New Roman" w:eastAsia="Times New Roman" w:hAnsi="Times New Roman"/>
                  <w:sz w:val="16"/>
                  <w:szCs w:val="16"/>
                  <w:color w:val="0000EE"/>
                  <w:w w:val="97"/>
                </w:rPr>
                <w:t xml:space="preserve"> Guaranteed Notes due 2031. (incorporated by reference to Exhibit 4.1 to the Combined Current Report</w:t>
              </w:r>
            </w:hyperlink>
          </w:p>
        </w:tc>
        <w:tc>
          <w:tcPr>
            <w:tcW w:w="500" w:type="dxa"/>
            <w:vAlign w:val="bottom"/>
            <w:gridSpan w:val="10"/>
          </w:tcPr>
          <w:p>
            <w:pPr>
              <w:spacing w:after="0" w:line="160" w:lineRule="exact"/>
              <w:rPr>
                <w:rFonts w:ascii="Times New Roman" w:cs="Times New Roman" w:eastAsia="Times New Roman" w:hAnsi="Times New Roman"/>
                <w:sz w:val="16"/>
                <w:szCs w:val="16"/>
                <w:color w:val="0000EE"/>
              </w:rPr>
            </w:pPr>
            <w:hyperlink r:id="rId211">
              <w:r>
                <w:rPr>
                  <w:rFonts w:ascii="Times New Roman" w:cs="Times New Roman" w:eastAsia="Times New Roman" w:hAnsi="Times New Roman"/>
                  <w:sz w:val="16"/>
                  <w:szCs w:val="16"/>
                  <w:color w:val="0000EE"/>
                </w:rPr>
                <w:t>on</w:t>
              </w:r>
            </w:hyperlink>
          </w:p>
        </w:tc>
      </w:tr>
      <w:tr>
        <w:trPr>
          <w:trHeight w:val="20"/>
        </w:trPr>
        <w:tc>
          <w:tcPr>
            <w:tcW w:w="920" w:type="dxa"/>
            <w:vAlign w:val="bottom"/>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388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r>
      <w:tr>
        <w:trPr>
          <w:trHeight w:val="160"/>
        </w:trPr>
        <w:tc>
          <w:tcPr>
            <w:tcW w:w="920" w:type="dxa"/>
            <w:vAlign w:val="bottom"/>
          </w:tcPr>
          <w:p>
            <w:pPr>
              <w:spacing w:after="0"/>
              <w:rPr>
                <w:sz w:val="13"/>
                <w:szCs w:val="13"/>
                <w:color w:val="auto"/>
              </w:rPr>
            </w:pPr>
          </w:p>
        </w:tc>
        <w:tc>
          <w:tcPr>
            <w:tcW w:w="7460" w:type="dxa"/>
            <w:vAlign w:val="bottom"/>
            <w:gridSpan w:val="18"/>
          </w:tcPr>
          <w:p>
            <w:pPr>
              <w:spacing w:after="0" w:line="160" w:lineRule="exact"/>
              <w:rPr>
                <w:rFonts w:ascii="Times New Roman" w:cs="Times New Roman" w:eastAsia="Times New Roman" w:hAnsi="Times New Roman"/>
                <w:sz w:val="16"/>
                <w:szCs w:val="16"/>
                <w:color w:val="0000EE"/>
              </w:rPr>
            </w:pPr>
            <w:hyperlink r:id="rId211">
              <w:r>
                <w:rPr>
                  <w:rFonts w:ascii="Times New Roman" w:cs="Times New Roman" w:eastAsia="Times New Roman" w:hAnsi="Times New Roman"/>
                  <w:sz w:val="16"/>
                  <w:szCs w:val="16"/>
                  <w:color w:val="0000EE"/>
                </w:rPr>
                <w:t>Form 8-K of Digital Realty Trust, Inc. and Digital Realty Trust, L.P. (File Nos. 001-32336 and 000-54023) filed on</w:t>
              </w:r>
            </w:hyperlink>
          </w:p>
        </w:tc>
      </w:tr>
      <w:tr>
        <w:trPr>
          <w:trHeight w:val="160"/>
        </w:trPr>
        <w:tc>
          <w:tcPr>
            <w:tcW w:w="920" w:type="dxa"/>
            <w:vAlign w:val="bottom"/>
          </w:tcPr>
          <w:p>
            <w:pPr>
              <w:spacing w:after="0"/>
              <w:rPr>
                <w:sz w:val="13"/>
                <w:szCs w:val="13"/>
                <w:color w:val="auto"/>
              </w:rPr>
            </w:pPr>
          </w:p>
        </w:tc>
        <w:tc>
          <w:tcPr>
            <w:tcW w:w="7200" w:type="dxa"/>
            <w:vAlign w:val="bottom"/>
            <w:tcBorders>
              <w:top w:val="single" w:sz="8" w:color="0000EE"/>
            </w:tcBorders>
            <w:gridSpan w:val="13"/>
          </w:tcPr>
          <w:p>
            <w:pPr>
              <w:spacing w:after="0" w:line="160" w:lineRule="exact"/>
              <w:rPr>
                <w:rFonts w:ascii="Times New Roman" w:cs="Times New Roman" w:eastAsia="Times New Roman" w:hAnsi="Times New Roman"/>
                <w:sz w:val="16"/>
                <w:szCs w:val="16"/>
                <w:color w:val="0000EE"/>
              </w:rPr>
            </w:pPr>
            <w:hyperlink r:id="rId211">
              <w:r>
                <w:rPr>
                  <w:rFonts w:ascii="Times New Roman" w:cs="Times New Roman" w:eastAsia="Times New Roman" w:hAnsi="Times New Roman"/>
                  <w:sz w:val="16"/>
                  <w:szCs w:val="16"/>
                  <w:color w:val="0000EE"/>
                </w:rPr>
                <w:t>January 12, 2021).</w:t>
              </w:r>
            </w:hyperlink>
          </w:p>
        </w:tc>
        <w:tc>
          <w:tcPr>
            <w:tcW w:w="260" w:type="dxa"/>
            <w:vAlign w:val="bottom"/>
            <w:gridSpan w:val="5"/>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r>
      <w:tr>
        <w:trPr>
          <w:trHeight w:val="340"/>
        </w:trPr>
        <w:tc>
          <w:tcPr>
            <w:tcW w:w="920" w:type="dxa"/>
            <w:vAlign w:val="bottom"/>
          </w:tcPr>
          <w:p>
            <w:pPr>
              <w:jc w:val="right"/>
              <w:ind w:right="562"/>
              <w:spacing w:after="0"/>
              <w:rPr>
                <w:sz w:val="20"/>
                <w:szCs w:val="20"/>
                <w:color w:val="auto"/>
              </w:rPr>
            </w:pPr>
            <w:r>
              <w:rPr>
                <w:rFonts w:ascii="Times New Roman" w:cs="Times New Roman" w:eastAsia="Times New Roman" w:hAnsi="Times New Roman"/>
                <w:sz w:val="16"/>
                <w:szCs w:val="16"/>
                <w:color w:val="auto"/>
                <w:w w:val="92"/>
              </w:rPr>
              <w:t>4.22</w:t>
            </w:r>
          </w:p>
        </w:tc>
        <w:tc>
          <w:tcPr>
            <w:tcW w:w="7460" w:type="dxa"/>
            <w:vAlign w:val="bottom"/>
            <w:gridSpan w:val="18"/>
          </w:tcPr>
          <w:p>
            <w:pPr>
              <w:spacing w:after="0"/>
              <w:rPr>
                <w:rFonts w:ascii="Times New Roman" w:cs="Times New Roman" w:eastAsia="Times New Roman" w:hAnsi="Times New Roman"/>
                <w:sz w:val="16"/>
                <w:szCs w:val="16"/>
                <w:color w:val="0000EE"/>
              </w:rPr>
            </w:pPr>
            <w:hyperlink r:id="rId212">
              <w:r>
                <w:rPr>
                  <w:rFonts w:ascii="Times New Roman" w:cs="Times New Roman" w:eastAsia="Times New Roman" w:hAnsi="Times New Roman"/>
                  <w:sz w:val="16"/>
                  <w:szCs w:val="16"/>
                  <w:color w:val="0000EE"/>
                </w:rPr>
                <w:t>Terms and Conditions of the Notes, dated as of July 13, 2021 (incorporated by reference to Exhibit 4.1 to the</w:t>
              </w:r>
            </w:hyperlink>
          </w:p>
        </w:tc>
      </w:tr>
      <w:tr>
        <w:trPr>
          <w:trHeight w:val="160"/>
        </w:trPr>
        <w:tc>
          <w:tcPr>
            <w:tcW w:w="920" w:type="dxa"/>
            <w:vAlign w:val="bottom"/>
          </w:tcPr>
          <w:p>
            <w:pPr>
              <w:spacing w:after="0"/>
              <w:rPr>
                <w:sz w:val="13"/>
                <w:szCs w:val="13"/>
                <w:color w:val="auto"/>
              </w:rPr>
            </w:pPr>
          </w:p>
        </w:tc>
        <w:tc>
          <w:tcPr>
            <w:tcW w:w="6800" w:type="dxa"/>
            <w:vAlign w:val="bottom"/>
            <w:tcBorders>
              <w:top w:val="single" w:sz="8" w:color="0000EE"/>
            </w:tcBorders>
            <w:gridSpan w:val="7"/>
          </w:tcPr>
          <w:p>
            <w:pPr>
              <w:spacing w:after="0" w:line="160" w:lineRule="exact"/>
              <w:rPr>
                <w:rFonts w:ascii="Times New Roman" w:cs="Times New Roman" w:eastAsia="Times New Roman" w:hAnsi="Times New Roman"/>
                <w:sz w:val="16"/>
                <w:szCs w:val="16"/>
                <w:color w:val="0000EE"/>
                <w:w w:val="97"/>
              </w:rPr>
            </w:pPr>
            <w:hyperlink r:id="rId212">
              <w:r>
                <w:rPr>
                  <w:rFonts w:ascii="Times New Roman" w:cs="Times New Roman" w:eastAsia="Times New Roman" w:hAnsi="Times New Roman"/>
                  <w:sz w:val="16"/>
                  <w:szCs w:val="16"/>
                  <w:color w:val="0000EE"/>
                  <w:w w:val="97"/>
                </w:rPr>
                <w:t>Combined Current Report on Form 8-K of Digital Realty Trust, Inc. and Digital Realty Trust, L.P. (File Nos.</w:t>
              </w:r>
            </w:hyperlink>
          </w:p>
        </w:tc>
        <w:tc>
          <w:tcPr>
            <w:tcW w:w="340" w:type="dxa"/>
            <w:vAlign w:val="bottom"/>
            <w:gridSpan w:val="4"/>
          </w:tcPr>
          <w:p>
            <w:pPr>
              <w:jc w:val="right"/>
              <w:ind w:right="20"/>
              <w:spacing w:after="0" w:line="160" w:lineRule="exact"/>
              <w:rPr>
                <w:rFonts w:ascii="Times New Roman" w:cs="Times New Roman" w:eastAsia="Times New Roman" w:hAnsi="Times New Roman"/>
                <w:sz w:val="16"/>
                <w:szCs w:val="16"/>
                <w:color w:val="0000EE"/>
              </w:rPr>
            </w:pPr>
            <w:hyperlink r:id="rId212">
              <w:r>
                <w:rPr>
                  <w:rFonts w:ascii="Times New Roman" w:cs="Times New Roman" w:eastAsia="Times New Roman" w:hAnsi="Times New Roman"/>
                  <w:sz w:val="16"/>
                  <w:szCs w:val="16"/>
                  <w:color w:val="0000EE"/>
                </w:rPr>
                <w:t>001-</w:t>
              </w:r>
            </w:hyperlink>
          </w:p>
        </w:tc>
        <w:tc>
          <w:tcPr>
            <w:tcW w:w="320" w:type="dxa"/>
            <w:vAlign w:val="bottom"/>
            <w:gridSpan w:val="7"/>
          </w:tcPr>
          <w:p>
            <w:pPr>
              <w:spacing w:after="0"/>
              <w:rPr>
                <w:sz w:val="13"/>
                <w:szCs w:val="13"/>
                <w:color w:val="auto"/>
              </w:rPr>
            </w:pPr>
          </w:p>
        </w:tc>
      </w:tr>
      <w:tr>
        <w:trPr>
          <w:trHeight w:val="160"/>
        </w:trPr>
        <w:tc>
          <w:tcPr>
            <w:tcW w:w="920" w:type="dxa"/>
            <w:vAlign w:val="bottom"/>
          </w:tcPr>
          <w:p>
            <w:pPr>
              <w:spacing w:after="0"/>
              <w:rPr>
                <w:sz w:val="13"/>
                <w:szCs w:val="13"/>
                <w:color w:val="auto"/>
              </w:rPr>
            </w:pPr>
          </w:p>
        </w:tc>
        <w:tc>
          <w:tcPr>
            <w:tcW w:w="2920" w:type="dxa"/>
            <w:vAlign w:val="bottom"/>
            <w:tcBorders>
              <w:top w:val="single" w:sz="8" w:color="0000EE"/>
              <w:bottom w:val="single" w:sz="8" w:color="0000EE"/>
            </w:tcBorders>
            <w:gridSpan w:val="6"/>
          </w:tcPr>
          <w:p>
            <w:pPr>
              <w:spacing w:after="0" w:line="160" w:lineRule="exact"/>
              <w:rPr>
                <w:rFonts w:ascii="Times New Roman" w:cs="Times New Roman" w:eastAsia="Times New Roman" w:hAnsi="Times New Roman"/>
                <w:sz w:val="16"/>
                <w:szCs w:val="16"/>
                <w:color w:val="0000EE"/>
                <w:w w:val="96"/>
              </w:rPr>
            </w:pPr>
            <w:hyperlink r:id="rId212">
              <w:r>
                <w:rPr>
                  <w:rFonts w:ascii="Times New Roman" w:cs="Times New Roman" w:eastAsia="Times New Roman" w:hAnsi="Times New Roman"/>
                  <w:sz w:val="16"/>
                  <w:szCs w:val="16"/>
                  <w:color w:val="0000EE"/>
                  <w:w w:val="96"/>
                </w:rPr>
                <w:t>32336 and 000-54023) filed on July 15, 2021).</w:t>
              </w:r>
            </w:hyperlink>
          </w:p>
        </w:tc>
        <w:tc>
          <w:tcPr>
            <w:tcW w:w="4200" w:type="dxa"/>
            <w:vAlign w:val="bottom"/>
            <w:tcBorders>
              <w:top w:val="single" w:sz="8" w:color="0000EE"/>
            </w:tcBorders>
            <w:gridSpan w:val="4"/>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gridSpan w:val="7"/>
          </w:tcPr>
          <w:p>
            <w:pPr>
              <w:spacing w:after="0"/>
              <w:rPr>
                <w:sz w:val="13"/>
                <w:szCs w:val="13"/>
                <w:color w:val="auto"/>
              </w:rPr>
            </w:pPr>
          </w:p>
        </w:tc>
      </w:tr>
      <w:tr>
        <w:trPr>
          <w:trHeight w:val="340"/>
        </w:trPr>
        <w:tc>
          <w:tcPr>
            <w:tcW w:w="920" w:type="dxa"/>
            <w:vAlign w:val="bottom"/>
          </w:tcPr>
          <w:p>
            <w:pPr>
              <w:jc w:val="right"/>
              <w:ind w:right="562"/>
              <w:spacing w:after="0"/>
              <w:rPr>
                <w:sz w:val="20"/>
                <w:szCs w:val="20"/>
                <w:color w:val="auto"/>
              </w:rPr>
            </w:pPr>
            <w:r>
              <w:rPr>
                <w:rFonts w:ascii="Times New Roman" w:cs="Times New Roman" w:eastAsia="Times New Roman" w:hAnsi="Times New Roman"/>
                <w:sz w:val="16"/>
                <w:szCs w:val="16"/>
                <w:color w:val="auto"/>
                <w:w w:val="92"/>
              </w:rPr>
              <w:t>4.23</w:t>
            </w:r>
          </w:p>
        </w:tc>
        <w:tc>
          <w:tcPr>
            <w:tcW w:w="7460" w:type="dxa"/>
            <w:vAlign w:val="bottom"/>
            <w:gridSpan w:val="18"/>
          </w:tcPr>
          <w:p>
            <w:pPr>
              <w:spacing w:after="0"/>
              <w:rPr>
                <w:rFonts w:ascii="Times New Roman" w:cs="Times New Roman" w:eastAsia="Times New Roman" w:hAnsi="Times New Roman"/>
                <w:sz w:val="16"/>
                <w:szCs w:val="16"/>
                <w:color w:val="0000EE"/>
              </w:rPr>
            </w:pPr>
            <w:hyperlink r:id="rId213">
              <w:r>
                <w:rPr>
                  <w:rFonts w:ascii="Times New Roman" w:cs="Times New Roman" w:eastAsia="Times New Roman" w:hAnsi="Times New Roman"/>
                  <w:sz w:val="16"/>
                  <w:szCs w:val="16"/>
                  <w:color w:val="0000EE"/>
                </w:rPr>
                <w:t>Form of the 2026 Notes (incorporated by reference to Exhibit 4.2 to the Combined Current Report on Form 8-K of</w:t>
              </w:r>
            </w:hyperlink>
          </w:p>
        </w:tc>
      </w:tr>
      <w:tr>
        <w:trPr>
          <w:trHeight w:val="20"/>
        </w:trPr>
        <w:tc>
          <w:tcPr>
            <w:tcW w:w="920" w:type="dxa"/>
            <w:vAlign w:val="bottom"/>
          </w:tcPr>
          <w:p>
            <w:pPr>
              <w:spacing w:after="0" w:line="20" w:lineRule="exact"/>
              <w:rPr>
                <w:sz w:val="1"/>
                <w:szCs w:val="1"/>
                <w:color w:val="auto"/>
              </w:rPr>
            </w:pPr>
          </w:p>
        </w:tc>
        <w:tc>
          <w:tcPr>
            <w:tcW w:w="7140" w:type="dxa"/>
            <w:vAlign w:val="bottom"/>
            <w:gridSpan w:val="11"/>
            <w:shd w:val="clear" w:color="auto" w:fill="0000EE"/>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r>
      <w:tr>
        <w:trPr>
          <w:trHeight w:val="172"/>
        </w:trPr>
        <w:tc>
          <w:tcPr>
            <w:tcW w:w="920" w:type="dxa"/>
            <w:vAlign w:val="bottom"/>
          </w:tcPr>
          <w:p>
            <w:pPr>
              <w:spacing w:after="0"/>
              <w:rPr>
                <w:sz w:val="14"/>
                <w:szCs w:val="14"/>
                <w:color w:val="auto"/>
              </w:rPr>
            </w:pPr>
          </w:p>
        </w:tc>
        <w:tc>
          <w:tcPr>
            <w:tcW w:w="7460" w:type="dxa"/>
            <w:vAlign w:val="bottom"/>
            <w:gridSpan w:val="18"/>
          </w:tcPr>
          <w:p>
            <w:pPr>
              <w:spacing w:after="0" w:line="172" w:lineRule="exact"/>
              <w:rPr>
                <w:rFonts w:ascii="Times New Roman" w:cs="Times New Roman" w:eastAsia="Times New Roman" w:hAnsi="Times New Roman"/>
                <w:sz w:val="16"/>
                <w:szCs w:val="16"/>
                <w:color w:val="0000EE"/>
                <w:w w:val="98"/>
              </w:rPr>
            </w:pPr>
            <w:hyperlink r:id="rId213">
              <w:r>
                <w:rPr>
                  <w:rFonts w:ascii="Times New Roman" w:cs="Times New Roman" w:eastAsia="Times New Roman" w:hAnsi="Times New Roman"/>
                  <w:sz w:val="16"/>
                  <w:szCs w:val="16"/>
                  <w:color w:val="0000EE"/>
                  <w:w w:val="98"/>
                </w:rPr>
                <w:t>Digital Realty Trust, Inc. and Digital Realty Trust, L.P. (File Nos. 001-32336 and 000-54023) filed on July 15, 2021).</w:t>
              </w:r>
            </w:hyperlink>
          </w:p>
        </w:tc>
      </w:tr>
      <w:tr>
        <w:trPr>
          <w:trHeight w:val="782"/>
        </w:trPr>
        <w:tc>
          <w:tcPr>
            <w:tcW w:w="920" w:type="dxa"/>
            <w:vAlign w:val="bottom"/>
          </w:tcPr>
          <w:p>
            <w:pPr>
              <w:spacing w:after="0"/>
              <w:rPr>
                <w:sz w:val="24"/>
                <w:szCs w:val="24"/>
                <w:color w:val="auto"/>
              </w:rPr>
            </w:pPr>
          </w:p>
        </w:tc>
        <w:tc>
          <w:tcPr>
            <w:tcW w:w="6800" w:type="dxa"/>
            <w:vAlign w:val="bottom"/>
            <w:tcBorders>
              <w:top w:val="single" w:sz="8" w:color="0000EE"/>
            </w:tcBorders>
            <w:gridSpan w:val="7"/>
          </w:tcPr>
          <w:p>
            <w:pPr>
              <w:ind w:left="3140"/>
              <w:spacing w:after="0"/>
              <w:rPr>
                <w:sz w:val="20"/>
                <w:szCs w:val="20"/>
                <w:color w:val="auto"/>
              </w:rPr>
            </w:pPr>
            <w:r>
              <w:rPr>
                <w:rFonts w:ascii="Times New Roman" w:cs="Times New Roman" w:eastAsia="Times New Roman" w:hAnsi="Times New Roman"/>
                <w:sz w:val="16"/>
                <w:szCs w:val="16"/>
                <w:color w:val="auto"/>
              </w:rPr>
              <w:t>165</w:t>
            </w: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4"/>
        </w:trPr>
        <w:tc>
          <w:tcPr>
            <w:tcW w:w="9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40" w:orient="portrait"/>
          <w:cols w:equalWidth="0" w:num="1">
            <w:col w:w="9020"/>
          </w:cols>
          <w:pgMar w:left="1440" w:top="557" w:right="1440" w:bottom="1440" w:gutter="0" w:footer="0" w:header="0"/>
        </w:sectPr>
      </w:pPr>
    </w:p>
    <w:bookmarkStart w:id="170" w:name="page171"/>
    <w:bookmarkEnd w:id="170"/>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12" w:lineRule="exact"/>
        <w:rPr>
          <w:sz w:val="20"/>
          <w:szCs w:val="20"/>
          <w:color w:val="auto"/>
        </w:rPr>
      </w:pPr>
    </w:p>
    <w:tbl>
      <w:tblPr>
        <w:tblLayout w:type="fixed"/>
        <w:tblInd w:w="320" w:type="dxa"/>
        <w:tblCellMar>
          <w:top w:w="0" w:type="dxa"/>
          <w:left w:w="0" w:type="dxa"/>
          <w:bottom w:w="0" w:type="dxa"/>
          <w:right w:w="0" w:type="dxa"/>
        </w:tblCellMar>
      </w:tblPr>
      <w:tr>
        <w:trPr>
          <w:trHeight w:val="156"/>
        </w:trPr>
        <w:tc>
          <w:tcPr>
            <w:tcW w:w="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0"/>
        </w:trPr>
        <w:tc>
          <w:tcPr>
            <w:tcW w:w="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260" w:type="dxa"/>
            <w:vAlign w:val="bottom"/>
          </w:tcPr>
          <w:p>
            <w:pPr>
              <w:spacing w:after="0"/>
              <w:rPr>
                <w:sz w:val="14"/>
                <w:szCs w:val="14"/>
                <w:color w:val="auto"/>
              </w:rPr>
            </w:pPr>
          </w:p>
        </w:tc>
        <w:tc>
          <w:tcPr>
            <w:tcW w:w="7500" w:type="dxa"/>
            <w:vAlign w:val="bottom"/>
            <w:gridSpan w:val="26"/>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148"/>
        </w:trPr>
        <w:tc>
          <w:tcPr>
            <w:tcW w:w="660" w:type="dxa"/>
            <w:vAlign w:val="bottom"/>
            <w:tcBorders>
              <w:top w:val="single" w:sz="8" w:color="auto"/>
            </w:tcBorders>
          </w:tcPr>
          <w:p>
            <w:pPr>
              <w:spacing w:after="0" w:line="148" w:lineRule="exact"/>
              <w:rPr>
                <w:sz w:val="20"/>
                <w:szCs w:val="20"/>
                <w:color w:val="auto"/>
              </w:rPr>
            </w:pPr>
            <w:r>
              <w:rPr>
                <w:rFonts w:ascii="Times New Roman" w:cs="Times New Roman" w:eastAsia="Times New Roman" w:hAnsi="Times New Roman"/>
                <w:sz w:val="16"/>
                <w:szCs w:val="16"/>
                <w:color w:val="auto"/>
              </w:rPr>
              <w:t>4.24</w:t>
            </w:r>
          </w:p>
        </w:tc>
        <w:tc>
          <w:tcPr>
            <w:tcW w:w="260" w:type="dxa"/>
            <w:vAlign w:val="bottom"/>
          </w:tcPr>
          <w:p>
            <w:pPr>
              <w:spacing w:after="0"/>
              <w:rPr>
                <w:sz w:val="12"/>
                <w:szCs w:val="12"/>
                <w:color w:val="auto"/>
              </w:rPr>
            </w:pPr>
          </w:p>
        </w:tc>
        <w:tc>
          <w:tcPr>
            <w:tcW w:w="7160" w:type="dxa"/>
            <w:vAlign w:val="bottom"/>
            <w:tcBorders>
              <w:top w:val="single" w:sz="8" w:color="auto"/>
              <w:bottom w:val="single" w:sz="8" w:color="0000EE"/>
            </w:tcBorders>
            <w:gridSpan w:val="12"/>
          </w:tcPr>
          <w:p>
            <w:pPr>
              <w:spacing w:after="0" w:line="148" w:lineRule="exact"/>
              <w:rPr>
                <w:rFonts w:ascii="Times New Roman" w:cs="Times New Roman" w:eastAsia="Times New Roman" w:hAnsi="Times New Roman"/>
                <w:sz w:val="16"/>
                <w:szCs w:val="16"/>
                <w:color w:val="0000EE"/>
                <w:w w:val="97"/>
              </w:rPr>
            </w:pPr>
            <w:hyperlink r:id="rId214">
              <w:r>
                <w:rPr>
                  <w:rFonts w:ascii="Times New Roman" w:cs="Times New Roman" w:eastAsia="Times New Roman" w:hAnsi="Times New Roman"/>
                  <w:sz w:val="16"/>
                  <w:szCs w:val="16"/>
                  <w:color w:val="0000EE"/>
                  <w:w w:val="97"/>
                </w:rPr>
                <w:t>Form of the 2029 Notes (incorporated by reference to Exhibit 4.3 to the Combined Current Report on Form 8-K of</w:t>
              </w:r>
            </w:hyperlink>
          </w:p>
        </w:tc>
        <w:tc>
          <w:tcPr>
            <w:tcW w:w="320" w:type="dxa"/>
            <w:vAlign w:val="bottom"/>
            <w:tcBorders>
              <w:top w:val="single" w:sz="8" w:color="auto"/>
            </w:tcBorders>
            <w:gridSpan w:val="13"/>
          </w:tcPr>
          <w:p>
            <w:pPr>
              <w:spacing w:after="0"/>
              <w:rPr>
                <w:sz w:val="12"/>
                <w:szCs w:val="12"/>
                <w:color w:val="auto"/>
              </w:rPr>
            </w:pPr>
          </w:p>
        </w:tc>
        <w:tc>
          <w:tcPr>
            <w:tcW w:w="20" w:type="dxa"/>
            <w:vAlign w:val="bottom"/>
          </w:tcPr>
          <w:p>
            <w:pPr>
              <w:spacing w:after="0"/>
              <w:rPr>
                <w:sz w:val="12"/>
                <w:szCs w:val="12"/>
                <w:color w:val="auto"/>
              </w:rPr>
            </w:pPr>
          </w:p>
        </w:tc>
      </w:tr>
      <w:tr>
        <w:trPr>
          <w:trHeight w:val="172"/>
        </w:trPr>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360" w:type="dxa"/>
            <w:vAlign w:val="bottom"/>
            <w:tcBorders>
              <w:bottom w:val="single" w:sz="8" w:color="0000EE"/>
            </w:tcBorders>
            <w:gridSpan w:val="19"/>
          </w:tcPr>
          <w:p>
            <w:pPr>
              <w:spacing w:after="0" w:line="172" w:lineRule="exact"/>
              <w:rPr>
                <w:rFonts w:ascii="Times New Roman" w:cs="Times New Roman" w:eastAsia="Times New Roman" w:hAnsi="Times New Roman"/>
                <w:sz w:val="16"/>
                <w:szCs w:val="16"/>
                <w:color w:val="0000EE"/>
                <w:w w:val="97"/>
              </w:rPr>
            </w:pPr>
            <w:hyperlink r:id="rId214">
              <w:r>
                <w:rPr>
                  <w:rFonts w:ascii="Times New Roman" w:cs="Times New Roman" w:eastAsia="Times New Roman" w:hAnsi="Times New Roman"/>
                  <w:sz w:val="16"/>
                  <w:szCs w:val="16"/>
                  <w:color w:val="0000EE"/>
                  <w:w w:val="97"/>
                </w:rPr>
                <w:t>Digital Realty Trust, Inc. and Digital Realty Trust, L.P. (File Nos. 001-32336 and 000-54023) filed on July 15, 2021).</w:t>
              </w:r>
            </w:hyperlink>
          </w:p>
        </w:tc>
        <w:tc>
          <w:tcPr>
            <w:tcW w:w="140" w:type="dxa"/>
            <w:vAlign w:val="bottom"/>
            <w:gridSpan w:val="7"/>
          </w:tcPr>
          <w:p>
            <w:pPr>
              <w:spacing w:after="0"/>
              <w:rPr>
                <w:sz w:val="14"/>
                <w:szCs w:val="14"/>
                <w:color w:val="auto"/>
              </w:rPr>
            </w:pPr>
          </w:p>
        </w:tc>
      </w:tr>
      <w:tr>
        <w:trPr>
          <w:trHeight w:val="556"/>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4.25</w:t>
            </w:r>
          </w:p>
        </w:tc>
        <w:tc>
          <w:tcPr>
            <w:tcW w:w="260" w:type="dxa"/>
            <w:vAlign w:val="bottom"/>
          </w:tcPr>
          <w:p>
            <w:pPr>
              <w:spacing w:after="0"/>
              <w:rPr>
                <w:sz w:val="24"/>
                <w:szCs w:val="24"/>
                <w:color w:val="auto"/>
              </w:rPr>
            </w:pPr>
          </w:p>
        </w:tc>
        <w:tc>
          <w:tcPr>
            <w:tcW w:w="7460" w:type="dxa"/>
            <w:vAlign w:val="bottom"/>
            <w:tcBorders>
              <w:bottom w:val="single" w:sz="8" w:color="0000EE"/>
            </w:tcBorders>
            <w:gridSpan w:val="24"/>
          </w:tcPr>
          <w:p>
            <w:pPr>
              <w:spacing w:after="0"/>
              <w:rPr>
                <w:rFonts w:ascii="Times New Roman" w:cs="Times New Roman" w:eastAsia="Times New Roman" w:hAnsi="Times New Roman"/>
                <w:sz w:val="16"/>
                <w:szCs w:val="16"/>
                <w:color w:val="0000EE"/>
                <w:w w:val="97"/>
              </w:rPr>
            </w:pPr>
            <w:hyperlink r:id="rId215">
              <w:r>
                <w:rPr>
                  <w:rFonts w:ascii="Times New Roman" w:cs="Times New Roman" w:eastAsia="Times New Roman" w:hAnsi="Times New Roman"/>
                  <w:sz w:val="16"/>
                  <w:szCs w:val="16"/>
                  <w:color w:val="0000EE"/>
                  <w:w w:val="97"/>
                </w:rPr>
                <w:t>Indenture, dated as of January 18, 2022, among Digital Intrepid Holding B.V., Digital Realty Trust, Inc., Digital Realty</w:t>
              </w:r>
            </w:hyperlink>
          </w:p>
        </w:tc>
        <w:tc>
          <w:tcPr>
            <w:tcW w:w="40" w:type="dxa"/>
            <w:vAlign w:val="bottom"/>
            <w:gridSpan w:val="2"/>
          </w:tcPr>
          <w:p>
            <w:pPr>
              <w:spacing w:after="0"/>
              <w:rPr>
                <w:sz w:val="24"/>
                <w:szCs w:val="24"/>
                <w:color w:val="auto"/>
              </w:rPr>
            </w:pPr>
          </w:p>
        </w:tc>
      </w:tr>
      <w:tr>
        <w:trPr>
          <w:trHeight w:val="172"/>
        </w:trPr>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40" w:type="dxa"/>
            <w:vAlign w:val="bottom"/>
            <w:tcBorders>
              <w:bottom w:val="single" w:sz="8" w:color="0000EE"/>
            </w:tcBorders>
            <w:gridSpan w:val="23"/>
          </w:tcPr>
          <w:p>
            <w:pPr>
              <w:spacing w:after="0" w:line="172" w:lineRule="exact"/>
              <w:rPr>
                <w:rFonts w:ascii="Times New Roman" w:cs="Times New Roman" w:eastAsia="Times New Roman" w:hAnsi="Times New Roman"/>
                <w:sz w:val="16"/>
                <w:szCs w:val="16"/>
                <w:color w:val="0000EE"/>
                <w:w w:val="97"/>
              </w:rPr>
            </w:pPr>
            <w:hyperlink r:id="rId215">
              <w:r>
                <w:rPr>
                  <w:rFonts w:ascii="Times New Roman" w:cs="Times New Roman" w:eastAsia="Times New Roman" w:hAnsi="Times New Roman"/>
                  <w:sz w:val="16"/>
                  <w:szCs w:val="16"/>
                  <w:color w:val="0000EE"/>
                  <w:w w:val="97"/>
                </w:rPr>
                <w:t>Trust, L.P., Deutsche Trustee Company Limited, as trustee, Deutsche Bank AG, London Branch, as paying agent and a</w:t>
              </w:r>
            </w:hyperlink>
          </w:p>
        </w:tc>
        <w:tc>
          <w:tcPr>
            <w:tcW w:w="60" w:type="dxa"/>
            <w:vAlign w:val="bottom"/>
            <w:gridSpan w:val="3"/>
          </w:tcPr>
          <w:p>
            <w:pPr>
              <w:spacing w:after="0"/>
              <w:rPr>
                <w:sz w:val="14"/>
                <w:szCs w:val="14"/>
                <w:color w:val="auto"/>
              </w:rPr>
            </w:pPr>
          </w:p>
        </w:tc>
      </w:tr>
      <w:tr>
        <w:trPr>
          <w:trHeight w:val="172"/>
        </w:trPr>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500" w:type="dxa"/>
            <w:vAlign w:val="bottom"/>
            <w:gridSpan w:val="26"/>
          </w:tcPr>
          <w:p>
            <w:pPr>
              <w:spacing w:after="0" w:line="172" w:lineRule="exact"/>
              <w:rPr>
                <w:rFonts w:ascii="Times New Roman" w:cs="Times New Roman" w:eastAsia="Times New Roman" w:hAnsi="Times New Roman"/>
                <w:sz w:val="16"/>
                <w:szCs w:val="16"/>
                <w:color w:val="0000EE"/>
              </w:rPr>
            </w:pPr>
            <w:hyperlink r:id="rId215">
              <w:r>
                <w:rPr>
                  <w:rFonts w:ascii="Times New Roman" w:cs="Times New Roman" w:eastAsia="Times New Roman" w:hAnsi="Times New Roman"/>
                  <w:sz w:val="16"/>
                  <w:szCs w:val="16"/>
                  <w:color w:val="0000EE"/>
                </w:rPr>
                <w:t>transfer agent, and Deutsche Bank Luxembourg S.A., as registrar and a transfer agent, including the form of the</w:t>
              </w:r>
            </w:hyperlink>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72"/>
        </w:trPr>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500" w:type="dxa"/>
            <w:vAlign w:val="bottom"/>
            <w:tcBorders>
              <w:bottom w:val="single" w:sz="8" w:color="0000EE"/>
            </w:tcBorders>
            <w:gridSpan w:val="26"/>
          </w:tcPr>
          <w:p>
            <w:pPr>
              <w:spacing w:after="0" w:line="172" w:lineRule="exact"/>
              <w:rPr>
                <w:rFonts w:ascii="Times New Roman" w:cs="Times New Roman" w:eastAsia="Times New Roman" w:hAnsi="Times New Roman"/>
                <w:sz w:val="16"/>
                <w:szCs w:val="16"/>
                <w:color w:val="0000EE"/>
                <w:w w:val="97"/>
              </w:rPr>
            </w:pPr>
            <w:hyperlink r:id="rId215">
              <w:r>
                <w:rPr>
                  <w:rFonts w:ascii="Times New Roman" w:cs="Times New Roman" w:eastAsia="Times New Roman" w:hAnsi="Times New Roman"/>
                  <w:sz w:val="16"/>
                  <w:szCs w:val="16"/>
                  <w:color w:val="0000EE"/>
                  <w:w w:val="97"/>
                </w:rPr>
                <w:t>1.</w:t>
              </w:r>
              <w:r>
                <w:rPr>
                  <w:rFonts w:ascii="Times New Roman" w:cs="Times New Roman" w:eastAsia="Times New Roman" w:hAnsi="Times New Roman"/>
                  <w:sz w:val="16"/>
                  <w:szCs w:val="16"/>
                  <w:u w:val="single" w:color="auto"/>
                  <w:color w:val="0000EE"/>
                  <w:w w:val="97"/>
                </w:rPr>
                <w:t>375%</w:t>
              </w:r>
              <w:r>
                <w:rPr>
                  <w:rFonts w:ascii="Times New Roman" w:cs="Times New Roman" w:eastAsia="Times New Roman" w:hAnsi="Times New Roman"/>
                  <w:sz w:val="16"/>
                  <w:szCs w:val="16"/>
                  <w:color w:val="0000EE"/>
                  <w:w w:val="97"/>
                </w:rPr>
                <w:t xml:space="preserve"> Guaranteed Notes due 2032 (incorporated by reference to Exhibit 4.1 to the Combined Current Report on Form</w:t>
              </w:r>
            </w:hyperlink>
          </w:p>
        </w:tc>
      </w:tr>
      <w:tr>
        <w:trPr>
          <w:trHeight w:val="172"/>
        </w:trPr>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360" w:type="dxa"/>
            <w:vAlign w:val="bottom"/>
            <w:tcBorders>
              <w:bottom w:val="single" w:sz="8" w:color="0000EE"/>
            </w:tcBorders>
            <w:gridSpan w:val="19"/>
          </w:tcPr>
          <w:p>
            <w:pPr>
              <w:spacing w:after="0" w:line="172" w:lineRule="exact"/>
              <w:rPr>
                <w:rFonts w:ascii="Times New Roman" w:cs="Times New Roman" w:eastAsia="Times New Roman" w:hAnsi="Times New Roman"/>
                <w:sz w:val="16"/>
                <w:szCs w:val="16"/>
                <w:color w:val="0000EE"/>
                <w:w w:val="97"/>
              </w:rPr>
            </w:pPr>
            <w:hyperlink r:id="rId215">
              <w:r>
                <w:rPr>
                  <w:rFonts w:ascii="Times New Roman" w:cs="Times New Roman" w:eastAsia="Times New Roman" w:hAnsi="Times New Roman"/>
                  <w:sz w:val="16"/>
                  <w:szCs w:val="16"/>
                  <w:color w:val="0000EE"/>
                  <w:w w:val="97"/>
                </w:rPr>
                <w:t>8-K of Digital Realty Trust, Inc. and Digital Realty Trust, L.P. (File Nos. 001-32336 and 000-54023) filed on January</w:t>
              </w:r>
            </w:hyperlink>
          </w:p>
        </w:tc>
        <w:tc>
          <w:tcPr>
            <w:tcW w:w="140" w:type="dxa"/>
            <w:vAlign w:val="bottom"/>
            <w:gridSpan w:val="7"/>
          </w:tcPr>
          <w:p>
            <w:pPr>
              <w:spacing w:after="0"/>
              <w:rPr>
                <w:sz w:val="14"/>
                <w:szCs w:val="14"/>
                <w:color w:val="auto"/>
              </w:rPr>
            </w:pPr>
          </w:p>
        </w:tc>
      </w:tr>
      <w:tr>
        <w:trPr>
          <w:trHeight w:val="172"/>
        </w:trPr>
        <w:tc>
          <w:tcPr>
            <w:tcW w:w="660" w:type="dxa"/>
            <w:vAlign w:val="bottom"/>
          </w:tcPr>
          <w:p>
            <w:pPr>
              <w:spacing w:after="0"/>
              <w:rPr>
                <w:sz w:val="14"/>
                <w:szCs w:val="14"/>
                <w:color w:val="auto"/>
              </w:rPr>
            </w:pPr>
          </w:p>
        </w:tc>
        <w:tc>
          <w:tcPr>
            <w:tcW w:w="880" w:type="dxa"/>
            <w:vAlign w:val="bottom"/>
            <w:gridSpan w:val="3"/>
          </w:tcPr>
          <w:p>
            <w:pPr>
              <w:ind w:left="260"/>
              <w:spacing w:after="0" w:line="172" w:lineRule="exact"/>
              <w:rPr>
                <w:rFonts w:ascii="Times New Roman" w:cs="Times New Roman" w:eastAsia="Times New Roman" w:hAnsi="Times New Roman"/>
                <w:sz w:val="16"/>
                <w:szCs w:val="16"/>
                <w:color w:val="0000EE"/>
                <w:w w:val="91"/>
              </w:rPr>
            </w:pPr>
            <w:hyperlink r:id="rId215">
              <w:r>
                <w:rPr>
                  <w:rFonts w:ascii="Times New Roman" w:cs="Times New Roman" w:eastAsia="Times New Roman" w:hAnsi="Times New Roman"/>
                  <w:sz w:val="16"/>
                  <w:szCs w:val="16"/>
                  <w:color w:val="0000EE"/>
                  <w:w w:val="91"/>
                </w:rPr>
                <w:t>18, 2022).</w:t>
              </w:r>
            </w:hyperlink>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64"/>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4.26</w:t>
            </w:r>
          </w:p>
        </w:tc>
        <w:tc>
          <w:tcPr>
            <w:tcW w:w="260" w:type="dxa"/>
            <w:vAlign w:val="bottom"/>
          </w:tcPr>
          <w:p>
            <w:pPr>
              <w:spacing w:after="0"/>
              <w:rPr>
                <w:sz w:val="24"/>
                <w:szCs w:val="24"/>
                <w:color w:val="auto"/>
              </w:rPr>
            </w:pPr>
          </w:p>
        </w:tc>
        <w:tc>
          <w:tcPr>
            <w:tcW w:w="7500" w:type="dxa"/>
            <w:vAlign w:val="bottom"/>
            <w:gridSpan w:val="26"/>
          </w:tcPr>
          <w:p>
            <w:pPr>
              <w:spacing w:after="0"/>
              <w:rPr>
                <w:rFonts w:ascii="Times New Roman" w:cs="Times New Roman" w:eastAsia="Times New Roman" w:hAnsi="Times New Roman"/>
                <w:sz w:val="16"/>
                <w:szCs w:val="16"/>
                <w:color w:val="0000EE"/>
              </w:rPr>
            </w:pPr>
            <w:hyperlink r:id="rId216">
              <w:r>
                <w:rPr>
                  <w:rFonts w:ascii="Times New Roman" w:cs="Times New Roman" w:eastAsia="Times New Roman" w:hAnsi="Times New Roman"/>
                  <w:sz w:val="16"/>
                  <w:szCs w:val="16"/>
                  <w:color w:val="0000EE"/>
                </w:rPr>
                <w:t>Terms and Conditions of the Notes dated March 28, 2022 (incorporated by reference to Exhibit 4.1 of the Current</w:t>
              </w:r>
            </w:hyperlink>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72"/>
        </w:trPr>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340" w:type="dxa"/>
            <w:vAlign w:val="bottom"/>
            <w:tcBorders>
              <w:bottom w:val="single" w:sz="8" w:color="0000EE"/>
            </w:tcBorders>
            <w:gridSpan w:val="18"/>
          </w:tcPr>
          <w:p>
            <w:pPr>
              <w:spacing w:after="0" w:line="172" w:lineRule="exact"/>
              <w:rPr>
                <w:rFonts w:ascii="Times New Roman" w:cs="Times New Roman" w:eastAsia="Times New Roman" w:hAnsi="Times New Roman"/>
                <w:sz w:val="16"/>
                <w:szCs w:val="16"/>
                <w:color w:val="0000EE"/>
                <w:w w:val="97"/>
              </w:rPr>
            </w:pPr>
            <w:hyperlink r:id="rId216">
              <w:r>
                <w:rPr>
                  <w:rFonts w:ascii="Times New Roman" w:cs="Times New Roman" w:eastAsia="Times New Roman" w:hAnsi="Times New Roman"/>
                  <w:sz w:val="16"/>
                  <w:szCs w:val="16"/>
                  <w:color w:val="0000EE"/>
                  <w:w w:val="97"/>
                </w:rPr>
                <w:t>Report on Form 8-K of Digital Realty Trust, Inc. and Digital Realty Trust, L.P. (File Nos. 001-32336 and 000-54023)</w:t>
              </w:r>
            </w:hyperlink>
          </w:p>
        </w:tc>
        <w:tc>
          <w:tcPr>
            <w:tcW w:w="160" w:type="dxa"/>
            <w:vAlign w:val="bottom"/>
            <w:gridSpan w:val="8"/>
          </w:tcPr>
          <w:p>
            <w:pPr>
              <w:spacing w:after="0"/>
              <w:rPr>
                <w:sz w:val="14"/>
                <w:szCs w:val="14"/>
                <w:color w:val="auto"/>
              </w:rPr>
            </w:pPr>
          </w:p>
        </w:tc>
      </w:tr>
      <w:tr>
        <w:trPr>
          <w:trHeight w:val="172"/>
        </w:trPr>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Borders>
              <w:bottom w:val="single" w:sz="8" w:color="0000EE"/>
            </w:tcBorders>
            <w:gridSpan w:val="4"/>
          </w:tcPr>
          <w:p>
            <w:pPr>
              <w:spacing w:after="0" w:line="172" w:lineRule="exact"/>
              <w:rPr>
                <w:rFonts w:ascii="Times New Roman" w:cs="Times New Roman" w:eastAsia="Times New Roman" w:hAnsi="Times New Roman"/>
                <w:sz w:val="16"/>
                <w:szCs w:val="16"/>
                <w:color w:val="0000EE"/>
                <w:w w:val="96"/>
              </w:rPr>
            </w:pPr>
            <w:hyperlink r:id="rId216">
              <w:r>
                <w:rPr>
                  <w:rFonts w:ascii="Times New Roman" w:cs="Times New Roman" w:eastAsia="Times New Roman" w:hAnsi="Times New Roman"/>
                  <w:sz w:val="16"/>
                  <w:szCs w:val="16"/>
                  <w:color w:val="0000EE"/>
                  <w:w w:val="96"/>
                </w:rPr>
                <w:t>filed on March 30, 2022).</w:t>
              </w:r>
            </w:hyperlink>
          </w:p>
        </w:tc>
        <w:tc>
          <w:tcPr>
            <w:tcW w:w="5900" w:type="dxa"/>
            <w:vAlign w:val="bottom"/>
            <w:gridSpan w:val="22"/>
          </w:tcPr>
          <w:p>
            <w:pPr>
              <w:spacing w:after="0"/>
              <w:rPr>
                <w:sz w:val="14"/>
                <w:szCs w:val="14"/>
                <w:color w:val="auto"/>
              </w:rPr>
            </w:pPr>
          </w:p>
        </w:tc>
      </w:tr>
      <w:tr>
        <w:trPr>
          <w:trHeight w:val="364"/>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4.27</w:t>
            </w:r>
          </w:p>
        </w:tc>
        <w:tc>
          <w:tcPr>
            <w:tcW w:w="260" w:type="dxa"/>
            <w:vAlign w:val="bottom"/>
          </w:tcPr>
          <w:p>
            <w:pPr>
              <w:spacing w:after="0"/>
              <w:rPr>
                <w:sz w:val="24"/>
                <w:szCs w:val="24"/>
                <w:color w:val="auto"/>
              </w:rPr>
            </w:pPr>
          </w:p>
        </w:tc>
        <w:tc>
          <w:tcPr>
            <w:tcW w:w="7500" w:type="dxa"/>
            <w:vAlign w:val="bottom"/>
            <w:gridSpan w:val="26"/>
          </w:tcPr>
          <w:p>
            <w:pPr>
              <w:spacing w:after="0"/>
              <w:rPr>
                <w:rFonts w:ascii="Times New Roman" w:cs="Times New Roman" w:eastAsia="Times New Roman" w:hAnsi="Times New Roman"/>
                <w:sz w:val="16"/>
                <w:szCs w:val="16"/>
                <w:color w:val="0000EE"/>
              </w:rPr>
            </w:pPr>
            <w:hyperlink r:id="rId217">
              <w:r>
                <w:rPr>
                  <w:rFonts w:ascii="Times New Roman" w:cs="Times New Roman" w:eastAsia="Times New Roman" w:hAnsi="Times New Roman"/>
                  <w:sz w:val="16"/>
                  <w:szCs w:val="16"/>
                  <w:color w:val="0000EE"/>
                </w:rPr>
                <w:t>Form of the 2027 Notes (incorporated by reference to Exhibit 4.3 to the Combined Current Report on Form 8-K of</w:t>
              </w:r>
            </w:hyperlink>
          </w:p>
        </w:tc>
      </w:tr>
      <w:tr>
        <w:trPr>
          <w:trHeight w:val="172"/>
        </w:trPr>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140" w:type="dxa"/>
            <w:vAlign w:val="bottom"/>
            <w:tcBorders>
              <w:top w:val="single" w:sz="8" w:color="0000EE"/>
            </w:tcBorders>
            <w:gridSpan w:val="11"/>
          </w:tcPr>
          <w:p>
            <w:pPr>
              <w:spacing w:after="0" w:line="172" w:lineRule="exact"/>
              <w:rPr>
                <w:rFonts w:ascii="Times New Roman" w:cs="Times New Roman" w:eastAsia="Times New Roman" w:hAnsi="Times New Roman"/>
                <w:sz w:val="16"/>
                <w:szCs w:val="16"/>
                <w:color w:val="0000EE"/>
                <w:w w:val="98"/>
              </w:rPr>
            </w:pPr>
            <w:hyperlink r:id="rId217">
              <w:r>
                <w:rPr>
                  <w:rFonts w:ascii="Times New Roman" w:cs="Times New Roman" w:eastAsia="Times New Roman" w:hAnsi="Times New Roman"/>
                  <w:sz w:val="16"/>
                  <w:szCs w:val="16"/>
                  <w:color w:val="0000EE"/>
                  <w:w w:val="98"/>
                </w:rPr>
                <w:t>Digital Realty Trust, Inc. and Digital Realty Trust, L.P. (File Nos. 001-32336 and 000-54023) filed on March 30,</w:t>
              </w:r>
            </w:hyperlink>
          </w:p>
        </w:tc>
        <w:tc>
          <w:tcPr>
            <w:tcW w:w="360" w:type="dxa"/>
            <w:vAlign w:val="bottom"/>
            <w:gridSpan w:val="15"/>
          </w:tcPr>
          <w:p>
            <w:pPr>
              <w:spacing w:after="0"/>
              <w:rPr>
                <w:sz w:val="14"/>
                <w:szCs w:val="14"/>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2"/>
        </w:trPr>
        <w:tc>
          <w:tcPr>
            <w:tcW w:w="660" w:type="dxa"/>
            <w:vAlign w:val="bottom"/>
          </w:tcPr>
          <w:p>
            <w:pPr>
              <w:spacing w:after="0"/>
              <w:rPr>
                <w:sz w:val="14"/>
                <w:szCs w:val="14"/>
                <w:color w:val="auto"/>
              </w:rPr>
            </w:pPr>
          </w:p>
        </w:tc>
        <w:tc>
          <w:tcPr>
            <w:tcW w:w="660" w:type="dxa"/>
            <w:vAlign w:val="bottom"/>
            <w:gridSpan w:val="2"/>
          </w:tcPr>
          <w:p>
            <w:pPr>
              <w:ind w:left="260"/>
              <w:spacing w:after="0" w:line="172" w:lineRule="exact"/>
              <w:rPr>
                <w:rFonts w:ascii="Times New Roman" w:cs="Times New Roman" w:eastAsia="Times New Roman" w:hAnsi="Times New Roman"/>
                <w:sz w:val="16"/>
                <w:szCs w:val="16"/>
                <w:color w:val="0000EE"/>
                <w:w w:val="91"/>
              </w:rPr>
            </w:pPr>
            <w:hyperlink r:id="rId217">
              <w:r>
                <w:rPr>
                  <w:rFonts w:ascii="Times New Roman" w:cs="Times New Roman" w:eastAsia="Times New Roman" w:hAnsi="Times New Roman"/>
                  <w:sz w:val="16"/>
                  <w:szCs w:val="16"/>
                  <w:color w:val="0000EE"/>
                  <w:w w:val="91"/>
                </w:rPr>
                <w:t>2022).</w:t>
              </w:r>
            </w:hyperlink>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64"/>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4.28</w:t>
            </w:r>
          </w:p>
        </w:tc>
        <w:tc>
          <w:tcPr>
            <w:tcW w:w="260" w:type="dxa"/>
            <w:vAlign w:val="bottom"/>
          </w:tcPr>
          <w:p>
            <w:pPr>
              <w:spacing w:after="0"/>
              <w:rPr>
                <w:sz w:val="24"/>
                <w:szCs w:val="24"/>
                <w:color w:val="auto"/>
              </w:rPr>
            </w:pPr>
          </w:p>
        </w:tc>
        <w:tc>
          <w:tcPr>
            <w:tcW w:w="7180" w:type="dxa"/>
            <w:vAlign w:val="bottom"/>
            <w:tcBorders>
              <w:bottom w:val="single" w:sz="8" w:color="0000EE"/>
            </w:tcBorders>
            <w:gridSpan w:val="13"/>
          </w:tcPr>
          <w:p>
            <w:pPr>
              <w:spacing w:after="0"/>
              <w:rPr>
                <w:rFonts w:ascii="Times New Roman" w:cs="Times New Roman" w:eastAsia="Times New Roman" w:hAnsi="Times New Roman"/>
                <w:sz w:val="16"/>
                <w:szCs w:val="16"/>
                <w:color w:val="0000EE"/>
                <w:w w:val="97"/>
              </w:rPr>
            </w:pPr>
            <w:hyperlink r:id="rId218">
              <w:r>
                <w:rPr>
                  <w:rFonts w:ascii="Times New Roman" w:cs="Times New Roman" w:eastAsia="Times New Roman" w:hAnsi="Times New Roman"/>
                  <w:sz w:val="16"/>
                  <w:szCs w:val="16"/>
                  <w:color w:val="0000EE"/>
                  <w:w w:val="97"/>
                </w:rPr>
                <w:t>Supplemental Indenture No. 5, dated as of September 27, 2022, among Digital Realty Trust, L.P., as issuer, Digital</w:t>
              </w:r>
            </w:hyperlink>
          </w:p>
        </w:tc>
        <w:tc>
          <w:tcPr>
            <w:tcW w:w="320" w:type="dxa"/>
            <w:vAlign w:val="bottom"/>
            <w:gridSpan w:val="13"/>
          </w:tcPr>
          <w:p>
            <w:pPr>
              <w:spacing w:after="0"/>
              <w:rPr>
                <w:sz w:val="24"/>
                <w:szCs w:val="24"/>
                <w:color w:val="auto"/>
              </w:rPr>
            </w:pPr>
          </w:p>
        </w:tc>
      </w:tr>
      <w:tr>
        <w:trPr>
          <w:trHeight w:val="172"/>
        </w:trPr>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500" w:type="dxa"/>
            <w:vAlign w:val="bottom"/>
            <w:gridSpan w:val="26"/>
          </w:tcPr>
          <w:p>
            <w:pPr>
              <w:spacing w:after="0" w:line="172" w:lineRule="exact"/>
              <w:rPr>
                <w:rFonts w:ascii="Times New Roman" w:cs="Times New Roman" w:eastAsia="Times New Roman" w:hAnsi="Times New Roman"/>
                <w:sz w:val="16"/>
                <w:szCs w:val="16"/>
                <w:color w:val="0000EE"/>
                <w:w w:val="98"/>
              </w:rPr>
            </w:pPr>
            <w:hyperlink r:id="rId218">
              <w:r>
                <w:rPr>
                  <w:rFonts w:ascii="Times New Roman" w:cs="Times New Roman" w:eastAsia="Times New Roman" w:hAnsi="Times New Roman"/>
                  <w:sz w:val="16"/>
                  <w:szCs w:val="16"/>
                  <w:color w:val="0000EE"/>
                  <w:w w:val="98"/>
                </w:rPr>
                <w:t>Realty Trust, Inc., as guarantor, and Computershare Trust Company, N.A., as successor to Wells Fargo Bank, National</w:t>
              </w:r>
            </w:hyperlink>
          </w:p>
        </w:tc>
      </w:tr>
      <w:tr>
        <w:trPr>
          <w:trHeight w:val="172"/>
        </w:trPr>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0" w:type="dxa"/>
            <w:vAlign w:val="bottom"/>
            <w:tcBorders>
              <w:top w:val="single" w:sz="8" w:color="0000EE"/>
            </w:tcBorders>
            <w:gridSpan w:val="21"/>
          </w:tcPr>
          <w:p>
            <w:pPr>
              <w:spacing w:after="0" w:line="172" w:lineRule="exact"/>
              <w:rPr>
                <w:rFonts w:ascii="Times New Roman" w:cs="Times New Roman" w:eastAsia="Times New Roman" w:hAnsi="Times New Roman"/>
                <w:sz w:val="16"/>
                <w:szCs w:val="16"/>
                <w:color w:val="0000EE"/>
                <w:w w:val="98"/>
              </w:rPr>
            </w:pPr>
            <w:hyperlink r:id="rId218">
              <w:r>
                <w:rPr>
                  <w:rFonts w:ascii="Times New Roman" w:cs="Times New Roman" w:eastAsia="Times New Roman" w:hAnsi="Times New Roman"/>
                  <w:sz w:val="16"/>
                  <w:szCs w:val="16"/>
                  <w:color w:val="0000EE"/>
                  <w:w w:val="98"/>
                </w:rPr>
                <w:t>Association, as trustee, including the form of 5.550% Notes due 2028 and the guarantee (incorporated by reference to</w:t>
              </w:r>
            </w:hyperlink>
          </w:p>
        </w:tc>
        <w:tc>
          <w:tcPr>
            <w:tcW w:w="100" w:type="dxa"/>
            <w:vAlign w:val="bottom"/>
            <w:gridSpan w:val="5"/>
          </w:tcPr>
          <w:p>
            <w:pPr>
              <w:spacing w:after="0"/>
              <w:rPr>
                <w:sz w:val="14"/>
                <w:szCs w:val="14"/>
                <w:color w:val="auto"/>
              </w:rPr>
            </w:pPr>
          </w:p>
        </w:tc>
      </w:tr>
      <w:tr>
        <w:trPr>
          <w:trHeight w:val="172"/>
        </w:trPr>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60" w:type="dxa"/>
            <w:vAlign w:val="bottom"/>
            <w:tcBorders>
              <w:top w:val="single" w:sz="8" w:color="0000EE"/>
              <w:bottom w:val="single" w:sz="8" w:color="0000EE"/>
            </w:tcBorders>
            <w:gridSpan w:val="16"/>
          </w:tcPr>
          <w:p>
            <w:pPr>
              <w:spacing w:after="0" w:line="172" w:lineRule="exact"/>
              <w:rPr>
                <w:rFonts w:ascii="Times New Roman" w:cs="Times New Roman" w:eastAsia="Times New Roman" w:hAnsi="Times New Roman"/>
                <w:sz w:val="16"/>
                <w:szCs w:val="16"/>
                <w:color w:val="0000EE"/>
                <w:w w:val="97"/>
              </w:rPr>
            </w:pPr>
            <w:hyperlink r:id="rId218">
              <w:r>
                <w:rPr>
                  <w:rFonts w:ascii="Times New Roman" w:cs="Times New Roman" w:eastAsia="Times New Roman" w:hAnsi="Times New Roman"/>
                  <w:sz w:val="16"/>
                  <w:szCs w:val="16"/>
                  <w:color w:val="0000EE"/>
                  <w:w w:val="97"/>
                </w:rPr>
                <w:t>Exhibit 4.2 to the Combined Current Report on Form 8-K of Digital Realty Trust, Inc. and Digital Realty Trust, L.P.</w:t>
              </w:r>
            </w:hyperlink>
          </w:p>
        </w:tc>
        <w:tc>
          <w:tcPr>
            <w:tcW w:w="60" w:type="dxa"/>
            <w:vAlign w:val="bottom"/>
            <w:tcBorders>
              <w:top w:val="single" w:sz="8" w:color="0000EE"/>
            </w:tcBorders>
          </w:tcPr>
          <w:p>
            <w:pPr>
              <w:spacing w:after="0"/>
              <w:rPr>
                <w:sz w:val="14"/>
                <w:szCs w:val="14"/>
                <w:color w:val="auto"/>
              </w:rPr>
            </w:pPr>
          </w:p>
        </w:tc>
        <w:tc>
          <w:tcPr>
            <w:tcW w:w="180" w:type="dxa"/>
            <w:vAlign w:val="bottom"/>
            <w:gridSpan w:val="9"/>
          </w:tcPr>
          <w:p>
            <w:pPr>
              <w:spacing w:after="0"/>
              <w:rPr>
                <w:sz w:val="14"/>
                <w:szCs w:val="14"/>
                <w:color w:val="auto"/>
              </w:rPr>
            </w:pPr>
          </w:p>
        </w:tc>
      </w:tr>
      <w:tr>
        <w:trPr>
          <w:trHeight w:val="172"/>
        </w:trPr>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500" w:type="dxa"/>
            <w:vAlign w:val="bottom"/>
            <w:gridSpan w:val="26"/>
          </w:tcPr>
          <w:p>
            <w:pPr>
              <w:spacing w:after="0" w:line="172" w:lineRule="exact"/>
              <w:rPr>
                <w:rFonts w:ascii="Times New Roman" w:cs="Times New Roman" w:eastAsia="Times New Roman" w:hAnsi="Times New Roman"/>
                <w:sz w:val="16"/>
                <w:szCs w:val="16"/>
                <w:color w:val="0000EE"/>
              </w:rPr>
            </w:pPr>
            <w:hyperlink r:id="rId218">
              <w:r>
                <w:rPr>
                  <w:rFonts w:ascii="Times New Roman" w:cs="Times New Roman" w:eastAsia="Times New Roman" w:hAnsi="Times New Roman"/>
                  <w:sz w:val="16"/>
                  <w:szCs w:val="16"/>
                  <w:color w:val="0000EE"/>
                </w:rPr>
                <w:t>(File Nos. 001-32336 and 000-54023) filed on September 27, 2022).</w:t>
              </w:r>
            </w:hyperlink>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52"/>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4.28</w:t>
            </w:r>
          </w:p>
        </w:tc>
        <w:tc>
          <w:tcPr>
            <w:tcW w:w="260" w:type="dxa"/>
            <w:vAlign w:val="bottom"/>
          </w:tcPr>
          <w:p>
            <w:pPr>
              <w:spacing w:after="0"/>
              <w:rPr>
                <w:sz w:val="24"/>
                <w:szCs w:val="24"/>
                <w:color w:val="auto"/>
              </w:rPr>
            </w:pPr>
          </w:p>
        </w:tc>
        <w:tc>
          <w:tcPr>
            <w:tcW w:w="7180" w:type="dxa"/>
            <w:vAlign w:val="bottom"/>
            <w:tcBorders>
              <w:bottom w:val="single" w:sz="8" w:color="0000EE"/>
            </w:tcBorders>
            <w:gridSpan w:val="13"/>
          </w:tcPr>
          <w:p>
            <w:pPr>
              <w:spacing w:after="0"/>
              <w:rPr>
                <w:rFonts w:ascii="Times New Roman" w:cs="Times New Roman" w:eastAsia="Times New Roman" w:hAnsi="Times New Roman"/>
                <w:sz w:val="16"/>
                <w:szCs w:val="16"/>
                <w:color w:val="0000EE"/>
                <w:w w:val="97"/>
              </w:rPr>
            </w:pPr>
            <w:hyperlink r:id="rId218">
              <w:r>
                <w:rPr>
                  <w:rFonts w:ascii="Times New Roman" w:cs="Times New Roman" w:eastAsia="Times New Roman" w:hAnsi="Times New Roman"/>
                  <w:sz w:val="16"/>
                  <w:szCs w:val="16"/>
                  <w:color w:val="0000EE"/>
                  <w:w w:val="97"/>
                </w:rPr>
                <w:t>Supplemental Indenture No. 5, dated as of September 27, 2022, among Digital Realty Trust, L.P., as issuer, Digital</w:t>
              </w:r>
            </w:hyperlink>
          </w:p>
        </w:tc>
        <w:tc>
          <w:tcPr>
            <w:tcW w:w="320" w:type="dxa"/>
            <w:vAlign w:val="bottom"/>
            <w:gridSpan w:val="13"/>
          </w:tcPr>
          <w:p>
            <w:pPr>
              <w:spacing w:after="0"/>
              <w:rPr>
                <w:sz w:val="24"/>
                <w:szCs w:val="24"/>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500" w:type="dxa"/>
            <w:vAlign w:val="bottom"/>
            <w:gridSpan w:val="26"/>
          </w:tcPr>
          <w:p>
            <w:pPr>
              <w:spacing w:after="0" w:line="160" w:lineRule="exact"/>
              <w:rPr>
                <w:rFonts w:ascii="Times New Roman" w:cs="Times New Roman" w:eastAsia="Times New Roman" w:hAnsi="Times New Roman"/>
                <w:sz w:val="16"/>
                <w:szCs w:val="16"/>
                <w:color w:val="0000EE"/>
                <w:w w:val="98"/>
              </w:rPr>
            </w:pPr>
            <w:hyperlink r:id="rId218">
              <w:r>
                <w:rPr>
                  <w:rFonts w:ascii="Times New Roman" w:cs="Times New Roman" w:eastAsia="Times New Roman" w:hAnsi="Times New Roman"/>
                  <w:sz w:val="16"/>
                  <w:szCs w:val="16"/>
                  <w:color w:val="0000EE"/>
                  <w:w w:val="98"/>
                </w:rPr>
                <w:t>Realty Trust, Inc., as guarantor, and Computershare Trust Company, N.A., as successor to Wells Fargo Bank, National</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0" w:type="dxa"/>
            <w:vAlign w:val="bottom"/>
            <w:tcBorders>
              <w:top w:val="single" w:sz="8" w:color="0000EE"/>
            </w:tcBorders>
            <w:gridSpan w:val="21"/>
          </w:tcPr>
          <w:p>
            <w:pPr>
              <w:spacing w:after="0" w:line="160" w:lineRule="exact"/>
              <w:rPr>
                <w:rFonts w:ascii="Times New Roman" w:cs="Times New Roman" w:eastAsia="Times New Roman" w:hAnsi="Times New Roman"/>
                <w:sz w:val="16"/>
                <w:szCs w:val="16"/>
                <w:color w:val="0000EE"/>
                <w:w w:val="98"/>
              </w:rPr>
            </w:pPr>
            <w:hyperlink r:id="rId218">
              <w:r>
                <w:rPr>
                  <w:rFonts w:ascii="Times New Roman" w:cs="Times New Roman" w:eastAsia="Times New Roman" w:hAnsi="Times New Roman"/>
                  <w:sz w:val="16"/>
                  <w:szCs w:val="16"/>
                  <w:color w:val="0000EE"/>
                  <w:w w:val="98"/>
                </w:rPr>
                <w:t>Association, as trustee, including the form of 5.550% Notes due 2028 and the guarantee (incorporated by reference to</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320" w:type="dxa"/>
            <w:vAlign w:val="bottom"/>
            <w:tcBorders>
              <w:top w:val="single" w:sz="8" w:color="0000EE"/>
            </w:tcBorders>
            <w:gridSpan w:val="17"/>
          </w:tcPr>
          <w:p>
            <w:pPr>
              <w:spacing w:after="0" w:line="160" w:lineRule="exact"/>
              <w:rPr>
                <w:rFonts w:ascii="Times New Roman" w:cs="Times New Roman" w:eastAsia="Times New Roman" w:hAnsi="Times New Roman"/>
                <w:sz w:val="16"/>
                <w:szCs w:val="16"/>
                <w:color w:val="0000EE"/>
                <w:w w:val="97"/>
              </w:rPr>
            </w:pPr>
            <w:hyperlink r:id="rId218">
              <w:r>
                <w:rPr>
                  <w:rFonts w:ascii="Times New Roman" w:cs="Times New Roman" w:eastAsia="Times New Roman" w:hAnsi="Times New Roman"/>
                  <w:sz w:val="16"/>
                  <w:szCs w:val="16"/>
                  <w:color w:val="0000EE"/>
                  <w:w w:val="97"/>
                </w:rPr>
                <w:t>Exhibit 4.2 to the Combined Current Report on Form 8-K of Digital Realty Trust, Inc. and Digital Realty Trust, L.P.</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60" w:type="dxa"/>
            <w:vAlign w:val="bottom"/>
            <w:tcBorders>
              <w:top w:val="single" w:sz="8" w:color="0000EE"/>
            </w:tcBorders>
            <w:gridSpan w:val="16"/>
          </w:tcPr>
          <w:p>
            <w:pPr>
              <w:spacing w:after="0" w:line="160" w:lineRule="exact"/>
              <w:rPr>
                <w:rFonts w:ascii="Times New Roman" w:cs="Times New Roman" w:eastAsia="Times New Roman" w:hAnsi="Times New Roman"/>
                <w:sz w:val="16"/>
                <w:szCs w:val="16"/>
                <w:color w:val="0000EE"/>
              </w:rPr>
            </w:pPr>
            <w:hyperlink r:id="rId218">
              <w:r>
                <w:rPr>
                  <w:rFonts w:ascii="Times New Roman" w:cs="Times New Roman" w:eastAsia="Times New Roman" w:hAnsi="Times New Roman"/>
                  <w:sz w:val="16"/>
                  <w:szCs w:val="16"/>
                  <w:color w:val="0000EE"/>
                </w:rPr>
                <w:t>(File Nos. 001-32336 and 000-54023) filed on September 27, 2022).</w:t>
              </w:r>
            </w:hyperlink>
          </w:p>
        </w:tc>
        <w:tc>
          <w:tcPr>
            <w:tcW w:w="12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496"/>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4.29</w:t>
            </w:r>
          </w:p>
        </w:tc>
        <w:tc>
          <w:tcPr>
            <w:tcW w:w="260" w:type="dxa"/>
            <w:vAlign w:val="bottom"/>
          </w:tcPr>
          <w:p>
            <w:pPr>
              <w:spacing w:after="0"/>
              <w:rPr>
                <w:sz w:val="24"/>
                <w:szCs w:val="24"/>
                <w:color w:val="auto"/>
              </w:rPr>
            </w:pPr>
          </w:p>
        </w:tc>
        <w:tc>
          <w:tcPr>
            <w:tcW w:w="7500" w:type="dxa"/>
            <w:vAlign w:val="bottom"/>
            <w:gridSpan w:val="26"/>
          </w:tcPr>
          <w:p>
            <w:pPr>
              <w:spacing w:after="0"/>
              <w:rPr>
                <w:rFonts w:ascii="Times New Roman" w:cs="Times New Roman" w:eastAsia="Times New Roman" w:hAnsi="Times New Roman"/>
                <w:sz w:val="16"/>
                <w:szCs w:val="16"/>
                <w:color w:val="0000EE"/>
                <w:w w:val="99"/>
              </w:rPr>
            </w:pPr>
            <w:hyperlink r:id="rId219">
              <w:r>
                <w:rPr>
                  <w:rFonts w:ascii="Times New Roman" w:cs="Times New Roman" w:eastAsia="Times New Roman" w:hAnsi="Times New Roman"/>
                  <w:sz w:val="16"/>
                  <w:szCs w:val="16"/>
                  <w:color w:val="0000EE"/>
                  <w:w w:val="99"/>
                </w:rPr>
                <w:t>Indenture, dated as of September 13, 2024, among Digital Dutch Finco B.V., Digital Realty Trust, Inc., Digital Realty</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360" w:type="dxa"/>
            <w:vAlign w:val="bottom"/>
            <w:tcBorders>
              <w:top w:val="single" w:sz="8" w:color="0000EE"/>
            </w:tcBorders>
            <w:gridSpan w:val="19"/>
          </w:tcPr>
          <w:p>
            <w:pPr>
              <w:spacing w:after="0" w:line="160" w:lineRule="exact"/>
              <w:rPr>
                <w:rFonts w:ascii="Times New Roman" w:cs="Times New Roman" w:eastAsia="Times New Roman" w:hAnsi="Times New Roman"/>
                <w:sz w:val="16"/>
                <w:szCs w:val="16"/>
                <w:color w:val="0000EE"/>
                <w:w w:val="97"/>
              </w:rPr>
            </w:pPr>
            <w:hyperlink r:id="rId219">
              <w:r>
                <w:rPr>
                  <w:rFonts w:ascii="Times New Roman" w:cs="Times New Roman" w:eastAsia="Times New Roman" w:hAnsi="Times New Roman"/>
                  <w:sz w:val="16"/>
                  <w:szCs w:val="16"/>
                  <w:color w:val="0000EE"/>
                  <w:w w:val="97"/>
                </w:rPr>
                <w:t>Trust, L.P., Deutsche Trustee Company Limited, as trustee, Deutsche Bank AG, London Branch, as paying agent and</w:t>
              </w:r>
            </w:hyperlink>
          </w:p>
        </w:tc>
        <w:tc>
          <w:tcPr>
            <w:tcW w:w="140" w:type="dxa"/>
            <w:vAlign w:val="bottom"/>
            <w:gridSpan w:val="7"/>
          </w:tcPr>
          <w:p>
            <w:pPr>
              <w:spacing w:after="0" w:line="160" w:lineRule="exact"/>
              <w:rPr>
                <w:rFonts w:ascii="Times New Roman" w:cs="Times New Roman" w:eastAsia="Times New Roman" w:hAnsi="Times New Roman"/>
                <w:sz w:val="16"/>
                <w:szCs w:val="16"/>
                <w:color w:val="0000EE"/>
              </w:rPr>
            </w:pPr>
            <w:hyperlink r:id="rId219">
              <w:r>
                <w:rPr>
                  <w:rFonts w:ascii="Times New Roman" w:cs="Times New Roman" w:eastAsia="Times New Roman" w:hAnsi="Times New Roman"/>
                  <w:sz w:val="16"/>
                  <w:szCs w:val="16"/>
                  <w:color w:val="0000EE"/>
                </w:rPr>
                <w:t>a</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40" w:type="dxa"/>
            <w:vAlign w:val="bottom"/>
            <w:tcBorders>
              <w:top w:val="single" w:sz="8" w:color="0000EE"/>
            </w:tcBorders>
            <w:gridSpan w:val="23"/>
          </w:tcPr>
          <w:p>
            <w:pPr>
              <w:spacing w:after="0" w:line="160" w:lineRule="exact"/>
              <w:rPr>
                <w:rFonts w:ascii="Times New Roman" w:cs="Times New Roman" w:eastAsia="Times New Roman" w:hAnsi="Times New Roman"/>
                <w:sz w:val="16"/>
                <w:szCs w:val="16"/>
                <w:color w:val="0000EE"/>
                <w:w w:val="97"/>
              </w:rPr>
            </w:pPr>
            <w:hyperlink r:id="rId219">
              <w:r>
                <w:rPr>
                  <w:rFonts w:ascii="Times New Roman" w:cs="Times New Roman" w:eastAsia="Times New Roman" w:hAnsi="Times New Roman"/>
                  <w:sz w:val="16"/>
                  <w:szCs w:val="16"/>
                  <w:color w:val="0000EE"/>
                  <w:w w:val="97"/>
                </w:rPr>
                <w:t>transfer agent, and Deutsche Bank Luxembourg S.A., as registrar, including the form of the 3.875% Guaranteed Notes</w:t>
              </w:r>
            </w:hyperlink>
          </w:p>
        </w:tc>
        <w:tc>
          <w:tcPr>
            <w:tcW w:w="60" w:type="dxa"/>
            <w:vAlign w:val="bottom"/>
            <w:gridSpan w:val="3"/>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380" w:type="dxa"/>
            <w:vAlign w:val="bottom"/>
            <w:tcBorders>
              <w:top w:val="single" w:sz="8" w:color="0000EE"/>
            </w:tcBorders>
            <w:gridSpan w:val="20"/>
          </w:tcPr>
          <w:p>
            <w:pPr>
              <w:spacing w:after="0" w:line="160" w:lineRule="exact"/>
              <w:rPr>
                <w:rFonts w:ascii="Times New Roman" w:cs="Times New Roman" w:eastAsia="Times New Roman" w:hAnsi="Times New Roman"/>
                <w:sz w:val="16"/>
                <w:szCs w:val="16"/>
                <w:color w:val="0000EE"/>
              </w:rPr>
            </w:pPr>
            <w:hyperlink r:id="rId219">
              <w:r>
                <w:rPr>
                  <w:rFonts w:ascii="Times New Roman" w:cs="Times New Roman" w:eastAsia="Times New Roman" w:hAnsi="Times New Roman"/>
                  <w:sz w:val="16"/>
                  <w:szCs w:val="16"/>
                  <w:color w:val="0000EE"/>
                </w:rPr>
                <w:t>due 2033 (incorporated by reference to Exhibit 4.1 to the Combined Current Report on Form 8-K of Digital Realty</w:t>
              </w:r>
            </w:hyperlink>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40" w:type="dxa"/>
            <w:vAlign w:val="bottom"/>
            <w:tcBorders>
              <w:top w:val="single" w:sz="8" w:color="0000EE"/>
              <w:bottom w:val="single" w:sz="8" w:color="0000EE"/>
            </w:tcBorders>
            <w:gridSpan w:val="8"/>
          </w:tcPr>
          <w:p>
            <w:pPr>
              <w:spacing w:after="0" w:line="160" w:lineRule="exact"/>
              <w:rPr>
                <w:rFonts w:ascii="Times New Roman" w:cs="Times New Roman" w:eastAsia="Times New Roman" w:hAnsi="Times New Roman"/>
                <w:sz w:val="16"/>
                <w:szCs w:val="16"/>
                <w:color w:val="0000EE"/>
                <w:w w:val="97"/>
              </w:rPr>
            </w:pPr>
            <w:hyperlink r:id="rId219">
              <w:r>
                <w:rPr>
                  <w:rFonts w:ascii="Times New Roman" w:cs="Times New Roman" w:eastAsia="Times New Roman" w:hAnsi="Times New Roman"/>
                  <w:sz w:val="16"/>
                  <w:szCs w:val="16"/>
                  <w:color w:val="0000EE"/>
                  <w:w w:val="97"/>
                </w:rPr>
                <w:t>Trust, Inc. and Digital Realty Trust, L.P. (File Nos. 001-32336 and 000-54023) filed on September 13, 2024).</w:t>
              </w:r>
            </w:hyperlink>
          </w:p>
        </w:tc>
        <w:tc>
          <w:tcPr>
            <w:tcW w:w="320" w:type="dxa"/>
            <w:vAlign w:val="bottom"/>
            <w:tcBorders>
              <w:top w:val="single" w:sz="8" w:color="0000EE"/>
            </w:tcBorders>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7"/>
          </w:tcPr>
          <w:p>
            <w:pPr>
              <w:spacing w:after="0"/>
              <w:rPr>
                <w:sz w:val="13"/>
                <w:szCs w:val="13"/>
                <w:color w:val="auto"/>
              </w:rPr>
            </w:pPr>
          </w:p>
        </w:tc>
        <w:tc>
          <w:tcPr>
            <w:tcW w:w="80" w:type="dxa"/>
            <w:vAlign w:val="bottom"/>
            <w:gridSpan w:val="4"/>
          </w:tcPr>
          <w:p>
            <w:pPr>
              <w:spacing w:after="0"/>
              <w:rPr>
                <w:sz w:val="13"/>
                <w:szCs w:val="13"/>
                <w:color w:val="auto"/>
              </w:rPr>
            </w:pPr>
          </w:p>
        </w:tc>
      </w:tr>
      <w:tr>
        <w:trPr>
          <w:trHeight w:val="352"/>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4.30</w:t>
            </w:r>
          </w:p>
        </w:tc>
        <w:tc>
          <w:tcPr>
            <w:tcW w:w="260" w:type="dxa"/>
            <w:vAlign w:val="bottom"/>
          </w:tcPr>
          <w:p>
            <w:pPr>
              <w:spacing w:after="0"/>
              <w:rPr>
                <w:sz w:val="24"/>
                <w:szCs w:val="24"/>
                <w:color w:val="auto"/>
              </w:rPr>
            </w:pPr>
          </w:p>
        </w:tc>
        <w:tc>
          <w:tcPr>
            <w:tcW w:w="7500" w:type="dxa"/>
            <w:vAlign w:val="bottom"/>
            <w:gridSpan w:val="26"/>
          </w:tcPr>
          <w:p>
            <w:pPr>
              <w:spacing w:after="0"/>
              <w:rPr>
                <w:rFonts w:ascii="Times New Roman" w:cs="Times New Roman" w:eastAsia="Times New Roman" w:hAnsi="Times New Roman"/>
                <w:sz w:val="16"/>
                <w:szCs w:val="16"/>
                <w:color w:val="0000EE"/>
              </w:rPr>
            </w:pPr>
            <w:hyperlink r:id="rId220">
              <w:r>
                <w:rPr>
                  <w:rFonts w:ascii="Times New Roman" w:cs="Times New Roman" w:eastAsia="Times New Roman" w:hAnsi="Times New Roman"/>
                  <w:sz w:val="16"/>
                  <w:szCs w:val="16"/>
                  <w:color w:val="0000EE"/>
                </w:rPr>
                <w:t>Indenture, dated as of November 12, 2024, among Digital Realty Trust, L.P., as issuer, Digital Realty Trust, Inc., as</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20" w:type="dxa"/>
            <w:vAlign w:val="bottom"/>
            <w:tcBorders>
              <w:top w:val="single" w:sz="8" w:color="0000EE"/>
            </w:tcBorders>
            <w:gridSpan w:val="15"/>
          </w:tcPr>
          <w:p>
            <w:pPr>
              <w:spacing w:after="0" w:line="160" w:lineRule="exact"/>
              <w:rPr>
                <w:rFonts w:ascii="Times New Roman" w:cs="Times New Roman" w:eastAsia="Times New Roman" w:hAnsi="Times New Roman"/>
                <w:sz w:val="16"/>
                <w:szCs w:val="16"/>
                <w:color w:val="0000EE"/>
              </w:rPr>
            </w:pPr>
            <w:hyperlink r:id="rId220">
              <w:r>
                <w:rPr>
                  <w:rFonts w:ascii="Times New Roman" w:cs="Times New Roman" w:eastAsia="Times New Roman" w:hAnsi="Times New Roman"/>
                  <w:sz w:val="16"/>
                  <w:szCs w:val="16"/>
                  <w:color w:val="0000EE"/>
                </w:rPr>
                <w:t>guarantor, and U.S. Bank Trust Company, National Association, as trustee, including the form of 1.875%</w:t>
              </w:r>
            </w:hyperlink>
          </w:p>
        </w:tc>
        <w:tc>
          <w:tcPr>
            <w:tcW w:w="200" w:type="dxa"/>
            <w:vAlign w:val="bottom"/>
            <w:gridSpan w:val="7"/>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560" w:type="dxa"/>
            <w:vAlign w:val="bottom"/>
            <w:tcBorders>
              <w:top w:val="single" w:sz="8" w:color="0000EE"/>
            </w:tcBorders>
            <w:gridSpan w:val="7"/>
          </w:tcPr>
          <w:p>
            <w:pPr>
              <w:spacing w:after="0" w:line="160" w:lineRule="exact"/>
              <w:rPr>
                <w:rFonts w:ascii="Times New Roman" w:cs="Times New Roman" w:eastAsia="Times New Roman" w:hAnsi="Times New Roman"/>
                <w:sz w:val="16"/>
                <w:szCs w:val="16"/>
                <w:color w:val="0000EE"/>
                <w:w w:val="97"/>
              </w:rPr>
            </w:pPr>
            <w:hyperlink r:id="rId220">
              <w:r>
                <w:rPr>
                  <w:rFonts w:ascii="Times New Roman" w:cs="Times New Roman" w:eastAsia="Times New Roman" w:hAnsi="Times New Roman"/>
                  <w:sz w:val="16"/>
                  <w:szCs w:val="16"/>
                  <w:color w:val="0000EE"/>
                  <w:w w:val="97"/>
                </w:rPr>
                <w:t>Exchangeable Senior Notes due 2029 (incorporated by reference to Exhibit 4.1 to the Combined Current</w:t>
              </w:r>
            </w:hyperlink>
          </w:p>
        </w:tc>
        <w:tc>
          <w:tcPr>
            <w:tcW w:w="940" w:type="dxa"/>
            <w:vAlign w:val="bottom"/>
            <w:gridSpan w:val="19"/>
          </w:tcPr>
          <w:p>
            <w:pPr>
              <w:spacing w:after="0" w:line="160" w:lineRule="exact"/>
              <w:rPr>
                <w:rFonts w:ascii="Times New Roman" w:cs="Times New Roman" w:eastAsia="Times New Roman" w:hAnsi="Times New Roman"/>
                <w:sz w:val="16"/>
                <w:szCs w:val="16"/>
                <w:color w:val="0000EE"/>
              </w:rPr>
            </w:pPr>
            <w:hyperlink r:id="rId220">
              <w:r>
                <w:rPr>
                  <w:rFonts w:ascii="Times New Roman" w:cs="Times New Roman" w:eastAsia="Times New Roman" w:hAnsi="Times New Roman"/>
                  <w:sz w:val="16"/>
                  <w:szCs w:val="16"/>
                  <w:color w:val="0000EE"/>
                </w:rPr>
                <w:t>Report on</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180" w:type="dxa"/>
            <w:vAlign w:val="bottom"/>
            <w:tcBorders>
              <w:top w:val="single" w:sz="8" w:color="0000EE"/>
              <w:bottom w:val="single" w:sz="8" w:color="0000EE"/>
            </w:tcBorders>
            <w:gridSpan w:val="13"/>
          </w:tcPr>
          <w:p>
            <w:pPr>
              <w:spacing w:after="0" w:line="160" w:lineRule="exact"/>
              <w:rPr>
                <w:rFonts w:ascii="Times New Roman" w:cs="Times New Roman" w:eastAsia="Times New Roman" w:hAnsi="Times New Roman"/>
                <w:sz w:val="16"/>
                <w:szCs w:val="16"/>
                <w:color w:val="0000EE"/>
                <w:w w:val="96"/>
              </w:rPr>
            </w:pPr>
            <w:hyperlink r:id="rId220">
              <w:r>
                <w:rPr>
                  <w:rFonts w:ascii="Times New Roman" w:cs="Times New Roman" w:eastAsia="Times New Roman" w:hAnsi="Times New Roman"/>
                  <w:sz w:val="16"/>
                  <w:szCs w:val="16"/>
                  <w:color w:val="0000EE"/>
                  <w:w w:val="96"/>
                </w:rPr>
                <w:t>Form 8-K of Digital Realty Trust, Inc. and Digital Realty Trust, L.P. (File Nos. 001-32336 and 000-54023) filed on</w:t>
              </w:r>
            </w:hyperlink>
          </w:p>
        </w:tc>
        <w:tc>
          <w:tcPr>
            <w:tcW w:w="20" w:type="dxa"/>
            <w:vAlign w:val="bottom"/>
            <w:tcBorders>
              <w:bottom w:val="single" w:sz="8" w:color="0000EE"/>
            </w:tcBorders>
          </w:tcPr>
          <w:p>
            <w:pPr>
              <w:spacing w:after="0"/>
              <w:rPr>
                <w:sz w:val="13"/>
                <w:szCs w:val="13"/>
                <w:color w:val="auto"/>
              </w:rPr>
            </w:pPr>
          </w:p>
        </w:tc>
        <w:tc>
          <w:tcPr>
            <w:tcW w:w="220" w:type="dxa"/>
            <w:vAlign w:val="bottom"/>
            <w:gridSpan w:val="8"/>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0" w:type="dxa"/>
            <w:vAlign w:val="bottom"/>
            <w:gridSpan w:val="14"/>
          </w:tcPr>
          <w:p>
            <w:pPr>
              <w:spacing w:after="0" w:line="160" w:lineRule="exact"/>
              <w:rPr>
                <w:rFonts w:ascii="Times New Roman" w:cs="Times New Roman" w:eastAsia="Times New Roman" w:hAnsi="Times New Roman"/>
                <w:sz w:val="16"/>
                <w:szCs w:val="16"/>
                <w:color w:val="0000EE"/>
              </w:rPr>
            </w:pPr>
            <w:hyperlink r:id="rId220">
              <w:r>
                <w:rPr>
                  <w:rFonts w:ascii="Times New Roman" w:cs="Times New Roman" w:eastAsia="Times New Roman" w:hAnsi="Times New Roman"/>
                  <w:sz w:val="16"/>
                  <w:szCs w:val="16"/>
                  <w:color w:val="0000EE"/>
                </w:rPr>
                <w:t>November 12, 2024).</w:t>
              </w:r>
            </w:hyperlink>
          </w:p>
        </w:tc>
        <w:tc>
          <w:tcPr>
            <w:tcW w:w="220" w:type="dxa"/>
            <w:vAlign w:val="bottom"/>
            <w:gridSpan w:val="8"/>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3820" w:type="dxa"/>
            <w:vAlign w:val="bottom"/>
            <w:gridSpan w:val="1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4.31</w:t>
            </w:r>
          </w:p>
        </w:tc>
        <w:tc>
          <w:tcPr>
            <w:tcW w:w="260" w:type="dxa"/>
            <w:vAlign w:val="bottom"/>
          </w:tcPr>
          <w:p>
            <w:pPr>
              <w:spacing w:after="0"/>
              <w:rPr>
                <w:sz w:val="24"/>
                <w:szCs w:val="24"/>
                <w:color w:val="auto"/>
              </w:rPr>
            </w:pPr>
          </w:p>
        </w:tc>
        <w:tc>
          <w:tcPr>
            <w:tcW w:w="7500" w:type="dxa"/>
            <w:vAlign w:val="bottom"/>
            <w:gridSpan w:val="26"/>
          </w:tcPr>
          <w:p>
            <w:pPr>
              <w:spacing w:after="0"/>
              <w:rPr>
                <w:rFonts w:ascii="Times New Roman" w:cs="Times New Roman" w:eastAsia="Times New Roman" w:hAnsi="Times New Roman"/>
                <w:sz w:val="16"/>
                <w:szCs w:val="16"/>
                <w:color w:val="0000EE"/>
                <w:w w:val="97"/>
              </w:rPr>
            </w:pPr>
            <w:hyperlink r:id="rId218">
              <w:r>
                <w:rPr>
                  <w:rFonts w:ascii="Times New Roman" w:cs="Times New Roman" w:eastAsia="Times New Roman" w:hAnsi="Times New Roman"/>
                  <w:sz w:val="16"/>
                  <w:szCs w:val="16"/>
                  <w:color w:val="0000EE"/>
                  <w:w w:val="97"/>
                </w:rPr>
                <w:t>Form of certificate representing the 1.875% Exchangeable Senior Notes due 2029 (incorporated by reference to Exhibit</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60" w:type="dxa"/>
            <w:vAlign w:val="bottom"/>
            <w:tcBorders>
              <w:top w:val="single" w:sz="8" w:color="0000EE"/>
            </w:tcBorders>
            <w:gridSpan w:val="24"/>
          </w:tcPr>
          <w:p>
            <w:pPr>
              <w:spacing w:after="0" w:line="160" w:lineRule="exact"/>
              <w:rPr>
                <w:rFonts w:ascii="Times New Roman" w:cs="Times New Roman" w:eastAsia="Times New Roman" w:hAnsi="Times New Roman"/>
                <w:sz w:val="16"/>
                <w:szCs w:val="16"/>
                <w:color w:val="0000EE"/>
                <w:w w:val="97"/>
              </w:rPr>
            </w:pPr>
            <w:hyperlink r:id="rId218">
              <w:r>
                <w:rPr>
                  <w:rFonts w:ascii="Times New Roman" w:cs="Times New Roman" w:eastAsia="Times New Roman" w:hAnsi="Times New Roman"/>
                  <w:sz w:val="16"/>
                  <w:szCs w:val="16"/>
                  <w:color w:val="0000EE"/>
                  <w:w w:val="97"/>
                </w:rPr>
                <w:t>4.</w:t>
              </w:r>
              <w:r>
                <w:rPr>
                  <w:rFonts w:ascii="Times New Roman" w:cs="Times New Roman" w:eastAsia="Times New Roman" w:hAnsi="Times New Roman"/>
                  <w:sz w:val="16"/>
                  <w:szCs w:val="16"/>
                  <w:u w:val="single" w:color="auto"/>
                  <w:color w:val="0000EE"/>
                  <w:w w:val="97"/>
                </w:rPr>
                <w:t>3</w:t>
              </w:r>
              <w:r>
                <w:rPr>
                  <w:rFonts w:ascii="Times New Roman" w:cs="Times New Roman" w:eastAsia="Times New Roman" w:hAnsi="Times New Roman"/>
                  <w:sz w:val="16"/>
                  <w:szCs w:val="16"/>
                  <w:color w:val="0000EE"/>
                  <w:w w:val="97"/>
                </w:rPr>
                <w:t xml:space="preserve"> to the Combined Current Report on Form 8-K of Digital Realty Trust, Inc. and Digital Realty Trust, L.P. (File Nos.</w:t>
              </w:r>
            </w:hyperlink>
          </w:p>
        </w:tc>
        <w:tc>
          <w:tcPr>
            <w:tcW w:w="40" w:type="dxa"/>
            <w:vAlign w:val="bottom"/>
            <w:gridSpan w:val="2"/>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0" w:type="dxa"/>
            <w:vAlign w:val="bottom"/>
            <w:tcBorders>
              <w:top w:val="single" w:sz="8" w:color="0000EE"/>
              <w:bottom w:val="single" w:sz="8" w:color="0000EE"/>
            </w:tcBorders>
            <w:gridSpan w:val="5"/>
          </w:tcPr>
          <w:p>
            <w:pPr>
              <w:spacing w:after="0" w:line="160" w:lineRule="exact"/>
              <w:rPr>
                <w:rFonts w:ascii="Times New Roman" w:cs="Times New Roman" w:eastAsia="Times New Roman" w:hAnsi="Times New Roman"/>
                <w:sz w:val="16"/>
                <w:szCs w:val="16"/>
                <w:color w:val="0000EE"/>
                <w:w w:val="96"/>
              </w:rPr>
            </w:pPr>
            <w:hyperlink r:id="rId218">
              <w:r>
                <w:rPr>
                  <w:rFonts w:ascii="Times New Roman" w:cs="Times New Roman" w:eastAsia="Times New Roman" w:hAnsi="Times New Roman"/>
                  <w:sz w:val="16"/>
                  <w:szCs w:val="16"/>
                  <w:color w:val="0000EE"/>
                  <w:w w:val="96"/>
                </w:rPr>
                <w:t>001-32336 and 000-54023) filed on November 12, 2024).</w:t>
              </w:r>
            </w:hyperlink>
          </w:p>
        </w:tc>
        <w:tc>
          <w:tcPr>
            <w:tcW w:w="3820" w:type="dxa"/>
            <w:vAlign w:val="bottom"/>
            <w:tcBorders>
              <w:top w:val="single" w:sz="8" w:color="0000EE"/>
            </w:tcBorders>
            <w:gridSpan w:val="17"/>
          </w:tcPr>
          <w:p>
            <w:pPr>
              <w:spacing w:after="0"/>
              <w:rPr>
                <w:sz w:val="13"/>
                <w:szCs w:val="13"/>
                <w:color w:val="auto"/>
              </w:rPr>
            </w:pPr>
          </w:p>
        </w:tc>
        <w:tc>
          <w:tcPr>
            <w:tcW w:w="80" w:type="dxa"/>
            <w:vAlign w:val="bottom"/>
            <w:gridSpan w:val="4"/>
          </w:tcPr>
          <w:p>
            <w:pPr>
              <w:spacing w:after="0"/>
              <w:rPr>
                <w:sz w:val="13"/>
                <w:szCs w:val="13"/>
                <w:color w:val="auto"/>
              </w:rPr>
            </w:pPr>
          </w:p>
        </w:tc>
      </w:tr>
      <w:tr>
        <w:trPr>
          <w:trHeight w:val="578"/>
        </w:trPr>
        <w:tc>
          <w:tcPr>
            <w:tcW w:w="660" w:type="dxa"/>
            <w:vAlign w:val="bottom"/>
          </w:tcPr>
          <w:p>
            <w:pPr>
              <w:spacing w:after="0"/>
              <w:rPr>
                <w:sz w:val="24"/>
                <w:szCs w:val="24"/>
                <w:color w:val="auto"/>
              </w:rPr>
            </w:pPr>
          </w:p>
        </w:tc>
        <w:tc>
          <w:tcPr>
            <w:tcW w:w="3860" w:type="dxa"/>
            <w:vAlign w:val="bottom"/>
            <w:gridSpan w:val="6"/>
          </w:tcPr>
          <w:p>
            <w:pPr>
              <w:jc w:val="right"/>
              <w:ind w:right="220"/>
              <w:spacing w:after="0"/>
              <w:rPr>
                <w:sz w:val="20"/>
                <w:szCs w:val="20"/>
                <w:color w:val="auto"/>
              </w:rPr>
            </w:pPr>
            <w:r>
              <w:rPr>
                <w:rFonts w:ascii="Times New Roman" w:cs="Times New Roman" w:eastAsia="Times New Roman" w:hAnsi="Times New Roman"/>
                <w:sz w:val="16"/>
                <w:szCs w:val="16"/>
                <w:color w:val="auto"/>
              </w:rPr>
              <w:t>166</w:t>
            </w:r>
          </w:p>
        </w:tc>
        <w:tc>
          <w:tcPr>
            <w:tcW w:w="6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4"/>
        </w:trPr>
        <w:tc>
          <w:tcPr>
            <w:tcW w:w="6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40" w:orient="portrait"/>
          <w:cols w:equalWidth="0" w:num="1">
            <w:col w:w="9020"/>
          </w:cols>
          <w:pgMar w:left="1440" w:top="557" w:right="1440" w:bottom="1440" w:gutter="0" w:footer="0" w:header="0"/>
        </w:sectPr>
      </w:pPr>
    </w:p>
    <w:bookmarkStart w:id="171" w:name="page172"/>
    <w:bookmarkEnd w:id="171"/>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12" w:lineRule="exact"/>
        <w:rPr>
          <w:sz w:val="20"/>
          <w:szCs w:val="20"/>
          <w:color w:val="auto"/>
        </w:rPr>
      </w:pPr>
    </w:p>
    <w:tbl>
      <w:tblPr>
        <w:tblLayout w:type="fixed"/>
        <w:tblInd w:w="320" w:type="dxa"/>
        <w:tblCellMar>
          <w:top w:w="0" w:type="dxa"/>
          <w:left w:w="0" w:type="dxa"/>
          <w:bottom w:w="0" w:type="dxa"/>
          <w:right w:w="0" w:type="dxa"/>
        </w:tblCellMar>
      </w:tblPr>
      <w:tr>
        <w:trPr>
          <w:trHeight w:val="156"/>
        </w:trPr>
        <w:tc>
          <w:tcPr>
            <w:tcW w:w="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0"/>
        </w:trPr>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260" w:type="dxa"/>
            <w:vAlign w:val="bottom"/>
          </w:tcPr>
          <w:p>
            <w:pPr>
              <w:spacing w:after="0"/>
              <w:rPr>
                <w:sz w:val="14"/>
                <w:szCs w:val="14"/>
                <w:color w:val="auto"/>
              </w:rPr>
            </w:pPr>
          </w:p>
        </w:tc>
        <w:tc>
          <w:tcPr>
            <w:tcW w:w="7480" w:type="dxa"/>
            <w:vAlign w:val="bottom"/>
            <w:tcBorders>
              <w:bottom w:val="single" w:sz="8" w:color="auto"/>
            </w:tcBorders>
            <w:gridSpan w:val="33"/>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328"/>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4.32</w:t>
            </w:r>
          </w:p>
        </w:tc>
        <w:tc>
          <w:tcPr>
            <w:tcW w:w="260" w:type="dxa"/>
            <w:vAlign w:val="bottom"/>
          </w:tcPr>
          <w:p>
            <w:pPr>
              <w:spacing w:after="0"/>
              <w:rPr>
                <w:sz w:val="24"/>
                <w:szCs w:val="24"/>
                <w:color w:val="auto"/>
              </w:rPr>
            </w:pPr>
          </w:p>
        </w:tc>
        <w:tc>
          <w:tcPr>
            <w:tcW w:w="7480" w:type="dxa"/>
            <w:vAlign w:val="bottom"/>
            <w:gridSpan w:val="33"/>
          </w:tcPr>
          <w:p>
            <w:pPr>
              <w:spacing w:after="0"/>
              <w:rPr>
                <w:rFonts w:ascii="Times New Roman" w:cs="Times New Roman" w:eastAsia="Times New Roman" w:hAnsi="Times New Roman"/>
                <w:sz w:val="16"/>
                <w:szCs w:val="16"/>
                <w:color w:val="0000EE"/>
              </w:rPr>
            </w:pPr>
            <w:hyperlink r:id="rId221">
              <w:r>
                <w:rPr>
                  <w:rFonts w:ascii="Times New Roman" w:cs="Times New Roman" w:eastAsia="Times New Roman" w:hAnsi="Times New Roman"/>
                  <w:sz w:val="16"/>
                  <w:szCs w:val="16"/>
                  <w:color w:val="0000EE"/>
                </w:rPr>
                <w:t>Registration Rights Agreement, dated as of November 12, 2024, among Digital Realty Trust, L.P., as issuer, Digital</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20" w:type="dxa"/>
            <w:vAlign w:val="bottom"/>
            <w:tcBorders>
              <w:top w:val="single" w:sz="8" w:color="0000EE"/>
              <w:bottom w:val="single" w:sz="8" w:color="0000EE"/>
            </w:tcBorders>
            <w:gridSpan w:val="22"/>
          </w:tcPr>
          <w:p>
            <w:pPr>
              <w:spacing w:after="0" w:line="160" w:lineRule="exact"/>
              <w:rPr>
                <w:rFonts w:ascii="Times New Roman" w:cs="Times New Roman" w:eastAsia="Times New Roman" w:hAnsi="Times New Roman"/>
                <w:sz w:val="16"/>
                <w:szCs w:val="16"/>
                <w:color w:val="0000EE"/>
                <w:w w:val="96"/>
              </w:rPr>
            </w:pPr>
            <w:hyperlink r:id="rId221">
              <w:r>
                <w:rPr>
                  <w:rFonts w:ascii="Times New Roman" w:cs="Times New Roman" w:eastAsia="Times New Roman" w:hAnsi="Times New Roman"/>
                  <w:sz w:val="16"/>
                  <w:szCs w:val="16"/>
                  <w:color w:val="0000EE"/>
                  <w:w w:val="96"/>
                </w:rPr>
                <w:t>Realty Trust, Inc., as parent guarantor, and the initial purchasers named therein (incorporated by reference to Exhibit</w:t>
              </w:r>
            </w:hyperlink>
          </w:p>
        </w:tc>
        <w:tc>
          <w:tcPr>
            <w:tcW w:w="20" w:type="dxa"/>
            <w:vAlign w:val="bottom"/>
            <w:tcBorders>
              <w:bottom w:val="single" w:sz="8" w:color="0000EE"/>
            </w:tcBorders>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80" w:type="dxa"/>
            <w:vAlign w:val="bottom"/>
            <w:gridSpan w:val="33"/>
          </w:tcPr>
          <w:p>
            <w:pPr>
              <w:spacing w:after="0" w:line="160" w:lineRule="exact"/>
              <w:rPr>
                <w:rFonts w:ascii="Times New Roman" w:cs="Times New Roman" w:eastAsia="Times New Roman" w:hAnsi="Times New Roman"/>
                <w:sz w:val="16"/>
                <w:szCs w:val="16"/>
                <w:color w:val="0000EE"/>
                <w:w w:val="97"/>
              </w:rPr>
            </w:pPr>
            <w:hyperlink r:id="rId221">
              <w:r>
                <w:rPr>
                  <w:rFonts w:ascii="Times New Roman" w:cs="Times New Roman" w:eastAsia="Times New Roman" w:hAnsi="Times New Roman"/>
                  <w:sz w:val="16"/>
                  <w:szCs w:val="16"/>
                  <w:color w:val="0000EE"/>
                  <w:w w:val="97"/>
                </w:rPr>
                <w:t>4.</w:t>
              </w:r>
              <w:r>
                <w:rPr>
                  <w:rFonts w:ascii="Times New Roman" w:cs="Times New Roman" w:eastAsia="Times New Roman" w:hAnsi="Times New Roman"/>
                  <w:sz w:val="16"/>
                  <w:szCs w:val="16"/>
                  <w:u w:val="single" w:color="auto"/>
                  <w:color w:val="0000EE"/>
                  <w:w w:val="97"/>
                </w:rPr>
                <w:t>3</w:t>
              </w:r>
              <w:r>
                <w:rPr>
                  <w:rFonts w:ascii="Times New Roman" w:cs="Times New Roman" w:eastAsia="Times New Roman" w:hAnsi="Times New Roman"/>
                  <w:sz w:val="16"/>
                  <w:szCs w:val="16"/>
                  <w:color w:val="0000EE"/>
                  <w:w w:val="97"/>
                </w:rPr>
                <w:t xml:space="preserve"> to the Combined Current Report on Form 8-K of Digital Realty Trust, Inc. and Digital Realty Trust, L.P. (File Nos.</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0" w:type="dxa"/>
            <w:vAlign w:val="bottom"/>
            <w:tcBorders>
              <w:top w:val="single" w:sz="8" w:color="0000EE"/>
              <w:bottom w:val="single" w:sz="8" w:color="0000EE"/>
            </w:tcBorders>
            <w:gridSpan w:val="4"/>
          </w:tcPr>
          <w:p>
            <w:pPr>
              <w:spacing w:after="0" w:line="160" w:lineRule="exact"/>
              <w:rPr>
                <w:rFonts w:ascii="Times New Roman" w:cs="Times New Roman" w:eastAsia="Times New Roman" w:hAnsi="Times New Roman"/>
                <w:sz w:val="16"/>
                <w:szCs w:val="16"/>
                <w:color w:val="0000EE"/>
                <w:w w:val="96"/>
              </w:rPr>
            </w:pPr>
            <w:hyperlink r:id="rId221">
              <w:r>
                <w:rPr>
                  <w:rFonts w:ascii="Times New Roman" w:cs="Times New Roman" w:eastAsia="Times New Roman" w:hAnsi="Times New Roman"/>
                  <w:sz w:val="16"/>
                  <w:szCs w:val="16"/>
                  <w:color w:val="0000EE"/>
                  <w:w w:val="96"/>
                </w:rPr>
                <w:t>001-32336 and 000-54023) filed on November 12, 2024).</w:t>
              </w:r>
            </w:hyperlink>
          </w:p>
        </w:tc>
        <w:tc>
          <w:tcPr>
            <w:tcW w:w="3840" w:type="dxa"/>
            <w:vAlign w:val="bottom"/>
            <w:tcBorders>
              <w:top w:val="single" w:sz="8" w:color="0000EE"/>
            </w:tcBorders>
            <w:gridSpan w:val="27"/>
          </w:tcPr>
          <w:p>
            <w:pPr>
              <w:spacing w:after="0"/>
              <w:rPr>
                <w:sz w:val="13"/>
                <w:szCs w:val="13"/>
                <w:color w:val="auto"/>
              </w:rPr>
            </w:pPr>
          </w:p>
        </w:tc>
        <w:tc>
          <w:tcPr>
            <w:tcW w:w="40" w:type="dxa"/>
            <w:vAlign w:val="bottom"/>
            <w:gridSpan w:val="2"/>
          </w:tcPr>
          <w:p>
            <w:pPr>
              <w:spacing w:after="0"/>
              <w:rPr>
                <w:sz w:val="13"/>
                <w:szCs w:val="13"/>
                <w:color w:val="auto"/>
              </w:rPr>
            </w:pPr>
          </w:p>
        </w:tc>
      </w:tr>
      <w:tr>
        <w:trPr>
          <w:trHeight w:val="52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260" w:type="dxa"/>
            <w:vAlign w:val="bottom"/>
          </w:tcPr>
          <w:p>
            <w:pPr>
              <w:spacing w:after="0"/>
              <w:rPr>
                <w:sz w:val="24"/>
                <w:szCs w:val="24"/>
                <w:color w:val="auto"/>
              </w:rPr>
            </w:pPr>
          </w:p>
        </w:tc>
        <w:tc>
          <w:tcPr>
            <w:tcW w:w="7480" w:type="dxa"/>
            <w:vAlign w:val="bottom"/>
            <w:gridSpan w:val="33"/>
          </w:tcPr>
          <w:p>
            <w:pPr>
              <w:spacing w:after="0"/>
              <w:rPr>
                <w:rFonts w:ascii="Times New Roman" w:cs="Times New Roman" w:eastAsia="Times New Roman" w:hAnsi="Times New Roman"/>
                <w:sz w:val="16"/>
                <w:szCs w:val="16"/>
                <w:color w:val="0000EE"/>
              </w:rPr>
            </w:pPr>
            <w:hyperlink r:id="rId222">
              <w:r>
                <w:rPr>
                  <w:rFonts w:ascii="Times New Roman" w:cs="Times New Roman" w:eastAsia="Times New Roman" w:hAnsi="Times New Roman"/>
                  <w:sz w:val="16"/>
                  <w:szCs w:val="16"/>
                  <w:color w:val="0000EE"/>
                </w:rPr>
                <w:t>Form of Indemnification Agreement by and between Digital Realty Trust, Inc. and its directors and officers</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700" w:type="dxa"/>
            <w:vAlign w:val="bottom"/>
            <w:tcBorders>
              <w:top w:val="single" w:sz="8" w:color="0000EE"/>
            </w:tcBorders>
            <w:gridSpan w:val="12"/>
          </w:tcPr>
          <w:p>
            <w:pPr>
              <w:spacing w:after="0" w:line="160" w:lineRule="exact"/>
              <w:rPr>
                <w:rFonts w:ascii="Times New Roman" w:cs="Times New Roman" w:eastAsia="Times New Roman" w:hAnsi="Times New Roman"/>
                <w:sz w:val="16"/>
                <w:szCs w:val="16"/>
                <w:color w:val="0000EE"/>
                <w:w w:val="96"/>
              </w:rPr>
            </w:pPr>
            <w:hyperlink r:id="rId222">
              <w:r>
                <w:rPr>
                  <w:rFonts w:ascii="Times New Roman" w:cs="Times New Roman" w:eastAsia="Times New Roman" w:hAnsi="Times New Roman"/>
                  <w:sz w:val="16"/>
                  <w:szCs w:val="16"/>
                  <w:color w:val="0000EE"/>
                  <w:w w:val="96"/>
                </w:rPr>
                <w:t>(incorporated by reference to Exhibit 10.4 to Digital Realty Trust, Inc.’s Registration Statement on Form S-</w:t>
              </w:r>
            </w:hyperlink>
          </w:p>
        </w:tc>
        <w:tc>
          <w:tcPr>
            <w:tcW w:w="220" w:type="dxa"/>
            <w:vAlign w:val="bottom"/>
            <w:gridSpan w:val="3"/>
          </w:tcPr>
          <w:p>
            <w:pPr>
              <w:jc w:val="right"/>
              <w:ind w:right="60"/>
              <w:spacing w:after="0" w:line="160" w:lineRule="exact"/>
              <w:rPr>
                <w:rFonts w:ascii="Times New Roman" w:cs="Times New Roman" w:eastAsia="Times New Roman" w:hAnsi="Times New Roman"/>
                <w:sz w:val="16"/>
                <w:szCs w:val="16"/>
                <w:color w:val="0000EE"/>
                <w:w w:val="87"/>
              </w:rPr>
            </w:pPr>
            <w:hyperlink r:id="rId222">
              <w:r>
                <w:rPr>
                  <w:rFonts w:ascii="Times New Roman" w:cs="Times New Roman" w:eastAsia="Times New Roman" w:hAnsi="Times New Roman"/>
                  <w:sz w:val="16"/>
                  <w:szCs w:val="16"/>
                  <w:color w:val="0000EE"/>
                  <w:w w:val="87"/>
                </w:rPr>
                <w:t>11</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60" w:type="dxa"/>
            <w:vAlign w:val="bottom"/>
            <w:tcBorders>
              <w:top w:val="single" w:sz="8" w:color="0000EE"/>
              <w:bottom w:val="single" w:sz="8" w:color="0000EE"/>
            </w:tcBorders>
            <w:gridSpan w:val="5"/>
          </w:tcPr>
          <w:p>
            <w:pPr>
              <w:spacing w:after="0" w:line="160" w:lineRule="exact"/>
              <w:rPr>
                <w:rFonts w:ascii="Times New Roman" w:cs="Times New Roman" w:eastAsia="Times New Roman" w:hAnsi="Times New Roman"/>
                <w:sz w:val="16"/>
                <w:szCs w:val="16"/>
                <w:color w:val="0000EE"/>
                <w:w w:val="96"/>
              </w:rPr>
            </w:pPr>
            <w:hyperlink r:id="rId222">
              <w:r>
                <w:rPr>
                  <w:rFonts w:ascii="Times New Roman" w:cs="Times New Roman" w:eastAsia="Times New Roman" w:hAnsi="Times New Roman"/>
                  <w:sz w:val="16"/>
                  <w:szCs w:val="16"/>
                  <w:color w:val="0000EE"/>
                  <w:w w:val="96"/>
                </w:rPr>
                <w:t>(Registration No. 333-117865) filed on October 13, 2004).</w:t>
              </w:r>
            </w:hyperlink>
          </w:p>
        </w:tc>
        <w:tc>
          <w:tcPr>
            <w:tcW w:w="3200" w:type="dxa"/>
            <w:vAlign w:val="bottom"/>
            <w:tcBorders>
              <w:top w:val="single" w:sz="8" w:color="0000EE"/>
            </w:tcBorders>
            <w:gridSpan w:val="9"/>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10.2</w:t>
            </w:r>
          </w:p>
        </w:tc>
        <w:tc>
          <w:tcPr>
            <w:tcW w:w="260" w:type="dxa"/>
            <w:vAlign w:val="bottom"/>
          </w:tcPr>
          <w:p>
            <w:pPr>
              <w:spacing w:after="0"/>
              <w:rPr>
                <w:sz w:val="24"/>
                <w:szCs w:val="24"/>
                <w:color w:val="auto"/>
              </w:rPr>
            </w:pPr>
          </w:p>
        </w:tc>
        <w:tc>
          <w:tcPr>
            <w:tcW w:w="7480" w:type="dxa"/>
            <w:vAlign w:val="bottom"/>
            <w:gridSpan w:val="33"/>
          </w:tcPr>
          <w:p>
            <w:pPr>
              <w:spacing w:after="0"/>
              <w:rPr>
                <w:rFonts w:ascii="Times New Roman" w:cs="Times New Roman" w:eastAsia="Times New Roman" w:hAnsi="Times New Roman"/>
                <w:sz w:val="16"/>
                <w:szCs w:val="16"/>
                <w:color w:val="0000EE"/>
              </w:rPr>
            </w:pPr>
            <w:hyperlink r:id="rId223">
              <w:r>
                <w:rPr>
                  <w:rFonts w:ascii="Times New Roman" w:cs="Times New Roman" w:eastAsia="Times New Roman" w:hAnsi="Times New Roman"/>
                  <w:sz w:val="16"/>
                  <w:szCs w:val="16"/>
                  <w:color w:val="0000EE"/>
                </w:rPr>
                <w:t>Contribution Agreement, dated as of July 31, 2004, by and among Digital Realty Trust, L.P., San Francisco Wave</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100" w:type="dxa"/>
            <w:vAlign w:val="bottom"/>
            <w:tcBorders>
              <w:top w:val="single" w:sz="8" w:color="0000EE"/>
            </w:tcBorders>
            <w:gridSpan w:val="20"/>
          </w:tcPr>
          <w:p>
            <w:pPr>
              <w:spacing w:after="0" w:line="160" w:lineRule="exact"/>
              <w:rPr>
                <w:rFonts w:ascii="Times New Roman" w:cs="Times New Roman" w:eastAsia="Times New Roman" w:hAnsi="Times New Roman"/>
                <w:sz w:val="16"/>
                <w:szCs w:val="16"/>
                <w:color w:val="0000EE"/>
                <w:w w:val="97"/>
              </w:rPr>
            </w:pPr>
            <w:hyperlink r:id="rId223">
              <w:r>
                <w:rPr>
                  <w:rFonts w:ascii="Times New Roman" w:cs="Times New Roman" w:eastAsia="Times New Roman" w:hAnsi="Times New Roman"/>
                  <w:sz w:val="16"/>
                  <w:szCs w:val="16"/>
                  <w:color w:val="0000EE"/>
                  <w:w w:val="97"/>
                </w:rPr>
                <w:t>eXchange, LLC, Santa Clara Wave eXchange, LLC and eXchange colocation, LLC (incorporated by reference to</w:t>
              </w:r>
            </w:hyperlink>
          </w:p>
        </w:tc>
        <w:tc>
          <w:tcPr>
            <w:tcW w:w="8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80" w:type="dxa"/>
            <w:vAlign w:val="bottom"/>
            <w:tcBorders>
              <w:top w:val="single" w:sz="8" w:color="0000EE"/>
            </w:tcBorders>
            <w:gridSpan w:val="19"/>
          </w:tcPr>
          <w:p>
            <w:pPr>
              <w:spacing w:after="0" w:line="160" w:lineRule="exact"/>
              <w:rPr>
                <w:rFonts w:ascii="Times New Roman" w:cs="Times New Roman" w:eastAsia="Times New Roman" w:hAnsi="Times New Roman"/>
                <w:sz w:val="16"/>
                <w:szCs w:val="16"/>
                <w:color w:val="0000EE"/>
                <w:w w:val="97"/>
              </w:rPr>
            </w:pPr>
            <w:hyperlink r:id="rId223">
              <w:r>
                <w:rPr>
                  <w:rFonts w:ascii="Times New Roman" w:cs="Times New Roman" w:eastAsia="Times New Roman" w:hAnsi="Times New Roman"/>
                  <w:sz w:val="16"/>
                  <w:szCs w:val="16"/>
                  <w:color w:val="0000EE"/>
                  <w:w w:val="97"/>
                </w:rPr>
                <w:t>Exhibit 10.12 to Digital Realty Trust, Inc.’s Registration Statement on Form S-11 (Registration No. 333-117865)</w:t>
              </w:r>
            </w:hyperlink>
          </w:p>
        </w:tc>
        <w:tc>
          <w:tcPr>
            <w:tcW w:w="400" w:type="dxa"/>
            <w:vAlign w:val="bottom"/>
            <w:gridSpan w:val="14"/>
          </w:tcPr>
          <w:p>
            <w:pPr>
              <w:ind w:left="20"/>
              <w:spacing w:after="0" w:line="160" w:lineRule="exact"/>
              <w:rPr>
                <w:rFonts w:ascii="Times New Roman" w:cs="Times New Roman" w:eastAsia="Times New Roman" w:hAnsi="Times New Roman"/>
                <w:sz w:val="16"/>
                <w:szCs w:val="16"/>
                <w:color w:val="0000EE"/>
              </w:rPr>
            </w:pPr>
            <w:hyperlink r:id="rId223">
              <w:r>
                <w:rPr>
                  <w:rFonts w:ascii="Times New Roman" w:cs="Times New Roman" w:eastAsia="Times New Roman" w:hAnsi="Times New Roman"/>
                  <w:sz w:val="16"/>
                  <w:szCs w:val="16"/>
                  <w:color w:val="0000EE"/>
                </w:rPr>
                <w:t>filed</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380" w:type="dxa"/>
            <w:vAlign w:val="bottom"/>
            <w:tcBorders>
              <w:top w:val="single" w:sz="8" w:color="0000EE"/>
            </w:tcBorders>
            <w:gridSpan w:val="28"/>
          </w:tcPr>
          <w:p>
            <w:pPr>
              <w:spacing w:after="0" w:line="160" w:lineRule="exact"/>
              <w:rPr>
                <w:rFonts w:ascii="Times New Roman" w:cs="Times New Roman" w:eastAsia="Times New Roman" w:hAnsi="Times New Roman"/>
                <w:sz w:val="16"/>
                <w:szCs w:val="16"/>
                <w:color w:val="0000EE"/>
              </w:rPr>
            </w:pPr>
            <w:hyperlink r:id="rId223">
              <w:r>
                <w:rPr>
                  <w:rFonts w:ascii="Times New Roman" w:cs="Times New Roman" w:eastAsia="Times New Roman" w:hAnsi="Times New Roman"/>
                  <w:sz w:val="16"/>
                  <w:szCs w:val="16"/>
                  <w:color w:val="0000EE"/>
                </w:rPr>
                <w:t>on September 17, 2004).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10.3†</w:t>
            </w:r>
          </w:p>
        </w:tc>
        <w:tc>
          <w:tcPr>
            <w:tcW w:w="260" w:type="dxa"/>
            <w:vAlign w:val="bottom"/>
          </w:tcPr>
          <w:p>
            <w:pPr>
              <w:spacing w:after="0"/>
              <w:rPr>
                <w:sz w:val="24"/>
                <w:szCs w:val="24"/>
                <w:color w:val="auto"/>
              </w:rPr>
            </w:pPr>
          </w:p>
        </w:tc>
        <w:tc>
          <w:tcPr>
            <w:tcW w:w="7480" w:type="dxa"/>
            <w:vAlign w:val="bottom"/>
            <w:gridSpan w:val="33"/>
          </w:tcPr>
          <w:p>
            <w:pPr>
              <w:spacing w:after="0"/>
              <w:rPr>
                <w:rFonts w:ascii="Times New Roman" w:cs="Times New Roman" w:eastAsia="Times New Roman" w:hAnsi="Times New Roman"/>
                <w:sz w:val="16"/>
                <w:szCs w:val="16"/>
                <w:color w:val="0000EE"/>
              </w:rPr>
            </w:pPr>
            <w:hyperlink r:id="rId224">
              <w:r>
                <w:rPr>
                  <w:rFonts w:ascii="Times New Roman" w:cs="Times New Roman" w:eastAsia="Times New Roman" w:hAnsi="Times New Roman"/>
                  <w:sz w:val="16"/>
                  <w:szCs w:val="16"/>
                  <w:color w:val="0000EE"/>
                </w:rPr>
                <w:t>Form of Profits Interest Units Agreement (incorporated by reference to Exhibit 10.44 to Digital Realty Trust, Inc.’s</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180" w:type="dxa"/>
            <w:vAlign w:val="bottom"/>
            <w:tcBorders>
              <w:top w:val="single" w:sz="8" w:color="0000EE"/>
            </w:tcBorders>
            <w:gridSpan w:val="21"/>
          </w:tcPr>
          <w:p>
            <w:pPr>
              <w:spacing w:after="0" w:line="160" w:lineRule="exact"/>
              <w:rPr>
                <w:rFonts w:ascii="Times New Roman" w:cs="Times New Roman" w:eastAsia="Times New Roman" w:hAnsi="Times New Roman"/>
                <w:sz w:val="16"/>
                <w:szCs w:val="16"/>
                <w:color w:val="0000EE"/>
              </w:rPr>
            </w:pPr>
            <w:hyperlink r:id="rId224">
              <w:r>
                <w:rPr>
                  <w:rFonts w:ascii="Times New Roman" w:cs="Times New Roman" w:eastAsia="Times New Roman" w:hAnsi="Times New Roman"/>
                  <w:sz w:val="16"/>
                  <w:szCs w:val="16"/>
                  <w:color w:val="0000EE"/>
                </w:rPr>
                <w:t>Quarterly Report on Form 10-Q (File No. 001-32336) filed on December 13, 2004).</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8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260" w:type="dxa"/>
            <w:vAlign w:val="bottom"/>
          </w:tcPr>
          <w:p>
            <w:pPr>
              <w:spacing w:after="0"/>
              <w:rPr>
                <w:sz w:val="24"/>
                <w:szCs w:val="24"/>
                <w:color w:val="auto"/>
              </w:rPr>
            </w:pPr>
          </w:p>
        </w:tc>
        <w:tc>
          <w:tcPr>
            <w:tcW w:w="7480" w:type="dxa"/>
            <w:vAlign w:val="bottom"/>
            <w:gridSpan w:val="33"/>
          </w:tcPr>
          <w:p>
            <w:pPr>
              <w:spacing w:after="0"/>
              <w:rPr>
                <w:rFonts w:ascii="Times New Roman" w:cs="Times New Roman" w:eastAsia="Times New Roman" w:hAnsi="Times New Roman"/>
                <w:sz w:val="16"/>
                <w:szCs w:val="16"/>
                <w:color w:val="0000EE"/>
              </w:rPr>
            </w:pPr>
            <w:hyperlink r:id="rId225">
              <w:r>
                <w:rPr>
                  <w:rFonts w:ascii="Times New Roman" w:cs="Times New Roman" w:eastAsia="Times New Roman" w:hAnsi="Times New Roman"/>
                  <w:sz w:val="16"/>
                  <w:szCs w:val="16"/>
                  <w:color w:val="0000EE"/>
                </w:rPr>
                <w:t>Form of Class C Profits Interest Units Agreement (incorporated by reference to Exhibit 10.1 to Digital Realty</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760" w:type="dxa"/>
            <w:vAlign w:val="bottom"/>
            <w:tcBorders>
              <w:top w:val="single" w:sz="8" w:color="0000EE"/>
              <w:bottom w:val="single" w:sz="8" w:color="0000EE"/>
            </w:tcBorders>
            <w:gridSpan w:val="10"/>
          </w:tcPr>
          <w:p>
            <w:pPr>
              <w:spacing w:after="0" w:line="160" w:lineRule="exact"/>
              <w:rPr>
                <w:rFonts w:ascii="Times New Roman" w:cs="Times New Roman" w:eastAsia="Times New Roman" w:hAnsi="Times New Roman"/>
                <w:sz w:val="16"/>
                <w:szCs w:val="16"/>
                <w:color w:val="0000EE"/>
                <w:w w:val="97"/>
              </w:rPr>
            </w:pPr>
            <w:hyperlink r:id="rId225">
              <w:r>
                <w:rPr>
                  <w:rFonts w:ascii="Times New Roman" w:cs="Times New Roman" w:eastAsia="Times New Roman" w:hAnsi="Times New Roman"/>
                  <w:sz w:val="16"/>
                  <w:szCs w:val="16"/>
                  <w:color w:val="0000EE"/>
                  <w:w w:val="97"/>
                </w:rPr>
                <w:t>Trust, Inc.’s Quarterly Report on Form 10-Q (File No. 001-32336) filed on August 9, 2007).</w:t>
              </w:r>
            </w:hyperlink>
          </w:p>
        </w:tc>
        <w:tc>
          <w:tcPr>
            <w:tcW w:w="1080" w:type="dxa"/>
            <w:vAlign w:val="bottom"/>
            <w:tcBorders>
              <w:top w:val="single" w:sz="8" w:color="0000EE"/>
            </w:tcBorders>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52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10.5†</w:t>
            </w:r>
          </w:p>
        </w:tc>
        <w:tc>
          <w:tcPr>
            <w:tcW w:w="260" w:type="dxa"/>
            <w:vAlign w:val="bottom"/>
          </w:tcPr>
          <w:p>
            <w:pPr>
              <w:spacing w:after="0"/>
              <w:rPr>
                <w:sz w:val="24"/>
                <w:szCs w:val="24"/>
                <w:color w:val="auto"/>
              </w:rPr>
            </w:pPr>
          </w:p>
        </w:tc>
        <w:tc>
          <w:tcPr>
            <w:tcW w:w="7480" w:type="dxa"/>
            <w:vAlign w:val="bottom"/>
            <w:gridSpan w:val="33"/>
          </w:tcPr>
          <w:p>
            <w:pPr>
              <w:spacing w:after="0"/>
              <w:rPr>
                <w:rFonts w:ascii="Times New Roman" w:cs="Times New Roman" w:eastAsia="Times New Roman" w:hAnsi="Times New Roman"/>
                <w:sz w:val="16"/>
                <w:szCs w:val="16"/>
                <w:color w:val="0000EE"/>
              </w:rPr>
            </w:pPr>
            <w:hyperlink r:id="rId226">
              <w:r>
                <w:rPr>
                  <w:rFonts w:ascii="Times New Roman" w:cs="Times New Roman" w:eastAsia="Times New Roman" w:hAnsi="Times New Roman"/>
                  <w:sz w:val="16"/>
                  <w:szCs w:val="16"/>
                  <w:color w:val="0000EE"/>
                </w:rPr>
                <w:t>First Amended and Restated Digital Realty Trust, Inc., Digital Services, Inc. and Digital Realty Trust, L.P. 2004</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0" w:type="dxa"/>
            <w:vAlign w:val="bottom"/>
            <w:tcBorders>
              <w:top w:val="single" w:sz="8" w:color="0000EE"/>
            </w:tcBorders>
            <w:gridSpan w:val="17"/>
          </w:tcPr>
          <w:p>
            <w:pPr>
              <w:spacing w:after="0" w:line="160" w:lineRule="exact"/>
              <w:rPr>
                <w:rFonts w:ascii="Times New Roman" w:cs="Times New Roman" w:eastAsia="Times New Roman" w:hAnsi="Times New Roman"/>
                <w:sz w:val="16"/>
                <w:szCs w:val="16"/>
                <w:color w:val="0000EE"/>
                <w:w w:val="98"/>
              </w:rPr>
            </w:pPr>
            <w:hyperlink r:id="rId226">
              <w:r>
                <w:rPr>
                  <w:rFonts w:ascii="Times New Roman" w:cs="Times New Roman" w:eastAsia="Times New Roman" w:hAnsi="Times New Roman"/>
                  <w:sz w:val="16"/>
                  <w:szCs w:val="16"/>
                  <w:color w:val="0000EE"/>
                  <w:w w:val="98"/>
                </w:rPr>
                <w:t>Incentive Award Plan (incorporated by reference to Appendix A to Digital Realty Trust, Inc.’s definitive proxy</w:t>
              </w:r>
            </w:hyperlink>
          </w:p>
        </w:tc>
        <w:tc>
          <w:tcPr>
            <w:tcW w:w="20" w:type="dxa"/>
            <w:vAlign w:val="bottom"/>
          </w:tcPr>
          <w:p>
            <w:pPr>
              <w:spacing w:after="0"/>
              <w:rPr>
                <w:sz w:val="13"/>
                <w:szCs w:val="13"/>
                <w:color w:val="auto"/>
              </w:rPr>
            </w:pPr>
          </w:p>
        </w:tc>
        <w:tc>
          <w:tcPr>
            <w:tcW w:w="2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720" w:type="dxa"/>
            <w:vAlign w:val="bottom"/>
            <w:tcBorders>
              <w:top w:val="single" w:sz="8" w:color="0000EE"/>
              <w:bottom w:val="single" w:sz="8" w:color="0000EE"/>
            </w:tcBorders>
            <w:gridSpan w:val="6"/>
          </w:tcPr>
          <w:p>
            <w:pPr>
              <w:spacing w:after="0" w:line="160" w:lineRule="exact"/>
              <w:rPr>
                <w:rFonts w:ascii="Times New Roman" w:cs="Times New Roman" w:eastAsia="Times New Roman" w:hAnsi="Times New Roman"/>
                <w:sz w:val="16"/>
                <w:szCs w:val="16"/>
                <w:color w:val="0000EE"/>
                <w:w w:val="97"/>
              </w:rPr>
            </w:pPr>
            <w:hyperlink r:id="rId226">
              <w:r>
                <w:rPr>
                  <w:rFonts w:ascii="Times New Roman" w:cs="Times New Roman" w:eastAsia="Times New Roman" w:hAnsi="Times New Roman"/>
                  <w:sz w:val="16"/>
                  <w:szCs w:val="16"/>
                  <w:color w:val="0000EE"/>
                  <w:w w:val="97"/>
                </w:rPr>
                <w:t>statement on Schedule 14A (File No. 001-32336) filed on March 30, 2007).</w:t>
              </w:r>
            </w:hyperlink>
          </w:p>
        </w:tc>
        <w:tc>
          <w:tcPr>
            <w:tcW w:w="2200" w:type="dxa"/>
            <w:vAlign w:val="bottom"/>
            <w:tcBorders>
              <w:top w:val="single" w:sz="8" w:color="0000EE"/>
            </w:tcBorders>
            <w:gridSpan w:val="9"/>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10.6†</w:t>
            </w:r>
          </w:p>
        </w:tc>
        <w:tc>
          <w:tcPr>
            <w:tcW w:w="260" w:type="dxa"/>
            <w:vAlign w:val="bottom"/>
          </w:tcPr>
          <w:p>
            <w:pPr>
              <w:spacing w:after="0"/>
              <w:rPr>
                <w:sz w:val="24"/>
                <w:szCs w:val="24"/>
                <w:color w:val="auto"/>
              </w:rPr>
            </w:pPr>
          </w:p>
        </w:tc>
        <w:tc>
          <w:tcPr>
            <w:tcW w:w="7480" w:type="dxa"/>
            <w:vAlign w:val="bottom"/>
            <w:gridSpan w:val="33"/>
          </w:tcPr>
          <w:p>
            <w:pPr>
              <w:spacing w:after="0"/>
              <w:rPr>
                <w:rFonts w:ascii="Times New Roman" w:cs="Times New Roman" w:eastAsia="Times New Roman" w:hAnsi="Times New Roman"/>
                <w:sz w:val="16"/>
                <w:szCs w:val="16"/>
                <w:color w:val="0000EE"/>
              </w:rPr>
            </w:pPr>
            <w:hyperlink r:id="rId227">
              <w:r>
                <w:rPr>
                  <w:rFonts w:ascii="Times New Roman" w:cs="Times New Roman" w:eastAsia="Times New Roman" w:hAnsi="Times New Roman"/>
                  <w:sz w:val="16"/>
                  <w:szCs w:val="16"/>
                  <w:color w:val="0000EE"/>
                </w:rPr>
                <w:t>Form of 2008 Performance-Based Profits Interest Units Agreement (incorporated by reference to Exhibit 10.3 to</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20" w:type="dxa"/>
            <w:vAlign w:val="bottom"/>
            <w:tcBorders>
              <w:top w:val="single" w:sz="8" w:color="0000EE"/>
            </w:tcBorders>
            <w:gridSpan w:val="18"/>
          </w:tcPr>
          <w:p>
            <w:pPr>
              <w:spacing w:after="0" w:line="160" w:lineRule="exact"/>
              <w:rPr>
                <w:rFonts w:ascii="Times New Roman" w:cs="Times New Roman" w:eastAsia="Times New Roman" w:hAnsi="Times New Roman"/>
                <w:sz w:val="16"/>
                <w:szCs w:val="16"/>
                <w:color w:val="0000EE"/>
              </w:rPr>
            </w:pPr>
            <w:hyperlink r:id="rId227">
              <w:r>
                <w:rPr>
                  <w:rFonts w:ascii="Times New Roman" w:cs="Times New Roman" w:eastAsia="Times New Roman" w:hAnsi="Times New Roman"/>
                  <w:sz w:val="16"/>
                  <w:szCs w:val="16"/>
                  <w:color w:val="0000EE"/>
                </w:rPr>
                <w:t>Digital Realty Trust, Inc.’s Quarterly Report on Form 10-Q (File No. 001-32336) filed on May 9, 2008).</w:t>
              </w:r>
            </w:hyperlink>
          </w:p>
        </w:tc>
        <w:tc>
          <w:tcPr>
            <w:tcW w:w="2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760" w:type="dxa"/>
            <w:vAlign w:val="bottom"/>
            <w:gridSpan w:val="5"/>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4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10.7†</w:t>
            </w:r>
          </w:p>
        </w:tc>
        <w:tc>
          <w:tcPr>
            <w:tcW w:w="260" w:type="dxa"/>
            <w:vAlign w:val="bottom"/>
          </w:tcPr>
          <w:p>
            <w:pPr>
              <w:spacing w:after="0"/>
              <w:rPr>
                <w:sz w:val="24"/>
                <w:szCs w:val="24"/>
                <w:color w:val="auto"/>
              </w:rPr>
            </w:pPr>
          </w:p>
        </w:tc>
        <w:tc>
          <w:tcPr>
            <w:tcW w:w="7480" w:type="dxa"/>
            <w:vAlign w:val="bottom"/>
            <w:gridSpan w:val="33"/>
          </w:tcPr>
          <w:p>
            <w:pPr>
              <w:spacing w:after="0"/>
              <w:rPr>
                <w:rFonts w:ascii="Times New Roman" w:cs="Times New Roman" w:eastAsia="Times New Roman" w:hAnsi="Times New Roman"/>
                <w:sz w:val="16"/>
                <w:szCs w:val="16"/>
                <w:color w:val="0000EE"/>
              </w:rPr>
            </w:pPr>
            <w:hyperlink r:id="rId228">
              <w:r>
                <w:rPr>
                  <w:rFonts w:ascii="Times New Roman" w:cs="Times New Roman" w:eastAsia="Times New Roman" w:hAnsi="Times New Roman"/>
                  <w:sz w:val="16"/>
                  <w:szCs w:val="16"/>
                  <w:color w:val="0000EE"/>
                </w:rPr>
                <w:t>First Amendment to First Amended and Restated Digital Realty Trust, Inc., Digital Services, Inc. and Digital Realty</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40" w:type="dxa"/>
            <w:vAlign w:val="bottom"/>
            <w:tcBorders>
              <w:top w:val="single" w:sz="8" w:color="0000EE"/>
            </w:tcBorders>
            <w:gridSpan w:val="23"/>
          </w:tcPr>
          <w:p>
            <w:pPr>
              <w:spacing w:after="0" w:line="160" w:lineRule="exact"/>
              <w:rPr>
                <w:rFonts w:ascii="Times New Roman" w:cs="Times New Roman" w:eastAsia="Times New Roman" w:hAnsi="Times New Roman"/>
                <w:sz w:val="16"/>
                <w:szCs w:val="16"/>
                <w:color w:val="0000EE"/>
              </w:rPr>
            </w:pPr>
            <w:hyperlink r:id="rId228">
              <w:r>
                <w:rPr>
                  <w:rFonts w:ascii="Times New Roman" w:cs="Times New Roman" w:eastAsia="Times New Roman" w:hAnsi="Times New Roman"/>
                  <w:sz w:val="16"/>
                  <w:szCs w:val="16"/>
                  <w:color w:val="0000EE"/>
                </w:rPr>
                <w:t>Trust, L.P. 2004 Incentive Award Plan (incorporated by reference to Exhibit 10.4 to Digital Realty Trust, Inc.’s</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0" w:type="dxa"/>
            <w:vAlign w:val="bottom"/>
            <w:tcBorders>
              <w:top w:val="single" w:sz="8" w:color="0000EE"/>
              <w:bottom w:val="single" w:sz="8" w:color="0000EE"/>
            </w:tcBorders>
            <w:gridSpan w:val="7"/>
          </w:tcPr>
          <w:p>
            <w:pPr>
              <w:spacing w:after="0" w:line="160" w:lineRule="exact"/>
              <w:rPr>
                <w:rFonts w:ascii="Times New Roman" w:cs="Times New Roman" w:eastAsia="Times New Roman" w:hAnsi="Times New Roman"/>
                <w:sz w:val="16"/>
                <w:szCs w:val="16"/>
                <w:color w:val="0000EE"/>
                <w:w w:val="96"/>
              </w:rPr>
            </w:pPr>
            <w:hyperlink r:id="rId228">
              <w:r>
                <w:rPr>
                  <w:rFonts w:ascii="Times New Roman" w:cs="Times New Roman" w:eastAsia="Times New Roman" w:hAnsi="Times New Roman"/>
                  <w:sz w:val="16"/>
                  <w:szCs w:val="16"/>
                  <w:color w:val="0000EE"/>
                  <w:w w:val="96"/>
                </w:rPr>
                <w:t>Quarterly Report on Form 10-Q (File No. 001-32336) filed on May 9, 2008).</w:t>
              </w:r>
            </w:hyperlink>
          </w:p>
        </w:tc>
        <w:tc>
          <w:tcPr>
            <w:tcW w:w="2160" w:type="dxa"/>
            <w:vAlign w:val="bottom"/>
            <w:tcBorders>
              <w:top w:val="single" w:sz="8" w:color="0000EE"/>
            </w:tcBorders>
            <w:gridSpan w:val="9"/>
          </w:tcPr>
          <w:p>
            <w:pPr>
              <w:spacing w:after="0"/>
              <w:rPr>
                <w:sz w:val="13"/>
                <w:szCs w:val="13"/>
                <w:color w:val="auto"/>
              </w:rPr>
            </w:pPr>
          </w:p>
        </w:tc>
        <w:tc>
          <w:tcPr>
            <w:tcW w:w="300" w:type="dxa"/>
            <w:vAlign w:val="bottom"/>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10.8†</w:t>
            </w:r>
          </w:p>
        </w:tc>
        <w:tc>
          <w:tcPr>
            <w:tcW w:w="260" w:type="dxa"/>
            <w:vAlign w:val="bottom"/>
          </w:tcPr>
          <w:p>
            <w:pPr>
              <w:spacing w:after="0"/>
              <w:rPr>
                <w:sz w:val="24"/>
                <w:szCs w:val="24"/>
                <w:color w:val="auto"/>
              </w:rPr>
            </w:pPr>
          </w:p>
        </w:tc>
        <w:tc>
          <w:tcPr>
            <w:tcW w:w="7480" w:type="dxa"/>
            <w:vAlign w:val="bottom"/>
            <w:gridSpan w:val="33"/>
          </w:tcPr>
          <w:p>
            <w:pPr>
              <w:spacing w:after="0"/>
              <w:rPr>
                <w:rFonts w:ascii="Times New Roman" w:cs="Times New Roman" w:eastAsia="Times New Roman" w:hAnsi="Times New Roman"/>
                <w:sz w:val="16"/>
                <w:szCs w:val="16"/>
                <w:color w:val="0000EE"/>
                <w:w w:val="97"/>
              </w:rPr>
            </w:pPr>
            <w:hyperlink r:id="rId229">
              <w:r>
                <w:rPr>
                  <w:rFonts w:ascii="Times New Roman" w:cs="Times New Roman" w:eastAsia="Times New Roman" w:hAnsi="Times New Roman"/>
                  <w:sz w:val="16"/>
                  <w:szCs w:val="16"/>
                  <w:color w:val="0000EE"/>
                  <w:w w:val="97"/>
                </w:rPr>
                <w:t>Second Amendment to First Amended and Restated Digital Realty Trust, Inc., Digital Services, Inc. and Digital Realty</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20" w:type="dxa"/>
            <w:vAlign w:val="bottom"/>
            <w:tcBorders>
              <w:top w:val="single" w:sz="8" w:color="0000EE"/>
            </w:tcBorders>
            <w:gridSpan w:val="30"/>
          </w:tcPr>
          <w:p>
            <w:pPr>
              <w:spacing w:after="0" w:line="160" w:lineRule="exact"/>
              <w:rPr>
                <w:rFonts w:ascii="Times New Roman" w:cs="Times New Roman" w:eastAsia="Times New Roman" w:hAnsi="Times New Roman"/>
                <w:sz w:val="16"/>
                <w:szCs w:val="16"/>
                <w:color w:val="0000EE"/>
              </w:rPr>
            </w:pPr>
            <w:hyperlink r:id="rId229">
              <w:r>
                <w:rPr>
                  <w:rFonts w:ascii="Times New Roman" w:cs="Times New Roman" w:eastAsia="Times New Roman" w:hAnsi="Times New Roman"/>
                  <w:sz w:val="16"/>
                  <w:szCs w:val="16"/>
                  <w:color w:val="0000EE"/>
                </w:rPr>
                <w:t>Trust, L.P. 2004 Incentive Award Plan (incorporated by reference to Exhibit 10.4 to Digital Realty Trust, Inc.’s</w:t>
              </w:r>
            </w:hyperlink>
          </w:p>
        </w:tc>
        <w:tc>
          <w:tcPr>
            <w:tcW w:w="60" w:type="dxa"/>
            <w:vAlign w:val="bottom"/>
            <w:gridSpan w:val="3"/>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960" w:type="dxa"/>
            <w:vAlign w:val="bottom"/>
            <w:tcBorders>
              <w:top w:val="single" w:sz="8" w:color="0000EE"/>
              <w:bottom w:val="single" w:sz="8" w:color="0000EE"/>
            </w:tcBorders>
            <w:gridSpan w:val="8"/>
          </w:tcPr>
          <w:p>
            <w:pPr>
              <w:spacing w:after="0" w:line="160" w:lineRule="exact"/>
              <w:rPr>
                <w:rFonts w:ascii="Times New Roman" w:cs="Times New Roman" w:eastAsia="Times New Roman" w:hAnsi="Times New Roman"/>
                <w:sz w:val="16"/>
                <w:szCs w:val="16"/>
                <w:color w:val="0000EE"/>
                <w:w w:val="96"/>
              </w:rPr>
            </w:pPr>
            <w:hyperlink r:id="rId229">
              <w:r>
                <w:rPr>
                  <w:rFonts w:ascii="Times New Roman" w:cs="Times New Roman" w:eastAsia="Times New Roman" w:hAnsi="Times New Roman"/>
                  <w:sz w:val="16"/>
                  <w:szCs w:val="16"/>
                  <w:color w:val="0000EE"/>
                  <w:w w:val="96"/>
                </w:rPr>
                <w:t>Quarterly Report on Form 10-Q (File No. 001-32336) filed on August 6, 2009).</w:t>
              </w:r>
            </w:hyperlink>
          </w:p>
        </w:tc>
        <w:tc>
          <w:tcPr>
            <w:tcW w:w="2000" w:type="dxa"/>
            <w:vAlign w:val="bottom"/>
            <w:tcBorders>
              <w:top w:val="single" w:sz="8" w:color="0000EE"/>
            </w:tcBorders>
            <w:gridSpan w:val="8"/>
          </w:tcPr>
          <w:p>
            <w:pPr>
              <w:spacing w:after="0"/>
              <w:rPr>
                <w:sz w:val="13"/>
                <w:szCs w:val="13"/>
                <w:color w:val="auto"/>
              </w:rPr>
            </w:pPr>
          </w:p>
        </w:tc>
        <w:tc>
          <w:tcPr>
            <w:tcW w:w="300" w:type="dxa"/>
            <w:vAlign w:val="bottom"/>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10.9†</w:t>
            </w:r>
          </w:p>
        </w:tc>
        <w:tc>
          <w:tcPr>
            <w:tcW w:w="260" w:type="dxa"/>
            <w:vAlign w:val="bottom"/>
          </w:tcPr>
          <w:p>
            <w:pPr>
              <w:spacing w:after="0"/>
              <w:rPr>
                <w:sz w:val="24"/>
                <w:szCs w:val="24"/>
                <w:color w:val="auto"/>
              </w:rPr>
            </w:pPr>
          </w:p>
        </w:tc>
        <w:tc>
          <w:tcPr>
            <w:tcW w:w="7480" w:type="dxa"/>
            <w:vAlign w:val="bottom"/>
            <w:gridSpan w:val="33"/>
          </w:tcPr>
          <w:p>
            <w:pPr>
              <w:spacing w:after="0"/>
              <w:rPr>
                <w:rFonts w:ascii="Times New Roman" w:cs="Times New Roman" w:eastAsia="Times New Roman" w:hAnsi="Times New Roman"/>
                <w:sz w:val="16"/>
                <w:szCs w:val="16"/>
                <w:color w:val="0000EE"/>
                <w:w w:val="99"/>
              </w:rPr>
            </w:pPr>
            <w:hyperlink r:id="rId230">
              <w:r>
                <w:rPr>
                  <w:rFonts w:ascii="Times New Roman" w:cs="Times New Roman" w:eastAsia="Times New Roman" w:hAnsi="Times New Roman"/>
                  <w:sz w:val="16"/>
                  <w:szCs w:val="16"/>
                  <w:color w:val="0000EE"/>
                  <w:w w:val="99"/>
                </w:rPr>
                <w:t>Third Amendment to First Amended and Restated Digital Realty Trust, Inc., Digital Services, Inc. and Digital Realty</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300" w:type="dxa"/>
            <w:vAlign w:val="bottom"/>
            <w:tcBorders>
              <w:top w:val="single" w:sz="8" w:color="0000EE"/>
            </w:tcBorders>
            <w:gridSpan w:val="26"/>
          </w:tcPr>
          <w:p>
            <w:pPr>
              <w:spacing w:after="0" w:line="160" w:lineRule="exact"/>
              <w:rPr>
                <w:rFonts w:ascii="Times New Roman" w:cs="Times New Roman" w:eastAsia="Times New Roman" w:hAnsi="Times New Roman"/>
                <w:sz w:val="16"/>
                <w:szCs w:val="16"/>
                <w:color w:val="0000EE"/>
              </w:rPr>
            </w:pPr>
            <w:hyperlink r:id="rId230">
              <w:r>
                <w:rPr>
                  <w:rFonts w:ascii="Times New Roman" w:cs="Times New Roman" w:eastAsia="Times New Roman" w:hAnsi="Times New Roman"/>
                  <w:sz w:val="16"/>
                  <w:szCs w:val="16"/>
                  <w:color w:val="0000EE"/>
                </w:rPr>
                <w:t>Trust, L.P. 2004 Incentive Award Plan (incorporated by reference to Exhibit 10.1 to Digital Realty Trust, Inc.’s</w:t>
              </w:r>
            </w:hyperlink>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960" w:type="dxa"/>
            <w:vAlign w:val="bottom"/>
            <w:tcBorders>
              <w:top w:val="single" w:sz="8" w:color="0000EE"/>
            </w:tcBorders>
            <w:gridSpan w:val="16"/>
          </w:tcPr>
          <w:p>
            <w:pPr>
              <w:spacing w:after="0" w:line="160" w:lineRule="exact"/>
              <w:rPr>
                <w:rFonts w:ascii="Times New Roman" w:cs="Times New Roman" w:eastAsia="Times New Roman" w:hAnsi="Times New Roman"/>
                <w:sz w:val="16"/>
                <w:szCs w:val="16"/>
                <w:color w:val="0000EE"/>
              </w:rPr>
            </w:pPr>
            <w:hyperlink r:id="rId230">
              <w:r>
                <w:rPr>
                  <w:rFonts w:ascii="Times New Roman" w:cs="Times New Roman" w:eastAsia="Times New Roman" w:hAnsi="Times New Roman"/>
                  <w:sz w:val="16"/>
                  <w:szCs w:val="16"/>
                  <w:color w:val="0000EE"/>
                </w:rPr>
                <w:t>Quarterly Report on Form 10-Q (File No. 001-32336) filed on November 9, 2009).</w:t>
              </w:r>
            </w:hyperlink>
          </w:p>
        </w:tc>
        <w:tc>
          <w:tcPr>
            <w:tcW w:w="300" w:type="dxa"/>
            <w:vAlign w:val="bottom"/>
            <w:gridSpan w:val="8"/>
          </w:tcPr>
          <w:p>
            <w:pPr>
              <w:spacing w:after="0"/>
              <w:rPr>
                <w:sz w:val="13"/>
                <w:szCs w:val="13"/>
                <w:color w:val="auto"/>
              </w:rPr>
            </w:pPr>
          </w:p>
        </w:tc>
        <w:tc>
          <w:tcPr>
            <w:tcW w:w="10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120" w:type="dxa"/>
            <w:vAlign w:val="bottom"/>
            <w:gridSpan w:val="7"/>
            <w:shd w:val="clear" w:color="auto" w:fill="0000EE"/>
          </w:tcPr>
          <w:p>
            <w:pPr>
              <w:spacing w:after="0" w:line="20" w:lineRule="exact"/>
              <w:rPr>
                <w:sz w:val="1"/>
                <w:szCs w:val="1"/>
                <w:color w:val="auto"/>
              </w:rPr>
            </w:pPr>
          </w:p>
        </w:tc>
        <w:tc>
          <w:tcPr>
            <w:tcW w:w="2100" w:type="dxa"/>
            <w:vAlign w:val="bottom"/>
            <w:gridSpan w:val="1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10.10†</w:t>
            </w:r>
          </w:p>
        </w:tc>
        <w:tc>
          <w:tcPr>
            <w:tcW w:w="260" w:type="dxa"/>
            <w:vAlign w:val="bottom"/>
          </w:tcPr>
          <w:p>
            <w:pPr>
              <w:spacing w:after="0"/>
              <w:rPr>
                <w:sz w:val="24"/>
                <w:szCs w:val="24"/>
                <w:color w:val="auto"/>
              </w:rPr>
            </w:pPr>
          </w:p>
        </w:tc>
        <w:tc>
          <w:tcPr>
            <w:tcW w:w="7480" w:type="dxa"/>
            <w:vAlign w:val="bottom"/>
            <w:gridSpan w:val="33"/>
          </w:tcPr>
          <w:p>
            <w:pPr>
              <w:spacing w:after="0"/>
              <w:rPr>
                <w:rFonts w:ascii="Times New Roman" w:cs="Times New Roman" w:eastAsia="Times New Roman" w:hAnsi="Times New Roman"/>
                <w:sz w:val="16"/>
                <w:szCs w:val="16"/>
                <w:color w:val="0000EE"/>
                <w:w w:val="98"/>
              </w:rPr>
            </w:pPr>
            <w:hyperlink r:id="rId231">
              <w:r>
                <w:rPr>
                  <w:rFonts w:ascii="Times New Roman" w:cs="Times New Roman" w:eastAsia="Times New Roman" w:hAnsi="Times New Roman"/>
                  <w:sz w:val="16"/>
                  <w:szCs w:val="16"/>
                  <w:color w:val="0000EE"/>
                  <w:w w:val="98"/>
                </w:rPr>
                <w:t>Fourth Amendment to First Amended and Restated Digital Realty Trust, Inc., Digital Services, Inc. and Digital Realty</w:t>
              </w:r>
            </w:hyperlink>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20" w:type="dxa"/>
            <w:vAlign w:val="bottom"/>
            <w:gridSpan w:val="22"/>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80" w:type="dxa"/>
            <w:vAlign w:val="bottom"/>
            <w:gridSpan w:val="33"/>
          </w:tcPr>
          <w:p>
            <w:pPr>
              <w:spacing w:after="0" w:line="160" w:lineRule="exact"/>
              <w:rPr>
                <w:rFonts w:ascii="Times New Roman" w:cs="Times New Roman" w:eastAsia="Times New Roman" w:hAnsi="Times New Roman"/>
                <w:sz w:val="16"/>
                <w:szCs w:val="16"/>
                <w:color w:val="0000EE"/>
                <w:w w:val="97"/>
              </w:rPr>
            </w:pPr>
            <w:hyperlink r:id="rId231">
              <w:r>
                <w:rPr>
                  <w:rFonts w:ascii="Times New Roman" w:cs="Times New Roman" w:eastAsia="Times New Roman" w:hAnsi="Times New Roman"/>
                  <w:sz w:val="16"/>
                  <w:szCs w:val="16"/>
                  <w:color w:val="0000EE"/>
                  <w:w w:val="97"/>
                </w:rPr>
                <w:t>Trust, L.P. 2004 Incentive Award Plan (incorporated by reference to Exhibit 10.1 to the Combined Quarterly Report on</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60" w:type="dxa"/>
            <w:vAlign w:val="bottom"/>
            <w:tcBorders>
              <w:top w:val="single" w:sz="8" w:color="0000EE"/>
            </w:tcBorders>
            <w:gridSpan w:val="32"/>
          </w:tcPr>
          <w:p>
            <w:pPr>
              <w:spacing w:after="0" w:line="160" w:lineRule="exact"/>
              <w:rPr>
                <w:rFonts w:ascii="Times New Roman" w:cs="Times New Roman" w:eastAsia="Times New Roman" w:hAnsi="Times New Roman"/>
                <w:sz w:val="16"/>
                <w:szCs w:val="16"/>
                <w:color w:val="0000EE"/>
                <w:w w:val="99"/>
              </w:rPr>
            </w:pPr>
            <w:hyperlink r:id="rId231">
              <w:r>
                <w:rPr>
                  <w:rFonts w:ascii="Times New Roman" w:cs="Times New Roman" w:eastAsia="Times New Roman" w:hAnsi="Times New Roman"/>
                  <w:sz w:val="16"/>
                  <w:szCs w:val="16"/>
                  <w:color w:val="0000EE"/>
                  <w:w w:val="99"/>
                </w:rPr>
                <w:t>Form 10-Q of Digital Realty Trust, Inc. and Digital Realty Trust, L.P. (File Nos. 001-32336 and 000-54023) filed on</w:t>
              </w:r>
            </w:hyperlink>
          </w:p>
        </w:tc>
        <w:tc>
          <w:tcPr>
            <w:tcW w:w="20" w:type="dxa"/>
            <w:vAlign w:val="bottom"/>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Borders>
              <w:top w:val="single" w:sz="8" w:color="0000EE"/>
              <w:bottom w:val="single" w:sz="8" w:color="0000EE"/>
            </w:tcBorders>
            <w:gridSpan w:val="2"/>
          </w:tcPr>
          <w:p>
            <w:pPr>
              <w:spacing w:after="0" w:line="160" w:lineRule="exact"/>
              <w:rPr>
                <w:rFonts w:ascii="Times New Roman" w:cs="Times New Roman" w:eastAsia="Times New Roman" w:hAnsi="Times New Roman"/>
                <w:sz w:val="16"/>
                <w:szCs w:val="16"/>
                <w:color w:val="0000EE"/>
                <w:w w:val="94"/>
              </w:rPr>
            </w:pPr>
            <w:hyperlink r:id="rId231">
              <w:r>
                <w:rPr>
                  <w:rFonts w:ascii="Times New Roman" w:cs="Times New Roman" w:eastAsia="Times New Roman" w:hAnsi="Times New Roman"/>
                  <w:sz w:val="16"/>
                  <w:szCs w:val="16"/>
                  <w:color w:val="0000EE"/>
                  <w:w w:val="94"/>
                </w:rPr>
                <w:t>August 7, 2012).</w:t>
              </w:r>
            </w:hyperlink>
          </w:p>
        </w:tc>
        <w:tc>
          <w:tcPr>
            <w:tcW w:w="6240" w:type="dxa"/>
            <w:vAlign w:val="bottom"/>
            <w:tcBorders>
              <w:top w:val="single" w:sz="8" w:color="0000EE"/>
            </w:tcBorders>
            <w:gridSpan w:val="23"/>
          </w:tcPr>
          <w:p>
            <w:pPr>
              <w:spacing w:after="0"/>
              <w:rPr>
                <w:sz w:val="13"/>
                <w:szCs w:val="13"/>
                <w:color w:val="auto"/>
              </w:rPr>
            </w:pPr>
          </w:p>
        </w:tc>
        <w:tc>
          <w:tcPr>
            <w:tcW w:w="12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10.11†</w:t>
            </w:r>
          </w:p>
        </w:tc>
        <w:tc>
          <w:tcPr>
            <w:tcW w:w="260" w:type="dxa"/>
            <w:vAlign w:val="bottom"/>
          </w:tcPr>
          <w:p>
            <w:pPr>
              <w:spacing w:after="0"/>
              <w:rPr>
                <w:sz w:val="24"/>
                <w:szCs w:val="24"/>
                <w:color w:val="auto"/>
              </w:rPr>
            </w:pPr>
          </w:p>
        </w:tc>
        <w:tc>
          <w:tcPr>
            <w:tcW w:w="7480" w:type="dxa"/>
            <w:vAlign w:val="bottom"/>
            <w:gridSpan w:val="33"/>
          </w:tcPr>
          <w:p>
            <w:pPr>
              <w:spacing w:after="0"/>
              <w:rPr>
                <w:rFonts w:ascii="Times New Roman" w:cs="Times New Roman" w:eastAsia="Times New Roman" w:hAnsi="Times New Roman"/>
                <w:sz w:val="16"/>
                <w:szCs w:val="16"/>
                <w:color w:val="0000EE"/>
              </w:rPr>
            </w:pPr>
            <w:hyperlink r:id="rId232">
              <w:r>
                <w:rPr>
                  <w:rFonts w:ascii="Times New Roman" w:cs="Times New Roman" w:eastAsia="Times New Roman" w:hAnsi="Times New Roman"/>
                  <w:sz w:val="16"/>
                  <w:szCs w:val="16"/>
                  <w:color w:val="0000EE"/>
                </w:rPr>
                <w:t>Fifth Amendment to First Amended and Restated Digital Realty Trust, Inc., Digital Services, Inc. and Digital Realty</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60" w:type="dxa"/>
            <w:vAlign w:val="bottom"/>
            <w:tcBorders>
              <w:top w:val="single" w:sz="8" w:color="0000EE"/>
            </w:tcBorders>
            <w:gridSpan w:val="24"/>
          </w:tcPr>
          <w:p>
            <w:pPr>
              <w:spacing w:after="0" w:line="160" w:lineRule="exact"/>
              <w:rPr>
                <w:rFonts w:ascii="Times New Roman" w:cs="Times New Roman" w:eastAsia="Times New Roman" w:hAnsi="Times New Roman"/>
                <w:sz w:val="16"/>
                <w:szCs w:val="16"/>
                <w:color w:val="0000EE"/>
                <w:w w:val="97"/>
              </w:rPr>
            </w:pPr>
            <w:hyperlink r:id="rId232">
              <w:r>
                <w:rPr>
                  <w:rFonts w:ascii="Times New Roman" w:cs="Times New Roman" w:eastAsia="Times New Roman" w:hAnsi="Times New Roman"/>
                  <w:sz w:val="16"/>
                  <w:szCs w:val="16"/>
                  <w:color w:val="0000EE"/>
                  <w:w w:val="97"/>
                </w:rPr>
                <w:t>Trust, L.P. 2004 Incentive Award Plan. (incorporated by reference to exhibit 10.46 to the Combined Annual Report</w:t>
              </w:r>
            </w:hyperlink>
          </w:p>
        </w:tc>
        <w:tc>
          <w:tcPr>
            <w:tcW w:w="220" w:type="dxa"/>
            <w:vAlign w:val="bottom"/>
            <w:gridSpan w:val="9"/>
          </w:tcPr>
          <w:p>
            <w:pPr>
              <w:spacing w:after="0" w:line="160" w:lineRule="exact"/>
              <w:rPr>
                <w:rFonts w:ascii="Times New Roman" w:cs="Times New Roman" w:eastAsia="Times New Roman" w:hAnsi="Times New Roman"/>
                <w:sz w:val="16"/>
                <w:szCs w:val="16"/>
                <w:color w:val="0000EE"/>
              </w:rPr>
            </w:pPr>
            <w:hyperlink r:id="rId232">
              <w:r>
                <w:rPr>
                  <w:rFonts w:ascii="Times New Roman" w:cs="Times New Roman" w:eastAsia="Times New Roman" w:hAnsi="Times New Roman"/>
                  <w:sz w:val="16"/>
                  <w:szCs w:val="16"/>
                  <w:color w:val="0000EE"/>
                </w:rPr>
                <w:t>on</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0" w:type="dxa"/>
            <w:vAlign w:val="bottom"/>
            <w:tcBorders>
              <w:top w:val="single" w:sz="8" w:color="0000EE"/>
            </w:tcBorders>
            <w:gridSpan w:val="29"/>
          </w:tcPr>
          <w:p>
            <w:pPr>
              <w:spacing w:after="0" w:line="160" w:lineRule="exact"/>
              <w:rPr>
                <w:rFonts w:ascii="Times New Roman" w:cs="Times New Roman" w:eastAsia="Times New Roman" w:hAnsi="Times New Roman"/>
                <w:sz w:val="16"/>
                <w:szCs w:val="16"/>
                <w:color w:val="0000EE"/>
                <w:w w:val="98"/>
              </w:rPr>
            </w:pPr>
            <w:hyperlink r:id="rId232">
              <w:r>
                <w:rPr>
                  <w:rFonts w:ascii="Times New Roman" w:cs="Times New Roman" w:eastAsia="Times New Roman" w:hAnsi="Times New Roman"/>
                  <w:sz w:val="16"/>
                  <w:szCs w:val="16"/>
                  <w:color w:val="0000EE"/>
                  <w:w w:val="98"/>
                </w:rPr>
                <w:t>Form 10-K of Digital Realty Trust, Inc. and Digital Realty Trust, L.P. (File Nos. 001-32336 and 000-54023) filed on</w:t>
              </w:r>
            </w:hyperlink>
          </w:p>
        </w:tc>
        <w:tc>
          <w:tcPr>
            <w:tcW w:w="80" w:type="dxa"/>
            <w:vAlign w:val="bottom"/>
            <w:gridSpan w:val="4"/>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Borders>
              <w:top w:val="single" w:sz="8" w:color="0000EE"/>
              <w:bottom w:val="single" w:sz="8" w:color="0000EE"/>
            </w:tcBorders>
          </w:tcPr>
          <w:p>
            <w:pPr>
              <w:spacing w:after="0" w:line="160" w:lineRule="exact"/>
              <w:rPr>
                <w:rFonts w:ascii="Times New Roman" w:cs="Times New Roman" w:eastAsia="Times New Roman" w:hAnsi="Times New Roman"/>
                <w:sz w:val="16"/>
                <w:szCs w:val="16"/>
                <w:color w:val="0000EE"/>
                <w:w w:val="95"/>
              </w:rPr>
            </w:pPr>
            <w:hyperlink r:id="rId232">
              <w:r>
                <w:rPr>
                  <w:rFonts w:ascii="Times New Roman" w:cs="Times New Roman" w:eastAsia="Times New Roman" w:hAnsi="Times New Roman"/>
                  <w:sz w:val="16"/>
                  <w:szCs w:val="16"/>
                  <w:color w:val="0000EE"/>
                  <w:w w:val="95"/>
                </w:rPr>
                <w:t>March 2, 2015).</w:t>
              </w:r>
            </w:hyperlink>
          </w:p>
        </w:tc>
        <w:tc>
          <w:tcPr>
            <w:tcW w:w="6280" w:type="dxa"/>
            <w:vAlign w:val="bottom"/>
            <w:tcBorders>
              <w:top w:val="single" w:sz="8" w:color="0000EE"/>
            </w:tcBorders>
            <w:gridSpan w:val="24"/>
          </w:tcPr>
          <w:p>
            <w:pPr>
              <w:spacing w:after="0"/>
              <w:rPr>
                <w:sz w:val="13"/>
                <w:szCs w:val="13"/>
                <w:color w:val="auto"/>
              </w:rPr>
            </w:pPr>
          </w:p>
        </w:tc>
        <w:tc>
          <w:tcPr>
            <w:tcW w:w="200" w:type="dxa"/>
            <w:vAlign w:val="bottom"/>
            <w:gridSpan w:val="8"/>
          </w:tcPr>
          <w:p>
            <w:pPr>
              <w:spacing w:after="0"/>
              <w:rPr>
                <w:sz w:val="13"/>
                <w:szCs w:val="13"/>
                <w:color w:val="auto"/>
              </w:rPr>
            </w:pPr>
          </w:p>
        </w:tc>
      </w:tr>
      <w:tr>
        <w:trPr>
          <w:trHeight w:val="578"/>
        </w:trPr>
        <w:tc>
          <w:tcPr>
            <w:tcW w:w="660" w:type="dxa"/>
            <w:vAlign w:val="bottom"/>
          </w:tcPr>
          <w:p>
            <w:pPr>
              <w:spacing w:after="0"/>
              <w:rPr>
                <w:sz w:val="24"/>
                <w:szCs w:val="24"/>
                <w:color w:val="auto"/>
              </w:rPr>
            </w:pPr>
          </w:p>
        </w:tc>
        <w:tc>
          <w:tcPr>
            <w:tcW w:w="3860" w:type="dxa"/>
            <w:vAlign w:val="bottom"/>
            <w:gridSpan w:val="5"/>
          </w:tcPr>
          <w:p>
            <w:pPr>
              <w:jc w:val="right"/>
              <w:ind w:right="220"/>
              <w:spacing w:after="0"/>
              <w:rPr>
                <w:sz w:val="20"/>
                <w:szCs w:val="20"/>
                <w:color w:val="auto"/>
              </w:rPr>
            </w:pPr>
            <w:r>
              <w:rPr>
                <w:rFonts w:ascii="Times New Roman" w:cs="Times New Roman" w:eastAsia="Times New Roman" w:hAnsi="Times New Roman"/>
                <w:sz w:val="16"/>
                <w:szCs w:val="16"/>
                <w:color w:val="auto"/>
              </w:rPr>
              <w:t>167</w:t>
            </w: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4"/>
        </w:trPr>
        <w:tc>
          <w:tcPr>
            <w:tcW w:w="6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40" w:orient="portrait"/>
          <w:cols w:equalWidth="0" w:num="1">
            <w:col w:w="9020"/>
          </w:cols>
          <w:pgMar w:left="1440" w:top="557" w:right="1440" w:bottom="1440" w:gutter="0" w:footer="0" w:header="0"/>
        </w:sectPr>
      </w:pPr>
    </w:p>
    <w:bookmarkStart w:id="172" w:name="page173"/>
    <w:bookmarkEnd w:id="172"/>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b w:val="1"/>
          <w:bCs w:val="1"/>
          <w:color w:val="auto"/>
        </w:rPr>
        <w:t>Exhibit</w:t>
      </w:r>
    </w:p>
    <w:p>
      <w:pPr>
        <w:spacing w:after="0" w:line="23" w:lineRule="exact"/>
        <w:rPr>
          <w:sz w:val="20"/>
          <w:szCs w:val="20"/>
          <w:color w:val="auto"/>
        </w:rPr>
      </w:pPr>
    </w:p>
    <w:p>
      <w:pPr>
        <w:ind w:left="320"/>
        <w:spacing w:after="0"/>
        <w:tabs>
          <w:tab w:leader="none" w:pos="1220" w:val="left"/>
        </w:tabs>
        <w:rPr>
          <w:sz w:val="20"/>
          <w:szCs w:val="20"/>
          <w:color w:val="auto"/>
        </w:rPr>
      </w:pPr>
      <w:r>
        <w:rPr>
          <w:rFonts w:ascii="Times New Roman" w:cs="Times New Roman" w:eastAsia="Times New Roman" w:hAnsi="Times New Roman"/>
          <w:sz w:val="13"/>
          <w:szCs w:val="13"/>
          <w:b w:val="1"/>
          <w:bCs w:val="1"/>
          <w:color w:val="auto"/>
        </w:rPr>
        <w:t>Number</w:t>
      </w:r>
      <w:r>
        <w:rPr>
          <w:sz w:val="20"/>
          <w:szCs w:val="20"/>
          <w:color w:val="auto"/>
        </w:rPr>
        <w:tab/>
      </w:r>
      <w:r>
        <w:rPr>
          <w:rFonts w:ascii="Times New Roman" w:cs="Times New Roman" w:eastAsia="Times New Roman" w:hAnsi="Times New Roman"/>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2540</wp:posOffset>
            </wp:positionV>
            <wp:extent cx="5320030"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3">
                      <a:extLst>
                        <a:ext uri="{28A0092B-C50C-407E-A947-70E740481C1C}"/>
                      </a:extLst>
                    </a:blip>
                    <a:srcRect/>
                    <a:stretch>
                      <a:fillRect/>
                    </a:stretch>
                  </pic:blipFill>
                  <pic:spPr bwMode="auto">
                    <a:xfrm>
                      <a:off x="0" y="0"/>
                      <a:ext cx="5320030" cy="7620"/>
                    </a:xfrm>
                    <a:prstGeom prst="rect">
                      <a:avLst/>
                    </a:prstGeom>
                    <a:noFill/>
                  </pic:spPr>
                </pic:pic>
              </a:graphicData>
            </a:graphic>
          </wp:anchor>
        </w:drawing>
      </w:r>
    </w:p>
    <w:p>
      <w:pPr>
        <w:spacing w:after="0" w:line="163" w:lineRule="exact"/>
        <w:rPr>
          <w:sz w:val="20"/>
          <w:szCs w:val="20"/>
          <w:color w:val="auto"/>
        </w:rPr>
      </w:pPr>
    </w:p>
    <w:p>
      <w:pPr>
        <w:ind w:left="1240" w:right="360" w:hanging="911"/>
        <w:spacing w:after="0" w:line="247" w:lineRule="auto"/>
        <w:tabs>
          <w:tab w:leader="none" w:pos="122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10.12†</w:t>
      </w:r>
      <w:r>
        <w:rPr>
          <w:sz w:val="20"/>
          <w:szCs w:val="20"/>
          <w:color w:val="auto"/>
        </w:rPr>
        <w:tab/>
      </w:r>
      <w:hyperlink r:id="rId234">
        <w:r>
          <w:rPr>
            <w:rFonts w:ascii="Times New Roman" w:cs="Times New Roman" w:eastAsia="Times New Roman" w:hAnsi="Times New Roman"/>
            <w:sz w:val="16"/>
            <w:szCs w:val="16"/>
            <w:u w:val="single" w:color="auto"/>
            <w:color w:val="0000EE"/>
          </w:rPr>
          <w:t>Profits Interest Unit Agreement – Directors (incorporated by reference to Exhibit 10.21 to the Combined Annual</w:t>
        </w:r>
      </w:hyperlink>
      <w:r>
        <w:rPr>
          <w:rFonts w:ascii="Times New Roman" w:cs="Times New Roman" w:eastAsia="Times New Roman" w:hAnsi="Times New Roman"/>
          <w:sz w:val="16"/>
          <w:szCs w:val="16"/>
          <w:u w:val="single" w:color="auto"/>
          <w:color w:val="0000EE"/>
        </w:rPr>
        <w:t xml:space="preserve"> </w:t>
      </w:r>
      <w:hyperlink r:id="rId234">
        <w:r>
          <w:rPr>
            <w:rFonts w:ascii="Times New Roman" w:cs="Times New Roman" w:eastAsia="Times New Roman" w:hAnsi="Times New Roman"/>
            <w:sz w:val="16"/>
            <w:szCs w:val="16"/>
            <w:u w:val="single" w:color="auto"/>
            <w:color w:val="0000EE"/>
          </w:rPr>
          <w:t>Report on Form 10-K of Digital Realty Trust, Inc. and Digital Realty Trust, L.P. (File Nos. 001-32336 and 000-54023)</w:t>
        </w:r>
      </w:hyperlink>
      <w:r>
        <w:rPr>
          <w:rFonts w:ascii="Times New Roman" w:cs="Times New Roman" w:eastAsia="Times New Roman" w:hAnsi="Times New Roman"/>
          <w:sz w:val="16"/>
          <w:szCs w:val="16"/>
          <w:u w:val="single" w:color="auto"/>
          <w:color w:val="0000EE"/>
        </w:rPr>
        <w:t xml:space="preserve"> </w:t>
      </w:r>
      <w:hyperlink r:id="rId234">
        <w:r>
          <w:rPr>
            <w:rFonts w:ascii="Times New Roman" w:cs="Times New Roman" w:eastAsia="Times New Roman" w:hAnsi="Times New Roman"/>
            <w:sz w:val="16"/>
            <w:szCs w:val="16"/>
            <w:u w:val="single" w:color="auto"/>
            <w:color w:val="0000EE"/>
          </w:rPr>
          <w:t>filed on February 25, 2019).</w:t>
        </w:r>
      </w:hyperlink>
    </w:p>
    <w:p>
      <w:pPr>
        <w:spacing w:after="0" w:line="152" w:lineRule="exact"/>
        <w:rPr>
          <w:rFonts w:ascii="Times New Roman" w:cs="Times New Roman" w:eastAsia="Times New Roman" w:hAnsi="Times New Roman"/>
          <w:sz w:val="16"/>
          <w:szCs w:val="16"/>
          <w:u w:val="single" w:color="auto"/>
          <w:color w:val="0000EE"/>
        </w:rPr>
      </w:pPr>
    </w:p>
    <w:p>
      <w:pPr>
        <w:ind w:left="1240" w:right="360" w:hanging="911"/>
        <w:spacing w:after="0" w:line="247" w:lineRule="auto"/>
        <w:tabs>
          <w:tab w:leader="none" w:pos="122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10.13†</w:t>
      </w:r>
      <w:r>
        <w:rPr>
          <w:sz w:val="20"/>
          <w:szCs w:val="20"/>
          <w:color w:val="auto"/>
        </w:rPr>
        <w:tab/>
      </w:r>
      <w:hyperlink r:id="rId235">
        <w:r>
          <w:rPr>
            <w:rFonts w:ascii="Times New Roman" w:cs="Times New Roman" w:eastAsia="Times New Roman" w:hAnsi="Times New Roman"/>
            <w:sz w:val="16"/>
            <w:szCs w:val="16"/>
            <w:u w:val="single" w:color="auto"/>
            <w:color w:val="0000EE"/>
          </w:rPr>
          <w:t>Digital Realty Deferred Compensation Plan (incorporated by reference to Exhibit 10.33 to the Combined Annual</w:t>
        </w:r>
      </w:hyperlink>
      <w:r>
        <w:rPr>
          <w:rFonts w:ascii="Times New Roman" w:cs="Times New Roman" w:eastAsia="Times New Roman" w:hAnsi="Times New Roman"/>
          <w:sz w:val="16"/>
          <w:szCs w:val="16"/>
          <w:u w:val="single" w:color="auto"/>
          <w:color w:val="0000EE"/>
        </w:rPr>
        <w:t xml:space="preserve"> </w:t>
      </w:r>
      <w:hyperlink r:id="rId235">
        <w:r>
          <w:rPr>
            <w:rFonts w:ascii="Times New Roman" w:cs="Times New Roman" w:eastAsia="Times New Roman" w:hAnsi="Times New Roman"/>
            <w:sz w:val="16"/>
            <w:szCs w:val="16"/>
            <w:u w:val="single" w:color="auto"/>
            <w:color w:val="0000EE"/>
          </w:rPr>
          <w:t>Report on Form 10-K of Digital Realty Trust, Inc. and Digital Realty Trust, L.P. (File Nos. 001-32336 and 000-54023)</w:t>
        </w:r>
      </w:hyperlink>
      <w:r>
        <w:rPr>
          <w:rFonts w:ascii="Times New Roman" w:cs="Times New Roman" w:eastAsia="Times New Roman" w:hAnsi="Times New Roman"/>
          <w:sz w:val="16"/>
          <w:szCs w:val="16"/>
          <w:u w:val="single" w:color="auto"/>
          <w:color w:val="0000EE"/>
        </w:rPr>
        <w:t xml:space="preserve"> </w:t>
      </w:r>
      <w:hyperlink r:id="rId235">
        <w:r>
          <w:rPr>
            <w:rFonts w:ascii="Times New Roman" w:cs="Times New Roman" w:eastAsia="Times New Roman" w:hAnsi="Times New Roman"/>
            <w:sz w:val="16"/>
            <w:szCs w:val="16"/>
            <w:u w:val="single" w:color="auto"/>
            <w:color w:val="0000EE"/>
          </w:rPr>
          <w:t>filed on February 28, 2014).</w:t>
        </w:r>
      </w:hyperlink>
    </w:p>
    <w:p>
      <w:pPr>
        <w:spacing w:after="0" w:line="152" w:lineRule="exact"/>
        <w:rPr>
          <w:rFonts w:ascii="Times New Roman" w:cs="Times New Roman" w:eastAsia="Times New Roman" w:hAnsi="Times New Roman"/>
          <w:sz w:val="16"/>
          <w:szCs w:val="16"/>
          <w:u w:val="single" w:color="auto"/>
          <w:color w:val="0000EE"/>
        </w:rPr>
      </w:pPr>
    </w:p>
    <w:p>
      <w:pPr>
        <w:jc w:val="both"/>
        <w:ind w:left="1240" w:right="600" w:hanging="911"/>
        <w:spacing w:after="0" w:line="247" w:lineRule="auto"/>
        <w:tabs>
          <w:tab w:leader="none" w:pos="122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10.14†</w:t>
      </w:r>
      <w:r>
        <w:rPr>
          <w:sz w:val="20"/>
          <w:szCs w:val="20"/>
          <w:color w:val="auto"/>
        </w:rPr>
        <w:tab/>
      </w:r>
      <w:hyperlink r:id="rId236">
        <w:r>
          <w:rPr>
            <w:rFonts w:ascii="Times New Roman" w:cs="Times New Roman" w:eastAsia="Times New Roman" w:hAnsi="Times New Roman"/>
            <w:sz w:val="16"/>
            <w:szCs w:val="16"/>
            <w:u w:val="single" w:color="auto"/>
            <w:color w:val="0000EE"/>
          </w:rPr>
          <w:t>First Amendment to Digital Realty Deferred Compensation Plan (incorporated by reference to Exhibit 10.45 to the</w:t>
        </w:r>
      </w:hyperlink>
      <w:r>
        <w:rPr>
          <w:rFonts w:ascii="Times New Roman" w:cs="Times New Roman" w:eastAsia="Times New Roman" w:hAnsi="Times New Roman"/>
          <w:sz w:val="16"/>
          <w:szCs w:val="16"/>
          <w:u w:val="single" w:color="auto"/>
          <w:color w:val="0000EE"/>
        </w:rPr>
        <w:t xml:space="preserve"> </w:t>
      </w:r>
      <w:hyperlink r:id="rId236">
        <w:r>
          <w:rPr>
            <w:rFonts w:ascii="Times New Roman" w:cs="Times New Roman" w:eastAsia="Times New Roman" w:hAnsi="Times New Roman"/>
            <w:sz w:val="16"/>
            <w:szCs w:val="16"/>
            <w:u w:val="single" w:color="auto"/>
            <w:color w:val="0000EE"/>
          </w:rPr>
          <w:t>Combined Annual Report on Form 10-K of Digital Realty Trust, Inc. and Digital Realty Trust, L.P. (File Nos. 001-</w:t>
        </w:r>
      </w:hyperlink>
      <w:hyperlink r:id="rId236">
        <w:r>
          <w:rPr>
            <w:rFonts w:ascii="Times New Roman" w:cs="Times New Roman" w:eastAsia="Times New Roman" w:hAnsi="Times New Roman"/>
            <w:sz w:val="16"/>
            <w:szCs w:val="16"/>
            <w:u w:val="single" w:color="auto"/>
            <w:color w:val="0000EE"/>
          </w:rPr>
          <w:t>32336 and 000-54023) filed on March 2, 2015).</w:t>
        </w:r>
      </w:hyperlink>
    </w:p>
    <w:p>
      <w:pPr>
        <w:spacing w:after="0" w:line="152" w:lineRule="exact"/>
        <w:rPr>
          <w:rFonts w:ascii="Times New Roman" w:cs="Times New Roman" w:eastAsia="Times New Roman" w:hAnsi="Times New Roman"/>
          <w:sz w:val="16"/>
          <w:szCs w:val="16"/>
          <w:u w:val="single" w:color="auto"/>
          <w:color w:val="0000EE"/>
        </w:rPr>
      </w:pPr>
    </w:p>
    <w:p>
      <w:pPr>
        <w:jc w:val="both"/>
        <w:ind w:left="1240" w:right="460" w:hanging="911"/>
        <w:spacing w:after="0" w:line="247" w:lineRule="auto"/>
        <w:tabs>
          <w:tab w:leader="none" w:pos="122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10.15†</w:t>
      </w:r>
      <w:r>
        <w:rPr>
          <w:sz w:val="20"/>
          <w:szCs w:val="20"/>
          <w:color w:val="auto"/>
        </w:rPr>
        <w:tab/>
      </w:r>
      <w:hyperlink r:id="rId237">
        <w:r>
          <w:rPr>
            <w:rFonts w:ascii="Times New Roman" w:cs="Times New Roman" w:eastAsia="Times New Roman" w:hAnsi="Times New Roman"/>
            <w:sz w:val="16"/>
            <w:szCs w:val="16"/>
            <w:u w:val="single" w:color="auto"/>
            <w:color w:val="0000EE"/>
          </w:rPr>
          <w:t>Second Amendment to Digital Realty Deferred Compensation Plan (incorporated by reference to Exhibit 10.3 to the</w:t>
        </w:r>
      </w:hyperlink>
      <w:r>
        <w:rPr>
          <w:rFonts w:ascii="Times New Roman" w:cs="Times New Roman" w:eastAsia="Times New Roman" w:hAnsi="Times New Roman"/>
          <w:sz w:val="16"/>
          <w:szCs w:val="16"/>
          <w:u w:val="single" w:color="auto"/>
          <w:color w:val="0000EE"/>
        </w:rPr>
        <w:t xml:space="preserve"> </w:t>
      </w:r>
      <w:hyperlink r:id="rId237">
        <w:r>
          <w:rPr>
            <w:rFonts w:ascii="Times New Roman" w:cs="Times New Roman" w:eastAsia="Times New Roman" w:hAnsi="Times New Roman"/>
            <w:sz w:val="16"/>
            <w:szCs w:val="16"/>
            <w:u w:val="single" w:color="auto"/>
            <w:color w:val="0000EE"/>
          </w:rPr>
          <w:t>Combined Quarterly Report on Form 10-Q of Digital Realty Trust, Inc. and Digital Realty Trust, L.P. (File Nos. 001-</w:t>
        </w:r>
      </w:hyperlink>
      <w:hyperlink r:id="rId237">
        <w:r>
          <w:rPr>
            <w:rFonts w:ascii="Times New Roman" w:cs="Times New Roman" w:eastAsia="Times New Roman" w:hAnsi="Times New Roman"/>
            <w:sz w:val="16"/>
            <w:szCs w:val="16"/>
            <w:u w:val="single" w:color="auto"/>
            <w:color w:val="0000EE"/>
          </w:rPr>
          <w:t>32336 and 000-54023) filed on November 6, 2015).</w:t>
        </w:r>
      </w:hyperlink>
    </w:p>
    <w:p>
      <w:pPr>
        <w:spacing w:after="0" w:line="308" w:lineRule="exact"/>
        <w:rPr>
          <w:rFonts w:ascii="Times New Roman" w:cs="Times New Roman" w:eastAsia="Times New Roman" w:hAnsi="Times New Roman"/>
          <w:sz w:val="16"/>
          <w:szCs w:val="16"/>
          <w:u w:val="single" w:color="auto"/>
          <w:color w:val="0000EE"/>
        </w:rPr>
      </w:pPr>
    </w:p>
    <w:p>
      <w:pPr>
        <w:jc w:val="both"/>
        <w:ind w:left="1240" w:right="360" w:hanging="911"/>
        <w:spacing w:after="0" w:line="247" w:lineRule="auto"/>
        <w:tabs>
          <w:tab w:leader="none" w:pos="122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10.16†</w:t>
      </w:r>
      <w:r>
        <w:rPr>
          <w:sz w:val="20"/>
          <w:szCs w:val="20"/>
          <w:color w:val="auto"/>
        </w:rPr>
        <w:tab/>
      </w:r>
      <w:hyperlink r:id="rId238">
        <w:r>
          <w:rPr>
            <w:rFonts w:ascii="Times New Roman" w:cs="Times New Roman" w:eastAsia="Times New Roman" w:hAnsi="Times New Roman"/>
            <w:sz w:val="16"/>
            <w:szCs w:val="16"/>
            <w:u w:val="single" w:color="auto"/>
            <w:color w:val="0000EE"/>
          </w:rPr>
          <w:t>Form of Class D Profits Interest Unit Agreement (incorporated by reference to Exhibit 10.34 to the Combined Annual</w:t>
        </w:r>
      </w:hyperlink>
      <w:r>
        <w:rPr>
          <w:rFonts w:ascii="Times New Roman" w:cs="Times New Roman" w:eastAsia="Times New Roman" w:hAnsi="Times New Roman"/>
          <w:sz w:val="16"/>
          <w:szCs w:val="16"/>
          <w:u w:val="single" w:color="auto"/>
          <w:color w:val="0000EE"/>
        </w:rPr>
        <w:t xml:space="preserve"> </w:t>
      </w:r>
      <w:hyperlink r:id="rId238">
        <w:r>
          <w:rPr>
            <w:rFonts w:ascii="Times New Roman" w:cs="Times New Roman" w:eastAsia="Times New Roman" w:hAnsi="Times New Roman"/>
            <w:sz w:val="16"/>
            <w:szCs w:val="16"/>
            <w:u w:val="single" w:color="auto"/>
            <w:color w:val="0000EE"/>
          </w:rPr>
          <w:t>Report on Form 10-K of Digital Realty Trust, Inc. and Digital Realty Trust, L.P. (File Nos. 001-32336 and 000-54023)</w:t>
        </w:r>
      </w:hyperlink>
      <w:r>
        <w:rPr>
          <w:rFonts w:ascii="Times New Roman" w:cs="Times New Roman" w:eastAsia="Times New Roman" w:hAnsi="Times New Roman"/>
          <w:sz w:val="16"/>
          <w:szCs w:val="16"/>
          <w:u w:val="single" w:color="auto"/>
          <w:color w:val="0000EE"/>
        </w:rPr>
        <w:t xml:space="preserve"> </w:t>
      </w:r>
      <w:hyperlink r:id="rId238">
        <w:r>
          <w:rPr>
            <w:rFonts w:ascii="Times New Roman" w:cs="Times New Roman" w:eastAsia="Times New Roman" w:hAnsi="Times New Roman"/>
            <w:sz w:val="16"/>
            <w:szCs w:val="16"/>
            <w:u w:val="single" w:color="auto"/>
            <w:color w:val="0000EE"/>
          </w:rPr>
          <w:t>filed on February 28, 2014).</w:t>
        </w:r>
      </w:hyperlink>
    </w:p>
    <w:p>
      <w:pPr>
        <w:spacing w:after="0" w:line="152" w:lineRule="exact"/>
        <w:rPr>
          <w:rFonts w:ascii="Times New Roman" w:cs="Times New Roman" w:eastAsia="Times New Roman" w:hAnsi="Times New Roman"/>
          <w:sz w:val="16"/>
          <w:szCs w:val="16"/>
          <w:u w:val="single" w:color="auto"/>
          <w:color w:val="0000EE"/>
        </w:rPr>
      </w:pPr>
    </w:p>
    <w:p>
      <w:pPr>
        <w:ind w:left="1240" w:right="600" w:hanging="911"/>
        <w:spacing w:after="0" w:line="247" w:lineRule="auto"/>
        <w:tabs>
          <w:tab w:leader="none" w:pos="122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10.17†</w:t>
      </w:r>
      <w:r>
        <w:rPr>
          <w:sz w:val="20"/>
          <w:szCs w:val="20"/>
          <w:color w:val="auto"/>
        </w:rPr>
        <w:tab/>
      </w:r>
      <w:hyperlink r:id="rId239">
        <w:r>
          <w:rPr>
            <w:rFonts w:ascii="Times New Roman" w:cs="Times New Roman" w:eastAsia="Times New Roman" w:hAnsi="Times New Roman"/>
            <w:sz w:val="16"/>
            <w:szCs w:val="16"/>
            <w:u w:val="single" w:color="auto"/>
            <w:color w:val="0000EE"/>
          </w:rPr>
          <w:t>Form of Performance-Based Restricted Stock Unit Agreement (incorporated by reference to Exhibit 10.35 to the</w:t>
        </w:r>
      </w:hyperlink>
      <w:r>
        <w:rPr>
          <w:rFonts w:ascii="Times New Roman" w:cs="Times New Roman" w:eastAsia="Times New Roman" w:hAnsi="Times New Roman"/>
          <w:sz w:val="16"/>
          <w:szCs w:val="16"/>
          <w:u w:val="single" w:color="auto"/>
          <w:color w:val="0000EE"/>
        </w:rPr>
        <w:t xml:space="preserve"> </w:t>
      </w:r>
      <w:hyperlink r:id="rId239">
        <w:r>
          <w:rPr>
            <w:rFonts w:ascii="Times New Roman" w:cs="Times New Roman" w:eastAsia="Times New Roman" w:hAnsi="Times New Roman"/>
            <w:sz w:val="16"/>
            <w:szCs w:val="16"/>
            <w:u w:val="single" w:color="auto"/>
            <w:color w:val="0000EE"/>
          </w:rPr>
          <w:t>Combined Annual Report on Form 10-K of Digital Realty Trust, Inc. and Digital Realty Trust, L.P. (File Nos. 001-</w:t>
        </w:r>
      </w:hyperlink>
      <w:hyperlink r:id="rId239">
        <w:r>
          <w:rPr>
            <w:rFonts w:ascii="Times New Roman" w:cs="Times New Roman" w:eastAsia="Times New Roman" w:hAnsi="Times New Roman"/>
            <w:sz w:val="16"/>
            <w:szCs w:val="16"/>
            <w:u w:val="single" w:color="auto"/>
            <w:color w:val="0000EE"/>
          </w:rPr>
          <w:t>32336 and 000-54023) filed on February 28, 2014).</w:t>
        </w:r>
      </w:hyperlink>
    </w:p>
    <w:p>
      <w:pPr>
        <w:spacing w:after="0" w:line="152" w:lineRule="exact"/>
        <w:rPr>
          <w:rFonts w:ascii="Times New Roman" w:cs="Times New Roman" w:eastAsia="Times New Roman" w:hAnsi="Times New Roman"/>
          <w:sz w:val="16"/>
          <w:szCs w:val="16"/>
          <w:u w:val="single" w:color="auto"/>
          <w:color w:val="0000EE"/>
        </w:rPr>
      </w:pPr>
    </w:p>
    <w:p>
      <w:pPr>
        <w:ind w:left="1240" w:right="300" w:hanging="911"/>
        <w:spacing w:after="0" w:line="247" w:lineRule="auto"/>
        <w:tabs>
          <w:tab w:leader="none" w:pos="122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10.18†</w:t>
      </w:r>
      <w:r>
        <w:rPr>
          <w:sz w:val="20"/>
          <w:szCs w:val="20"/>
          <w:color w:val="auto"/>
        </w:rPr>
        <w:tab/>
      </w:r>
      <w:hyperlink r:id="rId240">
        <w:r>
          <w:rPr>
            <w:rFonts w:ascii="Times New Roman" w:cs="Times New Roman" w:eastAsia="Times New Roman" w:hAnsi="Times New Roman"/>
            <w:sz w:val="16"/>
            <w:szCs w:val="16"/>
            <w:u w:val="single" w:color="auto"/>
            <w:color w:val="0000EE"/>
          </w:rPr>
          <w:t>Form of Time- Based Restricted Stock Unit Agreement (incorporated by reference to Exhibit 10.36 to the Combined</w:t>
        </w:r>
      </w:hyperlink>
      <w:r>
        <w:rPr>
          <w:rFonts w:ascii="Times New Roman" w:cs="Times New Roman" w:eastAsia="Times New Roman" w:hAnsi="Times New Roman"/>
          <w:sz w:val="16"/>
          <w:szCs w:val="16"/>
          <w:u w:val="single" w:color="auto"/>
          <w:color w:val="0000EE"/>
        </w:rPr>
        <w:t xml:space="preserve"> </w:t>
      </w:r>
      <w:hyperlink r:id="rId240">
        <w:r>
          <w:rPr>
            <w:rFonts w:ascii="Times New Roman" w:cs="Times New Roman" w:eastAsia="Times New Roman" w:hAnsi="Times New Roman"/>
            <w:sz w:val="16"/>
            <w:szCs w:val="16"/>
            <w:u w:val="single" w:color="auto"/>
            <w:color w:val="0000EE"/>
          </w:rPr>
          <w:t>Annual Report on Form 10-K of Digital Realty Trust, Inc. and Digital Realty Trust, L.P. (File Nos. 001-32336 and 000-</w:t>
        </w:r>
      </w:hyperlink>
      <w:hyperlink r:id="rId240">
        <w:r>
          <w:rPr>
            <w:rFonts w:ascii="Times New Roman" w:cs="Times New Roman" w:eastAsia="Times New Roman" w:hAnsi="Times New Roman"/>
            <w:sz w:val="16"/>
            <w:szCs w:val="16"/>
            <w:u w:val="single" w:color="auto"/>
            <w:color w:val="0000EE"/>
          </w:rPr>
          <w:t>54023) filed on February 28, 2014).</w:t>
        </w:r>
      </w:hyperlink>
    </w:p>
    <w:p>
      <w:pPr>
        <w:spacing w:after="0" w:line="152" w:lineRule="exact"/>
        <w:rPr>
          <w:rFonts w:ascii="Times New Roman" w:cs="Times New Roman" w:eastAsia="Times New Roman" w:hAnsi="Times New Roman"/>
          <w:sz w:val="16"/>
          <w:szCs w:val="16"/>
          <w:u w:val="single" w:color="auto"/>
          <w:color w:val="0000EE"/>
        </w:rPr>
      </w:pPr>
    </w:p>
    <w:p>
      <w:pPr>
        <w:ind w:left="1240" w:right="300" w:hanging="911"/>
        <w:spacing w:after="0" w:line="247" w:lineRule="auto"/>
        <w:tabs>
          <w:tab w:leader="none" w:pos="122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10.19†</w:t>
      </w:r>
      <w:r>
        <w:rPr>
          <w:sz w:val="20"/>
          <w:szCs w:val="20"/>
          <w:color w:val="auto"/>
        </w:rPr>
        <w:tab/>
      </w:r>
      <w:hyperlink r:id="rId241">
        <w:r>
          <w:rPr>
            <w:rFonts w:ascii="Times New Roman" w:cs="Times New Roman" w:eastAsia="Times New Roman" w:hAnsi="Times New Roman"/>
            <w:sz w:val="16"/>
            <w:szCs w:val="16"/>
            <w:u w:val="single" w:color="auto"/>
            <w:color w:val="0000EE"/>
          </w:rPr>
          <w:t>Form of Time- Based Profits Interest Unit Agreement (incorporated by reference to Exhibit 10.23 to the Combined</w:t>
        </w:r>
      </w:hyperlink>
      <w:r>
        <w:rPr>
          <w:rFonts w:ascii="Times New Roman" w:cs="Times New Roman" w:eastAsia="Times New Roman" w:hAnsi="Times New Roman"/>
          <w:sz w:val="16"/>
          <w:szCs w:val="16"/>
          <w:u w:val="single" w:color="auto"/>
          <w:color w:val="0000EE"/>
        </w:rPr>
        <w:t xml:space="preserve"> </w:t>
      </w:r>
      <w:hyperlink r:id="rId241">
        <w:r>
          <w:rPr>
            <w:rFonts w:ascii="Times New Roman" w:cs="Times New Roman" w:eastAsia="Times New Roman" w:hAnsi="Times New Roman"/>
            <w:sz w:val="16"/>
            <w:szCs w:val="16"/>
            <w:u w:val="single" w:color="auto"/>
            <w:color w:val="0000EE"/>
          </w:rPr>
          <w:t>Annual Report on Form 10-K of Digital Realty Trust, Inc. and Digital Realty Trust, L.P. (File Nos. 001-32336 and 000-</w:t>
        </w:r>
      </w:hyperlink>
      <w:hyperlink r:id="rId241">
        <w:r>
          <w:rPr>
            <w:rFonts w:ascii="Times New Roman" w:cs="Times New Roman" w:eastAsia="Times New Roman" w:hAnsi="Times New Roman"/>
            <w:sz w:val="16"/>
            <w:szCs w:val="16"/>
            <w:u w:val="single" w:color="auto"/>
            <w:color w:val="0000EE"/>
          </w:rPr>
          <w:t>54023) filed on March 1, 2017).</w:t>
        </w:r>
      </w:hyperlink>
    </w:p>
    <w:p>
      <w:pPr>
        <w:spacing w:after="0" w:line="152" w:lineRule="exact"/>
        <w:rPr>
          <w:rFonts w:ascii="Times New Roman" w:cs="Times New Roman" w:eastAsia="Times New Roman" w:hAnsi="Times New Roman"/>
          <w:sz w:val="16"/>
          <w:szCs w:val="16"/>
          <w:u w:val="single" w:color="auto"/>
          <w:color w:val="0000EE"/>
        </w:rPr>
      </w:pPr>
    </w:p>
    <w:p>
      <w:pPr>
        <w:jc w:val="both"/>
        <w:ind w:left="1240" w:right="600" w:hanging="911"/>
        <w:spacing w:after="0" w:line="247" w:lineRule="auto"/>
        <w:tabs>
          <w:tab w:leader="none" w:pos="122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10.20†</w:t>
      </w:r>
      <w:r>
        <w:rPr>
          <w:sz w:val="20"/>
          <w:szCs w:val="20"/>
          <w:color w:val="auto"/>
        </w:rPr>
        <w:tab/>
      </w:r>
      <w:hyperlink r:id="rId242">
        <w:r>
          <w:rPr>
            <w:rFonts w:ascii="Times New Roman" w:cs="Times New Roman" w:eastAsia="Times New Roman" w:hAnsi="Times New Roman"/>
            <w:sz w:val="16"/>
            <w:szCs w:val="16"/>
            <w:u w:val="single" w:color="auto"/>
            <w:color w:val="0000EE"/>
          </w:rPr>
          <w:t>Form of Executive Time-Based Profits Interest Unit Agreement (incorporated by reference to Exhibit 10.27 to the</w:t>
        </w:r>
      </w:hyperlink>
      <w:r>
        <w:rPr>
          <w:rFonts w:ascii="Times New Roman" w:cs="Times New Roman" w:eastAsia="Times New Roman" w:hAnsi="Times New Roman"/>
          <w:sz w:val="16"/>
          <w:szCs w:val="16"/>
          <w:u w:val="single" w:color="auto"/>
          <w:color w:val="0000EE"/>
        </w:rPr>
        <w:t xml:space="preserve"> </w:t>
      </w:r>
      <w:hyperlink r:id="rId242">
        <w:r>
          <w:rPr>
            <w:rFonts w:ascii="Times New Roman" w:cs="Times New Roman" w:eastAsia="Times New Roman" w:hAnsi="Times New Roman"/>
            <w:sz w:val="16"/>
            <w:szCs w:val="16"/>
            <w:u w:val="single" w:color="auto"/>
            <w:color w:val="0000EE"/>
          </w:rPr>
          <w:t>Combined Annual Report on Form 10-K of Digital Realty Trust, Inc. and Digital Realty Trust, L.P. (File Nos. 001-</w:t>
        </w:r>
      </w:hyperlink>
      <w:hyperlink r:id="rId242">
        <w:r>
          <w:rPr>
            <w:rFonts w:ascii="Times New Roman" w:cs="Times New Roman" w:eastAsia="Times New Roman" w:hAnsi="Times New Roman"/>
            <w:sz w:val="16"/>
            <w:szCs w:val="16"/>
            <w:u w:val="single" w:color="auto"/>
            <w:color w:val="0000EE"/>
          </w:rPr>
          <w:t>32336 and 000-54023) filed on March 1, 2018).</w:t>
        </w:r>
      </w:hyperlink>
    </w:p>
    <w:p>
      <w:pPr>
        <w:spacing w:after="0" w:line="152" w:lineRule="exact"/>
        <w:rPr>
          <w:rFonts w:ascii="Times New Roman" w:cs="Times New Roman" w:eastAsia="Times New Roman" w:hAnsi="Times New Roman"/>
          <w:sz w:val="16"/>
          <w:szCs w:val="16"/>
          <w:u w:val="single" w:color="auto"/>
          <w:color w:val="0000EE"/>
        </w:rPr>
      </w:pPr>
    </w:p>
    <w:p>
      <w:pPr>
        <w:jc w:val="both"/>
        <w:ind w:left="1240" w:right="360" w:hanging="911"/>
        <w:spacing w:after="0" w:line="247" w:lineRule="auto"/>
        <w:tabs>
          <w:tab w:leader="none" w:pos="122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10.21†</w:t>
      </w:r>
      <w:r>
        <w:rPr>
          <w:sz w:val="20"/>
          <w:szCs w:val="20"/>
          <w:color w:val="auto"/>
        </w:rPr>
        <w:tab/>
      </w:r>
      <w:hyperlink r:id="rId243">
        <w:r>
          <w:rPr>
            <w:rFonts w:ascii="Times New Roman" w:cs="Times New Roman" w:eastAsia="Times New Roman" w:hAnsi="Times New Roman"/>
            <w:sz w:val="16"/>
            <w:szCs w:val="16"/>
            <w:u w:val="single" w:color="auto"/>
            <w:color w:val="0000EE"/>
          </w:rPr>
          <w:t>Form of Class D Profits Interest Unit Agreement (incorporated by reference to Exhibit 10.30 to the Combined Annual</w:t>
        </w:r>
      </w:hyperlink>
      <w:r>
        <w:rPr>
          <w:rFonts w:ascii="Times New Roman" w:cs="Times New Roman" w:eastAsia="Times New Roman" w:hAnsi="Times New Roman"/>
          <w:sz w:val="16"/>
          <w:szCs w:val="16"/>
          <w:u w:val="single" w:color="auto"/>
          <w:color w:val="0000EE"/>
        </w:rPr>
        <w:t xml:space="preserve"> </w:t>
      </w:r>
      <w:hyperlink r:id="rId243">
        <w:r>
          <w:rPr>
            <w:rFonts w:ascii="Times New Roman" w:cs="Times New Roman" w:eastAsia="Times New Roman" w:hAnsi="Times New Roman"/>
            <w:sz w:val="16"/>
            <w:szCs w:val="16"/>
            <w:u w:val="single" w:color="auto"/>
            <w:color w:val="0000EE"/>
          </w:rPr>
          <w:t>Report on Form 10-K of Digital Realty Trust, Inc. and Digital Realty Trust, L.P. (File Nos. 001-32336 and 000-54023)</w:t>
        </w:r>
      </w:hyperlink>
      <w:r>
        <w:rPr>
          <w:rFonts w:ascii="Times New Roman" w:cs="Times New Roman" w:eastAsia="Times New Roman" w:hAnsi="Times New Roman"/>
          <w:sz w:val="16"/>
          <w:szCs w:val="16"/>
          <w:u w:val="single" w:color="auto"/>
          <w:color w:val="0000EE"/>
        </w:rPr>
        <w:t xml:space="preserve"> </w:t>
      </w:r>
      <w:hyperlink r:id="rId243">
        <w:r>
          <w:rPr>
            <w:rFonts w:ascii="Times New Roman" w:cs="Times New Roman" w:eastAsia="Times New Roman" w:hAnsi="Times New Roman"/>
            <w:sz w:val="16"/>
            <w:szCs w:val="16"/>
            <w:u w:val="single" w:color="auto"/>
            <w:color w:val="0000EE"/>
          </w:rPr>
          <w:t>filed on February 25, 2019).</w:t>
        </w:r>
      </w:hyperlink>
    </w:p>
    <w:p>
      <w:pPr>
        <w:spacing w:after="0" w:line="152" w:lineRule="exact"/>
        <w:rPr>
          <w:rFonts w:ascii="Times New Roman" w:cs="Times New Roman" w:eastAsia="Times New Roman" w:hAnsi="Times New Roman"/>
          <w:sz w:val="16"/>
          <w:szCs w:val="16"/>
          <w:u w:val="single" w:color="auto"/>
          <w:color w:val="0000EE"/>
        </w:rPr>
      </w:pPr>
    </w:p>
    <w:p>
      <w:pPr>
        <w:ind w:left="1240" w:right="300" w:hanging="911"/>
        <w:spacing w:after="0" w:line="247" w:lineRule="auto"/>
        <w:tabs>
          <w:tab w:leader="none" w:pos="122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10.22†</w:t>
      </w:r>
      <w:r>
        <w:rPr>
          <w:sz w:val="20"/>
          <w:szCs w:val="20"/>
          <w:color w:val="auto"/>
        </w:rPr>
        <w:tab/>
      </w:r>
      <w:hyperlink r:id="rId244">
        <w:r>
          <w:rPr>
            <w:rFonts w:ascii="Times New Roman" w:cs="Times New Roman" w:eastAsia="Times New Roman" w:hAnsi="Times New Roman"/>
            <w:sz w:val="16"/>
            <w:szCs w:val="16"/>
            <w:u w:val="single" w:color="auto"/>
            <w:color w:val="0000EE"/>
          </w:rPr>
          <w:t>Executive Time-Based Profits Interest Unit Agreement (incorporated by reference to Exhibit 10.31 to the Combined</w:t>
        </w:r>
      </w:hyperlink>
      <w:r>
        <w:rPr>
          <w:rFonts w:ascii="Times New Roman" w:cs="Times New Roman" w:eastAsia="Times New Roman" w:hAnsi="Times New Roman"/>
          <w:sz w:val="16"/>
          <w:szCs w:val="16"/>
          <w:u w:val="single" w:color="auto"/>
          <w:color w:val="0000EE"/>
        </w:rPr>
        <w:t xml:space="preserve"> </w:t>
      </w:r>
      <w:hyperlink r:id="rId244">
        <w:r>
          <w:rPr>
            <w:rFonts w:ascii="Times New Roman" w:cs="Times New Roman" w:eastAsia="Times New Roman" w:hAnsi="Times New Roman"/>
            <w:sz w:val="16"/>
            <w:szCs w:val="16"/>
            <w:u w:val="single" w:color="auto"/>
            <w:color w:val="0000EE"/>
          </w:rPr>
          <w:t>Annual Report on Form 10-K of Digital Realty Trust, Inc. and Digital Realty Trust, L.P. (File Nos. 001-32336 and 000-</w:t>
        </w:r>
      </w:hyperlink>
      <w:hyperlink r:id="rId244">
        <w:r>
          <w:rPr>
            <w:rFonts w:ascii="Times New Roman" w:cs="Times New Roman" w:eastAsia="Times New Roman" w:hAnsi="Times New Roman"/>
            <w:sz w:val="16"/>
            <w:szCs w:val="16"/>
            <w:u w:val="single" w:color="auto"/>
            <w:color w:val="0000EE"/>
          </w:rPr>
          <w:t>54023) filed on February 25, 2019).</w:t>
        </w:r>
      </w:hyperlink>
    </w:p>
    <w:p>
      <w:pPr>
        <w:spacing w:after="0" w:line="152" w:lineRule="exact"/>
        <w:rPr>
          <w:rFonts w:ascii="Times New Roman" w:cs="Times New Roman" w:eastAsia="Times New Roman" w:hAnsi="Times New Roman"/>
          <w:sz w:val="16"/>
          <w:szCs w:val="16"/>
          <w:u w:val="single" w:color="auto"/>
          <w:color w:val="0000EE"/>
        </w:rPr>
      </w:pPr>
    </w:p>
    <w:p>
      <w:pPr>
        <w:ind w:left="1240" w:right="320" w:hanging="911"/>
        <w:spacing w:after="0" w:line="247" w:lineRule="auto"/>
        <w:tabs>
          <w:tab w:leader="none" w:pos="122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10.23†</w:t>
      </w:r>
      <w:r>
        <w:rPr>
          <w:sz w:val="20"/>
          <w:szCs w:val="20"/>
          <w:color w:val="auto"/>
        </w:rPr>
        <w:tab/>
      </w:r>
      <w:hyperlink r:id="rId245">
        <w:r>
          <w:rPr>
            <w:rFonts w:ascii="Times New Roman" w:cs="Times New Roman" w:eastAsia="Times New Roman" w:hAnsi="Times New Roman"/>
            <w:sz w:val="16"/>
            <w:szCs w:val="16"/>
            <w:u w:val="single" w:color="auto"/>
            <w:color w:val="0000EE"/>
          </w:rPr>
          <w:t>Digital Realty Trust, Inc., Digital Services, Inc. and Digital Realty Trust, L.P. 2014 Incentive Award Plan (incorporated</w:t>
        </w:r>
      </w:hyperlink>
      <w:r>
        <w:rPr>
          <w:rFonts w:ascii="Times New Roman" w:cs="Times New Roman" w:eastAsia="Times New Roman" w:hAnsi="Times New Roman"/>
          <w:sz w:val="16"/>
          <w:szCs w:val="16"/>
          <w:u w:val="single" w:color="auto"/>
          <w:color w:val="0000EE"/>
        </w:rPr>
        <w:t xml:space="preserve"> </w:t>
      </w:r>
      <w:hyperlink r:id="rId245">
        <w:r>
          <w:rPr>
            <w:rFonts w:ascii="Times New Roman" w:cs="Times New Roman" w:eastAsia="Times New Roman" w:hAnsi="Times New Roman"/>
            <w:sz w:val="16"/>
            <w:szCs w:val="16"/>
            <w:u w:val="single" w:color="auto"/>
            <w:color w:val="0000EE"/>
          </w:rPr>
          <w:t>by reference to Exhibit 10.1 to the Combined Current Report on Form 10 -Q of Digital Realty Trust, Inc. and Digital</w:t>
        </w:r>
      </w:hyperlink>
      <w:r>
        <w:rPr>
          <w:rFonts w:ascii="Times New Roman" w:cs="Times New Roman" w:eastAsia="Times New Roman" w:hAnsi="Times New Roman"/>
          <w:sz w:val="16"/>
          <w:szCs w:val="16"/>
          <w:u w:val="single" w:color="auto"/>
          <w:color w:val="0000EE"/>
        </w:rPr>
        <w:t xml:space="preserve"> </w:t>
      </w:r>
      <w:hyperlink r:id="rId245">
        <w:r>
          <w:rPr>
            <w:rFonts w:ascii="Times New Roman" w:cs="Times New Roman" w:eastAsia="Times New Roman" w:hAnsi="Times New Roman"/>
            <w:sz w:val="16"/>
            <w:szCs w:val="16"/>
            <w:u w:val="single" w:color="auto"/>
            <w:color w:val="0000EE"/>
          </w:rPr>
          <w:t>Realty Trust, L.P. (File Nos. 001-32336 and 000-54023) filed on August 7, 2014).</w:t>
        </w:r>
      </w:hyperlink>
    </w:p>
    <w:p>
      <w:pPr>
        <w:spacing w:after="0" w:line="200" w:lineRule="exact"/>
        <w:rPr>
          <w:rFonts w:ascii="Times New Roman" w:cs="Times New Roman" w:eastAsia="Times New Roman" w:hAnsi="Times New Roman"/>
          <w:sz w:val="16"/>
          <w:szCs w:val="16"/>
          <w:u w:val="single" w:color="auto"/>
          <w:color w:val="0000EE"/>
        </w:rPr>
      </w:pPr>
    </w:p>
    <w:p>
      <w:pPr>
        <w:spacing w:after="0" w:line="336" w:lineRule="exact"/>
        <w:rPr>
          <w:rFonts w:ascii="Times New Roman" w:cs="Times New Roman" w:eastAsia="Times New Roman" w:hAnsi="Times New Roman"/>
          <w:sz w:val="16"/>
          <w:szCs w:val="16"/>
          <w:u w:val="single" w:color="auto"/>
          <w:color w:val="0000EE"/>
        </w:rPr>
      </w:pPr>
    </w:p>
    <w:p>
      <w:pPr>
        <w:jc w:val="center"/>
        <w:spacing w:after="0"/>
        <w:rPr>
          <w:sz w:val="20"/>
          <w:szCs w:val="20"/>
          <w:color w:val="auto"/>
        </w:rPr>
      </w:pPr>
      <w:r>
        <w:rPr>
          <w:rFonts w:ascii="Times New Roman" w:cs="Times New Roman" w:eastAsia="Times New Roman" w:hAnsi="Times New Roman"/>
          <w:sz w:val="16"/>
          <w:szCs w:val="16"/>
          <w:color w:val="auto"/>
        </w:rPr>
        <w:t>168</w:t>
      </w:r>
    </w:p>
    <w:p>
      <w:pPr>
        <w:spacing w:after="0" w:line="20" w:lineRule="exact"/>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u w:val="single" w:color="auto"/>
          <w:color w:val="0000EE"/>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6">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73" w:name="page174"/>
    <w:bookmarkEnd w:id="173"/>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b w:val="1"/>
          <w:bCs w:val="1"/>
          <w:color w:val="auto"/>
        </w:rPr>
        <w:t>Exhibit</w:t>
      </w:r>
    </w:p>
    <w:p>
      <w:pPr>
        <w:spacing w:after="0" w:line="23" w:lineRule="exact"/>
        <w:rPr>
          <w:sz w:val="20"/>
          <w:szCs w:val="20"/>
          <w:color w:val="auto"/>
        </w:rPr>
      </w:pPr>
    </w:p>
    <w:p>
      <w:pPr>
        <w:ind w:left="320"/>
        <w:spacing w:after="0"/>
        <w:tabs>
          <w:tab w:leader="none" w:pos="1220" w:val="left"/>
        </w:tabs>
        <w:rPr>
          <w:sz w:val="20"/>
          <w:szCs w:val="20"/>
          <w:color w:val="auto"/>
        </w:rPr>
      </w:pPr>
      <w:r>
        <w:rPr>
          <w:rFonts w:ascii="Times New Roman" w:cs="Times New Roman" w:eastAsia="Times New Roman" w:hAnsi="Times New Roman"/>
          <w:sz w:val="13"/>
          <w:szCs w:val="13"/>
          <w:b w:val="1"/>
          <w:bCs w:val="1"/>
          <w:color w:val="auto"/>
        </w:rPr>
        <w:t>Number</w:t>
      </w:r>
      <w:r>
        <w:rPr>
          <w:sz w:val="20"/>
          <w:szCs w:val="20"/>
          <w:color w:val="auto"/>
        </w:rPr>
        <w:tab/>
      </w:r>
      <w:r>
        <w:rPr>
          <w:rFonts w:ascii="Times New Roman" w:cs="Times New Roman" w:eastAsia="Times New Roman" w:hAnsi="Times New Roman"/>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2540</wp:posOffset>
            </wp:positionV>
            <wp:extent cx="5320030"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7">
                      <a:extLst>
                        <a:ext uri="{28A0092B-C50C-407E-A947-70E740481C1C}"/>
                      </a:extLst>
                    </a:blip>
                    <a:srcRect/>
                    <a:stretch>
                      <a:fillRect/>
                    </a:stretch>
                  </pic:blipFill>
                  <pic:spPr bwMode="auto">
                    <a:xfrm>
                      <a:off x="0" y="0"/>
                      <a:ext cx="5320030" cy="7620"/>
                    </a:xfrm>
                    <a:prstGeom prst="rect">
                      <a:avLst/>
                    </a:prstGeom>
                    <a:noFill/>
                  </pic:spPr>
                </pic:pic>
              </a:graphicData>
            </a:graphic>
          </wp:anchor>
        </w:drawing>
      </w:r>
    </w:p>
    <w:p>
      <w:pPr>
        <w:ind w:left="1240" w:right="580" w:hanging="911"/>
        <w:spacing w:after="0" w:line="296" w:lineRule="auto"/>
        <w:tabs>
          <w:tab w:leader="none" w:pos="12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6"/>
          <w:szCs w:val="16"/>
          <w:color w:val="auto"/>
        </w:rPr>
        <w:t>10.24†</w:t>
      </w:r>
      <w:r>
        <w:rPr>
          <w:sz w:val="20"/>
          <w:szCs w:val="20"/>
          <w:color w:val="auto"/>
        </w:rPr>
        <w:tab/>
      </w:r>
      <w:hyperlink r:id="rId248">
        <w:r>
          <w:rPr>
            <w:rFonts w:ascii="Times New Roman" w:cs="Times New Roman" w:eastAsia="Times New Roman" w:hAnsi="Times New Roman"/>
            <w:sz w:val="14"/>
            <w:szCs w:val="14"/>
            <w:u w:val="single" w:color="auto"/>
            <w:color w:val="0000EE"/>
          </w:rPr>
          <w:t>First Amendment to Digital Realty Trust, Inc., Digital Services, Inc. and Digital Realty Trust, L.P. 2014 Incentive</w:t>
        </w:r>
      </w:hyperlink>
      <w:r>
        <w:rPr>
          <w:rFonts w:ascii="Times New Roman" w:cs="Times New Roman" w:eastAsia="Times New Roman" w:hAnsi="Times New Roman"/>
          <w:sz w:val="14"/>
          <w:szCs w:val="14"/>
          <w:u w:val="single" w:color="auto"/>
          <w:color w:val="0000EE"/>
        </w:rPr>
        <w:t xml:space="preserve"> </w:t>
      </w:r>
      <w:hyperlink r:id="rId248">
        <w:r>
          <w:rPr>
            <w:rFonts w:ascii="Times New Roman" w:cs="Times New Roman" w:eastAsia="Times New Roman" w:hAnsi="Times New Roman"/>
            <w:sz w:val="14"/>
            <w:szCs w:val="14"/>
            <w:u w:val="single" w:color="auto"/>
            <w:color w:val="0000EE"/>
          </w:rPr>
          <w:t>Award Plan. (incorporated by reference to Exhibit 10.1 to the Combined Quarterly Report on Form 10-Q of Digital</w:t>
        </w:r>
      </w:hyperlink>
      <w:r>
        <w:rPr>
          <w:rFonts w:ascii="Times New Roman" w:cs="Times New Roman" w:eastAsia="Times New Roman" w:hAnsi="Times New Roman"/>
          <w:sz w:val="14"/>
          <w:szCs w:val="14"/>
          <w:u w:val="single" w:color="auto"/>
          <w:color w:val="0000EE"/>
        </w:rPr>
        <w:t xml:space="preserve"> </w:t>
      </w:r>
      <w:hyperlink r:id="rId248">
        <w:r>
          <w:rPr>
            <w:rFonts w:ascii="Times New Roman" w:cs="Times New Roman" w:eastAsia="Times New Roman" w:hAnsi="Times New Roman"/>
            <w:sz w:val="14"/>
            <w:szCs w:val="14"/>
            <w:u w:val="single" w:color="auto"/>
            <w:color w:val="0000EE"/>
          </w:rPr>
          <w:t>Realty Trust, Inc. and Digital Realty Trust, L.P. (File Nos. 001-32336 and 000-54023) filed on November 7, 2014).</w:t>
        </w:r>
      </w:hyperlink>
    </w:p>
    <w:p>
      <w:pPr>
        <w:spacing w:after="0" w:line="120" w:lineRule="exact"/>
        <w:rPr>
          <w:rFonts w:ascii="Times New Roman" w:cs="Times New Roman" w:eastAsia="Times New Roman" w:hAnsi="Times New Roman"/>
          <w:sz w:val="14"/>
          <w:szCs w:val="14"/>
          <w:u w:val="single" w:color="auto"/>
          <w:color w:val="0000EE"/>
        </w:rPr>
      </w:pPr>
    </w:p>
    <w:p>
      <w:pPr>
        <w:ind w:left="1240" w:right="500" w:hanging="911"/>
        <w:spacing w:after="0" w:line="299" w:lineRule="auto"/>
        <w:tabs>
          <w:tab w:leader="none" w:pos="12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6"/>
          <w:szCs w:val="16"/>
          <w:color w:val="auto"/>
        </w:rPr>
        <w:t>10.25†</w:t>
      </w:r>
      <w:r>
        <w:rPr>
          <w:sz w:val="20"/>
          <w:szCs w:val="20"/>
          <w:color w:val="auto"/>
        </w:rPr>
        <w:tab/>
      </w:r>
      <w:hyperlink r:id="rId249">
        <w:r>
          <w:rPr>
            <w:rFonts w:ascii="Times New Roman" w:cs="Times New Roman" w:eastAsia="Times New Roman" w:hAnsi="Times New Roman"/>
            <w:sz w:val="14"/>
            <w:szCs w:val="14"/>
            <w:u w:val="single" w:color="auto"/>
            <w:color w:val="0000EE"/>
          </w:rPr>
          <w:t>Second Amendment to Digital Realty Trust, Inc., Digital Services, Inc. and Digital Realty Trust, L.P. 2014 Incentive</w:t>
        </w:r>
      </w:hyperlink>
      <w:r>
        <w:rPr>
          <w:rFonts w:ascii="Times New Roman" w:cs="Times New Roman" w:eastAsia="Times New Roman" w:hAnsi="Times New Roman"/>
          <w:sz w:val="14"/>
          <w:szCs w:val="14"/>
          <w:u w:val="single" w:color="auto"/>
          <w:color w:val="0000EE"/>
        </w:rPr>
        <w:t xml:space="preserve"> </w:t>
      </w:r>
      <w:hyperlink r:id="rId249">
        <w:r>
          <w:rPr>
            <w:rFonts w:ascii="Times New Roman" w:cs="Times New Roman" w:eastAsia="Times New Roman" w:hAnsi="Times New Roman"/>
            <w:sz w:val="14"/>
            <w:szCs w:val="14"/>
            <w:u w:val="single" w:color="auto"/>
            <w:color w:val="0000EE"/>
          </w:rPr>
          <w:t>Award Plan (incorporated by reference to Exhibit 10.44 to the Combined Annual Report on Form 10-K of Digital</w:t>
        </w:r>
      </w:hyperlink>
      <w:r>
        <w:rPr>
          <w:rFonts w:ascii="Times New Roman" w:cs="Times New Roman" w:eastAsia="Times New Roman" w:hAnsi="Times New Roman"/>
          <w:sz w:val="14"/>
          <w:szCs w:val="14"/>
          <w:u w:val="single" w:color="auto"/>
          <w:color w:val="0000EE"/>
        </w:rPr>
        <w:t xml:space="preserve"> </w:t>
      </w:r>
      <w:hyperlink r:id="rId249">
        <w:r>
          <w:rPr>
            <w:rFonts w:ascii="Times New Roman" w:cs="Times New Roman" w:eastAsia="Times New Roman" w:hAnsi="Times New Roman"/>
            <w:sz w:val="14"/>
            <w:szCs w:val="14"/>
            <w:u w:val="single" w:color="auto"/>
            <w:color w:val="0000EE"/>
          </w:rPr>
          <w:t>Realty Trust, Inc. and Digital Realty Trust, L.P. (File Nos. 001-32336 and 000-54023) filed on March 2, 2015).</w:t>
        </w:r>
      </w:hyperlink>
    </w:p>
    <w:p>
      <w:pPr>
        <w:spacing w:after="0" w:line="119" w:lineRule="exact"/>
        <w:rPr>
          <w:rFonts w:ascii="Times New Roman" w:cs="Times New Roman" w:eastAsia="Times New Roman" w:hAnsi="Times New Roman"/>
          <w:sz w:val="14"/>
          <w:szCs w:val="14"/>
          <w:u w:val="single" w:color="auto"/>
          <w:color w:val="0000EE"/>
        </w:rPr>
      </w:pPr>
    </w:p>
    <w:p>
      <w:pPr>
        <w:ind w:left="1240" w:right="320" w:hanging="911"/>
        <w:spacing w:after="0" w:line="247" w:lineRule="auto"/>
        <w:tabs>
          <w:tab w:leader="none" w:pos="122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10.26†</w:t>
      </w:r>
      <w:r>
        <w:rPr>
          <w:sz w:val="20"/>
          <w:szCs w:val="20"/>
          <w:color w:val="auto"/>
        </w:rPr>
        <w:tab/>
      </w:r>
      <w:hyperlink r:id="rId250">
        <w:r>
          <w:rPr>
            <w:rFonts w:ascii="Times New Roman" w:cs="Times New Roman" w:eastAsia="Times New Roman" w:hAnsi="Times New Roman"/>
            <w:sz w:val="16"/>
            <w:szCs w:val="16"/>
            <w:u w:val="single" w:color="auto"/>
            <w:color w:val="0000EE"/>
          </w:rPr>
          <w:t>Third Amendment to Digital Realty Trust, Inc., Digital Services, Inc. and Digital Realty Trust, L.P. 2014 Incentive</w:t>
        </w:r>
      </w:hyperlink>
      <w:r>
        <w:rPr>
          <w:rFonts w:ascii="Times New Roman" w:cs="Times New Roman" w:eastAsia="Times New Roman" w:hAnsi="Times New Roman"/>
          <w:sz w:val="16"/>
          <w:szCs w:val="16"/>
          <w:u w:val="single" w:color="auto"/>
          <w:color w:val="0000EE"/>
        </w:rPr>
        <w:t xml:space="preserve"> </w:t>
      </w:r>
      <w:hyperlink r:id="rId250">
        <w:r>
          <w:rPr>
            <w:rFonts w:ascii="Times New Roman" w:cs="Times New Roman" w:eastAsia="Times New Roman" w:hAnsi="Times New Roman"/>
            <w:sz w:val="16"/>
            <w:szCs w:val="16"/>
            <w:u w:val="single" w:color="auto"/>
            <w:color w:val="0000EE"/>
          </w:rPr>
          <w:t>Award Plan (incorporated by reference to Exhibit 10.1 to the Combined Annual Report on Form 10-Q of Digital Realty</w:t>
        </w:r>
      </w:hyperlink>
      <w:r>
        <w:rPr>
          <w:rFonts w:ascii="Times New Roman" w:cs="Times New Roman" w:eastAsia="Times New Roman" w:hAnsi="Times New Roman"/>
          <w:sz w:val="16"/>
          <w:szCs w:val="16"/>
          <w:u w:val="single" w:color="auto"/>
          <w:color w:val="0000EE"/>
        </w:rPr>
        <w:t xml:space="preserve"> </w:t>
      </w:r>
      <w:hyperlink r:id="rId250">
        <w:r>
          <w:rPr>
            <w:rFonts w:ascii="Times New Roman" w:cs="Times New Roman" w:eastAsia="Times New Roman" w:hAnsi="Times New Roman"/>
            <w:sz w:val="16"/>
            <w:szCs w:val="16"/>
            <w:u w:val="single" w:color="auto"/>
            <w:color w:val="0000EE"/>
          </w:rPr>
          <w:t>Trust, Inc. and Digital Realty Trust, L.P. filed on November 9, 2016).</w:t>
        </w:r>
      </w:hyperlink>
    </w:p>
    <w:p>
      <w:pPr>
        <w:spacing w:after="0" w:line="152" w:lineRule="exact"/>
        <w:rPr>
          <w:rFonts w:ascii="Times New Roman" w:cs="Times New Roman" w:eastAsia="Times New Roman" w:hAnsi="Times New Roman"/>
          <w:sz w:val="16"/>
          <w:szCs w:val="16"/>
          <w:u w:val="single" w:color="auto"/>
          <w:color w:val="0000EE"/>
        </w:rPr>
      </w:pPr>
    </w:p>
    <w:p>
      <w:pPr>
        <w:jc w:val="both"/>
        <w:ind w:left="1240" w:right="320" w:hanging="911"/>
        <w:spacing w:after="0" w:line="299" w:lineRule="auto"/>
        <w:tabs>
          <w:tab w:leader="none" w:pos="12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6"/>
          <w:szCs w:val="16"/>
          <w:color w:val="auto"/>
        </w:rPr>
        <w:t>10.27†</w:t>
      </w:r>
      <w:r>
        <w:rPr>
          <w:sz w:val="20"/>
          <w:szCs w:val="20"/>
          <w:color w:val="auto"/>
        </w:rPr>
        <w:tab/>
      </w:r>
      <w:hyperlink r:id="rId251">
        <w:r>
          <w:rPr>
            <w:rFonts w:ascii="Times New Roman" w:cs="Times New Roman" w:eastAsia="Times New Roman" w:hAnsi="Times New Roman"/>
            <w:sz w:val="14"/>
            <w:szCs w:val="14"/>
            <w:u w:val="single" w:color="auto"/>
            <w:color w:val="0000EE"/>
          </w:rPr>
          <w:t>Fourth Amendment to the Digital Realty Trust, Inc., Digital Services, Inc. and Digital Realty Trust, L.P. 2014 Incentive</w:t>
        </w:r>
      </w:hyperlink>
      <w:r>
        <w:rPr>
          <w:rFonts w:ascii="Times New Roman" w:cs="Times New Roman" w:eastAsia="Times New Roman" w:hAnsi="Times New Roman"/>
          <w:sz w:val="14"/>
          <w:szCs w:val="14"/>
          <w:u w:val="single" w:color="auto"/>
          <w:color w:val="0000EE"/>
        </w:rPr>
        <w:t xml:space="preserve"> </w:t>
      </w:r>
      <w:hyperlink r:id="rId251">
        <w:r>
          <w:rPr>
            <w:rFonts w:ascii="Times New Roman" w:cs="Times New Roman" w:eastAsia="Times New Roman" w:hAnsi="Times New Roman"/>
            <w:sz w:val="14"/>
            <w:szCs w:val="14"/>
            <w:u w:val="single" w:color="auto"/>
            <w:color w:val="0000EE"/>
          </w:rPr>
          <w:t>Award Plan (incorporated by reference to Exhibit 10.1 to the Combined Current Report on Form 8- K of Digital Realty</w:t>
        </w:r>
      </w:hyperlink>
      <w:r>
        <w:rPr>
          <w:rFonts w:ascii="Times New Roman" w:cs="Times New Roman" w:eastAsia="Times New Roman" w:hAnsi="Times New Roman"/>
          <w:sz w:val="14"/>
          <w:szCs w:val="14"/>
          <w:u w:val="single" w:color="auto"/>
          <w:color w:val="0000EE"/>
        </w:rPr>
        <w:t xml:space="preserve"> </w:t>
      </w:r>
      <w:hyperlink r:id="rId251">
        <w:r>
          <w:rPr>
            <w:rFonts w:ascii="Times New Roman" w:cs="Times New Roman" w:eastAsia="Times New Roman" w:hAnsi="Times New Roman"/>
            <w:sz w:val="14"/>
            <w:szCs w:val="14"/>
            <w:u w:val="single" w:color="auto"/>
            <w:color w:val="0000EE"/>
          </w:rPr>
          <w:t>Trust, Inc. and Digital Realty Trust, L.P. (File Nos. 001-32336 and 000-54023) filed on September 14, 2017).</w:t>
        </w:r>
      </w:hyperlink>
    </w:p>
    <w:p>
      <w:pPr>
        <w:spacing w:after="0" w:line="119" w:lineRule="exact"/>
        <w:rPr>
          <w:rFonts w:ascii="Times New Roman" w:cs="Times New Roman" w:eastAsia="Times New Roman" w:hAnsi="Times New Roman"/>
          <w:sz w:val="14"/>
          <w:szCs w:val="14"/>
          <w:u w:val="single" w:color="auto"/>
          <w:color w:val="0000EE"/>
        </w:rPr>
      </w:pPr>
    </w:p>
    <w:p>
      <w:pPr>
        <w:ind w:left="1240" w:right="440" w:hanging="911"/>
        <w:spacing w:after="0" w:line="299" w:lineRule="auto"/>
        <w:tabs>
          <w:tab w:leader="none" w:pos="12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6"/>
          <w:szCs w:val="16"/>
          <w:color w:val="auto"/>
        </w:rPr>
        <w:t>10.28†</w:t>
      </w:r>
      <w:r>
        <w:rPr>
          <w:sz w:val="20"/>
          <w:szCs w:val="20"/>
          <w:color w:val="auto"/>
        </w:rPr>
        <w:tab/>
      </w:r>
      <w:hyperlink r:id="rId252">
        <w:r>
          <w:rPr>
            <w:rFonts w:ascii="Times New Roman" w:cs="Times New Roman" w:eastAsia="Times New Roman" w:hAnsi="Times New Roman"/>
            <w:sz w:val="14"/>
            <w:szCs w:val="14"/>
            <w:u w:val="single" w:color="auto"/>
            <w:color w:val="0000EE"/>
          </w:rPr>
          <w:t>Fifth Amendment to the Digital Realty Trust, Inc., Digital Services, Inc. and Digital Realty Trust, L.P. 2014 Incentive</w:t>
        </w:r>
      </w:hyperlink>
      <w:r>
        <w:rPr>
          <w:rFonts w:ascii="Times New Roman" w:cs="Times New Roman" w:eastAsia="Times New Roman" w:hAnsi="Times New Roman"/>
          <w:sz w:val="14"/>
          <w:szCs w:val="14"/>
          <w:u w:val="single" w:color="auto"/>
          <w:color w:val="0000EE"/>
        </w:rPr>
        <w:t xml:space="preserve"> </w:t>
      </w:r>
      <w:hyperlink r:id="rId252">
        <w:r>
          <w:rPr>
            <w:rFonts w:ascii="Times New Roman" w:cs="Times New Roman" w:eastAsia="Times New Roman" w:hAnsi="Times New Roman"/>
            <w:sz w:val="14"/>
            <w:szCs w:val="14"/>
            <w:u w:val="single" w:color="auto"/>
            <w:color w:val="0000EE"/>
          </w:rPr>
          <w:t>Award Plan (incorporated by reference to Exhibit 10.38 to the Combined Annual Report on Form 10-K of Digital</w:t>
        </w:r>
      </w:hyperlink>
      <w:r>
        <w:rPr>
          <w:rFonts w:ascii="Times New Roman" w:cs="Times New Roman" w:eastAsia="Times New Roman" w:hAnsi="Times New Roman"/>
          <w:sz w:val="14"/>
          <w:szCs w:val="14"/>
          <w:u w:val="single" w:color="auto"/>
          <w:color w:val="0000EE"/>
        </w:rPr>
        <w:t xml:space="preserve"> </w:t>
      </w:r>
      <w:hyperlink r:id="rId252">
        <w:r>
          <w:rPr>
            <w:rFonts w:ascii="Times New Roman" w:cs="Times New Roman" w:eastAsia="Times New Roman" w:hAnsi="Times New Roman"/>
            <w:sz w:val="14"/>
            <w:szCs w:val="14"/>
            <w:u w:val="single" w:color="auto"/>
            <w:color w:val="0000EE"/>
          </w:rPr>
          <w:t>Realty Trust, Inc. and Digital Realty Trust, L.P. (File Nos. 001-32336 and 000-54023) filed on February 25, 2019).</w:t>
        </w:r>
      </w:hyperlink>
    </w:p>
    <w:p>
      <w:pPr>
        <w:spacing w:after="0" w:line="119" w:lineRule="exact"/>
        <w:rPr>
          <w:rFonts w:ascii="Times New Roman" w:cs="Times New Roman" w:eastAsia="Times New Roman" w:hAnsi="Times New Roman"/>
          <w:sz w:val="14"/>
          <w:szCs w:val="14"/>
          <w:u w:val="single" w:color="auto"/>
          <w:color w:val="0000EE"/>
        </w:rPr>
      </w:pPr>
    </w:p>
    <w:p>
      <w:pPr>
        <w:ind w:left="1240" w:right="400" w:hanging="911"/>
        <w:spacing w:after="0" w:line="299" w:lineRule="auto"/>
        <w:tabs>
          <w:tab w:leader="none" w:pos="12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6"/>
          <w:szCs w:val="16"/>
          <w:color w:val="auto"/>
        </w:rPr>
        <w:t>10.29†</w:t>
      </w:r>
      <w:r>
        <w:rPr>
          <w:sz w:val="20"/>
          <w:szCs w:val="20"/>
          <w:color w:val="auto"/>
        </w:rPr>
        <w:tab/>
      </w:r>
      <w:hyperlink r:id="rId253">
        <w:r>
          <w:rPr>
            <w:rFonts w:ascii="Times New Roman" w:cs="Times New Roman" w:eastAsia="Times New Roman" w:hAnsi="Times New Roman"/>
            <w:sz w:val="14"/>
            <w:szCs w:val="14"/>
            <w:u w:val="single" w:color="auto"/>
            <w:color w:val="0000EE"/>
          </w:rPr>
          <w:t>Sixth Amendment to the Digital Realty Trust, Inc., Digital Services, Inc. and Digital Realty Trust, L.P. 2014 Incentive</w:t>
        </w:r>
      </w:hyperlink>
      <w:r>
        <w:rPr>
          <w:rFonts w:ascii="Times New Roman" w:cs="Times New Roman" w:eastAsia="Times New Roman" w:hAnsi="Times New Roman"/>
          <w:sz w:val="14"/>
          <w:szCs w:val="14"/>
          <w:u w:val="single" w:color="auto"/>
          <w:color w:val="0000EE"/>
        </w:rPr>
        <w:t xml:space="preserve"> </w:t>
      </w:r>
      <w:hyperlink r:id="rId253">
        <w:r>
          <w:rPr>
            <w:rFonts w:ascii="Times New Roman" w:cs="Times New Roman" w:eastAsia="Times New Roman" w:hAnsi="Times New Roman"/>
            <w:sz w:val="14"/>
            <w:szCs w:val="14"/>
            <w:u w:val="single" w:color="auto"/>
            <w:color w:val="0000EE"/>
          </w:rPr>
          <w:t>Award Plan (incorporated by reference to Exhibit 10.33 to the Combined Annual Report on Form 10-K of Digital</w:t>
        </w:r>
      </w:hyperlink>
      <w:r>
        <w:rPr>
          <w:rFonts w:ascii="Times New Roman" w:cs="Times New Roman" w:eastAsia="Times New Roman" w:hAnsi="Times New Roman"/>
          <w:sz w:val="14"/>
          <w:szCs w:val="14"/>
          <w:u w:val="single" w:color="auto"/>
          <w:color w:val="0000EE"/>
        </w:rPr>
        <w:t xml:space="preserve"> </w:t>
      </w:r>
      <w:hyperlink r:id="rId253">
        <w:r>
          <w:rPr>
            <w:rFonts w:ascii="Times New Roman" w:cs="Times New Roman" w:eastAsia="Times New Roman" w:hAnsi="Times New Roman"/>
            <w:sz w:val="14"/>
            <w:szCs w:val="14"/>
            <w:u w:val="single" w:color="auto"/>
            <w:color w:val="0000EE"/>
          </w:rPr>
          <w:t>Realty Trust, Inc. and Digital Realty Trust, L.P. (File Nos. 001-32336 and 000-54023) filed on March 1, 2021).</w:t>
        </w:r>
      </w:hyperlink>
    </w:p>
    <w:p>
      <w:pPr>
        <w:spacing w:after="0" w:line="119" w:lineRule="exact"/>
        <w:rPr>
          <w:rFonts w:ascii="Times New Roman" w:cs="Times New Roman" w:eastAsia="Times New Roman" w:hAnsi="Times New Roman"/>
          <w:sz w:val="14"/>
          <w:szCs w:val="14"/>
          <w:u w:val="single" w:color="auto"/>
          <w:color w:val="0000EE"/>
        </w:rPr>
      </w:pPr>
    </w:p>
    <w:p>
      <w:pPr>
        <w:ind w:left="1240" w:right="540" w:hanging="911"/>
        <w:spacing w:after="0" w:line="299" w:lineRule="auto"/>
        <w:tabs>
          <w:tab w:leader="none" w:pos="12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6"/>
          <w:szCs w:val="16"/>
          <w:color w:val="auto"/>
        </w:rPr>
        <w:t>10.30†</w:t>
      </w:r>
      <w:r>
        <w:rPr>
          <w:sz w:val="20"/>
          <w:szCs w:val="20"/>
          <w:color w:val="auto"/>
        </w:rPr>
        <w:tab/>
      </w:r>
      <w:hyperlink r:id="rId254">
        <w:r>
          <w:rPr>
            <w:rFonts w:ascii="Times New Roman" w:cs="Times New Roman" w:eastAsia="Times New Roman" w:hAnsi="Times New Roman"/>
            <w:sz w:val="14"/>
            <w:szCs w:val="14"/>
            <w:u w:val="single" w:color="auto"/>
            <w:color w:val="0000EE"/>
          </w:rPr>
          <w:t>Seventh Amendment to the Digital Realty Trust, Inc., Digital Services, Inc., and Digital Realty Trust, L.P. Incentive</w:t>
        </w:r>
      </w:hyperlink>
      <w:r>
        <w:rPr>
          <w:rFonts w:ascii="Times New Roman" w:cs="Times New Roman" w:eastAsia="Times New Roman" w:hAnsi="Times New Roman"/>
          <w:sz w:val="14"/>
          <w:szCs w:val="14"/>
          <w:u w:val="single" w:color="auto"/>
          <w:color w:val="0000EE"/>
        </w:rPr>
        <w:t xml:space="preserve"> </w:t>
      </w:r>
      <w:hyperlink r:id="rId254">
        <w:r>
          <w:rPr>
            <w:rFonts w:ascii="Times New Roman" w:cs="Times New Roman" w:eastAsia="Times New Roman" w:hAnsi="Times New Roman"/>
            <w:sz w:val="14"/>
            <w:szCs w:val="14"/>
            <w:u w:val="single" w:color="auto"/>
            <w:color w:val="0000EE"/>
          </w:rPr>
          <w:t>Award Plan (incorporated by reference to Exhibit 10.6 to the Combined Quarterly Report on From 10- Q of Digital</w:t>
        </w:r>
      </w:hyperlink>
      <w:r>
        <w:rPr>
          <w:rFonts w:ascii="Times New Roman" w:cs="Times New Roman" w:eastAsia="Times New Roman" w:hAnsi="Times New Roman"/>
          <w:sz w:val="14"/>
          <w:szCs w:val="14"/>
          <w:u w:val="single" w:color="auto"/>
          <w:color w:val="0000EE"/>
        </w:rPr>
        <w:t xml:space="preserve"> </w:t>
      </w:r>
      <w:hyperlink r:id="rId254">
        <w:r>
          <w:rPr>
            <w:rFonts w:ascii="Times New Roman" w:cs="Times New Roman" w:eastAsia="Times New Roman" w:hAnsi="Times New Roman"/>
            <w:sz w:val="14"/>
            <w:szCs w:val="14"/>
            <w:u w:val="single" w:color="auto"/>
            <w:color w:val="0000EE"/>
          </w:rPr>
          <w:t>Realty Trust, Inc. and Digital Realty Trust, L.P. (File Nos. 001-32336 and 000-54023) filed on May 3, 2024.</w:t>
        </w:r>
      </w:hyperlink>
    </w:p>
    <w:p>
      <w:pPr>
        <w:spacing w:after="0" w:line="119" w:lineRule="exact"/>
        <w:rPr>
          <w:rFonts w:ascii="Times New Roman" w:cs="Times New Roman" w:eastAsia="Times New Roman" w:hAnsi="Times New Roman"/>
          <w:sz w:val="14"/>
          <w:szCs w:val="14"/>
          <w:u w:val="single" w:color="auto"/>
          <w:color w:val="0000EE"/>
        </w:rPr>
      </w:pPr>
    </w:p>
    <w:p>
      <w:pPr>
        <w:ind w:left="1240" w:right="400" w:hanging="911"/>
        <w:spacing w:after="0" w:line="281" w:lineRule="auto"/>
        <w:tabs>
          <w:tab w:leader="none" w:pos="12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6"/>
          <w:szCs w:val="16"/>
          <w:color w:val="auto"/>
        </w:rPr>
        <w:t>10.31†</w:t>
      </w:r>
      <w:r>
        <w:rPr>
          <w:sz w:val="20"/>
          <w:szCs w:val="20"/>
          <w:color w:val="auto"/>
        </w:rPr>
        <w:tab/>
      </w:r>
      <w:hyperlink r:id="rId254">
        <w:r>
          <w:rPr>
            <w:rFonts w:ascii="Times New Roman" w:cs="Times New Roman" w:eastAsia="Times New Roman" w:hAnsi="Times New Roman"/>
            <w:sz w:val="14"/>
            <w:szCs w:val="14"/>
            <w:u w:val="single" w:color="auto"/>
            <w:color w:val="0000EE"/>
          </w:rPr>
          <w:t>Employment Agreement among Digital Realty Trust, Inc., DLR LLC and A. William Stein (incorporated by reference</w:t>
        </w:r>
      </w:hyperlink>
      <w:r>
        <w:rPr>
          <w:rFonts w:ascii="Times New Roman" w:cs="Times New Roman" w:eastAsia="Times New Roman" w:hAnsi="Times New Roman"/>
          <w:sz w:val="14"/>
          <w:szCs w:val="14"/>
          <w:u w:val="single" w:color="auto"/>
          <w:color w:val="0000EE"/>
        </w:rPr>
        <w:t xml:space="preserve"> </w:t>
      </w:r>
      <w:hyperlink r:id="rId254">
        <w:r>
          <w:rPr>
            <w:rFonts w:ascii="Times New Roman" w:cs="Times New Roman" w:eastAsia="Times New Roman" w:hAnsi="Times New Roman"/>
            <w:sz w:val="14"/>
            <w:szCs w:val="14"/>
            <w:u w:val="single" w:color="auto"/>
            <w:color w:val="0000EE"/>
          </w:rPr>
          <w:t>to Exhibit 10.1 to the Combined Current Report on Form 8-K of Digital Realty Trust, Inc. and Digital Realty</w:t>
        </w:r>
      </w:hyperlink>
    </w:p>
    <w:p>
      <w:pPr>
        <w:spacing w:after="0" w:line="1" w:lineRule="exact"/>
        <w:rPr>
          <w:sz w:val="20"/>
          <w:szCs w:val="20"/>
          <w:color w:val="auto"/>
        </w:rPr>
      </w:pPr>
    </w:p>
    <w:p>
      <w:pPr>
        <w:ind w:left="1240"/>
        <w:spacing w:after="0"/>
        <w:rPr>
          <w:rFonts w:ascii="Times New Roman" w:cs="Times New Roman" w:eastAsia="Times New Roman" w:hAnsi="Times New Roman"/>
          <w:sz w:val="16"/>
          <w:szCs w:val="16"/>
          <w:u w:val="single" w:color="auto"/>
          <w:color w:val="0000EE"/>
        </w:rPr>
      </w:pPr>
      <w:hyperlink r:id="rId254">
        <w:r>
          <w:rPr>
            <w:rFonts w:ascii="Times New Roman" w:cs="Times New Roman" w:eastAsia="Times New Roman" w:hAnsi="Times New Roman"/>
            <w:sz w:val="16"/>
            <w:szCs w:val="16"/>
            <w:u w:val="single" w:color="auto"/>
            <w:color w:val="0000EE"/>
          </w:rPr>
          <w:t>Trust, L.P. (File Nos. 001-32336 and 000-54023) filed on July 9, 2018).</w:t>
        </w:r>
      </w:hyperlink>
    </w:p>
    <w:p>
      <w:pPr>
        <w:spacing w:after="0" w:line="158" w:lineRule="exact"/>
        <w:rPr>
          <w:sz w:val="20"/>
          <w:szCs w:val="20"/>
          <w:color w:val="auto"/>
        </w:rPr>
      </w:pPr>
    </w:p>
    <w:p>
      <w:pPr>
        <w:ind w:left="1240" w:right="460" w:hanging="911"/>
        <w:spacing w:after="0" w:line="247" w:lineRule="auto"/>
        <w:tabs>
          <w:tab w:leader="none" w:pos="122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10.32†</w:t>
      </w:r>
      <w:r>
        <w:rPr>
          <w:sz w:val="20"/>
          <w:szCs w:val="20"/>
          <w:color w:val="auto"/>
        </w:rPr>
        <w:tab/>
      </w:r>
      <w:hyperlink r:id="rId255">
        <w:r>
          <w:rPr>
            <w:rFonts w:ascii="Times New Roman" w:cs="Times New Roman" w:eastAsia="Times New Roman" w:hAnsi="Times New Roman"/>
            <w:sz w:val="16"/>
            <w:szCs w:val="16"/>
            <w:u w:val="single" w:color="auto"/>
            <w:color w:val="0000EE"/>
          </w:rPr>
          <w:t>Digital Realty Trust, Inc. 2015 Employee Stock Purchase Plan (incorporated by reference to Exhibit 10.6 to the</w:t>
        </w:r>
      </w:hyperlink>
      <w:r>
        <w:rPr>
          <w:rFonts w:ascii="Times New Roman" w:cs="Times New Roman" w:eastAsia="Times New Roman" w:hAnsi="Times New Roman"/>
          <w:sz w:val="16"/>
          <w:szCs w:val="16"/>
          <w:u w:val="single" w:color="auto"/>
          <w:color w:val="0000EE"/>
        </w:rPr>
        <w:t xml:space="preserve"> </w:t>
      </w:r>
      <w:hyperlink r:id="rId255">
        <w:r>
          <w:rPr>
            <w:rFonts w:ascii="Times New Roman" w:cs="Times New Roman" w:eastAsia="Times New Roman" w:hAnsi="Times New Roman"/>
            <w:sz w:val="16"/>
            <w:szCs w:val="16"/>
            <w:u w:val="single" w:color="auto"/>
            <w:color w:val="0000EE"/>
          </w:rPr>
          <w:t>Combined Quarterly Report on Form 10-Q of Digital Realty Trust, Inc. and Digital Realty Trust, L.P. (File Nos. 001-</w:t>
        </w:r>
      </w:hyperlink>
      <w:hyperlink r:id="rId255">
        <w:r>
          <w:rPr>
            <w:rFonts w:ascii="Times New Roman" w:cs="Times New Roman" w:eastAsia="Times New Roman" w:hAnsi="Times New Roman"/>
            <w:sz w:val="16"/>
            <w:szCs w:val="16"/>
            <w:u w:val="single" w:color="auto"/>
            <w:color w:val="0000EE"/>
          </w:rPr>
          <w:t>32336 and 000-54023) filed on August 6, 2015).</w:t>
        </w:r>
      </w:hyperlink>
    </w:p>
    <w:p>
      <w:pPr>
        <w:spacing w:after="0" w:line="152" w:lineRule="exact"/>
        <w:rPr>
          <w:rFonts w:ascii="Times New Roman" w:cs="Times New Roman" w:eastAsia="Times New Roman" w:hAnsi="Times New Roman"/>
          <w:sz w:val="16"/>
          <w:szCs w:val="16"/>
          <w:u w:val="single" w:color="auto"/>
          <w:color w:val="0000EE"/>
        </w:rPr>
      </w:pPr>
    </w:p>
    <w:p>
      <w:pPr>
        <w:jc w:val="both"/>
        <w:ind w:left="1240" w:right="680" w:hanging="911"/>
        <w:spacing w:after="0" w:line="247" w:lineRule="auto"/>
        <w:tabs>
          <w:tab w:leader="none" w:pos="122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10.33†</w:t>
      </w:r>
      <w:r>
        <w:rPr>
          <w:sz w:val="20"/>
          <w:szCs w:val="20"/>
          <w:color w:val="auto"/>
        </w:rPr>
        <w:tab/>
      </w:r>
      <w:hyperlink r:id="rId256">
        <w:r>
          <w:rPr>
            <w:rFonts w:ascii="Times New Roman" w:cs="Times New Roman" w:eastAsia="Times New Roman" w:hAnsi="Times New Roman"/>
            <w:sz w:val="16"/>
            <w:szCs w:val="16"/>
            <w:u w:val="single" w:color="auto"/>
            <w:color w:val="0000EE"/>
          </w:rPr>
          <w:t>First Amendment to Digital Realty Trust, Inc. 2015 Employee Stock Purchase Plan (incorporated by reference to</w:t>
        </w:r>
      </w:hyperlink>
      <w:r>
        <w:rPr>
          <w:rFonts w:ascii="Times New Roman" w:cs="Times New Roman" w:eastAsia="Times New Roman" w:hAnsi="Times New Roman"/>
          <w:sz w:val="16"/>
          <w:szCs w:val="16"/>
          <w:u w:val="single" w:color="auto"/>
          <w:color w:val="0000EE"/>
        </w:rPr>
        <w:t xml:space="preserve"> </w:t>
      </w:r>
      <w:hyperlink r:id="rId256">
        <w:r>
          <w:rPr>
            <w:rFonts w:ascii="Times New Roman" w:cs="Times New Roman" w:eastAsia="Times New Roman" w:hAnsi="Times New Roman"/>
            <w:sz w:val="16"/>
            <w:szCs w:val="16"/>
            <w:u w:val="single" w:color="auto"/>
            <w:color w:val="0000EE"/>
          </w:rPr>
          <w:t>Exhibit 4.7 to the Registration Statement on Form S-8 of Digital Realty Trust, Inc. (File Nos. 001-32336 and 000-</w:t>
        </w:r>
      </w:hyperlink>
      <w:hyperlink r:id="rId256">
        <w:r>
          <w:rPr>
            <w:rFonts w:ascii="Times New Roman" w:cs="Times New Roman" w:eastAsia="Times New Roman" w:hAnsi="Times New Roman"/>
            <w:sz w:val="16"/>
            <w:szCs w:val="16"/>
            <w:u w:val="single" w:color="auto"/>
            <w:color w:val="0000EE"/>
          </w:rPr>
          <w:t>54023) filed on October 7, 2015).</w:t>
        </w:r>
      </w:hyperlink>
    </w:p>
    <w:p>
      <w:pPr>
        <w:spacing w:after="0" w:line="152" w:lineRule="exact"/>
        <w:rPr>
          <w:rFonts w:ascii="Times New Roman" w:cs="Times New Roman" w:eastAsia="Times New Roman" w:hAnsi="Times New Roman"/>
          <w:sz w:val="16"/>
          <w:szCs w:val="16"/>
          <w:u w:val="single" w:color="auto"/>
          <w:color w:val="0000EE"/>
        </w:rPr>
      </w:pPr>
    </w:p>
    <w:p>
      <w:pPr>
        <w:ind w:left="1240" w:right="360" w:hanging="911"/>
        <w:spacing w:after="0" w:line="247" w:lineRule="auto"/>
        <w:tabs>
          <w:tab w:leader="none" w:pos="122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10.34†</w:t>
      </w:r>
      <w:r>
        <w:rPr>
          <w:sz w:val="20"/>
          <w:szCs w:val="20"/>
          <w:color w:val="auto"/>
        </w:rPr>
        <w:tab/>
      </w:r>
      <w:hyperlink r:id="rId257">
        <w:r>
          <w:rPr>
            <w:rFonts w:ascii="Times New Roman" w:cs="Times New Roman" w:eastAsia="Times New Roman" w:hAnsi="Times New Roman"/>
            <w:sz w:val="16"/>
            <w:szCs w:val="16"/>
            <w:u w:val="single" w:color="auto"/>
            <w:color w:val="0000EE"/>
          </w:rPr>
          <w:t>Form of Director Confidentiality Agreement (incorporated by reference to Exhibit 10.39 to the Combined Annual</w:t>
        </w:r>
      </w:hyperlink>
      <w:r>
        <w:rPr>
          <w:rFonts w:ascii="Times New Roman" w:cs="Times New Roman" w:eastAsia="Times New Roman" w:hAnsi="Times New Roman"/>
          <w:sz w:val="16"/>
          <w:szCs w:val="16"/>
          <w:u w:val="single" w:color="auto"/>
          <w:color w:val="0000EE"/>
        </w:rPr>
        <w:t xml:space="preserve"> </w:t>
      </w:r>
      <w:hyperlink r:id="rId257">
        <w:r>
          <w:rPr>
            <w:rFonts w:ascii="Times New Roman" w:cs="Times New Roman" w:eastAsia="Times New Roman" w:hAnsi="Times New Roman"/>
            <w:sz w:val="16"/>
            <w:szCs w:val="16"/>
            <w:u w:val="single" w:color="auto"/>
            <w:color w:val="0000EE"/>
          </w:rPr>
          <w:t>Report on Form 10-K of Digital Realty Trust, Inc. and Digital Realty Trust, L.P. (File Nos. 001-32336 and 000-54023)</w:t>
        </w:r>
      </w:hyperlink>
      <w:r>
        <w:rPr>
          <w:rFonts w:ascii="Times New Roman" w:cs="Times New Roman" w:eastAsia="Times New Roman" w:hAnsi="Times New Roman"/>
          <w:sz w:val="16"/>
          <w:szCs w:val="16"/>
          <w:u w:val="single" w:color="auto"/>
          <w:color w:val="0000EE"/>
        </w:rPr>
        <w:t xml:space="preserve"> </w:t>
      </w:r>
      <w:hyperlink r:id="rId257">
        <w:r>
          <w:rPr>
            <w:rFonts w:ascii="Times New Roman" w:cs="Times New Roman" w:eastAsia="Times New Roman" w:hAnsi="Times New Roman"/>
            <w:sz w:val="16"/>
            <w:szCs w:val="16"/>
            <w:u w:val="single" w:color="auto"/>
            <w:color w:val="0000EE"/>
          </w:rPr>
          <w:t>filed on March 1, 2017).</w:t>
        </w:r>
      </w:hyperlink>
    </w:p>
    <w:p>
      <w:pPr>
        <w:spacing w:after="0" w:line="200" w:lineRule="exact"/>
        <w:rPr>
          <w:rFonts w:ascii="Times New Roman" w:cs="Times New Roman" w:eastAsia="Times New Roman" w:hAnsi="Times New Roman"/>
          <w:sz w:val="16"/>
          <w:szCs w:val="16"/>
          <w:u w:val="single" w:color="auto"/>
          <w:color w:val="0000EE"/>
        </w:rPr>
      </w:pPr>
    </w:p>
    <w:p>
      <w:pPr>
        <w:spacing w:after="0" w:line="336" w:lineRule="exact"/>
        <w:rPr>
          <w:rFonts w:ascii="Times New Roman" w:cs="Times New Roman" w:eastAsia="Times New Roman" w:hAnsi="Times New Roman"/>
          <w:sz w:val="16"/>
          <w:szCs w:val="16"/>
          <w:u w:val="single" w:color="auto"/>
          <w:color w:val="0000EE"/>
        </w:rPr>
      </w:pPr>
    </w:p>
    <w:p>
      <w:pPr>
        <w:jc w:val="center"/>
        <w:spacing w:after="0"/>
        <w:rPr>
          <w:sz w:val="20"/>
          <w:szCs w:val="20"/>
          <w:color w:val="auto"/>
        </w:rPr>
      </w:pPr>
      <w:r>
        <w:rPr>
          <w:rFonts w:ascii="Times New Roman" w:cs="Times New Roman" w:eastAsia="Times New Roman" w:hAnsi="Times New Roman"/>
          <w:sz w:val="16"/>
          <w:szCs w:val="16"/>
          <w:color w:val="auto"/>
        </w:rPr>
        <w:t>169</w:t>
      </w:r>
    </w:p>
    <w:p>
      <w:pPr>
        <w:spacing w:after="0" w:line="20" w:lineRule="exact"/>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u w:val="single" w:color="auto"/>
          <w:color w:val="0000EE"/>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58">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74" w:name="page175"/>
    <w:bookmarkEnd w:id="174"/>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b w:val="1"/>
          <w:bCs w:val="1"/>
          <w:color w:val="auto"/>
        </w:rPr>
        <w:t>Exhibit</w:t>
      </w:r>
    </w:p>
    <w:p>
      <w:pPr>
        <w:spacing w:after="0" w:line="23" w:lineRule="exact"/>
        <w:rPr>
          <w:sz w:val="20"/>
          <w:szCs w:val="20"/>
          <w:color w:val="auto"/>
        </w:rPr>
      </w:pPr>
    </w:p>
    <w:p>
      <w:pPr>
        <w:ind w:left="320"/>
        <w:spacing w:after="0"/>
        <w:tabs>
          <w:tab w:leader="none" w:pos="1220" w:val="left"/>
        </w:tabs>
        <w:rPr>
          <w:sz w:val="20"/>
          <w:szCs w:val="20"/>
          <w:color w:val="auto"/>
        </w:rPr>
      </w:pPr>
      <w:r>
        <w:rPr>
          <w:rFonts w:ascii="Times New Roman" w:cs="Times New Roman" w:eastAsia="Times New Roman" w:hAnsi="Times New Roman"/>
          <w:sz w:val="13"/>
          <w:szCs w:val="13"/>
          <w:b w:val="1"/>
          <w:bCs w:val="1"/>
          <w:color w:val="auto"/>
        </w:rPr>
        <w:t>Number</w:t>
      </w:r>
      <w:r>
        <w:rPr>
          <w:sz w:val="20"/>
          <w:szCs w:val="20"/>
          <w:color w:val="auto"/>
        </w:rPr>
        <w:tab/>
      </w:r>
      <w:r>
        <w:rPr>
          <w:rFonts w:ascii="Times New Roman" w:cs="Times New Roman" w:eastAsia="Times New Roman" w:hAnsi="Times New Roman"/>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2540</wp:posOffset>
            </wp:positionV>
            <wp:extent cx="5320030"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59">
                      <a:extLst>
                        <a:ext uri="{28A0092B-C50C-407E-A947-70E740481C1C}"/>
                      </a:extLst>
                    </a:blip>
                    <a:srcRect/>
                    <a:stretch>
                      <a:fillRect/>
                    </a:stretch>
                  </pic:blipFill>
                  <pic:spPr bwMode="auto">
                    <a:xfrm>
                      <a:off x="0" y="0"/>
                      <a:ext cx="5320030" cy="7620"/>
                    </a:xfrm>
                    <a:prstGeom prst="rect">
                      <a:avLst/>
                    </a:prstGeom>
                    <a:noFill/>
                  </pic:spPr>
                </pic:pic>
              </a:graphicData>
            </a:graphic>
          </wp:anchor>
        </w:drawing>
      </w:r>
    </w:p>
    <w:p>
      <w:pPr>
        <w:ind w:left="1240" w:right="420" w:hanging="911"/>
        <w:spacing w:after="0" w:line="237" w:lineRule="auto"/>
        <w:tabs>
          <w:tab w:leader="none" w:pos="122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10.35*</w:t>
      </w:r>
      <w:r>
        <w:rPr>
          <w:sz w:val="20"/>
          <w:szCs w:val="20"/>
          <w:color w:val="auto"/>
        </w:rPr>
        <w:tab/>
      </w:r>
      <w:hyperlink r:id="rId260">
        <w:r>
          <w:rPr>
            <w:rFonts w:ascii="Times New Roman" w:cs="Times New Roman" w:eastAsia="Times New Roman" w:hAnsi="Times New Roman"/>
            <w:sz w:val="16"/>
            <w:szCs w:val="16"/>
            <w:u w:val="single" w:color="auto"/>
            <w:color w:val="0000EE"/>
          </w:rPr>
          <w:t>Third Amended and Restated Global Senior Credit Agreement, dated as of September 24, 2024, among Digital Realty</w:t>
        </w:r>
      </w:hyperlink>
      <w:r>
        <w:rPr>
          <w:rFonts w:ascii="Times New Roman" w:cs="Times New Roman" w:eastAsia="Times New Roman" w:hAnsi="Times New Roman"/>
          <w:sz w:val="16"/>
          <w:szCs w:val="16"/>
          <w:u w:val="single" w:color="auto"/>
          <w:color w:val="0000EE"/>
        </w:rPr>
        <w:t xml:space="preserve"> </w:t>
      </w:r>
      <w:hyperlink r:id="rId260">
        <w:r>
          <w:rPr>
            <w:rFonts w:ascii="Times New Roman" w:cs="Times New Roman" w:eastAsia="Times New Roman" w:hAnsi="Times New Roman"/>
            <w:sz w:val="16"/>
            <w:szCs w:val="16"/>
            <w:u w:val="single" w:color="auto"/>
            <w:color w:val="0000EE"/>
          </w:rPr>
          <w:t>Trust, L.P. and the other initial borrowers named therein and additional borrowers party thereto, as borrowers, Digital</w:t>
        </w:r>
      </w:hyperlink>
      <w:r>
        <w:rPr>
          <w:rFonts w:ascii="Times New Roman" w:cs="Times New Roman" w:eastAsia="Times New Roman" w:hAnsi="Times New Roman"/>
          <w:sz w:val="16"/>
          <w:szCs w:val="16"/>
          <w:u w:val="single" w:color="auto"/>
          <w:color w:val="0000EE"/>
        </w:rPr>
        <w:t xml:space="preserve"> </w:t>
      </w:r>
      <w:hyperlink r:id="rId260">
        <w:r>
          <w:rPr>
            <w:rFonts w:ascii="Times New Roman" w:cs="Times New Roman" w:eastAsia="Times New Roman" w:hAnsi="Times New Roman"/>
            <w:sz w:val="16"/>
            <w:szCs w:val="16"/>
            <w:u w:val="single" w:color="auto"/>
            <w:color w:val="0000EE"/>
          </w:rPr>
          <w:t>Realty Trust, Inc., as parent guarantor, the additional guarantors party thereto, as additional guarantors, the banks,</w:t>
        </w:r>
      </w:hyperlink>
      <w:r>
        <w:rPr>
          <w:rFonts w:ascii="Times New Roman" w:cs="Times New Roman" w:eastAsia="Times New Roman" w:hAnsi="Times New Roman"/>
          <w:sz w:val="16"/>
          <w:szCs w:val="16"/>
          <w:u w:val="single" w:color="auto"/>
          <w:color w:val="0000EE"/>
        </w:rPr>
        <w:t xml:space="preserve"> </w:t>
      </w:r>
      <w:hyperlink r:id="rId260">
        <w:r>
          <w:rPr>
            <w:rFonts w:ascii="Times New Roman" w:cs="Times New Roman" w:eastAsia="Times New Roman" w:hAnsi="Times New Roman"/>
            <w:sz w:val="16"/>
            <w:szCs w:val="16"/>
            <w:u w:val="single" w:color="auto"/>
            <w:color w:val="0000EE"/>
          </w:rPr>
          <w:t>financial institutions and other institutional lenders listed therein, as the initial lenders, issuing banks and swing line</w:t>
        </w:r>
      </w:hyperlink>
      <w:r>
        <w:rPr>
          <w:rFonts w:ascii="Times New Roman" w:cs="Times New Roman" w:eastAsia="Times New Roman" w:hAnsi="Times New Roman"/>
          <w:sz w:val="16"/>
          <w:szCs w:val="16"/>
          <w:u w:val="single" w:color="auto"/>
          <w:color w:val="0000EE"/>
        </w:rPr>
        <w:t xml:space="preserve"> </w:t>
      </w:r>
      <w:hyperlink r:id="rId260">
        <w:r>
          <w:rPr>
            <w:rFonts w:ascii="Times New Roman" w:cs="Times New Roman" w:eastAsia="Times New Roman" w:hAnsi="Times New Roman"/>
            <w:sz w:val="16"/>
            <w:szCs w:val="16"/>
            <w:u w:val="single" w:color="auto"/>
            <w:color w:val="0000EE"/>
          </w:rPr>
          <w:t>banks listed therein, Citibank, N.A., as administrative agent, BofA Securities, Inc. and Citibank, N.A., as co -</w:t>
        </w:r>
      </w:hyperlink>
      <w:r>
        <w:rPr>
          <w:rFonts w:ascii="Times New Roman" w:cs="Times New Roman" w:eastAsia="Times New Roman" w:hAnsi="Times New Roman"/>
          <w:sz w:val="16"/>
          <w:szCs w:val="16"/>
          <w:u w:val="single" w:color="auto"/>
          <w:color w:val="0000EE"/>
        </w:rPr>
        <w:t xml:space="preserve"> </w:t>
      </w:r>
      <w:hyperlink r:id="rId260">
        <w:r>
          <w:rPr>
            <w:rFonts w:ascii="Times New Roman" w:cs="Times New Roman" w:eastAsia="Times New Roman" w:hAnsi="Times New Roman"/>
            <w:sz w:val="16"/>
            <w:szCs w:val="16"/>
            <w:u w:val="single" w:color="auto"/>
            <w:color w:val="0000EE"/>
          </w:rPr>
          <w:t>sustainability structuring agents, and certain other parties thereto (incorporated by reference to Exhibit 10.1 to the</w:t>
        </w:r>
      </w:hyperlink>
      <w:r>
        <w:rPr>
          <w:rFonts w:ascii="Times New Roman" w:cs="Times New Roman" w:eastAsia="Times New Roman" w:hAnsi="Times New Roman"/>
          <w:sz w:val="16"/>
          <w:szCs w:val="16"/>
          <w:u w:val="single" w:color="auto"/>
          <w:color w:val="0000EE"/>
        </w:rPr>
        <w:t xml:space="preserve"> </w:t>
      </w:r>
      <w:hyperlink r:id="rId260">
        <w:r>
          <w:rPr>
            <w:rFonts w:ascii="Times New Roman" w:cs="Times New Roman" w:eastAsia="Times New Roman" w:hAnsi="Times New Roman"/>
            <w:sz w:val="16"/>
            <w:szCs w:val="16"/>
            <w:u w:val="single" w:color="auto"/>
            <w:color w:val="0000EE"/>
          </w:rPr>
          <w:t>Combined Quarterly Report on Form 10-Q of Digital Realty Trust, Inc. and Digital Realty Trust, L.P. (File Nos. 001-</w:t>
        </w:r>
      </w:hyperlink>
      <w:hyperlink r:id="rId260">
        <w:r>
          <w:rPr>
            <w:rFonts w:ascii="Times New Roman" w:cs="Times New Roman" w:eastAsia="Times New Roman" w:hAnsi="Times New Roman"/>
            <w:sz w:val="16"/>
            <w:szCs w:val="16"/>
            <w:u w:val="single" w:color="auto"/>
            <w:color w:val="0000EE"/>
          </w:rPr>
          <w:t>32336 and 000-54023) filed on November 1, 2024).</w:t>
        </w:r>
      </w:hyperlink>
    </w:p>
    <w:p>
      <w:pPr>
        <w:spacing w:after="0" w:line="162" w:lineRule="exact"/>
        <w:rPr>
          <w:rFonts w:ascii="Times New Roman" w:cs="Times New Roman" w:eastAsia="Times New Roman" w:hAnsi="Times New Roman"/>
          <w:sz w:val="16"/>
          <w:szCs w:val="16"/>
          <w:u w:val="single" w:color="auto"/>
          <w:color w:val="0000EE"/>
        </w:rPr>
      </w:pPr>
    </w:p>
    <w:p>
      <w:pPr>
        <w:ind w:left="1240" w:right="460" w:hanging="911"/>
        <w:spacing w:after="0" w:line="239" w:lineRule="auto"/>
        <w:tabs>
          <w:tab w:leader="none" w:pos="122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10.36*</w:t>
      </w:r>
      <w:r>
        <w:rPr>
          <w:sz w:val="20"/>
          <w:szCs w:val="20"/>
          <w:color w:val="auto"/>
        </w:rPr>
        <w:tab/>
      </w:r>
      <w:hyperlink r:id="rId261">
        <w:r>
          <w:rPr>
            <w:rFonts w:ascii="Times New Roman" w:cs="Times New Roman" w:eastAsia="Times New Roman" w:hAnsi="Times New Roman"/>
            <w:sz w:val="16"/>
            <w:szCs w:val="16"/>
            <w:u w:val="single" w:color="auto"/>
            <w:color w:val="0000EE"/>
          </w:rPr>
          <w:t>Second Amended and Restated Credit Agreement, dated as of September 24, 2024, among Digital Realty Trust, L.P.,</w:t>
        </w:r>
      </w:hyperlink>
      <w:r>
        <w:rPr>
          <w:rFonts w:ascii="Times New Roman" w:cs="Times New Roman" w:eastAsia="Times New Roman" w:hAnsi="Times New Roman"/>
          <w:sz w:val="16"/>
          <w:szCs w:val="16"/>
          <w:u w:val="single" w:color="auto"/>
          <w:color w:val="0000EE"/>
        </w:rPr>
        <w:t xml:space="preserve"> </w:t>
      </w:r>
      <w:hyperlink r:id="rId261">
        <w:r>
          <w:rPr>
            <w:rFonts w:ascii="Times New Roman" w:cs="Times New Roman" w:eastAsia="Times New Roman" w:hAnsi="Times New Roman"/>
            <w:sz w:val="16"/>
            <w:szCs w:val="16"/>
            <w:u w:val="single" w:color="auto"/>
            <w:color w:val="0000EE"/>
          </w:rPr>
          <w:t>Digital Japan, LLC, as the initial borrower, the additional borrowers party thereto, as borrowers, Digital Realty Trust,</w:t>
        </w:r>
      </w:hyperlink>
      <w:r>
        <w:rPr>
          <w:rFonts w:ascii="Times New Roman" w:cs="Times New Roman" w:eastAsia="Times New Roman" w:hAnsi="Times New Roman"/>
          <w:sz w:val="16"/>
          <w:szCs w:val="16"/>
          <w:u w:val="single" w:color="auto"/>
          <w:color w:val="0000EE"/>
        </w:rPr>
        <w:t xml:space="preserve"> </w:t>
      </w:r>
      <w:hyperlink r:id="rId261">
        <w:r>
          <w:rPr>
            <w:rFonts w:ascii="Times New Roman" w:cs="Times New Roman" w:eastAsia="Times New Roman" w:hAnsi="Times New Roman"/>
            <w:sz w:val="16"/>
            <w:szCs w:val="16"/>
            <w:u w:val="single" w:color="auto"/>
            <w:color w:val="0000EE"/>
          </w:rPr>
          <w:t>Inc., as parent guarantor, the additional guarantors party thereto, the initial lenders and issuing banks named therein,</w:t>
        </w:r>
      </w:hyperlink>
      <w:r>
        <w:rPr>
          <w:rFonts w:ascii="Times New Roman" w:cs="Times New Roman" w:eastAsia="Times New Roman" w:hAnsi="Times New Roman"/>
          <w:sz w:val="16"/>
          <w:szCs w:val="16"/>
          <w:u w:val="single" w:color="auto"/>
          <w:color w:val="0000EE"/>
        </w:rPr>
        <w:t xml:space="preserve"> </w:t>
      </w:r>
      <w:hyperlink r:id="rId261">
        <w:r>
          <w:rPr>
            <w:rFonts w:ascii="Times New Roman" w:cs="Times New Roman" w:eastAsia="Times New Roman" w:hAnsi="Times New Roman"/>
            <w:sz w:val="16"/>
            <w:szCs w:val="16"/>
            <w:u w:val="single" w:color="auto"/>
            <w:color w:val="0000EE"/>
          </w:rPr>
          <w:t>Sumitomo Mitsui Banking Corporation, as administrative agent, Sumitomo Mitsui Banking Corporation as</w:t>
        </w:r>
      </w:hyperlink>
      <w:r>
        <w:rPr>
          <w:rFonts w:ascii="Times New Roman" w:cs="Times New Roman" w:eastAsia="Times New Roman" w:hAnsi="Times New Roman"/>
          <w:sz w:val="16"/>
          <w:szCs w:val="16"/>
          <w:u w:val="single" w:color="auto"/>
          <w:color w:val="0000EE"/>
        </w:rPr>
        <w:t xml:space="preserve"> </w:t>
      </w:r>
      <w:hyperlink r:id="rId261">
        <w:r>
          <w:rPr>
            <w:rFonts w:ascii="Times New Roman" w:cs="Times New Roman" w:eastAsia="Times New Roman" w:hAnsi="Times New Roman"/>
            <w:sz w:val="16"/>
            <w:szCs w:val="16"/>
            <w:u w:val="single" w:color="auto"/>
            <w:color w:val="0000EE"/>
          </w:rPr>
          <w:t>sustainability structuring agent, and certain other parties thereto (incorporated by reference to Exhibit 10.2 to the</w:t>
        </w:r>
      </w:hyperlink>
      <w:r>
        <w:rPr>
          <w:rFonts w:ascii="Times New Roman" w:cs="Times New Roman" w:eastAsia="Times New Roman" w:hAnsi="Times New Roman"/>
          <w:sz w:val="16"/>
          <w:szCs w:val="16"/>
          <w:u w:val="single" w:color="auto"/>
          <w:color w:val="0000EE"/>
        </w:rPr>
        <w:t xml:space="preserve"> </w:t>
      </w:r>
      <w:hyperlink r:id="rId261">
        <w:r>
          <w:rPr>
            <w:rFonts w:ascii="Times New Roman" w:cs="Times New Roman" w:eastAsia="Times New Roman" w:hAnsi="Times New Roman"/>
            <w:sz w:val="16"/>
            <w:szCs w:val="16"/>
            <w:u w:val="single" w:color="auto"/>
            <w:color w:val="0000EE"/>
          </w:rPr>
          <w:t>Combined Quarterly Report on Form 10-Q of Digital Realty Trust, Inc. and Digital Realty Trust, L.P. (File Nos. 001-</w:t>
        </w:r>
      </w:hyperlink>
      <w:hyperlink r:id="rId261">
        <w:r>
          <w:rPr>
            <w:rFonts w:ascii="Times New Roman" w:cs="Times New Roman" w:eastAsia="Times New Roman" w:hAnsi="Times New Roman"/>
            <w:sz w:val="16"/>
            <w:szCs w:val="16"/>
            <w:u w:val="single" w:color="auto"/>
            <w:color w:val="0000EE"/>
          </w:rPr>
          <w:t>32336 and 000-54023) filed on November 1, 2024).</w:t>
        </w:r>
      </w:hyperlink>
    </w:p>
    <w:p>
      <w:pPr>
        <w:spacing w:after="0" w:line="158" w:lineRule="exact"/>
        <w:rPr>
          <w:rFonts w:ascii="Times New Roman" w:cs="Times New Roman" w:eastAsia="Times New Roman" w:hAnsi="Times New Roman"/>
          <w:sz w:val="16"/>
          <w:szCs w:val="16"/>
          <w:u w:val="single" w:color="auto"/>
          <w:color w:val="0000EE"/>
        </w:rPr>
      </w:pPr>
    </w:p>
    <w:p>
      <w:pPr>
        <w:ind w:left="1240" w:right="300" w:hanging="911"/>
        <w:spacing w:after="0" w:line="247" w:lineRule="auto"/>
        <w:tabs>
          <w:tab w:leader="none" w:pos="122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10.37†</w:t>
      </w:r>
      <w:r>
        <w:rPr>
          <w:sz w:val="20"/>
          <w:szCs w:val="20"/>
          <w:color w:val="auto"/>
        </w:rPr>
        <w:tab/>
      </w:r>
      <w:hyperlink r:id="rId262">
        <w:r>
          <w:rPr>
            <w:rFonts w:ascii="Times New Roman" w:cs="Times New Roman" w:eastAsia="Times New Roman" w:hAnsi="Times New Roman"/>
            <w:sz w:val="16"/>
            <w:szCs w:val="16"/>
            <w:u w:val="single" w:color="auto"/>
            <w:color w:val="0000EE"/>
          </w:rPr>
          <w:t>Form of Executive Severance Agreement (incorporated by reference to Exhibit 10.56 to the Combined Annual Report</w:t>
        </w:r>
      </w:hyperlink>
      <w:r>
        <w:rPr>
          <w:rFonts w:ascii="Times New Roman" w:cs="Times New Roman" w:eastAsia="Times New Roman" w:hAnsi="Times New Roman"/>
          <w:sz w:val="16"/>
          <w:szCs w:val="16"/>
          <w:u w:val="single" w:color="auto"/>
          <w:color w:val="0000EE"/>
        </w:rPr>
        <w:t xml:space="preserve"> </w:t>
      </w:r>
      <w:hyperlink r:id="rId262">
        <w:r>
          <w:rPr>
            <w:rFonts w:ascii="Times New Roman" w:cs="Times New Roman" w:eastAsia="Times New Roman" w:hAnsi="Times New Roman"/>
            <w:sz w:val="16"/>
            <w:szCs w:val="16"/>
            <w:u w:val="single" w:color="auto"/>
            <w:color w:val="0000EE"/>
          </w:rPr>
          <w:t>on Form 10-K of Digital Realty Trust, Inc. and Digital Realty Trust, L.P. (File Nos. 001-32336 and 000-54023) filed on</w:t>
        </w:r>
      </w:hyperlink>
      <w:r>
        <w:rPr>
          <w:rFonts w:ascii="Times New Roman" w:cs="Times New Roman" w:eastAsia="Times New Roman" w:hAnsi="Times New Roman"/>
          <w:sz w:val="16"/>
          <w:szCs w:val="16"/>
          <w:u w:val="single" w:color="auto"/>
          <w:color w:val="0000EE"/>
        </w:rPr>
        <w:t xml:space="preserve"> </w:t>
      </w:r>
      <w:hyperlink r:id="rId262">
        <w:r>
          <w:rPr>
            <w:rFonts w:ascii="Times New Roman" w:cs="Times New Roman" w:eastAsia="Times New Roman" w:hAnsi="Times New Roman"/>
            <w:sz w:val="16"/>
            <w:szCs w:val="16"/>
            <w:u w:val="single" w:color="auto"/>
            <w:color w:val="0000EE"/>
          </w:rPr>
          <w:t>March 2, 2020).</w:t>
        </w:r>
      </w:hyperlink>
    </w:p>
    <w:p>
      <w:pPr>
        <w:spacing w:after="0" w:line="152" w:lineRule="exact"/>
        <w:rPr>
          <w:rFonts w:ascii="Times New Roman" w:cs="Times New Roman" w:eastAsia="Times New Roman" w:hAnsi="Times New Roman"/>
          <w:sz w:val="16"/>
          <w:szCs w:val="16"/>
          <w:u w:val="single" w:color="auto"/>
          <w:color w:val="0000EE"/>
        </w:rPr>
      </w:pPr>
    </w:p>
    <w:p>
      <w:pPr>
        <w:ind w:left="1240" w:right="320" w:hanging="911"/>
        <w:spacing w:after="0" w:line="299" w:lineRule="auto"/>
        <w:tabs>
          <w:tab w:leader="none" w:pos="12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6"/>
          <w:szCs w:val="16"/>
          <w:color w:val="auto"/>
        </w:rPr>
        <w:t>10.38†</w:t>
      </w:r>
      <w:r>
        <w:rPr>
          <w:sz w:val="20"/>
          <w:szCs w:val="20"/>
          <w:color w:val="auto"/>
        </w:rPr>
        <w:tab/>
      </w:r>
      <w:hyperlink r:id="rId263">
        <w:r>
          <w:rPr>
            <w:rFonts w:ascii="Times New Roman" w:cs="Times New Roman" w:eastAsia="Times New Roman" w:hAnsi="Times New Roman"/>
            <w:sz w:val="14"/>
            <w:szCs w:val="14"/>
            <w:u w:val="single" w:color="auto"/>
            <w:color w:val="0000EE"/>
          </w:rPr>
          <w:t>Employment Agreement, dated November 19, 2018, by and among Digital Realty Trust, Inc., DLR, LLC and Gregory</w:t>
        </w:r>
      </w:hyperlink>
      <w:r>
        <w:rPr>
          <w:rFonts w:ascii="Times New Roman" w:cs="Times New Roman" w:eastAsia="Times New Roman" w:hAnsi="Times New Roman"/>
          <w:sz w:val="14"/>
          <w:szCs w:val="14"/>
          <w:u w:val="single" w:color="auto"/>
          <w:color w:val="0000EE"/>
        </w:rPr>
        <w:t xml:space="preserve"> </w:t>
      </w:r>
      <w:hyperlink r:id="rId263">
        <w:r>
          <w:rPr>
            <w:rFonts w:ascii="Times New Roman" w:cs="Times New Roman" w:eastAsia="Times New Roman" w:hAnsi="Times New Roman"/>
            <w:sz w:val="14"/>
            <w:szCs w:val="14"/>
            <w:u w:val="single" w:color="auto"/>
            <w:color w:val="0000EE"/>
          </w:rPr>
          <w:t>S. Wright (incorporated by reference to Exhibit 10.1 to the Combined Quarterly Report on Form 10-Q of Digital Realty</w:t>
        </w:r>
      </w:hyperlink>
      <w:r>
        <w:rPr>
          <w:rFonts w:ascii="Times New Roman" w:cs="Times New Roman" w:eastAsia="Times New Roman" w:hAnsi="Times New Roman"/>
          <w:sz w:val="14"/>
          <w:szCs w:val="14"/>
          <w:u w:val="single" w:color="auto"/>
          <w:color w:val="0000EE"/>
        </w:rPr>
        <w:t xml:space="preserve"> </w:t>
      </w:r>
      <w:hyperlink r:id="rId263">
        <w:r>
          <w:rPr>
            <w:rFonts w:ascii="Times New Roman" w:cs="Times New Roman" w:eastAsia="Times New Roman" w:hAnsi="Times New Roman"/>
            <w:sz w:val="14"/>
            <w:szCs w:val="14"/>
            <w:u w:val="single" w:color="auto"/>
            <w:color w:val="0000EE"/>
          </w:rPr>
          <w:t>Trust, Inc. and Digital Realty Trust, L.P. (File Nos. 001-32336 and 000-54023) filed on May 11, 2020).</w:t>
        </w:r>
      </w:hyperlink>
    </w:p>
    <w:p>
      <w:pPr>
        <w:spacing w:after="0" w:line="119" w:lineRule="exact"/>
        <w:rPr>
          <w:rFonts w:ascii="Times New Roman" w:cs="Times New Roman" w:eastAsia="Times New Roman" w:hAnsi="Times New Roman"/>
          <w:sz w:val="14"/>
          <w:szCs w:val="14"/>
          <w:u w:val="single" w:color="auto"/>
          <w:color w:val="0000EE"/>
        </w:rPr>
      </w:pPr>
    </w:p>
    <w:p>
      <w:pPr>
        <w:jc w:val="both"/>
        <w:ind w:left="1240" w:right="400" w:hanging="911"/>
        <w:spacing w:after="0" w:line="247" w:lineRule="auto"/>
        <w:tabs>
          <w:tab w:leader="none" w:pos="122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10.39†</w:t>
      </w:r>
      <w:r>
        <w:rPr>
          <w:sz w:val="20"/>
          <w:szCs w:val="20"/>
          <w:color w:val="auto"/>
        </w:rPr>
        <w:tab/>
      </w:r>
      <w:hyperlink r:id="rId264">
        <w:r>
          <w:rPr>
            <w:rFonts w:ascii="Times New Roman" w:cs="Times New Roman" w:eastAsia="Times New Roman" w:hAnsi="Times New Roman"/>
            <w:sz w:val="16"/>
            <w:szCs w:val="16"/>
            <w:u w:val="single" w:color="auto"/>
            <w:color w:val="0000EE"/>
          </w:rPr>
          <w:t>Form of Executive Severance Time-Based Profits Interest Unit Agreement (incorporated by reference to Exhibit 10.9</w:t>
        </w:r>
      </w:hyperlink>
      <w:r>
        <w:rPr>
          <w:rFonts w:ascii="Times New Roman" w:cs="Times New Roman" w:eastAsia="Times New Roman" w:hAnsi="Times New Roman"/>
          <w:sz w:val="16"/>
          <w:szCs w:val="16"/>
          <w:u w:val="single" w:color="auto"/>
          <w:color w:val="0000EE"/>
        </w:rPr>
        <w:t xml:space="preserve"> </w:t>
      </w:r>
      <w:hyperlink r:id="rId264">
        <w:r>
          <w:rPr>
            <w:rFonts w:ascii="Times New Roman" w:cs="Times New Roman" w:eastAsia="Times New Roman" w:hAnsi="Times New Roman"/>
            <w:sz w:val="16"/>
            <w:szCs w:val="16"/>
            <w:u w:val="single" w:color="auto"/>
            <w:color w:val="0000EE"/>
          </w:rPr>
          <w:t>to the Combined Quarterly Report on Form 10-Q of Digital Realty Trust, Inc. and Digital Realty Trust, L.P. (File Nos.</w:t>
        </w:r>
      </w:hyperlink>
      <w:r>
        <w:rPr>
          <w:rFonts w:ascii="Times New Roman" w:cs="Times New Roman" w:eastAsia="Times New Roman" w:hAnsi="Times New Roman"/>
          <w:sz w:val="16"/>
          <w:szCs w:val="16"/>
          <w:u w:val="single" w:color="auto"/>
          <w:color w:val="0000EE"/>
        </w:rPr>
        <w:t xml:space="preserve"> </w:t>
      </w:r>
      <w:hyperlink r:id="rId264">
        <w:r>
          <w:rPr>
            <w:rFonts w:ascii="Times New Roman" w:cs="Times New Roman" w:eastAsia="Times New Roman" w:hAnsi="Times New Roman"/>
            <w:sz w:val="16"/>
            <w:szCs w:val="16"/>
            <w:u w:val="single" w:color="auto"/>
            <w:color w:val="0000EE"/>
          </w:rPr>
          <w:t>001-32336 and 000-54023) filed on May 11, 2020).</w:t>
        </w:r>
      </w:hyperlink>
    </w:p>
    <w:p>
      <w:pPr>
        <w:spacing w:after="0" w:line="152" w:lineRule="exact"/>
        <w:rPr>
          <w:rFonts w:ascii="Times New Roman" w:cs="Times New Roman" w:eastAsia="Times New Roman" w:hAnsi="Times New Roman"/>
          <w:sz w:val="16"/>
          <w:szCs w:val="16"/>
          <w:u w:val="single" w:color="auto"/>
          <w:color w:val="0000EE"/>
        </w:rPr>
      </w:pPr>
    </w:p>
    <w:p>
      <w:pPr>
        <w:jc w:val="both"/>
        <w:ind w:left="1240" w:right="500" w:hanging="911"/>
        <w:spacing w:after="0" w:line="247" w:lineRule="auto"/>
        <w:tabs>
          <w:tab w:leader="none" w:pos="122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10.40†</w:t>
      </w:r>
      <w:r>
        <w:rPr>
          <w:sz w:val="20"/>
          <w:szCs w:val="20"/>
          <w:color w:val="auto"/>
        </w:rPr>
        <w:tab/>
      </w:r>
      <w:hyperlink r:id="rId265">
        <w:r>
          <w:rPr>
            <w:rFonts w:ascii="Times New Roman" w:cs="Times New Roman" w:eastAsia="Times New Roman" w:hAnsi="Times New Roman"/>
            <w:sz w:val="16"/>
            <w:szCs w:val="16"/>
            <w:u w:val="single" w:color="auto"/>
            <w:color w:val="0000EE"/>
          </w:rPr>
          <w:t>Form of Executive Severance Class D Profits Interest Unit Agreement (incorporated by reference to Exhibit 10.10 to</w:t>
        </w:r>
      </w:hyperlink>
      <w:r>
        <w:rPr>
          <w:rFonts w:ascii="Times New Roman" w:cs="Times New Roman" w:eastAsia="Times New Roman" w:hAnsi="Times New Roman"/>
          <w:sz w:val="16"/>
          <w:szCs w:val="16"/>
          <w:u w:val="single" w:color="auto"/>
          <w:color w:val="0000EE"/>
        </w:rPr>
        <w:t xml:space="preserve"> </w:t>
      </w:r>
      <w:hyperlink r:id="rId265">
        <w:r>
          <w:rPr>
            <w:rFonts w:ascii="Times New Roman" w:cs="Times New Roman" w:eastAsia="Times New Roman" w:hAnsi="Times New Roman"/>
            <w:sz w:val="16"/>
            <w:szCs w:val="16"/>
            <w:u w:val="single" w:color="auto"/>
            <w:color w:val="0000EE"/>
          </w:rPr>
          <w:t>the Combined Quarterly Report on Form 10- Q of Digital Realty Trust, Inc. and Digital Realty Trust, L.P. (File Nos.</w:t>
        </w:r>
      </w:hyperlink>
      <w:r>
        <w:rPr>
          <w:rFonts w:ascii="Times New Roman" w:cs="Times New Roman" w:eastAsia="Times New Roman" w:hAnsi="Times New Roman"/>
          <w:sz w:val="16"/>
          <w:szCs w:val="16"/>
          <w:u w:val="single" w:color="auto"/>
          <w:color w:val="0000EE"/>
        </w:rPr>
        <w:t xml:space="preserve"> </w:t>
      </w:r>
      <w:hyperlink r:id="rId265">
        <w:r>
          <w:rPr>
            <w:rFonts w:ascii="Times New Roman" w:cs="Times New Roman" w:eastAsia="Times New Roman" w:hAnsi="Times New Roman"/>
            <w:sz w:val="16"/>
            <w:szCs w:val="16"/>
            <w:u w:val="single" w:color="auto"/>
            <w:color w:val="0000EE"/>
          </w:rPr>
          <w:t>001-32336 and 000-54023) filed on May 11, 2020).</w:t>
        </w:r>
      </w:hyperlink>
    </w:p>
    <w:p>
      <w:pPr>
        <w:spacing w:after="0" w:line="152" w:lineRule="exact"/>
        <w:rPr>
          <w:rFonts w:ascii="Times New Roman" w:cs="Times New Roman" w:eastAsia="Times New Roman" w:hAnsi="Times New Roman"/>
          <w:sz w:val="16"/>
          <w:szCs w:val="16"/>
          <w:u w:val="single" w:color="auto"/>
          <w:color w:val="0000EE"/>
        </w:rPr>
      </w:pPr>
    </w:p>
    <w:p>
      <w:pPr>
        <w:ind w:left="1240" w:right="360" w:hanging="911"/>
        <w:spacing w:after="0" w:line="331" w:lineRule="auto"/>
        <w:tabs>
          <w:tab w:leader="none" w:pos="12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6"/>
          <w:szCs w:val="16"/>
          <w:color w:val="auto"/>
        </w:rPr>
        <w:t>10.41†</w:t>
      </w:r>
      <w:r>
        <w:rPr>
          <w:sz w:val="20"/>
          <w:szCs w:val="20"/>
          <w:color w:val="auto"/>
        </w:rPr>
        <w:tab/>
      </w:r>
      <w:hyperlink r:id="rId266">
        <w:r>
          <w:rPr>
            <w:rFonts w:ascii="Times New Roman" w:cs="Times New Roman" w:eastAsia="Times New Roman" w:hAnsi="Times New Roman"/>
            <w:sz w:val="14"/>
            <w:szCs w:val="14"/>
            <w:u w:val="single" w:color="auto"/>
            <w:color w:val="0000EE"/>
          </w:rPr>
          <w:t>InterXion Holding N.V. 2017 Executive Director Long Term Incentive Plan (incorporated by reference to Exhibit 4.5</w:t>
        </w:r>
      </w:hyperlink>
      <w:r>
        <w:rPr>
          <w:rFonts w:ascii="Times New Roman" w:cs="Times New Roman" w:eastAsia="Times New Roman" w:hAnsi="Times New Roman"/>
          <w:sz w:val="14"/>
          <w:szCs w:val="14"/>
          <w:u w:val="single" w:color="auto"/>
          <w:color w:val="0000EE"/>
        </w:rPr>
        <w:t xml:space="preserve"> </w:t>
      </w:r>
      <w:hyperlink r:id="rId266">
        <w:r>
          <w:rPr>
            <w:rFonts w:ascii="Times New Roman" w:cs="Times New Roman" w:eastAsia="Times New Roman" w:hAnsi="Times New Roman"/>
            <w:sz w:val="14"/>
            <w:szCs w:val="14"/>
            <w:u w:val="single" w:color="auto"/>
            <w:color w:val="0000EE"/>
          </w:rPr>
          <w:t>to the Registration Statement on Form S-8 of Digital Realty Trust, Inc. (File No. 333-237038) filed on March 9, 2020).</w:t>
        </w:r>
      </w:hyperlink>
    </w:p>
    <w:p>
      <w:pPr>
        <w:spacing w:after="0" w:line="96" w:lineRule="exact"/>
        <w:rPr>
          <w:sz w:val="20"/>
          <w:szCs w:val="20"/>
          <w:color w:val="auto"/>
        </w:rPr>
      </w:pPr>
    </w:p>
    <w:p>
      <w:pPr>
        <w:ind w:left="1240" w:right="680" w:hanging="911"/>
        <w:spacing w:after="0" w:line="247" w:lineRule="auto"/>
        <w:tabs>
          <w:tab w:leader="none" w:pos="122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10.42†</w:t>
      </w:r>
      <w:r>
        <w:rPr>
          <w:sz w:val="20"/>
          <w:szCs w:val="20"/>
          <w:color w:val="auto"/>
        </w:rPr>
        <w:tab/>
      </w:r>
      <w:hyperlink r:id="rId267">
        <w:r>
          <w:rPr>
            <w:rFonts w:ascii="Times New Roman" w:cs="Times New Roman" w:eastAsia="Times New Roman" w:hAnsi="Times New Roman"/>
            <w:sz w:val="16"/>
            <w:szCs w:val="16"/>
            <w:u w:val="single" w:color="auto"/>
            <w:color w:val="0000EE"/>
          </w:rPr>
          <w:t>InterXion Holding N.V. 2013 Amended International Equity Based Incentive Plan (incorporated by reference to</w:t>
        </w:r>
      </w:hyperlink>
      <w:r>
        <w:rPr>
          <w:rFonts w:ascii="Times New Roman" w:cs="Times New Roman" w:eastAsia="Times New Roman" w:hAnsi="Times New Roman"/>
          <w:sz w:val="16"/>
          <w:szCs w:val="16"/>
          <w:u w:val="single" w:color="auto"/>
          <w:color w:val="0000EE"/>
        </w:rPr>
        <w:t xml:space="preserve"> </w:t>
      </w:r>
      <w:hyperlink r:id="rId267">
        <w:r>
          <w:rPr>
            <w:rFonts w:ascii="Times New Roman" w:cs="Times New Roman" w:eastAsia="Times New Roman" w:hAnsi="Times New Roman"/>
            <w:sz w:val="16"/>
            <w:szCs w:val="16"/>
            <w:u w:val="single" w:color="auto"/>
            <w:color w:val="0000EE"/>
          </w:rPr>
          <w:t>Exhibit 4.4 to the Registration Statement on Form S-8 of Digital Realty Trust, Inc. (File No. 333-237038) filed on</w:t>
        </w:r>
      </w:hyperlink>
      <w:r>
        <w:rPr>
          <w:rFonts w:ascii="Times New Roman" w:cs="Times New Roman" w:eastAsia="Times New Roman" w:hAnsi="Times New Roman"/>
          <w:sz w:val="16"/>
          <w:szCs w:val="16"/>
          <w:u w:val="single" w:color="auto"/>
          <w:color w:val="0000EE"/>
        </w:rPr>
        <w:t xml:space="preserve"> </w:t>
      </w:r>
      <w:hyperlink r:id="rId267">
        <w:r>
          <w:rPr>
            <w:rFonts w:ascii="Times New Roman" w:cs="Times New Roman" w:eastAsia="Times New Roman" w:hAnsi="Times New Roman"/>
            <w:sz w:val="16"/>
            <w:szCs w:val="16"/>
            <w:u w:val="single" w:color="auto"/>
            <w:color w:val="0000EE"/>
          </w:rPr>
          <w:t>March 9, 2020).</w:t>
        </w:r>
      </w:hyperlink>
    </w:p>
    <w:p>
      <w:pPr>
        <w:spacing w:after="0" w:line="152" w:lineRule="exact"/>
        <w:rPr>
          <w:rFonts w:ascii="Times New Roman" w:cs="Times New Roman" w:eastAsia="Times New Roman" w:hAnsi="Times New Roman"/>
          <w:sz w:val="16"/>
          <w:szCs w:val="16"/>
          <w:u w:val="single" w:color="auto"/>
          <w:color w:val="0000EE"/>
        </w:rPr>
      </w:pPr>
    </w:p>
    <w:p>
      <w:pPr>
        <w:ind w:left="1240" w:right="340" w:hanging="911"/>
        <w:spacing w:after="0" w:line="247" w:lineRule="auto"/>
        <w:tabs>
          <w:tab w:leader="none" w:pos="122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10.43†</w:t>
      </w:r>
      <w:r>
        <w:rPr>
          <w:sz w:val="20"/>
          <w:szCs w:val="20"/>
          <w:color w:val="auto"/>
        </w:rPr>
        <w:tab/>
      </w:r>
      <w:hyperlink r:id="rId268">
        <w:r>
          <w:rPr>
            <w:rFonts w:ascii="Times New Roman" w:cs="Times New Roman" w:eastAsia="Times New Roman" w:hAnsi="Times New Roman"/>
            <w:sz w:val="16"/>
            <w:szCs w:val="16"/>
            <w:u w:val="single" w:color="auto"/>
            <w:color w:val="0000EE"/>
          </w:rPr>
          <w:t>Form of Indemnification Agreement by and between Digital Realty Trust, Inc. and its directors and officers</w:t>
        </w:r>
      </w:hyperlink>
      <w:r>
        <w:rPr>
          <w:rFonts w:ascii="Times New Roman" w:cs="Times New Roman" w:eastAsia="Times New Roman" w:hAnsi="Times New Roman"/>
          <w:sz w:val="16"/>
          <w:szCs w:val="16"/>
          <w:u w:val="single" w:color="auto"/>
          <w:color w:val="0000EE"/>
        </w:rPr>
        <w:t xml:space="preserve"> </w:t>
      </w:r>
      <w:hyperlink r:id="rId268">
        <w:r>
          <w:rPr>
            <w:rFonts w:ascii="Times New Roman" w:cs="Times New Roman" w:eastAsia="Times New Roman" w:hAnsi="Times New Roman"/>
            <w:sz w:val="16"/>
            <w:szCs w:val="16"/>
            <w:u w:val="single" w:color="auto"/>
            <w:color w:val="0000EE"/>
          </w:rPr>
          <w:t>(incorporated by reference to Exhibit 10.59 to the Combined Annual Report on Form 10-K of Digital Realty Trust, Inc.</w:t>
        </w:r>
      </w:hyperlink>
      <w:r>
        <w:rPr>
          <w:rFonts w:ascii="Times New Roman" w:cs="Times New Roman" w:eastAsia="Times New Roman" w:hAnsi="Times New Roman"/>
          <w:sz w:val="16"/>
          <w:szCs w:val="16"/>
          <w:u w:val="single" w:color="auto"/>
          <w:color w:val="0000EE"/>
        </w:rPr>
        <w:t xml:space="preserve"> </w:t>
      </w:r>
      <w:hyperlink r:id="rId268">
        <w:r>
          <w:rPr>
            <w:rFonts w:ascii="Times New Roman" w:cs="Times New Roman" w:eastAsia="Times New Roman" w:hAnsi="Times New Roman"/>
            <w:sz w:val="16"/>
            <w:szCs w:val="16"/>
            <w:u w:val="single" w:color="auto"/>
            <w:color w:val="0000EE"/>
          </w:rPr>
          <w:t>and Digital Realty Trust, L.P. (File Nos. 001-32336 and 000-54023) filed on March 1, 2021).</w:t>
        </w:r>
      </w:hyperlink>
    </w:p>
    <w:p>
      <w:pPr>
        <w:spacing w:after="0" w:line="200" w:lineRule="exact"/>
        <w:rPr>
          <w:rFonts w:ascii="Times New Roman" w:cs="Times New Roman" w:eastAsia="Times New Roman" w:hAnsi="Times New Roman"/>
          <w:sz w:val="16"/>
          <w:szCs w:val="16"/>
          <w:u w:val="single" w:color="auto"/>
          <w:color w:val="0000EE"/>
        </w:rPr>
      </w:pPr>
    </w:p>
    <w:p>
      <w:pPr>
        <w:jc w:val="both"/>
        <w:ind w:left="1240" w:right="360" w:hanging="911"/>
        <w:spacing w:after="0" w:line="262" w:lineRule="auto"/>
        <w:tabs>
          <w:tab w:leader="none" w:pos="122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10.44†</w:t>
      </w:r>
      <w:r>
        <w:rPr>
          <w:sz w:val="20"/>
          <w:szCs w:val="20"/>
          <w:color w:val="auto"/>
        </w:rPr>
        <w:tab/>
      </w:r>
      <w:hyperlink r:id="rId269">
        <w:r>
          <w:rPr>
            <w:rFonts w:ascii="Times New Roman" w:cs="Times New Roman" w:eastAsia="Times New Roman" w:hAnsi="Times New Roman"/>
            <w:sz w:val="16"/>
            <w:szCs w:val="16"/>
            <w:u w:val="single" w:color="auto"/>
            <w:color w:val="0000EE"/>
          </w:rPr>
          <w:t>Form of Omnibus Letter Agreement to 2020 Equity Award Agreements (incorporated by reference to exhibit 10.52 to</w:t>
        </w:r>
      </w:hyperlink>
      <w:r>
        <w:rPr>
          <w:rFonts w:ascii="Times New Roman" w:cs="Times New Roman" w:eastAsia="Times New Roman" w:hAnsi="Times New Roman"/>
          <w:sz w:val="16"/>
          <w:szCs w:val="16"/>
          <w:u w:val="single" w:color="auto"/>
          <w:color w:val="0000EE"/>
        </w:rPr>
        <w:t xml:space="preserve"> </w:t>
      </w:r>
      <w:hyperlink r:id="rId269">
        <w:r>
          <w:rPr>
            <w:rFonts w:ascii="Times New Roman" w:cs="Times New Roman" w:eastAsia="Times New Roman" w:hAnsi="Times New Roman"/>
            <w:sz w:val="16"/>
            <w:szCs w:val="16"/>
            <w:u w:val="single" w:color="auto"/>
            <w:color w:val="0000EE"/>
          </w:rPr>
          <w:t>the Combined Annual Report on Form 10-K of Digital Realty Trust, Inc. and Digital Realty Trust, L.P. (File Nos. 001-</w:t>
        </w:r>
      </w:hyperlink>
      <w:hyperlink r:id="rId269">
        <w:r>
          <w:rPr>
            <w:rFonts w:ascii="Times New Roman" w:cs="Times New Roman" w:eastAsia="Times New Roman" w:hAnsi="Times New Roman"/>
            <w:sz w:val="16"/>
            <w:szCs w:val="16"/>
            <w:u w:val="single" w:color="auto"/>
            <w:color w:val="0000EE"/>
          </w:rPr>
          <w:t>32336 and 000-54023) filed on February 25, 2022).</w:t>
        </w:r>
      </w:hyperlink>
    </w:p>
    <w:p>
      <w:pPr>
        <w:spacing w:after="0" w:line="358" w:lineRule="exact"/>
        <w:rPr>
          <w:rFonts w:ascii="Times New Roman" w:cs="Times New Roman" w:eastAsia="Times New Roman" w:hAnsi="Times New Roman"/>
          <w:sz w:val="16"/>
          <w:szCs w:val="16"/>
          <w:u w:val="single" w:color="auto"/>
          <w:color w:val="0000EE"/>
        </w:rPr>
      </w:pPr>
    </w:p>
    <w:p>
      <w:pPr>
        <w:jc w:val="center"/>
        <w:spacing w:after="0"/>
        <w:rPr>
          <w:sz w:val="20"/>
          <w:szCs w:val="20"/>
          <w:color w:val="auto"/>
        </w:rPr>
      </w:pPr>
      <w:r>
        <w:rPr>
          <w:rFonts w:ascii="Times New Roman" w:cs="Times New Roman" w:eastAsia="Times New Roman" w:hAnsi="Times New Roman"/>
          <w:sz w:val="16"/>
          <w:szCs w:val="16"/>
          <w:color w:val="auto"/>
        </w:rPr>
        <w:t>170</w:t>
      </w:r>
    </w:p>
    <w:p>
      <w:pPr>
        <w:spacing w:after="0" w:line="20" w:lineRule="exact"/>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u w:val="single" w:color="auto"/>
          <w:color w:val="0000EE"/>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70">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75" w:name="page176"/>
    <w:bookmarkEnd w:id="175"/>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b w:val="1"/>
          <w:bCs w:val="1"/>
          <w:color w:val="auto"/>
        </w:rPr>
        <w:t>Exhibit</w:t>
      </w:r>
    </w:p>
    <w:p>
      <w:pPr>
        <w:spacing w:after="0" w:line="23" w:lineRule="exact"/>
        <w:rPr>
          <w:sz w:val="20"/>
          <w:szCs w:val="20"/>
          <w:color w:val="auto"/>
        </w:rPr>
      </w:pPr>
    </w:p>
    <w:p>
      <w:pPr>
        <w:ind w:left="320"/>
        <w:spacing w:after="0"/>
        <w:tabs>
          <w:tab w:leader="none" w:pos="1220" w:val="left"/>
        </w:tabs>
        <w:rPr>
          <w:sz w:val="20"/>
          <w:szCs w:val="20"/>
          <w:color w:val="auto"/>
        </w:rPr>
      </w:pPr>
      <w:r>
        <w:rPr>
          <w:rFonts w:ascii="Times New Roman" w:cs="Times New Roman" w:eastAsia="Times New Roman" w:hAnsi="Times New Roman"/>
          <w:sz w:val="13"/>
          <w:szCs w:val="13"/>
          <w:b w:val="1"/>
          <w:bCs w:val="1"/>
          <w:color w:val="auto"/>
        </w:rPr>
        <w:t>Number</w:t>
      </w:r>
      <w:r>
        <w:rPr>
          <w:sz w:val="20"/>
          <w:szCs w:val="20"/>
          <w:color w:val="auto"/>
        </w:rPr>
        <w:tab/>
      </w:r>
      <w:r>
        <w:rPr>
          <w:rFonts w:ascii="Times New Roman" w:cs="Times New Roman" w:eastAsia="Times New Roman" w:hAnsi="Times New Roman"/>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2540</wp:posOffset>
            </wp:positionV>
            <wp:extent cx="5320030"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71">
                      <a:extLst>
                        <a:ext uri="{28A0092B-C50C-407E-A947-70E740481C1C}"/>
                      </a:extLst>
                    </a:blip>
                    <a:srcRect/>
                    <a:stretch>
                      <a:fillRect/>
                    </a:stretch>
                  </pic:blipFill>
                  <pic:spPr bwMode="auto">
                    <a:xfrm>
                      <a:off x="0" y="0"/>
                      <a:ext cx="5320030" cy="7620"/>
                    </a:xfrm>
                    <a:prstGeom prst="rect">
                      <a:avLst/>
                    </a:prstGeom>
                    <a:noFill/>
                  </pic:spPr>
                </pic:pic>
              </a:graphicData>
            </a:graphic>
          </wp:anchor>
        </w:drawing>
      </w:r>
    </w:p>
    <w:p>
      <w:pPr>
        <w:spacing w:after="0" w:line="163" w:lineRule="exact"/>
        <w:rPr>
          <w:sz w:val="20"/>
          <w:szCs w:val="20"/>
          <w:color w:val="auto"/>
        </w:rPr>
      </w:pPr>
    </w:p>
    <w:p>
      <w:pPr>
        <w:jc w:val="both"/>
        <w:ind w:left="1240" w:right="340" w:hanging="911"/>
        <w:spacing w:after="0" w:line="262" w:lineRule="auto"/>
        <w:tabs>
          <w:tab w:leader="none" w:pos="122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10.45†</w:t>
      </w:r>
      <w:r>
        <w:rPr>
          <w:sz w:val="20"/>
          <w:szCs w:val="20"/>
          <w:color w:val="auto"/>
        </w:rPr>
        <w:tab/>
      </w:r>
      <w:hyperlink r:id="rId272">
        <w:r>
          <w:rPr>
            <w:rFonts w:ascii="Times New Roman" w:cs="Times New Roman" w:eastAsia="Times New Roman" w:hAnsi="Times New Roman"/>
            <w:sz w:val="16"/>
            <w:szCs w:val="16"/>
            <w:u w:val="single" w:color="auto"/>
            <w:color w:val="0000EE"/>
          </w:rPr>
          <w:t>Form of Amended and Restated Form of Executive Severance Agreement - United States (incorporated by reference to</w:t>
        </w:r>
      </w:hyperlink>
      <w:r>
        <w:rPr>
          <w:rFonts w:ascii="Times New Roman" w:cs="Times New Roman" w:eastAsia="Times New Roman" w:hAnsi="Times New Roman"/>
          <w:sz w:val="16"/>
          <w:szCs w:val="16"/>
          <w:u w:val="single" w:color="auto"/>
          <w:color w:val="0000EE"/>
        </w:rPr>
        <w:t xml:space="preserve"> </w:t>
      </w:r>
      <w:hyperlink r:id="rId272">
        <w:r>
          <w:rPr>
            <w:rFonts w:ascii="Times New Roman" w:cs="Times New Roman" w:eastAsia="Times New Roman" w:hAnsi="Times New Roman"/>
            <w:sz w:val="16"/>
            <w:szCs w:val="16"/>
            <w:u w:val="single" w:color="auto"/>
            <w:color w:val="0000EE"/>
          </w:rPr>
          <w:t>exhibit 10.53 to the Combined Annual Report on Form 10-K of Digital Realty Trust, Inc. and Digital Realty Trust, L.P.</w:t>
        </w:r>
      </w:hyperlink>
      <w:r>
        <w:rPr>
          <w:rFonts w:ascii="Times New Roman" w:cs="Times New Roman" w:eastAsia="Times New Roman" w:hAnsi="Times New Roman"/>
          <w:sz w:val="16"/>
          <w:szCs w:val="16"/>
          <w:u w:val="single" w:color="auto"/>
          <w:color w:val="0000EE"/>
        </w:rPr>
        <w:t xml:space="preserve"> </w:t>
      </w:r>
      <w:hyperlink r:id="rId272">
        <w:r>
          <w:rPr>
            <w:rFonts w:ascii="Times New Roman" w:cs="Times New Roman" w:eastAsia="Times New Roman" w:hAnsi="Times New Roman"/>
            <w:sz w:val="16"/>
            <w:szCs w:val="16"/>
            <w:u w:val="single" w:color="auto"/>
            <w:color w:val="0000EE"/>
          </w:rPr>
          <w:t>(File Nos. 001-32336 and 000-54023) filed on February 25, 2022).</w:t>
        </w:r>
      </w:hyperlink>
    </w:p>
    <w:p>
      <w:pPr>
        <w:spacing w:after="0" w:line="154" w:lineRule="exact"/>
        <w:rPr>
          <w:rFonts w:ascii="Times New Roman" w:cs="Times New Roman" w:eastAsia="Times New Roman" w:hAnsi="Times New Roman"/>
          <w:sz w:val="16"/>
          <w:szCs w:val="16"/>
          <w:u w:val="single" w:color="auto"/>
          <w:color w:val="0000EE"/>
        </w:rPr>
      </w:pPr>
    </w:p>
    <w:p>
      <w:pPr>
        <w:ind w:left="1240" w:right="340" w:hanging="911"/>
        <w:spacing w:after="0" w:line="262" w:lineRule="auto"/>
        <w:tabs>
          <w:tab w:leader="none" w:pos="122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10.46†</w:t>
      </w:r>
      <w:r>
        <w:rPr>
          <w:sz w:val="20"/>
          <w:szCs w:val="20"/>
          <w:color w:val="auto"/>
        </w:rPr>
        <w:tab/>
      </w:r>
      <w:hyperlink r:id="rId273">
        <w:r>
          <w:rPr>
            <w:rFonts w:ascii="Times New Roman" w:cs="Times New Roman" w:eastAsia="Times New Roman" w:hAnsi="Times New Roman"/>
            <w:sz w:val="16"/>
            <w:szCs w:val="16"/>
            <w:u w:val="single" w:color="auto"/>
            <w:color w:val="0000EE"/>
          </w:rPr>
          <w:t>Form of Amended and Restated Form of Executive Severance Agreement – Canada (incorporated by reference to</w:t>
        </w:r>
      </w:hyperlink>
      <w:r>
        <w:rPr>
          <w:rFonts w:ascii="Times New Roman" w:cs="Times New Roman" w:eastAsia="Times New Roman" w:hAnsi="Times New Roman"/>
          <w:sz w:val="16"/>
          <w:szCs w:val="16"/>
          <w:u w:val="single" w:color="auto"/>
          <w:color w:val="0000EE"/>
        </w:rPr>
        <w:t xml:space="preserve"> </w:t>
      </w:r>
      <w:hyperlink r:id="rId273">
        <w:r>
          <w:rPr>
            <w:rFonts w:ascii="Times New Roman" w:cs="Times New Roman" w:eastAsia="Times New Roman" w:hAnsi="Times New Roman"/>
            <w:sz w:val="16"/>
            <w:szCs w:val="16"/>
            <w:u w:val="single" w:color="auto"/>
            <w:color w:val="0000EE"/>
          </w:rPr>
          <w:t>exhibit 10.54 to the Combined Annual Report on Form 10-K of Digital Realty Trust, Inc. and Digital Realty Trust, L.P.</w:t>
        </w:r>
      </w:hyperlink>
      <w:r>
        <w:rPr>
          <w:rFonts w:ascii="Times New Roman" w:cs="Times New Roman" w:eastAsia="Times New Roman" w:hAnsi="Times New Roman"/>
          <w:sz w:val="16"/>
          <w:szCs w:val="16"/>
          <w:u w:val="single" w:color="auto"/>
          <w:color w:val="0000EE"/>
        </w:rPr>
        <w:t xml:space="preserve"> </w:t>
      </w:r>
      <w:hyperlink r:id="rId273">
        <w:r>
          <w:rPr>
            <w:rFonts w:ascii="Times New Roman" w:cs="Times New Roman" w:eastAsia="Times New Roman" w:hAnsi="Times New Roman"/>
            <w:sz w:val="16"/>
            <w:szCs w:val="16"/>
            <w:u w:val="single" w:color="auto"/>
            <w:color w:val="0000EE"/>
          </w:rPr>
          <w:t>(File Nos. 001-32336 and 000-54023) filed on February 25, 2022).</w:t>
        </w:r>
      </w:hyperlink>
    </w:p>
    <w:p>
      <w:pPr>
        <w:spacing w:after="0" w:line="166" w:lineRule="exact"/>
        <w:rPr>
          <w:rFonts w:ascii="Times New Roman" w:cs="Times New Roman" w:eastAsia="Times New Roman" w:hAnsi="Times New Roman"/>
          <w:sz w:val="16"/>
          <w:szCs w:val="16"/>
          <w:u w:val="single" w:color="auto"/>
          <w:color w:val="0000EE"/>
        </w:rPr>
      </w:pPr>
    </w:p>
    <w:p>
      <w:pPr>
        <w:jc w:val="both"/>
        <w:ind w:left="1240" w:right="340" w:hanging="911"/>
        <w:spacing w:after="0" w:line="262" w:lineRule="auto"/>
        <w:tabs>
          <w:tab w:leader="none" w:pos="122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10.47†</w:t>
      </w:r>
      <w:r>
        <w:rPr>
          <w:sz w:val="20"/>
          <w:szCs w:val="20"/>
          <w:color w:val="auto"/>
        </w:rPr>
        <w:tab/>
      </w:r>
      <w:hyperlink r:id="rId274">
        <w:r>
          <w:rPr>
            <w:rFonts w:ascii="Times New Roman" w:cs="Times New Roman" w:eastAsia="Times New Roman" w:hAnsi="Times New Roman"/>
            <w:sz w:val="16"/>
            <w:szCs w:val="16"/>
            <w:u w:val="single" w:color="auto"/>
            <w:color w:val="0000EE"/>
          </w:rPr>
          <w:t>Form of Second Amended and Restated Executive Severance Agreement—United States (incorporated by reference to</w:t>
        </w:r>
      </w:hyperlink>
      <w:r>
        <w:rPr>
          <w:rFonts w:ascii="Times New Roman" w:cs="Times New Roman" w:eastAsia="Times New Roman" w:hAnsi="Times New Roman"/>
          <w:sz w:val="16"/>
          <w:szCs w:val="16"/>
          <w:u w:val="single" w:color="auto"/>
          <w:color w:val="0000EE"/>
        </w:rPr>
        <w:t xml:space="preserve"> </w:t>
      </w:r>
      <w:hyperlink r:id="rId274">
        <w:r>
          <w:rPr>
            <w:rFonts w:ascii="Times New Roman" w:cs="Times New Roman" w:eastAsia="Times New Roman" w:hAnsi="Times New Roman"/>
            <w:sz w:val="16"/>
            <w:szCs w:val="16"/>
            <w:u w:val="single" w:color="auto"/>
            <w:color w:val="0000EE"/>
          </w:rPr>
          <w:t>exhibit 10.55 to the Combined Annual Report on Form 10-K of Digital Realty Trust, Inc. and Digital Realty Trust, L.P.</w:t>
        </w:r>
      </w:hyperlink>
      <w:r>
        <w:rPr>
          <w:rFonts w:ascii="Times New Roman" w:cs="Times New Roman" w:eastAsia="Times New Roman" w:hAnsi="Times New Roman"/>
          <w:sz w:val="16"/>
          <w:szCs w:val="16"/>
          <w:u w:val="single" w:color="auto"/>
          <w:color w:val="0000EE"/>
        </w:rPr>
        <w:t xml:space="preserve"> </w:t>
      </w:r>
      <w:hyperlink r:id="rId274">
        <w:r>
          <w:rPr>
            <w:rFonts w:ascii="Times New Roman" w:cs="Times New Roman" w:eastAsia="Times New Roman" w:hAnsi="Times New Roman"/>
            <w:sz w:val="16"/>
            <w:szCs w:val="16"/>
            <w:u w:val="single" w:color="auto"/>
            <w:color w:val="0000EE"/>
          </w:rPr>
          <w:t>(File Nos. 001-32336 and 000-54023) filed on February 24, 2023).</w:t>
        </w:r>
      </w:hyperlink>
    </w:p>
    <w:p>
      <w:pPr>
        <w:spacing w:after="0" w:line="166" w:lineRule="exact"/>
        <w:rPr>
          <w:rFonts w:ascii="Times New Roman" w:cs="Times New Roman" w:eastAsia="Times New Roman" w:hAnsi="Times New Roman"/>
          <w:sz w:val="16"/>
          <w:szCs w:val="16"/>
          <w:u w:val="single" w:color="auto"/>
          <w:color w:val="0000EE"/>
        </w:rPr>
      </w:pPr>
    </w:p>
    <w:p>
      <w:pPr>
        <w:jc w:val="both"/>
        <w:ind w:left="1240" w:right="360" w:hanging="911"/>
        <w:spacing w:after="0" w:line="262" w:lineRule="auto"/>
        <w:tabs>
          <w:tab w:leader="none" w:pos="122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10.48†</w:t>
      </w:r>
      <w:r>
        <w:rPr>
          <w:sz w:val="20"/>
          <w:szCs w:val="20"/>
          <w:color w:val="auto"/>
        </w:rPr>
        <w:tab/>
      </w:r>
      <w:hyperlink r:id="rId275">
        <w:r>
          <w:rPr>
            <w:rFonts w:ascii="Times New Roman" w:cs="Times New Roman" w:eastAsia="Times New Roman" w:hAnsi="Times New Roman"/>
            <w:sz w:val="16"/>
            <w:szCs w:val="16"/>
            <w:u w:val="single" w:color="auto"/>
            <w:color w:val="0000EE"/>
          </w:rPr>
          <w:t>Form of Class D Profits Interest Unit Agreement (incorporated by reference to Exhibit 10.2 to the Combined Quarterly</w:t>
        </w:r>
      </w:hyperlink>
      <w:r>
        <w:rPr>
          <w:rFonts w:ascii="Times New Roman" w:cs="Times New Roman" w:eastAsia="Times New Roman" w:hAnsi="Times New Roman"/>
          <w:sz w:val="16"/>
          <w:szCs w:val="16"/>
          <w:u w:val="single" w:color="auto"/>
          <w:color w:val="0000EE"/>
        </w:rPr>
        <w:t xml:space="preserve"> </w:t>
      </w:r>
      <w:hyperlink r:id="rId275">
        <w:r>
          <w:rPr>
            <w:rFonts w:ascii="Times New Roman" w:cs="Times New Roman" w:eastAsia="Times New Roman" w:hAnsi="Times New Roman"/>
            <w:sz w:val="16"/>
            <w:szCs w:val="16"/>
            <w:u w:val="single" w:color="auto"/>
            <w:color w:val="0000EE"/>
          </w:rPr>
          <w:t>Report on 10-Q of Digital Realty Trust, Inc. and Digital Realty Trust, L.P. (File Nos. 001-32336 and 000-54023) filed</w:t>
        </w:r>
      </w:hyperlink>
      <w:r>
        <w:rPr>
          <w:rFonts w:ascii="Times New Roman" w:cs="Times New Roman" w:eastAsia="Times New Roman" w:hAnsi="Times New Roman"/>
          <w:sz w:val="16"/>
          <w:szCs w:val="16"/>
          <w:u w:val="single" w:color="auto"/>
          <w:color w:val="0000EE"/>
        </w:rPr>
        <w:t xml:space="preserve"> </w:t>
      </w:r>
      <w:hyperlink r:id="rId275">
        <w:r>
          <w:rPr>
            <w:rFonts w:ascii="Times New Roman" w:cs="Times New Roman" w:eastAsia="Times New Roman" w:hAnsi="Times New Roman"/>
            <w:sz w:val="16"/>
            <w:szCs w:val="16"/>
            <w:u w:val="single" w:color="auto"/>
            <w:color w:val="0000EE"/>
          </w:rPr>
          <w:t>on May 6, 2022).</w:t>
        </w:r>
      </w:hyperlink>
    </w:p>
    <w:p>
      <w:pPr>
        <w:spacing w:after="0" w:line="166" w:lineRule="exact"/>
        <w:rPr>
          <w:rFonts w:ascii="Times New Roman" w:cs="Times New Roman" w:eastAsia="Times New Roman" w:hAnsi="Times New Roman"/>
          <w:sz w:val="16"/>
          <w:szCs w:val="16"/>
          <w:u w:val="single" w:color="auto"/>
          <w:color w:val="0000EE"/>
        </w:rPr>
      </w:pPr>
    </w:p>
    <w:p>
      <w:pPr>
        <w:jc w:val="both"/>
        <w:ind w:left="1240" w:right="340" w:hanging="911"/>
        <w:spacing w:after="0" w:line="262" w:lineRule="auto"/>
        <w:tabs>
          <w:tab w:leader="none" w:pos="122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10.49†</w:t>
      </w:r>
      <w:r>
        <w:rPr>
          <w:sz w:val="20"/>
          <w:szCs w:val="20"/>
          <w:color w:val="auto"/>
        </w:rPr>
        <w:tab/>
      </w:r>
      <w:hyperlink r:id="rId276">
        <w:r>
          <w:rPr>
            <w:rFonts w:ascii="Times New Roman" w:cs="Times New Roman" w:eastAsia="Times New Roman" w:hAnsi="Times New Roman"/>
            <w:sz w:val="16"/>
            <w:szCs w:val="16"/>
            <w:u w:val="single" w:color="auto"/>
            <w:color w:val="0000EE"/>
          </w:rPr>
          <w:t>Form of Executive Severance Class D Profits Interest Unit Agreement (FFO Award) (incorporated by reference to 10.3</w:t>
        </w:r>
      </w:hyperlink>
      <w:r>
        <w:rPr>
          <w:rFonts w:ascii="Times New Roman" w:cs="Times New Roman" w:eastAsia="Times New Roman" w:hAnsi="Times New Roman"/>
          <w:sz w:val="16"/>
          <w:szCs w:val="16"/>
          <w:u w:val="single" w:color="auto"/>
          <w:color w:val="0000EE"/>
        </w:rPr>
        <w:t xml:space="preserve"> </w:t>
      </w:r>
      <w:hyperlink r:id="rId276">
        <w:r>
          <w:rPr>
            <w:rFonts w:ascii="Times New Roman" w:cs="Times New Roman" w:eastAsia="Times New Roman" w:hAnsi="Times New Roman"/>
            <w:sz w:val="16"/>
            <w:szCs w:val="16"/>
            <w:u w:val="single" w:color="auto"/>
            <w:color w:val="0000EE"/>
          </w:rPr>
          <w:t>to the Combined Quarterly Report on Form 10-Q of Digital Realty Trust, Inc. and Digital Realty Trust, L.P. (File Nos.</w:t>
        </w:r>
      </w:hyperlink>
      <w:r>
        <w:rPr>
          <w:rFonts w:ascii="Times New Roman" w:cs="Times New Roman" w:eastAsia="Times New Roman" w:hAnsi="Times New Roman"/>
          <w:sz w:val="16"/>
          <w:szCs w:val="16"/>
          <w:u w:val="single" w:color="auto"/>
          <w:color w:val="0000EE"/>
        </w:rPr>
        <w:t xml:space="preserve"> </w:t>
      </w:r>
      <w:hyperlink r:id="rId276">
        <w:r>
          <w:rPr>
            <w:rFonts w:ascii="Times New Roman" w:cs="Times New Roman" w:eastAsia="Times New Roman" w:hAnsi="Times New Roman"/>
            <w:sz w:val="16"/>
            <w:szCs w:val="16"/>
            <w:u w:val="single" w:color="auto"/>
            <w:color w:val="0000EE"/>
          </w:rPr>
          <w:t>001-32336 and 000-54023) filed on May 6, 2022).</w:t>
        </w:r>
      </w:hyperlink>
    </w:p>
    <w:p>
      <w:pPr>
        <w:spacing w:after="0" w:line="166" w:lineRule="exact"/>
        <w:rPr>
          <w:rFonts w:ascii="Times New Roman" w:cs="Times New Roman" w:eastAsia="Times New Roman" w:hAnsi="Times New Roman"/>
          <w:sz w:val="16"/>
          <w:szCs w:val="16"/>
          <w:u w:val="single" w:color="auto"/>
          <w:color w:val="0000EE"/>
        </w:rPr>
      </w:pPr>
    </w:p>
    <w:p>
      <w:pPr>
        <w:ind w:left="1240" w:right="540" w:hanging="911"/>
        <w:spacing w:after="0" w:line="262" w:lineRule="auto"/>
        <w:tabs>
          <w:tab w:leader="none" w:pos="122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10.50†</w:t>
      </w:r>
      <w:r>
        <w:rPr>
          <w:sz w:val="20"/>
          <w:szCs w:val="20"/>
          <w:color w:val="auto"/>
        </w:rPr>
        <w:tab/>
      </w:r>
      <w:hyperlink r:id="rId277">
        <w:r>
          <w:rPr>
            <w:rFonts w:ascii="Times New Roman" w:cs="Times New Roman" w:eastAsia="Times New Roman" w:hAnsi="Times New Roman"/>
            <w:sz w:val="16"/>
            <w:szCs w:val="16"/>
            <w:u w:val="single" w:color="auto"/>
            <w:color w:val="0000EE"/>
          </w:rPr>
          <w:t>Form of Performance-Based Restricted Stock Unit Agreement (US) (FFO Award) (incorporated by reference to</w:t>
        </w:r>
      </w:hyperlink>
      <w:r>
        <w:rPr>
          <w:rFonts w:ascii="Times New Roman" w:cs="Times New Roman" w:eastAsia="Times New Roman" w:hAnsi="Times New Roman"/>
          <w:sz w:val="16"/>
          <w:szCs w:val="16"/>
          <w:u w:val="single" w:color="auto"/>
          <w:color w:val="0000EE"/>
        </w:rPr>
        <w:t xml:space="preserve"> </w:t>
      </w:r>
      <w:hyperlink r:id="rId277">
        <w:r>
          <w:rPr>
            <w:rFonts w:ascii="Times New Roman" w:cs="Times New Roman" w:eastAsia="Times New Roman" w:hAnsi="Times New Roman"/>
            <w:sz w:val="16"/>
            <w:szCs w:val="16"/>
            <w:u w:val="single" w:color="auto"/>
            <w:color w:val="0000EE"/>
          </w:rPr>
          <w:t>Exhibit 10.4 to the Combined Quarterly Report on Form 10-Q of Digital Realty Trust, Inc. and Digital Realty Trust,</w:t>
        </w:r>
      </w:hyperlink>
      <w:r>
        <w:rPr>
          <w:rFonts w:ascii="Times New Roman" w:cs="Times New Roman" w:eastAsia="Times New Roman" w:hAnsi="Times New Roman"/>
          <w:sz w:val="16"/>
          <w:szCs w:val="16"/>
          <w:u w:val="single" w:color="auto"/>
          <w:color w:val="0000EE"/>
        </w:rPr>
        <w:t xml:space="preserve"> </w:t>
      </w:r>
      <w:hyperlink r:id="rId277">
        <w:r>
          <w:rPr>
            <w:rFonts w:ascii="Times New Roman" w:cs="Times New Roman" w:eastAsia="Times New Roman" w:hAnsi="Times New Roman"/>
            <w:sz w:val="16"/>
            <w:szCs w:val="16"/>
            <w:u w:val="single" w:color="auto"/>
            <w:color w:val="0000EE"/>
          </w:rPr>
          <w:t>L.P. (File Nos. 001-32336 and 000-54023) filed on May 6, 2022).</w:t>
        </w:r>
      </w:hyperlink>
    </w:p>
    <w:p>
      <w:pPr>
        <w:spacing w:after="0" w:line="166" w:lineRule="exact"/>
        <w:rPr>
          <w:rFonts w:ascii="Times New Roman" w:cs="Times New Roman" w:eastAsia="Times New Roman" w:hAnsi="Times New Roman"/>
          <w:sz w:val="16"/>
          <w:szCs w:val="16"/>
          <w:u w:val="single" w:color="auto"/>
          <w:color w:val="0000EE"/>
        </w:rPr>
      </w:pPr>
    </w:p>
    <w:p>
      <w:pPr>
        <w:ind w:left="1240" w:right="320" w:hanging="911"/>
        <w:spacing w:after="0" w:line="252" w:lineRule="auto"/>
        <w:tabs>
          <w:tab w:leader="none" w:pos="122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10.51*</w:t>
      </w:r>
      <w:r>
        <w:rPr>
          <w:sz w:val="20"/>
          <w:szCs w:val="20"/>
          <w:color w:val="auto"/>
        </w:rPr>
        <w:tab/>
      </w:r>
      <w:hyperlink r:id="rId278">
        <w:r>
          <w:rPr>
            <w:rFonts w:ascii="Times New Roman" w:cs="Times New Roman" w:eastAsia="Times New Roman" w:hAnsi="Times New Roman"/>
            <w:sz w:val="16"/>
            <w:szCs w:val="16"/>
            <w:u w:val="single" w:color="auto"/>
            <w:color w:val="0000EE"/>
          </w:rPr>
          <w:t>Term Loan Agreement, dated as of August 11, 2022, among Digital Dutch Finco B.V., and the other initial borrowers</w:t>
        </w:r>
      </w:hyperlink>
      <w:r>
        <w:rPr>
          <w:rFonts w:ascii="Times New Roman" w:cs="Times New Roman" w:eastAsia="Times New Roman" w:hAnsi="Times New Roman"/>
          <w:sz w:val="16"/>
          <w:szCs w:val="16"/>
          <w:u w:val="single" w:color="auto"/>
          <w:color w:val="0000EE"/>
        </w:rPr>
        <w:t xml:space="preserve"> </w:t>
      </w:r>
      <w:hyperlink r:id="rId278">
        <w:r>
          <w:rPr>
            <w:rFonts w:ascii="Times New Roman" w:cs="Times New Roman" w:eastAsia="Times New Roman" w:hAnsi="Times New Roman"/>
            <w:sz w:val="16"/>
            <w:szCs w:val="16"/>
            <w:u w:val="single" w:color="auto"/>
            <w:color w:val="0000EE"/>
          </w:rPr>
          <w:t>named therein and additional borrowers party thereto, as borrowers, Digital Realty Trust, L.P., Digital Euro Fico LLC,</w:t>
        </w:r>
      </w:hyperlink>
      <w:r>
        <w:rPr>
          <w:rFonts w:ascii="Times New Roman" w:cs="Times New Roman" w:eastAsia="Times New Roman" w:hAnsi="Times New Roman"/>
          <w:sz w:val="16"/>
          <w:szCs w:val="16"/>
          <w:u w:val="single" w:color="auto"/>
          <w:color w:val="0000EE"/>
        </w:rPr>
        <w:t xml:space="preserve"> </w:t>
      </w:r>
      <w:hyperlink r:id="rId278">
        <w:r>
          <w:rPr>
            <w:rFonts w:ascii="Times New Roman" w:cs="Times New Roman" w:eastAsia="Times New Roman" w:hAnsi="Times New Roman"/>
            <w:sz w:val="16"/>
            <w:szCs w:val="16"/>
            <w:u w:val="single" w:color="auto"/>
            <w:color w:val="0000EE"/>
          </w:rPr>
          <w:t>and Digital Realty Trust, L.P., as guarantors, the subsidiary borrowers and additional guarantors named therein, the</w:t>
        </w:r>
      </w:hyperlink>
      <w:r>
        <w:rPr>
          <w:rFonts w:ascii="Times New Roman" w:cs="Times New Roman" w:eastAsia="Times New Roman" w:hAnsi="Times New Roman"/>
          <w:sz w:val="16"/>
          <w:szCs w:val="16"/>
          <w:u w:val="single" w:color="auto"/>
          <w:color w:val="0000EE"/>
        </w:rPr>
        <w:t xml:space="preserve"> </w:t>
      </w:r>
      <w:hyperlink r:id="rId278">
        <w:r>
          <w:rPr>
            <w:rFonts w:ascii="Times New Roman" w:cs="Times New Roman" w:eastAsia="Times New Roman" w:hAnsi="Times New Roman"/>
            <w:sz w:val="16"/>
            <w:szCs w:val="16"/>
            <w:u w:val="single" w:color="auto"/>
            <w:color w:val="0000EE"/>
          </w:rPr>
          <w:t>initial lenders and issuing banks named therein, Citibank, N.A., as administrative agent, Bank of America, N.A. and</w:t>
        </w:r>
      </w:hyperlink>
      <w:r>
        <w:rPr>
          <w:rFonts w:ascii="Times New Roman" w:cs="Times New Roman" w:eastAsia="Times New Roman" w:hAnsi="Times New Roman"/>
          <w:sz w:val="16"/>
          <w:szCs w:val="16"/>
          <w:u w:val="single" w:color="auto"/>
          <w:color w:val="0000EE"/>
        </w:rPr>
        <w:t xml:space="preserve"> </w:t>
      </w:r>
      <w:hyperlink r:id="rId278">
        <w:r>
          <w:rPr>
            <w:rFonts w:ascii="Times New Roman" w:cs="Times New Roman" w:eastAsia="Times New Roman" w:hAnsi="Times New Roman"/>
            <w:sz w:val="16"/>
            <w:szCs w:val="16"/>
            <w:u w:val="single" w:color="auto"/>
            <w:color w:val="0000EE"/>
          </w:rPr>
          <w:t>JPMorgan Chase Bank, N.A., as syndication agents, BofA Securities, Inc., Citibank, N.A., JPMorgan Chase Bank,</w:t>
        </w:r>
      </w:hyperlink>
      <w:r>
        <w:rPr>
          <w:rFonts w:ascii="Times New Roman" w:cs="Times New Roman" w:eastAsia="Times New Roman" w:hAnsi="Times New Roman"/>
          <w:sz w:val="16"/>
          <w:szCs w:val="16"/>
          <w:u w:val="single" w:color="auto"/>
          <w:color w:val="0000EE"/>
        </w:rPr>
        <w:t xml:space="preserve"> </w:t>
      </w:r>
      <w:hyperlink r:id="rId278">
        <w:r>
          <w:rPr>
            <w:rFonts w:ascii="Times New Roman" w:cs="Times New Roman" w:eastAsia="Times New Roman" w:hAnsi="Times New Roman"/>
            <w:sz w:val="16"/>
            <w:szCs w:val="16"/>
            <w:u w:val="single" w:color="auto"/>
            <w:color w:val="0000EE"/>
          </w:rPr>
          <w:t>N.A., Deutsche Bank Securities Inc., PNC Bank National Association, The Bank of Nova Scotia, Bank of China, Los</w:t>
        </w:r>
      </w:hyperlink>
      <w:r>
        <w:rPr>
          <w:rFonts w:ascii="Times New Roman" w:cs="Times New Roman" w:eastAsia="Times New Roman" w:hAnsi="Times New Roman"/>
          <w:sz w:val="16"/>
          <w:szCs w:val="16"/>
          <w:u w:val="single" w:color="auto"/>
          <w:color w:val="0000EE"/>
        </w:rPr>
        <w:t xml:space="preserve"> </w:t>
      </w:r>
      <w:hyperlink r:id="rId278">
        <w:r>
          <w:rPr>
            <w:rFonts w:ascii="Times New Roman" w:cs="Times New Roman" w:eastAsia="Times New Roman" w:hAnsi="Times New Roman"/>
            <w:sz w:val="16"/>
            <w:szCs w:val="16"/>
            <w:u w:val="single" w:color="auto"/>
            <w:color w:val="0000EE"/>
          </w:rPr>
          <w:t>Angeles Branch, Oversea-Chinese Banking Corporation Limited- Los Angeles Agency, Raymond James Bank,</w:t>
        </w:r>
      </w:hyperlink>
      <w:r>
        <w:rPr>
          <w:rFonts w:ascii="Times New Roman" w:cs="Times New Roman" w:eastAsia="Times New Roman" w:hAnsi="Times New Roman"/>
          <w:sz w:val="16"/>
          <w:szCs w:val="16"/>
          <w:u w:val="single" w:color="auto"/>
          <w:color w:val="0000EE"/>
        </w:rPr>
        <w:t xml:space="preserve"> </w:t>
      </w:r>
      <w:hyperlink r:id="rId278">
        <w:r>
          <w:rPr>
            <w:rFonts w:ascii="Times New Roman" w:cs="Times New Roman" w:eastAsia="Times New Roman" w:hAnsi="Times New Roman"/>
            <w:sz w:val="16"/>
            <w:szCs w:val="16"/>
            <w:u w:val="single" w:color="auto"/>
            <w:color w:val="0000EE"/>
          </w:rPr>
          <w:t>Sumitomo Mitsui Banking Corporation, DBS Bank LTD., TD Securities (USA) LLC and U.S. Bank National</w:t>
        </w:r>
      </w:hyperlink>
      <w:r>
        <w:rPr>
          <w:rFonts w:ascii="Times New Roman" w:cs="Times New Roman" w:eastAsia="Times New Roman" w:hAnsi="Times New Roman"/>
          <w:sz w:val="16"/>
          <w:szCs w:val="16"/>
          <w:u w:val="single" w:color="auto"/>
          <w:color w:val="0000EE"/>
        </w:rPr>
        <w:t xml:space="preserve"> </w:t>
      </w:r>
      <w:hyperlink r:id="rId278">
        <w:r>
          <w:rPr>
            <w:rFonts w:ascii="Times New Roman" w:cs="Times New Roman" w:eastAsia="Times New Roman" w:hAnsi="Times New Roman"/>
            <w:sz w:val="16"/>
            <w:szCs w:val="16"/>
            <w:u w:val="single" w:color="auto"/>
            <w:color w:val="0000EE"/>
          </w:rPr>
          <w:t>Association, as joint lead arrangers, BofA Securities, Inc., Citibank, N.A. and JPMorgan Chase Bank, N.A., as joint</w:t>
        </w:r>
      </w:hyperlink>
      <w:r>
        <w:rPr>
          <w:rFonts w:ascii="Times New Roman" w:cs="Times New Roman" w:eastAsia="Times New Roman" w:hAnsi="Times New Roman"/>
          <w:sz w:val="16"/>
          <w:szCs w:val="16"/>
          <w:u w:val="single" w:color="auto"/>
          <w:color w:val="0000EE"/>
        </w:rPr>
        <w:t xml:space="preserve"> </w:t>
      </w:r>
      <w:hyperlink r:id="rId278">
        <w:r>
          <w:rPr>
            <w:rFonts w:ascii="Times New Roman" w:cs="Times New Roman" w:eastAsia="Times New Roman" w:hAnsi="Times New Roman"/>
            <w:sz w:val="16"/>
            <w:szCs w:val="16"/>
            <w:u w:val="single" w:color="auto"/>
            <w:color w:val="0000EE"/>
          </w:rPr>
          <w:t>bookrunners, and the other gents and lenders named therein (incorporated by reference to Exhibit 10.1 to the Combined</w:t>
        </w:r>
      </w:hyperlink>
      <w:r>
        <w:rPr>
          <w:rFonts w:ascii="Times New Roman" w:cs="Times New Roman" w:eastAsia="Times New Roman" w:hAnsi="Times New Roman"/>
          <w:sz w:val="16"/>
          <w:szCs w:val="16"/>
          <w:u w:val="single" w:color="auto"/>
          <w:color w:val="0000EE"/>
        </w:rPr>
        <w:t xml:space="preserve"> </w:t>
      </w:r>
      <w:hyperlink r:id="rId278">
        <w:r>
          <w:rPr>
            <w:rFonts w:ascii="Times New Roman" w:cs="Times New Roman" w:eastAsia="Times New Roman" w:hAnsi="Times New Roman"/>
            <w:sz w:val="16"/>
            <w:szCs w:val="16"/>
            <w:u w:val="single" w:color="auto"/>
            <w:color w:val="0000EE"/>
          </w:rPr>
          <w:t>Current Report on Form 8-K of Digital Realty Trust, Inc. and Digital Realty Trust, L.P. (File Nos. 001-32336 and 000-</w:t>
        </w:r>
      </w:hyperlink>
      <w:hyperlink r:id="rId278">
        <w:r>
          <w:rPr>
            <w:rFonts w:ascii="Times New Roman" w:cs="Times New Roman" w:eastAsia="Times New Roman" w:hAnsi="Times New Roman"/>
            <w:sz w:val="16"/>
            <w:szCs w:val="16"/>
            <w:u w:val="single" w:color="auto"/>
            <w:color w:val="0000EE"/>
          </w:rPr>
          <w:t>54023) filed on August 17, 2022).</w:t>
        </w:r>
      </w:hyperlink>
    </w:p>
    <w:p>
      <w:pPr>
        <w:spacing w:after="0" w:line="178" w:lineRule="exact"/>
        <w:rPr>
          <w:rFonts w:ascii="Times New Roman" w:cs="Times New Roman" w:eastAsia="Times New Roman" w:hAnsi="Times New Roman"/>
          <w:sz w:val="16"/>
          <w:szCs w:val="16"/>
          <w:u w:val="single" w:color="auto"/>
          <w:color w:val="0000EE"/>
        </w:rPr>
      </w:pPr>
    </w:p>
    <w:p>
      <w:pPr>
        <w:ind w:left="1240" w:right="360" w:hanging="911"/>
        <w:spacing w:after="0" w:line="258" w:lineRule="auto"/>
        <w:tabs>
          <w:tab w:leader="none" w:pos="122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10.52†</w:t>
      </w:r>
      <w:r>
        <w:rPr>
          <w:sz w:val="20"/>
          <w:szCs w:val="20"/>
          <w:color w:val="auto"/>
        </w:rPr>
        <w:tab/>
      </w:r>
      <w:hyperlink r:id="rId279">
        <w:r>
          <w:rPr>
            <w:rFonts w:ascii="Times New Roman" w:cs="Times New Roman" w:eastAsia="Times New Roman" w:hAnsi="Times New Roman"/>
            <w:sz w:val="16"/>
            <w:szCs w:val="16"/>
            <w:u w:val="single" w:color="auto"/>
            <w:color w:val="0000EE"/>
          </w:rPr>
          <w:t>Amendment to Employment Agreement, dated as of September 7, 2022, by and among Digital Realty Trust, Inc., DLR</w:t>
        </w:r>
      </w:hyperlink>
      <w:r>
        <w:rPr>
          <w:rFonts w:ascii="Times New Roman" w:cs="Times New Roman" w:eastAsia="Times New Roman" w:hAnsi="Times New Roman"/>
          <w:sz w:val="16"/>
          <w:szCs w:val="16"/>
          <w:u w:val="single" w:color="auto"/>
          <w:color w:val="0000EE"/>
        </w:rPr>
        <w:t xml:space="preserve"> </w:t>
      </w:r>
      <w:hyperlink r:id="rId279">
        <w:r>
          <w:rPr>
            <w:rFonts w:ascii="Times New Roman" w:cs="Times New Roman" w:eastAsia="Times New Roman" w:hAnsi="Times New Roman"/>
            <w:sz w:val="16"/>
            <w:szCs w:val="16"/>
            <w:u w:val="single" w:color="auto"/>
            <w:color w:val="0000EE"/>
          </w:rPr>
          <w:t>LLC and Greg Wright (incorporated by reference to Exhibit 10.2 to the Combined Quarterly Report on Form 10-Q of</w:t>
        </w:r>
      </w:hyperlink>
      <w:r>
        <w:rPr>
          <w:rFonts w:ascii="Times New Roman" w:cs="Times New Roman" w:eastAsia="Times New Roman" w:hAnsi="Times New Roman"/>
          <w:sz w:val="16"/>
          <w:szCs w:val="16"/>
          <w:u w:val="single" w:color="auto"/>
          <w:color w:val="0000EE"/>
        </w:rPr>
        <w:t xml:space="preserve"> </w:t>
      </w:r>
      <w:hyperlink r:id="rId279">
        <w:r>
          <w:rPr>
            <w:rFonts w:ascii="Times New Roman" w:cs="Times New Roman" w:eastAsia="Times New Roman" w:hAnsi="Times New Roman"/>
            <w:sz w:val="16"/>
            <w:szCs w:val="16"/>
            <w:u w:val="single" w:color="auto"/>
            <w:color w:val="0000EE"/>
          </w:rPr>
          <w:t>Digital Realty Trust, Inc. and Digital Realty Trust, L.P. (File Nos. 001-32336 and 000-54023) filed on November 4,</w:t>
        </w:r>
      </w:hyperlink>
      <w:r>
        <w:rPr>
          <w:rFonts w:ascii="Times New Roman" w:cs="Times New Roman" w:eastAsia="Times New Roman" w:hAnsi="Times New Roman"/>
          <w:sz w:val="16"/>
          <w:szCs w:val="16"/>
          <w:u w:val="single" w:color="auto"/>
          <w:color w:val="0000EE"/>
        </w:rPr>
        <w:t xml:space="preserve"> </w:t>
      </w:r>
      <w:hyperlink r:id="rId279">
        <w:r>
          <w:rPr>
            <w:rFonts w:ascii="Times New Roman" w:cs="Times New Roman" w:eastAsia="Times New Roman" w:hAnsi="Times New Roman"/>
            <w:sz w:val="16"/>
            <w:szCs w:val="16"/>
            <w:u w:val="single" w:color="auto"/>
            <w:color w:val="0000EE"/>
          </w:rPr>
          <w:t>2022).</w:t>
        </w:r>
      </w:hyperlink>
    </w:p>
    <w:p>
      <w:pPr>
        <w:spacing w:after="0" w:line="169" w:lineRule="exact"/>
        <w:rPr>
          <w:rFonts w:ascii="Times New Roman" w:cs="Times New Roman" w:eastAsia="Times New Roman" w:hAnsi="Times New Roman"/>
          <w:sz w:val="16"/>
          <w:szCs w:val="16"/>
          <w:u w:val="single" w:color="auto"/>
          <w:color w:val="0000EE"/>
        </w:rPr>
      </w:pPr>
    </w:p>
    <w:p>
      <w:pPr>
        <w:ind w:left="1240" w:right="460" w:hanging="911"/>
        <w:spacing w:after="0" w:line="262" w:lineRule="auto"/>
        <w:tabs>
          <w:tab w:leader="none" w:pos="122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10.53†</w:t>
      </w:r>
      <w:r>
        <w:rPr>
          <w:sz w:val="20"/>
          <w:szCs w:val="20"/>
          <w:color w:val="auto"/>
        </w:rPr>
        <w:tab/>
      </w:r>
      <w:hyperlink r:id="rId280">
        <w:r>
          <w:rPr>
            <w:rFonts w:ascii="Times New Roman" w:cs="Times New Roman" w:eastAsia="Times New Roman" w:hAnsi="Times New Roman"/>
            <w:sz w:val="16"/>
            <w:szCs w:val="16"/>
            <w:u w:val="single" w:color="auto"/>
            <w:color w:val="0000EE"/>
          </w:rPr>
          <w:t>Form of Class D Profits Interest Unit Agreement (NOI Award) (incorporated by reference to Exhibit 10.4 to the</w:t>
        </w:r>
      </w:hyperlink>
      <w:r>
        <w:rPr>
          <w:rFonts w:ascii="Times New Roman" w:cs="Times New Roman" w:eastAsia="Times New Roman" w:hAnsi="Times New Roman"/>
          <w:sz w:val="16"/>
          <w:szCs w:val="16"/>
          <w:u w:val="single" w:color="auto"/>
          <w:color w:val="0000EE"/>
        </w:rPr>
        <w:t xml:space="preserve"> </w:t>
      </w:r>
      <w:hyperlink r:id="rId280">
        <w:r>
          <w:rPr>
            <w:rFonts w:ascii="Times New Roman" w:cs="Times New Roman" w:eastAsia="Times New Roman" w:hAnsi="Times New Roman"/>
            <w:sz w:val="16"/>
            <w:szCs w:val="16"/>
            <w:u w:val="single" w:color="auto"/>
            <w:color w:val="0000EE"/>
          </w:rPr>
          <w:t>Combined Quarterly Report on Form 10-Q of Digital Realty Trust, Inc. and Digital Realty Trust, L.P. (File Nos. 001-</w:t>
        </w:r>
      </w:hyperlink>
      <w:hyperlink r:id="rId280">
        <w:r>
          <w:rPr>
            <w:rFonts w:ascii="Times New Roman" w:cs="Times New Roman" w:eastAsia="Times New Roman" w:hAnsi="Times New Roman"/>
            <w:sz w:val="16"/>
            <w:szCs w:val="16"/>
            <w:u w:val="single" w:color="auto"/>
            <w:color w:val="0000EE"/>
          </w:rPr>
          <w:t>32336 and 000-54023) filed on May 4, 2023).</w:t>
        </w:r>
      </w:hyperlink>
    </w:p>
    <w:p>
      <w:pPr>
        <w:spacing w:after="0" w:line="200" w:lineRule="exact"/>
        <w:rPr>
          <w:rFonts w:ascii="Times New Roman" w:cs="Times New Roman" w:eastAsia="Times New Roman" w:hAnsi="Times New Roman"/>
          <w:sz w:val="16"/>
          <w:szCs w:val="16"/>
          <w:u w:val="single" w:color="auto"/>
          <w:color w:val="0000EE"/>
        </w:rPr>
      </w:pPr>
    </w:p>
    <w:p>
      <w:pPr>
        <w:spacing w:after="0" w:line="350" w:lineRule="exact"/>
        <w:rPr>
          <w:rFonts w:ascii="Times New Roman" w:cs="Times New Roman" w:eastAsia="Times New Roman" w:hAnsi="Times New Roman"/>
          <w:sz w:val="16"/>
          <w:szCs w:val="16"/>
          <w:u w:val="single" w:color="auto"/>
          <w:color w:val="0000EE"/>
        </w:rPr>
      </w:pPr>
    </w:p>
    <w:p>
      <w:pPr>
        <w:jc w:val="center"/>
        <w:spacing w:after="0"/>
        <w:rPr>
          <w:sz w:val="20"/>
          <w:szCs w:val="20"/>
          <w:color w:val="auto"/>
        </w:rPr>
      </w:pPr>
      <w:r>
        <w:rPr>
          <w:rFonts w:ascii="Times New Roman" w:cs="Times New Roman" w:eastAsia="Times New Roman" w:hAnsi="Times New Roman"/>
          <w:sz w:val="16"/>
          <w:szCs w:val="16"/>
          <w:color w:val="auto"/>
        </w:rPr>
        <w:t>171</w:t>
      </w:r>
    </w:p>
    <w:p>
      <w:pPr>
        <w:spacing w:after="0" w:line="20" w:lineRule="exact"/>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u w:val="single" w:color="auto"/>
          <w:color w:val="0000EE"/>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81">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76" w:name="page177"/>
    <w:bookmarkEnd w:id="176"/>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12" w:lineRule="exact"/>
        <w:rPr>
          <w:sz w:val="20"/>
          <w:szCs w:val="20"/>
          <w:color w:val="auto"/>
        </w:rPr>
      </w:pPr>
    </w:p>
    <w:tbl>
      <w:tblPr>
        <w:tblLayout w:type="fixed"/>
        <w:tblInd w:w="320" w:type="dxa"/>
        <w:tblCellMar>
          <w:top w:w="0" w:type="dxa"/>
          <w:left w:w="0" w:type="dxa"/>
          <w:bottom w:w="0" w:type="dxa"/>
          <w:right w:w="0" w:type="dxa"/>
        </w:tblCellMar>
      </w:tblPr>
      <w:tr>
        <w:trPr>
          <w:trHeight w:val="156"/>
        </w:trPr>
        <w:tc>
          <w:tcPr>
            <w:tcW w:w="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0"/>
        </w:trPr>
        <w:tc>
          <w:tcPr>
            <w:tcW w:w="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260" w:type="dxa"/>
            <w:vAlign w:val="bottom"/>
          </w:tcPr>
          <w:p>
            <w:pPr>
              <w:spacing w:after="0"/>
              <w:rPr>
                <w:sz w:val="14"/>
                <w:szCs w:val="14"/>
                <w:color w:val="auto"/>
              </w:rPr>
            </w:pPr>
          </w:p>
        </w:tc>
        <w:tc>
          <w:tcPr>
            <w:tcW w:w="7480" w:type="dxa"/>
            <w:vAlign w:val="bottom"/>
            <w:gridSpan w:val="33"/>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148"/>
        </w:trPr>
        <w:tc>
          <w:tcPr>
            <w:tcW w:w="660" w:type="dxa"/>
            <w:vAlign w:val="bottom"/>
            <w:tcBorders>
              <w:top w:val="single" w:sz="8" w:color="auto"/>
            </w:tcBorders>
          </w:tcPr>
          <w:p>
            <w:pPr>
              <w:spacing w:after="0" w:line="148" w:lineRule="exact"/>
              <w:rPr>
                <w:sz w:val="20"/>
                <w:szCs w:val="20"/>
                <w:color w:val="auto"/>
              </w:rPr>
            </w:pPr>
            <w:r>
              <w:rPr>
                <w:rFonts w:ascii="Times New Roman" w:cs="Times New Roman" w:eastAsia="Times New Roman" w:hAnsi="Times New Roman"/>
                <w:sz w:val="16"/>
                <w:szCs w:val="16"/>
                <w:color w:val="auto"/>
              </w:rPr>
              <w:t>10.54†</w:t>
            </w:r>
          </w:p>
        </w:tc>
        <w:tc>
          <w:tcPr>
            <w:tcW w:w="260" w:type="dxa"/>
            <w:vAlign w:val="bottom"/>
          </w:tcPr>
          <w:p>
            <w:pPr>
              <w:spacing w:after="0"/>
              <w:rPr>
                <w:sz w:val="12"/>
                <w:szCs w:val="12"/>
                <w:color w:val="auto"/>
              </w:rPr>
            </w:pPr>
          </w:p>
        </w:tc>
        <w:tc>
          <w:tcPr>
            <w:tcW w:w="7140" w:type="dxa"/>
            <w:vAlign w:val="bottom"/>
            <w:tcBorders>
              <w:top w:val="single" w:sz="8" w:color="auto"/>
              <w:bottom w:val="single" w:sz="8" w:color="0000EE"/>
            </w:tcBorders>
            <w:gridSpan w:val="18"/>
          </w:tcPr>
          <w:p>
            <w:pPr>
              <w:spacing w:after="0" w:line="148" w:lineRule="exact"/>
              <w:rPr>
                <w:rFonts w:ascii="Times New Roman" w:cs="Times New Roman" w:eastAsia="Times New Roman" w:hAnsi="Times New Roman"/>
                <w:sz w:val="16"/>
                <w:szCs w:val="16"/>
                <w:color w:val="0000EE"/>
                <w:w w:val="97"/>
              </w:rPr>
            </w:pPr>
            <w:hyperlink r:id="rId282">
              <w:r>
                <w:rPr>
                  <w:rFonts w:ascii="Times New Roman" w:cs="Times New Roman" w:eastAsia="Times New Roman" w:hAnsi="Times New Roman"/>
                  <w:sz w:val="16"/>
                  <w:szCs w:val="16"/>
                  <w:color w:val="0000EE"/>
                  <w:w w:val="97"/>
                </w:rPr>
                <w:t>Form of Executive Severance Class D Profits Interest Unit Agreement (NOI Award) (incorporated by reference to</w:t>
              </w:r>
            </w:hyperlink>
          </w:p>
        </w:tc>
        <w:tc>
          <w:tcPr>
            <w:tcW w:w="320" w:type="dxa"/>
            <w:vAlign w:val="bottom"/>
            <w:tcBorders>
              <w:top w:val="single" w:sz="8" w:color="auto"/>
            </w:tcBorders>
            <w:gridSpan w:val="14"/>
          </w:tcPr>
          <w:p>
            <w:pPr>
              <w:spacing w:after="0"/>
              <w:rPr>
                <w:sz w:val="12"/>
                <w:szCs w:val="12"/>
                <w:color w:val="auto"/>
              </w:rPr>
            </w:pPr>
          </w:p>
        </w:tc>
        <w:tc>
          <w:tcPr>
            <w:tcW w:w="20" w:type="dxa"/>
            <w:vAlign w:val="bottom"/>
          </w:tcPr>
          <w:p>
            <w:pPr>
              <w:spacing w:after="0"/>
              <w:rPr>
                <w:sz w:val="12"/>
                <w:szCs w:val="12"/>
                <w:color w:val="auto"/>
              </w:rPr>
            </w:pPr>
          </w:p>
        </w:tc>
      </w:tr>
      <w:tr>
        <w:trPr>
          <w:trHeight w:val="172"/>
        </w:trPr>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40" w:type="dxa"/>
            <w:vAlign w:val="bottom"/>
            <w:tcBorders>
              <w:bottom w:val="single" w:sz="8" w:color="0000EE"/>
            </w:tcBorders>
            <w:gridSpan w:val="23"/>
          </w:tcPr>
          <w:p>
            <w:pPr>
              <w:spacing w:after="0" w:line="172" w:lineRule="exact"/>
              <w:rPr>
                <w:rFonts w:ascii="Times New Roman" w:cs="Times New Roman" w:eastAsia="Times New Roman" w:hAnsi="Times New Roman"/>
                <w:sz w:val="16"/>
                <w:szCs w:val="16"/>
                <w:color w:val="0000EE"/>
                <w:w w:val="97"/>
              </w:rPr>
            </w:pPr>
            <w:hyperlink r:id="rId282">
              <w:r>
                <w:rPr>
                  <w:rFonts w:ascii="Times New Roman" w:cs="Times New Roman" w:eastAsia="Times New Roman" w:hAnsi="Times New Roman"/>
                  <w:sz w:val="16"/>
                  <w:szCs w:val="16"/>
                  <w:color w:val="0000EE"/>
                  <w:w w:val="97"/>
                </w:rPr>
                <w:t>Exhibit 10.5 to the Combined Quarterly Report on Form 10-Q of Digital Realty Trust, Inc. and Digital Realty Trust,</w:t>
              </w:r>
            </w:hyperlink>
          </w:p>
        </w:tc>
        <w:tc>
          <w:tcPr>
            <w:tcW w:w="240" w:type="dxa"/>
            <w:vAlign w:val="bottom"/>
            <w:gridSpan w:val="10"/>
          </w:tcPr>
          <w:p>
            <w:pPr>
              <w:spacing w:after="0"/>
              <w:rPr>
                <w:sz w:val="14"/>
                <w:szCs w:val="14"/>
                <w:color w:val="auto"/>
              </w:rPr>
            </w:pPr>
          </w:p>
        </w:tc>
      </w:tr>
      <w:tr>
        <w:trPr>
          <w:trHeight w:val="172"/>
        </w:trPr>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80" w:type="dxa"/>
            <w:vAlign w:val="bottom"/>
            <w:gridSpan w:val="33"/>
          </w:tcPr>
          <w:p>
            <w:pPr>
              <w:spacing w:after="0" w:line="172" w:lineRule="exact"/>
              <w:rPr>
                <w:rFonts w:ascii="Times New Roman" w:cs="Times New Roman" w:eastAsia="Times New Roman" w:hAnsi="Times New Roman"/>
                <w:sz w:val="16"/>
                <w:szCs w:val="16"/>
                <w:color w:val="0000EE"/>
              </w:rPr>
            </w:pPr>
            <w:hyperlink r:id="rId282">
              <w:r>
                <w:rPr>
                  <w:rFonts w:ascii="Times New Roman" w:cs="Times New Roman" w:eastAsia="Times New Roman" w:hAnsi="Times New Roman"/>
                  <w:sz w:val="16"/>
                  <w:szCs w:val="16"/>
                  <w:color w:val="0000EE"/>
                </w:rPr>
                <w:t>L.P. (File Nos. 001-32336 and 000-54023) filed on May 4, 2023).</w:t>
              </w:r>
            </w:hyperlink>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52"/>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10.55†</w:t>
            </w:r>
          </w:p>
        </w:tc>
        <w:tc>
          <w:tcPr>
            <w:tcW w:w="260" w:type="dxa"/>
            <w:vAlign w:val="bottom"/>
          </w:tcPr>
          <w:p>
            <w:pPr>
              <w:spacing w:after="0"/>
              <w:rPr>
                <w:sz w:val="24"/>
                <w:szCs w:val="24"/>
                <w:color w:val="auto"/>
              </w:rPr>
            </w:pPr>
          </w:p>
        </w:tc>
        <w:tc>
          <w:tcPr>
            <w:tcW w:w="7440" w:type="dxa"/>
            <w:vAlign w:val="bottom"/>
            <w:tcBorders>
              <w:bottom w:val="single" w:sz="8" w:color="0000EE"/>
            </w:tcBorders>
            <w:gridSpan w:val="31"/>
          </w:tcPr>
          <w:p>
            <w:pPr>
              <w:spacing w:after="0"/>
              <w:rPr>
                <w:rFonts w:ascii="Times New Roman" w:cs="Times New Roman" w:eastAsia="Times New Roman" w:hAnsi="Times New Roman"/>
                <w:sz w:val="16"/>
                <w:szCs w:val="16"/>
                <w:color w:val="0000EE"/>
                <w:w w:val="97"/>
              </w:rPr>
            </w:pPr>
            <w:hyperlink r:id="rId283">
              <w:r>
                <w:rPr>
                  <w:rFonts w:ascii="Times New Roman" w:cs="Times New Roman" w:eastAsia="Times New Roman" w:hAnsi="Times New Roman"/>
                  <w:sz w:val="16"/>
                  <w:szCs w:val="16"/>
                  <w:color w:val="0000EE"/>
                  <w:w w:val="97"/>
                </w:rPr>
                <w:t>Form of Performance-Based Restricted Stock Unit Agreement (NOI Award) (incorporated by reference to Exhibit 10.6</w:t>
              </w:r>
            </w:hyperlink>
          </w:p>
        </w:tc>
        <w:tc>
          <w:tcPr>
            <w:tcW w:w="40" w:type="dxa"/>
            <w:vAlign w:val="bottom"/>
            <w:gridSpan w:val="2"/>
          </w:tcPr>
          <w:p>
            <w:pPr>
              <w:spacing w:after="0"/>
              <w:rPr>
                <w:sz w:val="24"/>
                <w:szCs w:val="24"/>
                <w:color w:val="auto"/>
              </w:rPr>
            </w:pPr>
          </w:p>
        </w:tc>
      </w:tr>
      <w:tr>
        <w:trPr>
          <w:trHeight w:val="172"/>
        </w:trPr>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80" w:type="dxa"/>
            <w:vAlign w:val="bottom"/>
            <w:gridSpan w:val="33"/>
          </w:tcPr>
          <w:p>
            <w:pPr>
              <w:spacing w:after="0" w:line="172" w:lineRule="exact"/>
              <w:rPr>
                <w:rFonts w:ascii="Times New Roman" w:cs="Times New Roman" w:eastAsia="Times New Roman" w:hAnsi="Times New Roman"/>
                <w:sz w:val="16"/>
                <w:szCs w:val="16"/>
                <w:color w:val="0000EE"/>
                <w:w w:val="98"/>
              </w:rPr>
            </w:pPr>
            <w:hyperlink r:id="rId283">
              <w:r>
                <w:rPr>
                  <w:rFonts w:ascii="Times New Roman" w:cs="Times New Roman" w:eastAsia="Times New Roman" w:hAnsi="Times New Roman"/>
                  <w:sz w:val="16"/>
                  <w:szCs w:val="16"/>
                  <w:color w:val="0000EE"/>
                  <w:w w:val="98"/>
                </w:rPr>
                <w:t>to the Combined Quarterly Report on Form 10-Q of Digital Realty Trust, Inc. and Digital Realty Trust, L.P. (File Nos.</w:t>
              </w:r>
            </w:hyperlink>
          </w:p>
        </w:tc>
      </w:tr>
      <w:tr>
        <w:trPr>
          <w:trHeight w:val="172"/>
        </w:trPr>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380" w:type="dxa"/>
            <w:vAlign w:val="bottom"/>
            <w:tcBorders>
              <w:top w:val="single" w:sz="8" w:color="0000EE"/>
            </w:tcBorders>
            <w:gridSpan w:val="28"/>
          </w:tcPr>
          <w:p>
            <w:pPr>
              <w:spacing w:after="0" w:line="172" w:lineRule="exact"/>
              <w:rPr>
                <w:rFonts w:ascii="Times New Roman" w:cs="Times New Roman" w:eastAsia="Times New Roman" w:hAnsi="Times New Roman"/>
                <w:sz w:val="16"/>
                <w:szCs w:val="16"/>
                <w:color w:val="0000EE"/>
              </w:rPr>
            </w:pPr>
            <w:hyperlink r:id="rId283">
              <w:r>
                <w:rPr>
                  <w:rFonts w:ascii="Times New Roman" w:cs="Times New Roman" w:eastAsia="Times New Roman" w:hAnsi="Times New Roman"/>
                  <w:sz w:val="16"/>
                  <w:szCs w:val="16"/>
                  <w:color w:val="0000EE"/>
                </w:rPr>
                <w:t>001-32336 and 000-54023) filed on May 4, 2023).</w:t>
              </w:r>
            </w:hyperlink>
          </w:p>
        </w:tc>
        <w:tc>
          <w:tcPr>
            <w:tcW w:w="100" w:type="dxa"/>
            <w:vAlign w:val="bottom"/>
            <w:gridSpan w:val="5"/>
          </w:tcPr>
          <w:p>
            <w:pPr>
              <w:spacing w:after="0"/>
              <w:rPr>
                <w:sz w:val="14"/>
                <w:szCs w:val="14"/>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52"/>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10.56†</w:t>
            </w:r>
          </w:p>
        </w:tc>
        <w:tc>
          <w:tcPr>
            <w:tcW w:w="260" w:type="dxa"/>
            <w:vAlign w:val="bottom"/>
          </w:tcPr>
          <w:p>
            <w:pPr>
              <w:spacing w:after="0"/>
              <w:rPr>
                <w:sz w:val="24"/>
                <w:szCs w:val="24"/>
                <w:color w:val="auto"/>
              </w:rPr>
            </w:pPr>
          </w:p>
        </w:tc>
        <w:tc>
          <w:tcPr>
            <w:tcW w:w="7480" w:type="dxa"/>
            <w:vAlign w:val="bottom"/>
            <w:gridSpan w:val="33"/>
          </w:tcPr>
          <w:p>
            <w:pPr>
              <w:spacing w:after="0"/>
              <w:rPr>
                <w:rFonts w:ascii="Times New Roman" w:cs="Times New Roman" w:eastAsia="Times New Roman" w:hAnsi="Times New Roman"/>
                <w:sz w:val="16"/>
                <w:szCs w:val="16"/>
                <w:color w:val="0000EE"/>
              </w:rPr>
            </w:pPr>
            <w:hyperlink r:id="rId284">
              <w:r>
                <w:rPr>
                  <w:rFonts w:ascii="Times New Roman" w:cs="Times New Roman" w:eastAsia="Times New Roman" w:hAnsi="Times New Roman"/>
                  <w:sz w:val="16"/>
                  <w:szCs w:val="16"/>
                  <w:color w:val="0000EE"/>
                </w:rPr>
                <w:t>Form of Executive Severance Performance-Based Restricted Stock Unit Agreement (NOI Award) (incorporated by</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0" w:type="dxa"/>
            <w:vAlign w:val="bottom"/>
            <w:tcBorders>
              <w:top w:val="single" w:sz="8" w:color="0000EE"/>
            </w:tcBorders>
            <w:gridSpan w:val="21"/>
          </w:tcPr>
          <w:p>
            <w:pPr>
              <w:spacing w:after="0" w:line="160" w:lineRule="exact"/>
              <w:rPr>
                <w:rFonts w:ascii="Times New Roman" w:cs="Times New Roman" w:eastAsia="Times New Roman" w:hAnsi="Times New Roman"/>
                <w:sz w:val="16"/>
                <w:szCs w:val="16"/>
                <w:color w:val="0000EE"/>
                <w:w w:val="97"/>
              </w:rPr>
            </w:pPr>
            <w:hyperlink r:id="rId284">
              <w:r>
                <w:rPr>
                  <w:rFonts w:ascii="Times New Roman" w:cs="Times New Roman" w:eastAsia="Times New Roman" w:hAnsi="Times New Roman"/>
                  <w:sz w:val="16"/>
                  <w:szCs w:val="16"/>
                  <w:color w:val="0000EE"/>
                  <w:w w:val="97"/>
                </w:rPr>
                <w:t>reference to Exhibit 10.7 to the Combined Quarterly Report on Form 10-Q of Digital Realty Trust, Inc. and Digital</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960" w:type="dxa"/>
            <w:vAlign w:val="bottom"/>
            <w:tcBorders>
              <w:top w:val="single" w:sz="8" w:color="0000EE"/>
              <w:bottom w:val="single" w:sz="8" w:color="0000EE"/>
            </w:tcBorders>
            <w:gridSpan w:val="11"/>
          </w:tcPr>
          <w:p>
            <w:pPr>
              <w:spacing w:after="0" w:line="160" w:lineRule="exact"/>
              <w:rPr>
                <w:rFonts w:ascii="Times New Roman" w:cs="Times New Roman" w:eastAsia="Times New Roman" w:hAnsi="Times New Roman"/>
                <w:sz w:val="16"/>
                <w:szCs w:val="16"/>
                <w:color w:val="0000EE"/>
                <w:w w:val="96"/>
              </w:rPr>
            </w:pPr>
            <w:hyperlink r:id="rId284">
              <w:r>
                <w:rPr>
                  <w:rFonts w:ascii="Times New Roman" w:cs="Times New Roman" w:eastAsia="Times New Roman" w:hAnsi="Times New Roman"/>
                  <w:sz w:val="16"/>
                  <w:szCs w:val="16"/>
                  <w:color w:val="0000EE"/>
                  <w:w w:val="96"/>
                </w:rPr>
                <w:t>Realty Trust, L.P. (File Nos. 001-32336 and 000-54023) filed on May 4, 2023).</w:t>
              </w:r>
            </w:hyperlink>
          </w:p>
        </w:tc>
        <w:tc>
          <w:tcPr>
            <w:tcW w:w="2200" w:type="dxa"/>
            <w:vAlign w:val="bottom"/>
            <w:tcBorders>
              <w:top w:val="single" w:sz="8" w:color="0000EE"/>
            </w:tcBorders>
            <w:gridSpan w:val="8"/>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10.57†</w:t>
            </w:r>
          </w:p>
        </w:tc>
        <w:tc>
          <w:tcPr>
            <w:tcW w:w="260" w:type="dxa"/>
            <w:vAlign w:val="bottom"/>
          </w:tcPr>
          <w:p>
            <w:pPr>
              <w:spacing w:after="0"/>
              <w:rPr>
                <w:sz w:val="24"/>
                <w:szCs w:val="24"/>
                <w:color w:val="auto"/>
              </w:rPr>
            </w:pPr>
          </w:p>
        </w:tc>
        <w:tc>
          <w:tcPr>
            <w:tcW w:w="7480" w:type="dxa"/>
            <w:vAlign w:val="bottom"/>
            <w:gridSpan w:val="33"/>
          </w:tcPr>
          <w:p>
            <w:pPr>
              <w:spacing w:after="0"/>
              <w:rPr>
                <w:rFonts w:ascii="Times New Roman" w:cs="Times New Roman" w:eastAsia="Times New Roman" w:hAnsi="Times New Roman"/>
                <w:sz w:val="16"/>
                <w:szCs w:val="16"/>
                <w:color w:val="0000EE"/>
                <w:w w:val="99"/>
              </w:rPr>
            </w:pPr>
            <w:hyperlink r:id="rId285">
              <w:r>
                <w:rPr>
                  <w:rFonts w:ascii="Times New Roman" w:cs="Times New Roman" w:eastAsia="Times New Roman" w:hAnsi="Times New Roman"/>
                  <w:sz w:val="16"/>
                  <w:szCs w:val="16"/>
                  <w:color w:val="0000EE"/>
                  <w:w w:val="99"/>
                </w:rPr>
                <w:t>Form of Executive Performance-Based Class D Profits Interest Unit Agreement. (incorporated by reference to exhibit</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340" w:type="dxa"/>
            <w:vAlign w:val="bottom"/>
            <w:tcBorders>
              <w:top w:val="single" w:sz="8" w:color="0000EE"/>
            </w:tcBorders>
            <w:gridSpan w:val="27"/>
          </w:tcPr>
          <w:p>
            <w:pPr>
              <w:spacing w:after="0" w:line="160" w:lineRule="exact"/>
              <w:rPr>
                <w:rFonts w:ascii="Times New Roman" w:cs="Times New Roman" w:eastAsia="Times New Roman" w:hAnsi="Times New Roman"/>
                <w:sz w:val="16"/>
                <w:szCs w:val="16"/>
                <w:color w:val="0000EE"/>
                <w:w w:val="97"/>
              </w:rPr>
            </w:pPr>
            <w:hyperlink r:id="rId285">
              <w:r>
                <w:rPr>
                  <w:rFonts w:ascii="Times New Roman" w:cs="Times New Roman" w:eastAsia="Times New Roman" w:hAnsi="Times New Roman"/>
                  <w:sz w:val="16"/>
                  <w:szCs w:val="16"/>
                  <w:color w:val="0000EE"/>
                  <w:w w:val="97"/>
                </w:rPr>
                <w:t>10.</w:t>
              </w:r>
              <w:r>
                <w:rPr>
                  <w:rFonts w:ascii="Times New Roman" w:cs="Times New Roman" w:eastAsia="Times New Roman" w:hAnsi="Times New Roman"/>
                  <w:sz w:val="16"/>
                  <w:szCs w:val="16"/>
                  <w:u w:val="single" w:color="auto"/>
                  <w:color w:val="0000EE"/>
                  <w:w w:val="97"/>
                </w:rPr>
                <w:t>58</w:t>
              </w:r>
              <w:r>
                <w:rPr>
                  <w:rFonts w:ascii="Times New Roman" w:cs="Times New Roman" w:eastAsia="Times New Roman" w:hAnsi="Times New Roman"/>
                  <w:sz w:val="16"/>
                  <w:szCs w:val="16"/>
                  <w:color w:val="0000EE"/>
                  <w:w w:val="97"/>
                </w:rPr>
                <w:t xml:space="preserve"> to the Combined Annual Report on Form 10 K of Digital Realty Trust, Inc. and Digital Realty Trust, L.P. (File</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0" w:type="dxa"/>
            <w:vAlign w:val="bottom"/>
            <w:tcBorders>
              <w:top w:val="single" w:sz="8" w:color="0000EE"/>
              <w:bottom w:val="single" w:sz="8" w:color="0000EE"/>
            </w:tcBorders>
            <w:gridSpan w:val="9"/>
          </w:tcPr>
          <w:p>
            <w:pPr>
              <w:spacing w:after="0" w:line="160" w:lineRule="exact"/>
              <w:rPr>
                <w:rFonts w:ascii="Times New Roman" w:cs="Times New Roman" w:eastAsia="Times New Roman" w:hAnsi="Times New Roman"/>
                <w:sz w:val="16"/>
                <w:szCs w:val="16"/>
                <w:color w:val="0000EE"/>
                <w:w w:val="96"/>
              </w:rPr>
            </w:pPr>
            <w:hyperlink r:id="rId285">
              <w:r>
                <w:rPr>
                  <w:rFonts w:ascii="Times New Roman" w:cs="Times New Roman" w:eastAsia="Times New Roman" w:hAnsi="Times New Roman"/>
                  <w:sz w:val="16"/>
                  <w:szCs w:val="16"/>
                  <w:color w:val="0000EE"/>
                  <w:w w:val="96"/>
                </w:rPr>
                <w:t>Nos. 001 32336 and 000 54023) filed on February 23, 2024).</w:t>
              </w:r>
            </w:hyperlink>
          </w:p>
        </w:tc>
        <w:tc>
          <w:tcPr>
            <w:tcW w:w="3500" w:type="dxa"/>
            <w:vAlign w:val="bottom"/>
            <w:tcBorders>
              <w:top w:val="single" w:sz="8" w:color="0000EE"/>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10.58†*</w:t>
            </w:r>
          </w:p>
        </w:tc>
        <w:tc>
          <w:tcPr>
            <w:tcW w:w="260" w:type="dxa"/>
            <w:vAlign w:val="bottom"/>
          </w:tcPr>
          <w:p>
            <w:pPr>
              <w:spacing w:after="0"/>
              <w:rPr>
                <w:sz w:val="24"/>
                <w:szCs w:val="24"/>
                <w:color w:val="auto"/>
              </w:rPr>
            </w:pPr>
          </w:p>
        </w:tc>
        <w:tc>
          <w:tcPr>
            <w:tcW w:w="7480" w:type="dxa"/>
            <w:vAlign w:val="bottom"/>
            <w:gridSpan w:val="33"/>
          </w:tcPr>
          <w:p>
            <w:pPr>
              <w:spacing w:after="0"/>
              <w:rPr>
                <w:rFonts w:ascii="Times New Roman" w:cs="Times New Roman" w:eastAsia="Times New Roman" w:hAnsi="Times New Roman"/>
                <w:sz w:val="16"/>
                <w:szCs w:val="16"/>
                <w:color w:val="0000EE"/>
              </w:rPr>
            </w:pPr>
            <w:hyperlink r:id="rId286">
              <w:r>
                <w:rPr>
                  <w:rFonts w:ascii="Times New Roman" w:cs="Times New Roman" w:eastAsia="Times New Roman" w:hAnsi="Times New Roman"/>
                  <w:sz w:val="16"/>
                  <w:szCs w:val="16"/>
                  <w:color w:val="0000EE"/>
                </w:rPr>
                <w:t>Form of Executive Performance-Based Class D Profits Interest Unit Agreement (NOI Award) (incorporated by</w:t>
              </w:r>
            </w:hyperlink>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120" w:type="dxa"/>
            <w:vAlign w:val="bottom"/>
            <w:gridSpan w:val="4"/>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80" w:type="dxa"/>
            <w:vAlign w:val="bottom"/>
            <w:gridSpan w:val="33"/>
          </w:tcPr>
          <w:p>
            <w:pPr>
              <w:spacing w:after="0" w:line="160" w:lineRule="exact"/>
              <w:rPr>
                <w:rFonts w:ascii="Times New Roman" w:cs="Times New Roman" w:eastAsia="Times New Roman" w:hAnsi="Times New Roman"/>
                <w:sz w:val="16"/>
                <w:szCs w:val="16"/>
                <w:color w:val="0000EE"/>
              </w:rPr>
            </w:pPr>
            <w:hyperlink r:id="rId286">
              <w:r>
                <w:rPr>
                  <w:rFonts w:ascii="Times New Roman" w:cs="Times New Roman" w:eastAsia="Times New Roman" w:hAnsi="Times New Roman"/>
                  <w:sz w:val="16"/>
                  <w:szCs w:val="16"/>
                  <w:color w:val="0000EE"/>
                </w:rPr>
                <w:t>reference to exhibit 10.59 to the Combined Annual Report on Form 10-K of Digital Realty Trust, Inc. and Digital</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320" w:type="dxa"/>
            <w:vAlign w:val="bottom"/>
            <w:tcBorders>
              <w:top w:val="single" w:sz="8" w:color="0000EE"/>
              <w:bottom w:val="single" w:sz="8" w:color="0000EE"/>
            </w:tcBorders>
            <w:gridSpan w:val="12"/>
          </w:tcPr>
          <w:p>
            <w:pPr>
              <w:spacing w:after="0" w:line="160" w:lineRule="exact"/>
              <w:rPr>
                <w:rFonts w:ascii="Times New Roman" w:cs="Times New Roman" w:eastAsia="Times New Roman" w:hAnsi="Times New Roman"/>
                <w:sz w:val="16"/>
                <w:szCs w:val="16"/>
                <w:color w:val="0000EE"/>
                <w:w w:val="97"/>
              </w:rPr>
            </w:pPr>
            <w:hyperlink r:id="rId286">
              <w:r>
                <w:rPr>
                  <w:rFonts w:ascii="Times New Roman" w:cs="Times New Roman" w:eastAsia="Times New Roman" w:hAnsi="Times New Roman"/>
                  <w:sz w:val="16"/>
                  <w:szCs w:val="16"/>
                  <w:color w:val="0000EE"/>
                  <w:w w:val="97"/>
                </w:rPr>
                <w:t>Realty Trust, L.P. (File Nos. 001-32336 and 000-54023) filed on February 23, 2024).</w:t>
              </w:r>
            </w:hyperlink>
          </w:p>
        </w:tc>
        <w:tc>
          <w:tcPr>
            <w:tcW w:w="1760" w:type="dxa"/>
            <w:vAlign w:val="bottom"/>
            <w:tcBorders>
              <w:top w:val="single" w:sz="8" w:color="0000EE"/>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10.59†</w:t>
            </w:r>
          </w:p>
        </w:tc>
        <w:tc>
          <w:tcPr>
            <w:tcW w:w="260" w:type="dxa"/>
            <w:vAlign w:val="bottom"/>
          </w:tcPr>
          <w:p>
            <w:pPr>
              <w:spacing w:after="0"/>
              <w:rPr>
                <w:sz w:val="24"/>
                <w:szCs w:val="24"/>
                <w:color w:val="auto"/>
              </w:rPr>
            </w:pPr>
          </w:p>
        </w:tc>
        <w:tc>
          <w:tcPr>
            <w:tcW w:w="7480" w:type="dxa"/>
            <w:vAlign w:val="bottom"/>
            <w:gridSpan w:val="33"/>
          </w:tcPr>
          <w:p>
            <w:pPr>
              <w:spacing w:after="0"/>
              <w:rPr>
                <w:rFonts w:ascii="Times New Roman" w:cs="Times New Roman" w:eastAsia="Times New Roman" w:hAnsi="Times New Roman"/>
                <w:sz w:val="16"/>
                <w:szCs w:val="16"/>
                <w:color w:val="0000EE"/>
              </w:rPr>
            </w:pPr>
            <w:hyperlink r:id="rId287">
              <w:r>
                <w:rPr>
                  <w:rFonts w:ascii="Times New Roman" w:cs="Times New Roman" w:eastAsia="Times New Roman" w:hAnsi="Times New Roman"/>
                  <w:sz w:val="16"/>
                  <w:szCs w:val="16"/>
                  <w:color w:val="0000EE"/>
                </w:rPr>
                <w:t>Form of Executive Time-Based Profits Interest Unit Agreement (incorporated by reference to exhibit 10.60 to the</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100" w:type="dxa"/>
            <w:vAlign w:val="bottom"/>
            <w:tcBorders>
              <w:top w:val="single" w:sz="8" w:color="0000EE"/>
            </w:tcBorders>
            <w:gridSpan w:val="16"/>
          </w:tcPr>
          <w:p>
            <w:pPr>
              <w:spacing w:after="0" w:line="160" w:lineRule="exact"/>
              <w:rPr>
                <w:rFonts w:ascii="Times New Roman" w:cs="Times New Roman" w:eastAsia="Times New Roman" w:hAnsi="Times New Roman"/>
                <w:sz w:val="16"/>
                <w:szCs w:val="16"/>
                <w:color w:val="0000EE"/>
                <w:w w:val="96"/>
              </w:rPr>
            </w:pPr>
            <w:hyperlink r:id="rId287">
              <w:r>
                <w:rPr>
                  <w:rFonts w:ascii="Times New Roman" w:cs="Times New Roman" w:eastAsia="Times New Roman" w:hAnsi="Times New Roman"/>
                  <w:sz w:val="16"/>
                  <w:szCs w:val="16"/>
                  <w:color w:val="0000EE"/>
                  <w:w w:val="96"/>
                </w:rPr>
                <w:t>Combined Annual Report on Form 10-K of Digital Realty Trust, Inc. and Digital Realty Trust, L.P. (File Nos. 001</w:t>
              </w:r>
            </w:hyperlink>
          </w:p>
        </w:tc>
        <w:tc>
          <w:tcPr>
            <w:tcW w:w="120" w:type="dxa"/>
            <w:vAlign w:val="bottom"/>
            <w:gridSpan w:val="6"/>
          </w:tcPr>
          <w:p>
            <w:pPr>
              <w:jc w:val="right"/>
              <w:ind w:right="40"/>
              <w:spacing w:after="0" w:line="160" w:lineRule="exact"/>
              <w:rPr>
                <w:rFonts w:ascii="Times New Roman" w:cs="Times New Roman" w:eastAsia="Times New Roman" w:hAnsi="Times New Roman"/>
                <w:sz w:val="16"/>
                <w:szCs w:val="16"/>
                <w:color w:val="0000EE"/>
              </w:rPr>
            </w:pPr>
            <w:hyperlink r:id="rId287">
              <w:r>
                <w:rPr>
                  <w:rFonts w:ascii="Times New Roman" w:cs="Times New Roman" w:eastAsia="Times New Roman" w:hAnsi="Times New Roman"/>
                  <w:sz w:val="16"/>
                  <w:szCs w:val="16"/>
                  <w:color w:val="0000EE"/>
                </w:rPr>
                <w:t>-</w:t>
              </w:r>
            </w:hyperlink>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0" w:type="dxa"/>
            <w:vAlign w:val="bottom"/>
            <w:tcBorders>
              <w:top w:val="single" w:sz="8" w:color="0000EE"/>
            </w:tcBorders>
            <w:gridSpan w:val="21"/>
          </w:tcPr>
          <w:p>
            <w:pPr>
              <w:spacing w:after="0" w:line="160" w:lineRule="exact"/>
              <w:rPr>
                <w:rFonts w:ascii="Times New Roman" w:cs="Times New Roman" w:eastAsia="Times New Roman" w:hAnsi="Times New Roman"/>
                <w:sz w:val="16"/>
                <w:szCs w:val="16"/>
                <w:color w:val="0000EE"/>
              </w:rPr>
            </w:pPr>
            <w:hyperlink r:id="rId287">
              <w:r>
                <w:rPr>
                  <w:rFonts w:ascii="Times New Roman" w:cs="Times New Roman" w:eastAsia="Times New Roman" w:hAnsi="Times New Roman"/>
                  <w:sz w:val="16"/>
                  <w:szCs w:val="16"/>
                  <w:color w:val="0000EE"/>
                </w:rPr>
                <w:t>32336 and 000-54023) filed on February 23, 2024).</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78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10.60†</w:t>
            </w:r>
          </w:p>
        </w:tc>
        <w:tc>
          <w:tcPr>
            <w:tcW w:w="260" w:type="dxa"/>
            <w:vAlign w:val="bottom"/>
          </w:tcPr>
          <w:p>
            <w:pPr>
              <w:spacing w:after="0"/>
              <w:rPr>
                <w:sz w:val="24"/>
                <w:szCs w:val="24"/>
                <w:color w:val="auto"/>
              </w:rPr>
            </w:pPr>
          </w:p>
        </w:tc>
        <w:tc>
          <w:tcPr>
            <w:tcW w:w="7480" w:type="dxa"/>
            <w:vAlign w:val="bottom"/>
            <w:gridSpan w:val="33"/>
          </w:tcPr>
          <w:p>
            <w:pPr>
              <w:spacing w:after="0"/>
              <w:rPr>
                <w:rFonts w:ascii="Times New Roman" w:cs="Times New Roman" w:eastAsia="Times New Roman" w:hAnsi="Times New Roman"/>
                <w:sz w:val="16"/>
                <w:szCs w:val="16"/>
                <w:color w:val="0000EE"/>
                <w:w w:val="98"/>
              </w:rPr>
            </w:pPr>
            <w:hyperlink r:id="rId288">
              <w:r>
                <w:rPr>
                  <w:rFonts w:ascii="Times New Roman" w:cs="Times New Roman" w:eastAsia="Times New Roman" w:hAnsi="Times New Roman"/>
                  <w:sz w:val="16"/>
                  <w:szCs w:val="16"/>
                  <w:color w:val="0000EE"/>
                  <w:w w:val="98"/>
                </w:rPr>
                <w:t>Form of Amended Management Equity Election Program (incorporated by reference to Exhibit 10.32 to the Combined</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0" w:type="dxa"/>
            <w:vAlign w:val="bottom"/>
            <w:tcBorders>
              <w:top w:val="single" w:sz="8" w:color="0000EE"/>
              <w:bottom w:val="single" w:sz="8" w:color="0000EE"/>
            </w:tcBorders>
            <w:gridSpan w:val="29"/>
          </w:tcPr>
          <w:p>
            <w:pPr>
              <w:spacing w:after="0" w:line="160" w:lineRule="exact"/>
              <w:rPr>
                <w:rFonts w:ascii="Times New Roman" w:cs="Times New Roman" w:eastAsia="Times New Roman" w:hAnsi="Times New Roman"/>
                <w:sz w:val="16"/>
                <w:szCs w:val="16"/>
                <w:color w:val="0000EE"/>
                <w:w w:val="96"/>
              </w:rPr>
            </w:pPr>
            <w:hyperlink r:id="rId288">
              <w:r>
                <w:rPr>
                  <w:rFonts w:ascii="Times New Roman" w:cs="Times New Roman" w:eastAsia="Times New Roman" w:hAnsi="Times New Roman"/>
                  <w:sz w:val="16"/>
                  <w:szCs w:val="16"/>
                  <w:color w:val="0000EE"/>
                  <w:w w:val="96"/>
                </w:rPr>
                <w:t>Quarterly Report on Form 10-Q of Digital Realty Trust, Inc. and Digital Realty Trust, L.P. filed on November 9, 2023)</w:t>
              </w:r>
            </w:hyperlink>
          </w:p>
        </w:tc>
        <w:tc>
          <w:tcPr>
            <w:tcW w:w="60" w:type="dxa"/>
            <w:vAlign w:val="bottom"/>
            <w:tcBorders>
              <w:bottom w:val="single" w:sz="8" w:color="0000EE"/>
            </w:tcBorders>
            <w:gridSpan w:val="3"/>
          </w:tcPr>
          <w:p>
            <w:pPr>
              <w:jc w:val="right"/>
              <w:spacing w:after="0" w:line="160" w:lineRule="exact"/>
              <w:rPr>
                <w:rFonts w:ascii="Times New Roman" w:cs="Times New Roman" w:eastAsia="Times New Roman" w:hAnsi="Times New Roman"/>
                <w:sz w:val="16"/>
                <w:szCs w:val="16"/>
                <w:color w:val="0000EE"/>
                <w:w w:val="98"/>
              </w:rPr>
            </w:pPr>
            <w:hyperlink r:id="rId288">
              <w:r>
                <w:rPr>
                  <w:rFonts w:ascii="Times New Roman" w:cs="Times New Roman" w:eastAsia="Times New Roman" w:hAnsi="Times New Roman"/>
                  <w:sz w:val="16"/>
                  <w:szCs w:val="16"/>
                  <w:color w:val="0000EE"/>
                  <w:w w:val="98"/>
                </w:rPr>
                <w:t>.</w:t>
              </w:r>
            </w:hyperlink>
          </w:p>
        </w:tc>
        <w:tc>
          <w:tcPr>
            <w:tcW w:w="20" w:type="dxa"/>
            <w:vAlign w:val="bottom"/>
          </w:tcPr>
          <w:p>
            <w:pPr>
              <w:spacing w:after="0"/>
              <w:rPr>
                <w:sz w:val="13"/>
                <w:szCs w:val="13"/>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10.61†</w:t>
            </w:r>
          </w:p>
        </w:tc>
        <w:tc>
          <w:tcPr>
            <w:tcW w:w="260" w:type="dxa"/>
            <w:vAlign w:val="bottom"/>
          </w:tcPr>
          <w:p>
            <w:pPr>
              <w:spacing w:after="0"/>
              <w:rPr>
                <w:sz w:val="24"/>
                <w:szCs w:val="24"/>
                <w:color w:val="auto"/>
              </w:rPr>
            </w:pPr>
          </w:p>
        </w:tc>
        <w:tc>
          <w:tcPr>
            <w:tcW w:w="6980" w:type="dxa"/>
            <w:vAlign w:val="bottom"/>
            <w:tcBorders>
              <w:bottom w:val="single" w:sz="8" w:color="0000EE"/>
            </w:tcBorders>
            <w:gridSpan w:val="14"/>
          </w:tcPr>
          <w:p>
            <w:pPr>
              <w:spacing w:after="0"/>
              <w:rPr>
                <w:rFonts w:ascii="Times New Roman" w:cs="Times New Roman" w:eastAsia="Times New Roman" w:hAnsi="Times New Roman"/>
                <w:sz w:val="16"/>
                <w:szCs w:val="16"/>
                <w:color w:val="0000EE"/>
                <w:w w:val="97"/>
              </w:rPr>
            </w:pPr>
            <w:hyperlink r:id="rId289">
              <w:r>
                <w:rPr>
                  <w:rFonts w:ascii="Times New Roman" w:cs="Times New Roman" w:eastAsia="Times New Roman" w:hAnsi="Times New Roman"/>
                  <w:sz w:val="16"/>
                  <w:szCs w:val="16"/>
                  <w:color w:val="0000EE"/>
                  <w:w w:val="97"/>
                </w:rPr>
                <w:t>Director Compensation Program (incorporated by reference to exhibit 10.62 to the Combined Annual Report on</w:t>
              </w:r>
            </w:hyperlink>
          </w:p>
        </w:tc>
        <w:tc>
          <w:tcPr>
            <w:tcW w:w="500" w:type="dxa"/>
            <w:vAlign w:val="bottom"/>
            <w:gridSpan w:val="19"/>
          </w:tcPr>
          <w:p>
            <w:pPr>
              <w:spacing w:after="0"/>
              <w:rPr>
                <w:sz w:val="24"/>
                <w:szCs w:val="24"/>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80" w:type="dxa"/>
            <w:vAlign w:val="bottom"/>
            <w:gridSpan w:val="33"/>
          </w:tcPr>
          <w:p>
            <w:pPr>
              <w:spacing w:after="0" w:line="160" w:lineRule="exact"/>
              <w:rPr>
                <w:rFonts w:ascii="Times New Roman" w:cs="Times New Roman" w:eastAsia="Times New Roman" w:hAnsi="Times New Roman"/>
                <w:sz w:val="16"/>
                <w:szCs w:val="16"/>
                <w:color w:val="0000EE"/>
                <w:w w:val="99"/>
              </w:rPr>
            </w:pPr>
            <w:hyperlink r:id="rId289">
              <w:r>
                <w:rPr>
                  <w:rFonts w:ascii="Times New Roman" w:cs="Times New Roman" w:eastAsia="Times New Roman" w:hAnsi="Times New Roman"/>
                  <w:sz w:val="16"/>
                  <w:szCs w:val="16"/>
                  <w:color w:val="0000EE"/>
                  <w:w w:val="99"/>
                </w:rPr>
                <w:t>Form 10-K of Digital Realty Trust, Inc. and Digital Realty Trust, L.P. (File Nos. 001-32336 and 000-54023) filed on</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80" w:type="dxa"/>
            <w:vAlign w:val="bottom"/>
            <w:tcBorders>
              <w:top w:val="single" w:sz="8" w:color="0000EE"/>
            </w:tcBorders>
            <w:gridSpan w:val="24"/>
          </w:tcPr>
          <w:p>
            <w:pPr>
              <w:spacing w:after="0" w:line="160" w:lineRule="exact"/>
              <w:rPr>
                <w:rFonts w:ascii="Times New Roman" w:cs="Times New Roman" w:eastAsia="Times New Roman" w:hAnsi="Times New Roman"/>
                <w:sz w:val="16"/>
                <w:szCs w:val="16"/>
                <w:color w:val="0000EE"/>
              </w:rPr>
            </w:pPr>
            <w:hyperlink r:id="rId289">
              <w:r>
                <w:rPr>
                  <w:rFonts w:ascii="Times New Roman" w:cs="Times New Roman" w:eastAsia="Times New Roman" w:hAnsi="Times New Roman"/>
                  <w:sz w:val="16"/>
                  <w:szCs w:val="16"/>
                  <w:color w:val="0000EE"/>
                </w:rPr>
                <w:t>February 23, 2024).</w:t>
              </w:r>
            </w:hyperlink>
          </w:p>
        </w:tc>
        <w:tc>
          <w:tcPr>
            <w:tcW w:w="40" w:type="dxa"/>
            <w:vAlign w:val="bottom"/>
            <w:gridSpan w:val="2"/>
          </w:tcPr>
          <w:p>
            <w:pPr>
              <w:spacing w:after="0"/>
              <w:rPr>
                <w:sz w:val="13"/>
                <w:szCs w:val="13"/>
                <w:color w:val="auto"/>
              </w:rPr>
            </w:pPr>
          </w:p>
        </w:tc>
        <w:tc>
          <w:tcPr>
            <w:tcW w:w="10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20" w:type="dxa"/>
            <w:vAlign w:val="bottom"/>
            <w:gridSpan w:val="11"/>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10.62†</w:t>
            </w:r>
          </w:p>
        </w:tc>
        <w:tc>
          <w:tcPr>
            <w:tcW w:w="260" w:type="dxa"/>
            <w:vAlign w:val="bottom"/>
          </w:tcPr>
          <w:p>
            <w:pPr>
              <w:spacing w:after="0"/>
              <w:rPr>
                <w:sz w:val="24"/>
                <w:szCs w:val="24"/>
                <w:color w:val="auto"/>
              </w:rPr>
            </w:pPr>
          </w:p>
        </w:tc>
        <w:tc>
          <w:tcPr>
            <w:tcW w:w="7240" w:type="dxa"/>
            <w:vAlign w:val="bottom"/>
            <w:tcBorders>
              <w:bottom w:val="single" w:sz="8" w:color="0000EE"/>
            </w:tcBorders>
            <w:gridSpan w:val="23"/>
          </w:tcPr>
          <w:p>
            <w:pPr>
              <w:spacing w:after="0"/>
              <w:rPr>
                <w:rFonts w:ascii="Times New Roman" w:cs="Times New Roman" w:eastAsia="Times New Roman" w:hAnsi="Times New Roman"/>
                <w:sz w:val="16"/>
                <w:szCs w:val="16"/>
                <w:color w:val="0000EE"/>
                <w:w w:val="97"/>
              </w:rPr>
            </w:pPr>
            <w:hyperlink r:id="rId290">
              <w:r>
                <w:rPr>
                  <w:rFonts w:ascii="Times New Roman" w:cs="Times New Roman" w:eastAsia="Times New Roman" w:hAnsi="Times New Roman"/>
                  <w:sz w:val="16"/>
                  <w:szCs w:val="16"/>
                  <w:color w:val="0000EE"/>
                  <w:w w:val="97"/>
                </w:rPr>
                <w:t>Amended and Restated Employment Agreement, dated as of August 10, 2023, by and between Digital Realty Trust,</w:t>
              </w:r>
            </w:hyperlink>
          </w:p>
        </w:tc>
        <w:tc>
          <w:tcPr>
            <w:tcW w:w="240" w:type="dxa"/>
            <w:vAlign w:val="bottom"/>
            <w:gridSpan w:val="10"/>
          </w:tcPr>
          <w:p>
            <w:pPr>
              <w:spacing w:after="0"/>
              <w:rPr>
                <w:sz w:val="24"/>
                <w:szCs w:val="24"/>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80" w:type="dxa"/>
            <w:vAlign w:val="bottom"/>
            <w:gridSpan w:val="33"/>
          </w:tcPr>
          <w:p>
            <w:pPr>
              <w:spacing w:after="0" w:line="160" w:lineRule="exact"/>
              <w:rPr>
                <w:rFonts w:ascii="Times New Roman" w:cs="Times New Roman" w:eastAsia="Times New Roman" w:hAnsi="Times New Roman"/>
                <w:sz w:val="16"/>
                <w:szCs w:val="16"/>
                <w:color w:val="0000EE"/>
                <w:w w:val="99"/>
              </w:rPr>
            </w:pPr>
            <w:hyperlink r:id="rId290">
              <w:r>
                <w:rPr>
                  <w:rFonts w:ascii="Times New Roman" w:cs="Times New Roman" w:eastAsia="Times New Roman" w:hAnsi="Times New Roman"/>
                  <w:sz w:val="16"/>
                  <w:szCs w:val="16"/>
                  <w:color w:val="0000EE"/>
                  <w:w w:val="99"/>
                </w:rPr>
                <w:t>Inc., DLR LLC, and Andrew P. Power (incorporated by reference to Exhibit 10.1 to the Combined Current Report on</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320" w:type="dxa"/>
            <w:vAlign w:val="bottom"/>
            <w:tcBorders>
              <w:top w:val="single" w:sz="8" w:color="0000EE"/>
            </w:tcBorders>
            <w:gridSpan w:val="26"/>
          </w:tcPr>
          <w:p>
            <w:pPr>
              <w:spacing w:after="0" w:line="160" w:lineRule="exact"/>
              <w:rPr>
                <w:rFonts w:ascii="Times New Roman" w:cs="Times New Roman" w:eastAsia="Times New Roman" w:hAnsi="Times New Roman"/>
                <w:sz w:val="16"/>
                <w:szCs w:val="16"/>
                <w:color w:val="0000EE"/>
                <w:w w:val="99"/>
              </w:rPr>
            </w:pPr>
            <w:hyperlink r:id="rId290">
              <w:r>
                <w:rPr>
                  <w:rFonts w:ascii="Times New Roman" w:cs="Times New Roman" w:eastAsia="Times New Roman" w:hAnsi="Times New Roman"/>
                  <w:sz w:val="16"/>
                  <w:szCs w:val="16"/>
                  <w:color w:val="0000EE"/>
                  <w:w w:val="99"/>
                </w:rPr>
                <w:t>Form 8-K of Digital Realty Trust, Inc. and Digital Realty Trust, L.P. (File Nos. 001 32336 and 000 54023) filed on</w:t>
              </w:r>
            </w:hyperlink>
          </w:p>
        </w:tc>
        <w:tc>
          <w:tcPr>
            <w:tcW w:w="10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Borders>
              <w:top w:val="single" w:sz="8" w:color="0000EE"/>
              <w:bottom w:val="single" w:sz="8" w:color="0000EE"/>
            </w:tcBorders>
          </w:tcPr>
          <w:p>
            <w:pPr>
              <w:spacing w:after="0" w:line="160" w:lineRule="exact"/>
              <w:rPr>
                <w:rFonts w:ascii="Times New Roman" w:cs="Times New Roman" w:eastAsia="Times New Roman" w:hAnsi="Times New Roman"/>
                <w:sz w:val="16"/>
                <w:szCs w:val="16"/>
                <w:color w:val="0000EE"/>
                <w:w w:val="95"/>
              </w:rPr>
            </w:pPr>
            <w:hyperlink r:id="rId290">
              <w:r>
                <w:rPr>
                  <w:rFonts w:ascii="Times New Roman" w:cs="Times New Roman" w:eastAsia="Times New Roman" w:hAnsi="Times New Roman"/>
                  <w:sz w:val="16"/>
                  <w:szCs w:val="16"/>
                  <w:color w:val="0000EE"/>
                  <w:w w:val="95"/>
                </w:rPr>
                <w:t>August 15, 2023).</w:t>
              </w:r>
            </w:hyperlink>
          </w:p>
        </w:tc>
        <w:tc>
          <w:tcPr>
            <w:tcW w:w="6060" w:type="dxa"/>
            <w:vAlign w:val="bottom"/>
            <w:tcBorders>
              <w:top w:val="single" w:sz="8" w:color="0000EE"/>
            </w:tcBorders>
            <w:gridSpan w:val="19"/>
          </w:tcPr>
          <w:p>
            <w:pPr>
              <w:spacing w:after="0"/>
              <w:rPr>
                <w:sz w:val="13"/>
                <w:szCs w:val="13"/>
                <w:color w:val="auto"/>
              </w:rPr>
            </w:pPr>
          </w:p>
        </w:tc>
        <w:tc>
          <w:tcPr>
            <w:tcW w:w="40" w:type="dxa"/>
            <w:vAlign w:val="bottom"/>
            <w:gridSpan w:val="2"/>
          </w:tcPr>
          <w:p>
            <w:pPr>
              <w:spacing w:after="0"/>
              <w:rPr>
                <w:sz w:val="13"/>
                <w:szCs w:val="13"/>
                <w:color w:val="auto"/>
              </w:rPr>
            </w:pPr>
          </w:p>
        </w:tc>
        <w:tc>
          <w:tcPr>
            <w:tcW w:w="200" w:type="dxa"/>
            <w:vAlign w:val="bottom"/>
            <w:gridSpan w:val="8"/>
          </w:tcPr>
          <w:p>
            <w:pPr>
              <w:spacing w:after="0"/>
              <w:rPr>
                <w:sz w:val="13"/>
                <w:szCs w:val="13"/>
                <w:color w:val="auto"/>
              </w:rPr>
            </w:pPr>
          </w:p>
        </w:tc>
        <w:tc>
          <w:tcPr>
            <w:tcW w:w="60" w:type="dxa"/>
            <w:vAlign w:val="bottom"/>
            <w:gridSpan w:val="3"/>
          </w:tcPr>
          <w:p>
            <w:pPr>
              <w:spacing w:after="0"/>
              <w:rPr>
                <w:sz w:val="13"/>
                <w:szCs w:val="13"/>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10.63*</w:t>
            </w:r>
          </w:p>
        </w:tc>
        <w:tc>
          <w:tcPr>
            <w:tcW w:w="260" w:type="dxa"/>
            <w:vAlign w:val="bottom"/>
          </w:tcPr>
          <w:p>
            <w:pPr>
              <w:spacing w:after="0"/>
              <w:rPr>
                <w:sz w:val="24"/>
                <w:szCs w:val="24"/>
                <w:color w:val="auto"/>
              </w:rPr>
            </w:pPr>
          </w:p>
        </w:tc>
        <w:tc>
          <w:tcPr>
            <w:tcW w:w="7120" w:type="dxa"/>
            <w:vAlign w:val="bottom"/>
            <w:tcBorders>
              <w:bottom w:val="single" w:sz="8" w:color="0000EE"/>
            </w:tcBorders>
            <w:gridSpan w:val="17"/>
          </w:tcPr>
          <w:p>
            <w:pPr>
              <w:spacing w:after="0"/>
              <w:rPr>
                <w:rFonts w:ascii="Times New Roman" w:cs="Times New Roman" w:eastAsia="Times New Roman" w:hAnsi="Times New Roman"/>
                <w:sz w:val="16"/>
                <w:szCs w:val="16"/>
                <w:color w:val="0000EE"/>
                <w:w w:val="97"/>
              </w:rPr>
            </w:pPr>
            <w:hyperlink r:id="rId291">
              <w:r>
                <w:rPr>
                  <w:rFonts w:ascii="Times New Roman" w:cs="Times New Roman" w:eastAsia="Times New Roman" w:hAnsi="Times New Roman"/>
                  <w:sz w:val="16"/>
                  <w:szCs w:val="16"/>
                  <w:color w:val="0000EE"/>
                  <w:w w:val="97"/>
                </w:rPr>
                <w:t>First Amendment to Term Loan Agreement, dated as of September 26, 2024, among Digital Dutch Finco B.V., as</w:t>
              </w:r>
            </w:hyperlink>
          </w:p>
        </w:tc>
        <w:tc>
          <w:tcPr>
            <w:tcW w:w="360" w:type="dxa"/>
            <w:vAlign w:val="bottom"/>
            <w:gridSpan w:val="16"/>
          </w:tcPr>
          <w:p>
            <w:pPr>
              <w:spacing w:after="0"/>
              <w:rPr>
                <w:sz w:val="24"/>
                <w:szCs w:val="24"/>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80" w:type="dxa"/>
            <w:vAlign w:val="bottom"/>
            <w:gridSpan w:val="33"/>
          </w:tcPr>
          <w:p>
            <w:pPr>
              <w:spacing w:after="0" w:line="160" w:lineRule="exact"/>
              <w:rPr>
                <w:rFonts w:ascii="Times New Roman" w:cs="Times New Roman" w:eastAsia="Times New Roman" w:hAnsi="Times New Roman"/>
                <w:sz w:val="16"/>
                <w:szCs w:val="16"/>
                <w:color w:val="0000EE"/>
              </w:rPr>
            </w:pPr>
            <w:hyperlink r:id="rId291">
              <w:r>
                <w:rPr>
                  <w:rFonts w:ascii="Times New Roman" w:cs="Times New Roman" w:eastAsia="Times New Roman" w:hAnsi="Times New Roman"/>
                  <w:sz w:val="16"/>
                  <w:szCs w:val="16"/>
                  <w:color w:val="0000EE"/>
                </w:rPr>
                <w:t>borrower, and Digital Realty Trust, Inc., Digital Realty Trust, L.P., and Digital Euro Finco, LLC, as guarantors, the</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20" w:type="dxa"/>
            <w:vAlign w:val="bottom"/>
            <w:tcBorders>
              <w:top w:val="single" w:sz="8" w:color="0000EE"/>
            </w:tcBorders>
            <w:gridSpan w:val="22"/>
          </w:tcPr>
          <w:p>
            <w:pPr>
              <w:spacing w:after="0" w:line="160" w:lineRule="exact"/>
              <w:rPr>
                <w:rFonts w:ascii="Times New Roman" w:cs="Times New Roman" w:eastAsia="Times New Roman" w:hAnsi="Times New Roman"/>
                <w:sz w:val="16"/>
                <w:szCs w:val="16"/>
                <w:color w:val="0000EE"/>
                <w:w w:val="96"/>
              </w:rPr>
            </w:pPr>
            <w:hyperlink r:id="rId291">
              <w:r>
                <w:rPr>
                  <w:rFonts w:ascii="Times New Roman" w:cs="Times New Roman" w:eastAsia="Times New Roman" w:hAnsi="Times New Roman"/>
                  <w:sz w:val="16"/>
                  <w:szCs w:val="16"/>
                  <w:color w:val="0000EE"/>
                  <w:w w:val="96"/>
                </w:rPr>
                <w:t>banks, financial institutions and other institutional lenders party thereto, as lenders, Citibank, N.A., as administrative</w:t>
              </w:r>
            </w:hyperlink>
          </w:p>
        </w:tc>
        <w:tc>
          <w:tcPr>
            <w:tcW w:w="200" w:type="dxa"/>
            <w:vAlign w:val="bottom"/>
            <w:gridSpan w:val="8"/>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80" w:type="dxa"/>
            <w:vAlign w:val="bottom"/>
            <w:tcBorders>
              <w:top w:val="single" w:sz="8" w:color="0000EE"/>
            </w:tcBorders>
            <w:gridSpan w:val="24"/>
          </w:tcPr>
          <w:p>
            <w:pPr>
              <w:spacing w:after="0" w:line="160" w:lineRule="exact"/>
              <w:rPr>
                <w:rFonts w:ascii="Times New Roman" w:cs="Times New Roman" w:eastAsia="Times New Roman" w:hAnsi="Times New Roman"/>
                <w:sz w:val="16"/>
                <w:szCs w:val="16"/>
                <w:color w:val="0000EE"/>
                <w:w w:val="97"/>
              </w:rPr>
            </w:pPr>
            <w:hyperlink r:id="rId291">
              <w:r>
                <w:rPr>
                  <w:rFonts w:ascii="Times New Roman" w:cs="Times New Roman" w:eastAsia="Times New Roman" w:hAnsi="Times New Roman"/>
                  <w:sz w:val="16"/>
                  <w:szCs w:val="16"/>
                  <w:color w:val="0000EE"/>
                  <w:w w:val="97"/>
                </w:rPr>
                <w:t>agent, and certain other parties thereto (incorporated by reference to Exhibit 10.3 to the Combined Quarterly Report</w:t>
              </w:r>
            </w:hyperlink>
          </w:p>
        </w:tc>
        <w:tc>
          <w:tcPr>
            <w:tcW w:w="200" w:type="dxa"/>
            <w:vAlign w:val="bottom"/>
            <w:gridSpan w:val="9"/>
          </w:tcPr>
          <w:p>
            <w:pPr>
              <w:spacing w:after="0" w:line="160" w:lineRule="exact"/>
              <w:rPr>
                <w:rFonts w:ascii="Times New Roman" w:cs="Times New Roman" w:eastAsia="Times New Roman" w:hAnsi="Times New Roman"/>
                <w:sz w:val="16"/>
                <w:szCs w:val="16"/>
                <w:color w:val="0000EE"/>
              </w:rPr>
            </w:pPr>
            <w:hyperlink r:id="rId291">
              <w:r>
                <w:rPr>
                  <w:rFonts w:ascii="Times New Roman" w:cs="Times New Roman" w:eastAsia="Times New Roman" w:hAnsi="Times New Roman"/>
                  <w:sz w:val="16"/>
                  <w:szCs w:val="16"/>
                  <w:color w:val="0000EE"/>
                </w:rPr>
                <w:t>on</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20" w:type="dxa"/>
            <w:vAlign w:val="bottom"/>
            <w:tcBorders>
              <w:top w:val="single" w:sz="8" w:color="0000EE"/>
            </w:tcBorders>
            <w:gridSpan w:val="30"/>
          </w:tcPr>
          <w:p>
            <w:pPr>
              <w:spacing w:after="0" w:line="160" w:lineRule="exact"/>
              <w:rPr>
                <w:rFonts w:ascii="Times New Roman" w:cs="Times New Roman" w:eastAsia="Times New Roman" w:hAnsi="Times New Roman"/>
                <w:sz w:val="16"/>
                <w:szCs w:val="16"/>
                <w:color w:val="0000EE"/>
                <w:w w:val="98"/>
              </w:rPr>
            </w:pPr>
            <w:hyperlink r:id="rId291">
              <w:r>
                <w:rPr>
                  <w:rFonts w:ascii="Times New Roman" w:cs="Times New Roman" w:eastAsia="Times New Roman" w:hAnsi="Times New Roman"/>
                  <w:sz w:val="16"/>
                  <w:szCs w:val="16"/>
                  <w:color w:val="0000EE"/>
                  <w:w w:val="98"/>
                </w:rPr>
                <w:t>Form 10-Q of Digital Realty Trust, Inc. and Digital Realty Trust, L.P. (File Nos. 001-32336 and 000-54023) filed on</w:t>
              </w:r>
            </w:hyperlink>
          </w:p>
        </w:tc>
        <w:tc>
          <w:tcPr>
            <w:tcW w:w="60" w:type="dxa"/>
            <w:vAlign w:val="bottom"/>
            <w:gridSpan w:val="3"/>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Borders>
              <w:top w:val="single" w:sz="8" w:color="0000EE"/>
              <w:bottom w:val="single" w:sz="8" w:color="0000EE"/>
            </w:tcBorders>
            <w:gridSpan w:val="3"/>
          </w:tcPr>
          <w:p>
            <w:pPr>
              <w:spacing w:after="0" w:line="160" w:lineRule="exact"/>
              <w:rPr>
                <w:rFonts w:ascii="Times New Roman" w:cs="Times New Roman" w:eastAsia="Times New Roman" w:hAnsi="Times New Roman"/>
                <w:sz w:val="16"/>
                <w:szCs w:val="16"/>
                <w:color w:val="0000EE"/>
                <w:w w:val="96"/>
              </w:rPr>
            </w:pPr>
            <w:hyperlink r:id="rId291">
              <w:r>
                <w:rPr>
                  <w:rFonts w:ascii="Times New Roman" w:cs="Times New Roman" w:eastAsia="Times New Roman" w:hAnsi="Times New Roman"/>
                  <w:sz w:val="16"/>
                  <w:szCs w:val="16"/>
                  <w:color w:val="0000EE"/>
                  <w:w w:val="96"/>
                </w:rPr>
                <w:t>November 1, 2024).</w:t>
              </w:r>
            </w:hyperlink>
          </w:p>
        </w:tc>
        <w:tc>
          <w:tcPr>
            <w:tcW w:w="6020" w:type="dxa"/>
            <w:vAlign w:val="bottom"/>
            <w:tcBorders>
              <w:top w:val="single" w:sz="8" w:color="0000EE"/>
            </w:tcBorders>
            <w:gridSpan w:val="21"/>
          </w:tcPr>
          <w:p>
            <w:pPr>
              <w:spacing w:after="0"/>
              <w:rPr>
                <w:sz w:val="13"/>
                <w:szCs w:val="13"/>
                <w:color w:val="auto"/>
              </w:rPr>
            </w:pPr>
          </w:p>
        </w:tc>
        <w:tc>
          <w:tcPr>
            <w:tcW w:w="200" w:type="dxa"/>
            <w:vAlign w:val="bottom"/>
            <w:gridSpan w:val="9"/>
          </w:tcPr>
          <w:p>
            <w:pPr>
              <w:spacing w:after="0"/>
              <w:rPr>
                <w:sz w:val="13"/>
                <w:szCs w:val="13"/>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19.1</w:t>
            </w:r>
          </w:p>
        </w:tc>
        <w:tc>
          <w:tcPr>
            <w:tcW w:w="260" w:type="dxa"/>
            <w:vAlign w:val="bottom"/>
          </w:tcPr>
          <w:p>
            <w:pPr>
              <w:spacing w:after="0"/>
              <w:rPr>
                <w:sz w:val="24"/>
                <w:szCs w:val="24"/>
                <w:color w:val="auto"/>
              </w:rPr>
            </w:pPr>
          </w:p>
        </w:tc>
        <w:tc>
          <w:tcPr>
            <w:tcW w:w="7480" w:type="dxa"/>
            <w:vAlign w:val="bottom"/>
            <w:gridSpan w:val="33"/>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Insider Trading Policy and Procedures</w:t>
              </w:r>
            </w:hyperlink>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80" w:type="dxa"/>
            <w:vAlign w:val="bottom"/>
            <w:gridSpan w:val="4"/>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80" w:type="dxa"/>
            <w:vAlign w:val="bottom"/>
            <w:gridSpan w:val="27"/>
          </w:tcPr>
          <w:p>
            <w:pPr>
              <w:spacing w:after="0" w:line="20" w:lineRule="exact"/>
              <w:rPr>
                <w:sz w:val="1"/>
                <w:szCs w:val="1"/>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21.1</w:t>
            </w:r>
          </w:p>
        </w:tc>
        <w:tc>
          <w:tcPr>
            <w:tcW w:w="260" w:type="dxa"/>
            <w:vAlign w:val="bottom"/>
          </w:tcPr>
          <w:p>
            <w:pPr>
              <w:spacing w:after="0"/>
              <w:rPr>
                <w:sz w:val="24"/>
                <w:szCs w:val="24"/>
                <w:color w:val="auto"/>
              </w:rPr>
            </w:pPr>
          </w:p>
        </w:tc>
        <w:tc>
          <w:tcPr>
            <w:tcW w:w="2980" w:type="dxa"/>
            <w:vAlign w:val="bottom"/>
            <w:tcBorders>
              <w:bottom w:val="single" w:sz="8" w:color="0000EE"/>
            </w:tcBorders>
            <w:gridSpan w:val="5"/>
          </w:tcPr>
          <w:p>
            <w:pPr>
              <w:spacing w:after="0"/>
              <w:rPr>
                <w:rFonts w:ascii="Times New Roman" w:cs="Times New Roman" w:eastAsia="Times New Roman" w:hAnsi="Times New Roman"/>
                <w:sz w:val="16"/>
                <w:szCs w:val="16"/>
                <w:color w:val="0000EE"/>
                <w:w w:val="96"/>
              </w:rPr>
            </w:pPr>
            <w:hyperlink w:anchor="page1">
              <w:r>
                <w:rPr>
                  <w:rFonts w:ascii="Times New Roman" w:cs="Times New Roman" w:eastAsia="Times New Roman" w:hAnsi="Times New Roman"/>
                  <w:sz w:val="16"/>
                  <w:szCs w:val="16"/>
                  <w:color w:val="0000EE"/>
                  <w:w w:val="96"/>
                </w:rPr>
                <w:t>List of Subsidiaries of Digital Realty Trust, Inc.</w:t>
              </w:r>
            </w:hyperlink>
          </w:p>
        </w:tc>
        <w:tc>
          <w:tcPr>
            <w:tcW w:w="4500" w:type="dxa"/>
            <w:vAlign w:val="bottom"/>
            <w:gridSpan w:val="28"/>
          </w:tcPr>
          <w:p>
            <w:pPr>
              <w:spacing w:after="0"/>
              <w:rPr>
                <w:sz w:val="24"/>
                <w:szCs w:val="24"/>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21.2</w:t>
            </w:r>
          </w:p>
        </w:tc>
        <w:tc>
          <w:tcPr>
            <w:tcW w:w="260" w:type="dxa"/>
            <w:vAlign w:val="bottom"/>
          </w:tcPr>
          <w:p>
            <w:pPr>
              <w:spacing w:after="0"/>
              <w:rPr>
                <w:sz w:val="24"/>
                <w:szCs w:val="24"/>
                <w:color w:val="auto"/>
              </w:rPr>
            </w:pPr>
          </w:p>
        </w:tc>
        <w:tc>
          <w:tcPr>
            <w:tcW w:w="3000" w:type="dxa"/>
            <w:vAlign w:val="bottom"/>
            <w:tcBorders>
              <w:bottom w:val="single" w:sz="8" w:color="0000EE"/>
            </w:tcBorders>
            <w:gridSpan w:val="6"/>
          </w:tcPr>
          <w:p>
            <w:pPr>
              <w:spacing w:after="0"/>
              <w:rPr>
                <w:rFonts w:ascii="Times New Roman" w:cs="Times New Roman" w:eastAsia="Times New Roman" w:hAnsi="Times New Roman"/>
                <w:sz w:val="16"/>
                <w:szCs w:val="16"/>
                <w:color w:val="0000EE"/>
                <w:w w:val="96"/>
              </w:rPr>
            </w:pPr>
            <w:hyperlink w:anchor="page1">
              <w:r>
                <w:rPr>
                  <w:rFonts w:ascii="Times New Roman" w:cs="Times New Roman" w:eastAsia="Times New Roman" w:hAnsi="Times New Roman"/>
                  <w:sz w:val="16"/>
                  <w:szCs w:val="16"/>
                  <w:color w:val="0000EE"/>
                  <w:w w:val="96"/>
                </w:rPr>
                <w:t>List of Subsidiaries of Digital Realty Trust, L.P.</w:t>
              </w:r>
            </w:hyperlink>
          </w:p>
        </w:tc>
        <w:tc>
          <w:tcPr>
            <w:tcW w:w="4480" w:type="dxa"/>
            <w:vAlign w:val="bottom"/>
            <w:gridSpan w:val="27"/>
          </w:tcPr>
          <w:p>
            <w:pPr>
              <w:spacing w:after="0"/>
              <w:rPr>
                <w:sz w:val="24"/>
                <w:szCs w:val="24"/>
                <w:color w:val="auto"/>
              </w:rPr>
            </w:pPr>
          </w:p>
        </w:tc>
      </w:tr>
      <w:tr>
        <w:trPr>
          <w:trHeight w:val="578"/>
        </w:trPr>
        <w:tc>
          <w:tcPr>
            <w:tcW w:w="660" w:type="dxa"/>
            <w:vAlign w:val="bottom"/>
          </w:tcPr>
          <w:p>
            <w:pPr>
              <w:spacing w:after="0"/>
              <w:rPr>
                <w:sz w:val="24"/>
                <w:szCs w:val="24"/>
                <w:color w:val="auto"/>
              </w:rPr>
            </w:pPr>
          </w:p>
        </w:tc>
        <w:tc>
          <w:tcPr>
            <w:tcW w:w="4060" w:type="dxa"/>
            <w:vAlign w:val="bottom"/>
            <w:gridSpan w:val="10"/>
          </w:tcPr>
          <w:p>
            <w:pPr>
              <w:jc w:val="right"/>
              <w:ind w:right="420"/>
              <w:spacing w:after="0"/>
              <w:rPr>
                <w:sz w:val="20"/>
                <w:szCs w:val="20"/>
                <w:color w:val="auto"/>
              </w:rPr>
            </w:pPr>
            <w:r>
              <w:rPr>
                <w:rFonts w:ascii="Times New Roman" w:cs="Times New Roman" w:eastAsia="Times New Roman" w:hAnsi="Times New Roman"/>
                <w:sz w:val="16"/>
                <w:szCs w:val="16"/>
                <w:color w:val="auto"/>
              </w:rPr>
              <w:t>172</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4"/>
        </w:trPr>
        <w:tc>
          <w:tcPr>
            <w:tcW w:w="6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40" w:orient="portrait"/>
          <w:cols w:equalWidth="0" w:num="1">
            <w:col w:w="9020"/>
          </w:cols>
          <w:pgMar w:left="1440" w:top="557" w:right="1440" w:bottom="1440" w:gutter="0" w:footer="0" w:header="0"/>
        </w:sectPr>
      </w:pPr>
    </w:p>
    <w:bookmarkStart w:id="177" w:name="page178"/>
    <w:bookmarkEnd w:id="177"/>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12" w:lineRule="exact"/>
        <w:rPr>
          <w:sz w:val="20"/>
          <w:szCs w:val="20"/>
          <w:color w:val="auto"/>
        </w:rPr>
      </w:pPr>
    </w:p>
    <w:tbl>
      <w:tblPr>
        <w:tblLayout w:type="fixed"/>
        <w:tblInd w:w="320" w:type="dxa"/>
        <w:tblCellMar>
          <w:top w:w="0" w:type="dxa"/>
          <w:left w:w="0" w:type="dxa"/>
          <w:bottom w:w="0" w:type="dxa"/>
          <w:right w:w="0" w:type="dxa"/>
        </w:tblCellMar>
      </w:tblPr>
      <w:tr>
        <w:trPr>
          <w:trHeight w:val="156"/>
        </w:trPr>
        <w:tc>
          <w:tcPr>
            <w:tcW w:w="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0"/>
        </w:trPr>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260" w:type="dxa"/>
            <w:vAlign w:val="bottom"/>
          </w:tcPr>
          <w:p>
            <w:pPr>
              <w:spacing w:after="0"/>
              <w:rPr>
                <w:sz w:val="14"/>
                <w:szCs w:val="14"/>
                <w:color w:val="auto"/>
              </w:rPr>
            </w:pPr>
          </w:p>
        </w:tc>
        <w:tc>
          <w:tcPr>
            <w:tcW w:w="1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26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r>
      <w:tr>
        <w:trPr>
          <w:trHeight w:val="328"/>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23.1</w:t>
            </w:r>
          </w:p>
        </w:tc>
        <w:tc>
          <w:tcPr>
            <w:tcW w:w="260" w:type="dxa"/>
            <w:vAlign w:val="bottom"/>
          </w:tcPr>
          <w:p>
            <w:pPr>
              <w:spacing w:after="0"/>
              <w:rPr>
                <w:sz w:val="24"/>
                <w:szCs w:val="24"/>
                <w:color w:val="auto"/>
              </w:rPr>
            </w:pPr>
          </w:p>
        </w:tc>
        <w:tc>
          <w:tcPr>
            <w:tcW w:w="3780" w:type="dxa"/>
            <w:vAlign w:val="bottom"/>
            <w:tcBorders>
              <w:bottom w:val="single" w:sz="8" w:color="0000EE"/>
            </w:tcBorders>
            <w:gridSpan w:val="3"/>
          </w:tcPr>
          <w:p>
            <w:pPr>
              <w:spacing w:after="0"/>
              <w:rPr>
                <w:rFonts w:ascii="Times New Roman" w:cs="Times New Roman" w:eastAsia="Times New Roman" w:hAnsi="Times New Roman"/>
                <w:sz w:val="16"/>
                <w:szCs w:val="16"/>
                <w:color w:val="0000EE"/>
                <w:w w:val="96"/>
              </w:rPr>
            </w:pPr>
            <w:hyperlink w:anchor="page1">
              <w:r>
                <w:rPr>
                  <w:rFonts w:ascii="Times New Roman" w:cs="Times New Roman" w:eastAsia="Times New Roman" w:hAnsi="Times New Roman"/>
                  <w:sz w:val="16"/>
                  <w:szCs w:val="16"/>
                  <w:color w:val="0000EE"/>
                  <w:w w:val="96"/>
                </w:rPr>
                <w:t>Consent of Independent Registered Public Accounting Firm.</w:t>
              </w:r>
            </w:hyperlink>
          </w:p>
        </w:tc>
        <w:tc>
          <w:tcPr>
            <w:tcW w:w="3680" w:type="dxa"/>
            <w:vAlign w:val="bottom"/>
            <w:gridSpan w:val="9"/>
          </w:tcPr>
          <w:p>
            <w:pPr>
              <w:spacing w:after="0"/>
              <w:rPr>
                <w:sz w:val="24"/>
                <w:szCs w:val="24"/>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260" w:type="dxa"/>
            <w:vAlign w:val="bottom"/>
          </w:tcPr>
          <w:p>
            <w:pPr>
              <w:spacing w:after="0"/>
              <w:rPr>
                <w:sz w:val="24"/>
                <w:szCs w:val="24"/>
                <w:color w:val="auto"/>
              </w:rPr>
            </w:pPr>
          </w:p>
        </w:tc>
        <w:tc>
          <w:tcPr>
            <w:tcW w:w="7460" w:type="dxa"/>
            <w:vAlign w:val="bottom"/>
            <w:gridSpan w:val="12"/>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Rule 13a-14(a)/15d-14(a) Certifications of Chief Executive Officer for Digital Realty Trust, Inc.</w:t>
              </w:r>
            </w:hyperlink>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260" w:type="dxa"/>
            <w:vAlign w:val="bottom"/>
          </w:tcPr>
          <w:p>
            <w:pPr>
              <w:spacing w:after="0"/>
              <w:rPr>
                <w:sz w:val="24"/>
                <w:szCs w:val="24"/>
                <w:color w:val="auto"/>
              </w:rPr>
            </w:pPr>
          </w:p>
        </w:tc>
        <w:tc>
          <w:tcPr>
            <w:tcW w:w="6000" w:type="dxa"/>
            <w:vAlign w:val="bottom"/>
            <w:tcBorders>
              <w:top w:val="single" w:sz="8" w:color="0000EE"/>
            </w:tcBorders>
            <w:gridSpan w:val="8"/>
          </w:tcPr>
          <w:p>
            <w:pPr>
              <w:spacing w:after="0"/>
              <w:rPr>
                <w:rFonts w:ascii="Times New Roman" w:cs="Times New Roman" w:eastAsia="Times New Roman" w:hAnsi="Times New Roman"/>
                <w:sz w:val="16"/>
                <w:szCs w:val="16"/>
                <w:color w:val="0000EE"/>
                <w:w w:val="97"/>
              </w:rPr>
            </w:pPr>
            <w:hyperlink w:anchor="page1">
              <w:r>
                <w:rPr>
                  <w:rFonts w:ascii="Times New Roman" w:cs="Times New Roman" w:eastAsia="Times New Roman" w:hAnsi="Times New Roman"/>
                  <w:sz w:val="16"/>
                  <w:szCs w:val="16"/>
                  <w:color w:val="0000EE"/>
                  <w:w w:val="97"/>
                </w:rPr>
                <w:t>Rule 13a-14(a)/15d-14(a) Certifications of Chief Financial Officer for Digital Realty Trust, Inc.</w:t>
              </w:r>
            </w:hyperlink>
          </w:p>
        </w:tc>
        <w:tc>
          <w:tcPr>
            <w:tcW w:w="1460" w:type="dxa"/>
            <w:vAlign w:val="bottom"/>
            <w:gridSpan w:val="4"/>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140" w:type="dxa"/>
            <w:vAlign w:val="bottom"/>
            <w:gridSpan w:val="4"/>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31.3</w:t>
            </w:r>
          </w:p>
        </w:tc>
        <w:tc>
          <w:tcPr>
            <w:tcW w:w="260" w:type="dxa"/>
            <w:vAlign w:val="bottom"/>
          </w:tcPr>
          <w:p>
            <w:pPr>
              <w:spacing w:after="0"/>
              <w:rPr>
                <w:sz w:val="24"/>
                <w:szCs w:val="24"/>
                <w:color w:val="auto"/>
              </w:rPr>
            </w:pPr>
          </w:p>
        </w:tc>
        <w:tc>
          <w:tcPr>
            <w:tcW w:w="7460" w:type="dxa"/>
            <w:vAlign w:val="bottom"/>
            <w:gridSpan w:val="12"/>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Rule 13a-14(a)/15d-14(a) Certifications of Chief Executive Officer for Digital Realty Trust, L.P.</w:t>
              </w:r>
            </w:hyperlink>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31.4</w:t>
            </w:r>
          </w:p>
        </w:tc>
        <w:tc>
          <w:tcPr>
            <w:tcW w:w="260" w:type="dxa"/>
            <w:vAlign w:val="bottom"/>
          </w:tcPr>
          <w:p>
            <w:pPr>
              <w:spacing w:after="0"/>
              <w:rPr>
                <w:sz w:val="24"/>
                <w:szCs w:val="24"/>
                <w:color w:val="auto"/>
              </w:rPr>
            </w:pPr>
          </w:p>
        </w:tc>
        <w:tc>
          <w:tcPr>
            <w:tcW w:w="6020" w:type="dxa"/>
            <w:vAlign w:val="bottom"/>
            <w:tcBorders>
              <w:top w:val="single" w:sz="8" w:color="0000EE"/>
            </w:tcBorders>
            <w:gridSpan w:val="9"/>
          </w:tcPr>
          <w:p>
            <w:pPr>
              <w:spacing w:after="0"/>
              <w:rPr>
                <w:rFonts w:ascii="Times New Roman" w:cs="Times New Roman" w:eastAsia="Times New Roman" w:hAnsi="Times New Roman"/>
                <w:sz w:val="16"/>
                <w:szCs w:val="16"/>
                <w:color w:val="0000EE"/>
                <w:w w:val="97"/>
              </w:rPr>
            </w:pPr>
            <w:hyperlink w:anchor="page1">
              <w:r>
                <w:rPr>
                  <w:rFonts w:ascii="Times New Roman" w:cs="Times New Roman" w:eastAsia="Times New Roman" w:hAnsi="Times New Roman"/>
                  <w:sz w:val="16"/>
                  <w:szCs w:val="16"/>
                  <w:color w:val="0000EE"/>
                  <w:w w:val="97"/>
                </w:rPr>
                <w:t>Rule 13a-14(a)/15d-14(a) Certifications of Chief Financial Officer for Digital Realty Trust, L.P.</w:t>
              </w:r>
            </w:hyperlink>
          </w:p>
        </w:tc>
        <w:tc>
          <w:tcPr>
            <w:tcW w:w="1440" w:type="dxa"/>
            <w:vAlign w:val="bottom"/>
            <w:gridSpan w:val="3"/>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980" w:type="dxa"/>
            <w:vAlign w:val="bottom"/>
            <w:gridSpan w:val="3"/>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32.1</w:t>
            </w:r>
          </w:p>
        </w:tc>
        <w:tc>
          <w:tcPr>
            <w:tcW w:w="420" w:type="dxa"/>
            <w:vAlign w:val="bottom"/>
            <w:gridSpan w:val="2"/>
          </w:tcPr>
          <w:p>
            <w:pPr>
              <w:ind w:left="260"/>
              <w:spacing w:after="0"/>
              <w:rPr>
                <w:rFonts w:ascii="Times New Roman" w:cs="Times New Roman" w:eastAsia="Times New Roman" w:hAnsi="Times New Roman"/>
                <w:sz w:val="16"/>
                <w:szCs w:val="16"/>
                <w:color w:val="0000EE"/>
                <w:w w:val="87"/>
              </w:rPr>
            </w:pPr>
            <w:hyperlink w:anchor="page1">
              <w:r>
                <w:rPr>
                  <w:rFonts w:ascii="Times New Roman" w:cs="Times New Roman" w:eastAsia="Times New Roman" w:hAnsi="Times New Roman"/>
                  <w:sz w:val="16"/>
                  <w:szCs w:val="16"/>
                  <w:color w:val="0000EE"/>
                  <w:w w:val="87"/>
                </w:rPr>
                <w:t>18</w:t>
              </w:r>
            </w:hyperlink>
          </w:p>
        </w:tc>
        <w:tc>
          <w:tcPr>
            <w:tcW w:w="7300" w:type="dxa"/>
            <w:vAlign w:val="bottom"/>
            <w:gridSpan w:val="11"/>
          </w:tcPr>
          <w:p>
            <w:pPr>
              <w:ind w:left="20"/>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U.S.C. § 1350 Certifications of Chief Executive Officer for Digital Realty Trust, Inc.</w:t>
              </w:r>
            </w:hyperlink>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040" w:type="dxa"/>
            <w:vAlign w:val="bottom"/>
            <w:gridSpan w:val="2"/>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32.2</w:t>
            </w:r>
          </w:p>
        </w:tc>
        <w:tc>
          <w:tcPr>
            <w:tcW w:w="420" w:type="dxa"/>
            <w:vAlign w:val="bottom"/>
            <w:gridSpan w:val="2"/>
          </w:tcPr>
          <w:p>
            <w:pPr>
              <w:ind w:left="260"/>
              <w:spacing w:after="0"/>
              <w:rPr>
                <w:rFonts w:ascii="Times New Roman" w:cs="Times New Roman" w:eastAsia="Times New Roman" w:hAnsi="Times New Roman"/>
                <w:sz w:val="16"/>
                <w:szCs w:val="16"/>
                <w:color w:val="0000EE"/>
                <w:w w:val="87"/>
              </w:rPr>
            </w:pPr>
            <w:hyperlink w:anchor="page1">
              <w:r>
                <w:rPr>
                  <w:rFonts w:ascii="Times New Roman" w:cs="Times New Roman" w:eastAsia="Times New Roman" w:hAnsi="Times New Roman"/>
                  <w:sz w:val="16"/>
                  <w:szCs w:val="16"/>
                  <w:color w:val="0000EE"/>
                  <w:w w:val="87"/>
                </w:rPr>
                <w:t>18</w:t>
              </w:r>
            </w:hyperlink>
          </w:p>
        </w:tc>
        <w:tc>
          <w:tcPr>
            <w:tcW w:w="940" w:type="dxa"/>
            <w:vAlign w:val="bottom"/>
          </w:tcPr>
          <w:p>
            <w:pPr>
              <w:ind w:left="20"/>
              <w:spacing w:after="0"/>
              <w:rPr>
                <w:rFonts w:ascii="Times New Roman" w:cs="Times New Roman" w:eastAsia="Times New Roman" w:hAnsi="Times New Roman"/>
                <w:sz w:val="16"/>
                <w:szCs w:val="16"/>
                <w:color w:val="0000EE"/>
                <w:w w:val="98"/>
              </w:rPr>
            </w:pPr>
            <w:hyperlink w:anchor="page1">
              <w:r>
                <w:rPr>
                  <w:rFonts w:ascii="Times New Roman" w:cs="Times New Roman" w:eastAsia="Times New Roman" w:hAnsi="Times New Roman"/>
                  <w:sz w:val="16"/>
                  <w:szCs w:val="16"/>
                  <w:color w:val="0000EE"/>
                  <w:w w:val="98"/>
                </w:rPr>
                <w:t>U.S.C. § 1350</w:t>
              </w:r>
            </w:hyperlink>
          </w:p>
        </w:tc>
        <w:tc>
          <w:tcPr>
            <w:tcW w:w="6360" w:type="dxa"/>
            <w:vAlign w:val="bottom"/>
            <w:gridSpan w:val="10"/>
          </w:tcPr>
          <w:p>
            <w:pPr>
              <w:ind w:left="20"/>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Certifications of Chief Financial Officer for Digital Realty Trust, Inc</w:t>
              </w:r>
            </w:hyperlink>
            <w:r>
              <w:rPr>
                <w:rFonts w:ascii="Times New Roman" w:cs="Times New Roman" w:eastAsia="Times New Roman" w:hAnsi="Times New Roman"/>
                <w:sz w:val="16"/>
                <w:szCs w:val="16"/>
                <w:color w:val="0000EE"/>
              </w:rPr>
              <w:t>.</w:t>
            </w:r>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040" w:type="dxa"/>
            <w:vAlign w:val="bottom"/>
            <w:gridSpan w:val="2"/>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32.3</w:t>
            </w:r>
          </w:p>
        </w:tc>
        <w:tc>
          <w:tcPr>
            <w:tcW w:w="420" w:type="dxa"/>
            <w:vAlign w:val="bottom"/>
            <w:gridSpan w:val="2"/>
          </w:tcPr>
          <w:p>
            <w:pPr>
              <w:ind w:left="260"/>
              <w:spacing w:after="0"/>
              <w:rPr>
                <w:rFonts w:ascii="Times New Roman" w:cs="Times New Roman" w:eastAsia="Times New Roman" w:hAnsi="Times New Roman"/>
                <w:sz w:val="16"/>
                <w:szCs w:val="16"/>
                <w:color w:val="0000EE"/>
                <w:w w:val="87"/>
              </w:rPr>
            </w:pPr>
            <w:hyperlink w:anchor="page1">
              <w:r>
                <w:rPr>
                  <w:rFonts w:ascii="Times New Roman" w:cs="Times New Roman" w:eastAsia="Times New Roman" w:hAnsi="Times New Roman"/>
                  <w:sz w:val="16"/>
                  <w:szCs w:val="16"/>
                  <w:color w:val="0000EE"/>
                  <w:w w:val="87"/>
                </w:rPr>
                <w:t>18</w:t>
              </w:r>
            </w:hyperlink>
          </w:p>
        </w:tc>
        <w:tc>
          <w:tcPr>
            <w:tcW w:w="940" w:type="dxa"/>
            <w:vAlign w:val="bottom"/>
          </w:tcPr>
          <w:p>
            <w:pPr>
              <w:ind w:left="20"/>
              <w:spacing w:after="0"/>
              <w:rPr>
                <w:rFonts w:ascii="Times New Roman" w:cs="Times New Roman" w:eastAsia="Times New Roman" w:hAnsi="Times New Roman"/>
                <w:sz w:val="16"/>
                <w:szCs w:val="16"/>
                <w:color w:val="0000EE"/>
                <w:w w:val="98"/>
              </w:rPr>
            </w:pPr>
            <w:hyperlink w:anchor="page1">
              <w:r>
                <w:rPr>
                  <w:rFonts w:ascii="Times New Roman" w:cs="Times New Roman" w:eastAsia="Times New Roman" w:hAnsi="Times New Roman"/>
                  <w:sz w:val="16"/>
                  <w:szCs w:val="16"/>
                  <w:color w:val="0000EE"/>
                  <w:w w:val="98"/>
                </w:rPr>
                <w:t>U.S.C. § 1350</w:t>
              </w:r>
            </w:hyperlink>
          </w:p>
        </w:tc>
        <w:tc>
          <w:tcPr>
            <w:tcW w:w="6360" w:type="dxa"/>
            <w:vAlign w:val="bottom"/>
            <w:gridSpan w:val="10"/>
          </w:tcPr>
          <w:p>
            <w:pPr>
              <w:ind w:left="20"/>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Certifications of Chief Executive Officer for Digital Realty Trust, L.P.</w:t>
              </w:r>
            </w:hyperlink>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040" w:type="dxa"/>
            <w:vAlign w:val="bottom"/>
            <w:gridSpan w:val="2"/>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760" w:type="dxa"/>
            <w:vAlign w:val="bottom"/>
            <w:tcBorders>
              <w:left w:val="single" w:sz="8" w:color="0000EE"/>
            </w:tcBorders>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32.4</w:t>
            </w:r>
          </w:p>
        </w:tc>
        <w:tc>
          <w:tcPr>
            <w:tcW w:w="420" w:type="dxa"/>
            <w:vAlign w:val="bottom"/>
            <w:gridSpan w:val="2"/>
          </w:tcPr>
          <w:p>
            <w:pPr>
              <w:ind w:left="260"/>
              <w:spacing w:after="0"/>
              <w:rPr>
                <w:rFonts w:ascii="Times New Roman" w:cs="Times New Roman" w:eastAsia="Times New Roman" w:hAnsi="Times New Roman"/>
                <w:sz w:val="16"/>
                <w:szCs w:val="16"/>
                <w:color w:val="0000EE"/>
                <w:w w:val="87"/>
              </w:rPr>
            </w:pPr>
            <w:hyperlink w:anchor="page1">
              <w:r>
                <w:rPr>
                  <w:rFonts w:ascii="Times New Roman" w:cs="Times New Roman" w:eastAsia="Times New Roman" w:hAnsi="Times New Roman"/>
                  <w:sz w:val="16"/>
                  <w:szCs w:val="16"/>
                  <w:color w:val="0000EE"/>
                  <w:w w:val="87"/>
                </w:rPr>
                <w:t>18</w:t>
              </w:r>
            </w:hyperlink>
          </w:p>
        </w:tc>
        <w:tc>
          <w:tcPr>
            <w:tcW w:w="940" w:type="dxa"/>
            <w:vAlign w:val="bottom"/>
          </w:tcPr>
          <w:p>
            <w:pPr>
              <w:ind w:left="20"/>
              <w:spacing w:after="0"/>
              <w:rPr>
                <w:rFonts w:ascii="Times New Roman" w:cs="Times New Roman" w:eastAsia="Times New Roman" w:hAnsi="Times New Roman"/>
                <w:sz w:val="16"/>
                <w:szCs w:val="16"/>
                <w:color w:val="0000EE"/>
                <w:w w:val="98"/>
              </w:rPr>
            </w:pPr>
            <w:hyperlink w:anchor="page1">
              <w:r>
                <w:rPr>
                  <w:rFonts w:ascii="Times New Roman" w:cs="Times New Roman" w:eastAsia="Times New Roman" w:hAnsi="Times New Roman"/>
                  <w:sz w:val="16"/>
                  <w:szCs w:val="16"/>
                  <w:color w:val="0000EE"/>
                  <w:w w:val="98"/>
                </w:rPr>
                <w:t>U.S.C. § 1350</w:t>
              </w:r>
            </w:hyperlink>
          </w:p>
        </w:tc>
        <w:tc>
          <w:tcPr>
            <w:tcW w:w="6360" w:type="dxa"/>
            <w:vAlign w:val="bottom"/>
            <w:gridSpan w:val="10"/>
          </w:tcPr>
          <w:p>
            <w:pPr>
              <w:ind w:left="20"/>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Certifications of Chief Financial Officer for Digital Realty Trust, L.P.</w:t>
              </w:r>
            </w:hyperlink>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140" w:type="dxa"/>
            <w:vAlign w:val="bottom"/>
            <w:gridSpan w:val="4"/>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97.1</w:t>
            </w:r>
          </w:p>
        </w:tc>
        <w:tc>
          <w:tcPr>
            <w:tcW w:w="260" w:type="dxa"/>
            <w:vAlign w:val="bottom"/>
          </w:tcPr>
          <w:p>
            <w:pPr>
              <w:spacing w:after="0"/>
              <w:rPr>
                <w:sz w:val="24"/>
                <w:szCs w:val="24"/>
                <w:color w:val="auto"/>
              </w:rPr>
            </w:pPr>
          </w:p>
        </w:tc>
        <w:tc>
          <w:tcPr>
            <w:tcW w:w="7460" w:type="dxa"/>
            <w:vAlign w:val="bottom"/>
            <w:gridSpan w:val="12"/>
          </w:tcPr>
          <w:p>
            <w:pPr>
              <w:spacing w:after="0"/>
              <w:rPr>
                <w:rFonts w:ascii="Times New Roman" w:cs="Times New Roman" w:eastAsia="Times New Roman" w:hAnsi="Times New Roman"/>
                <w:sz w:val="16"/>
                <w:szCs w:val="16"/>
                <w:color w:val="0000EE"/>
              </w:rPr>
            </w:pPr>
            <w:hyperlink r:id="rId292">
              <w:r>
                <w:rPr>
                  <w:rFonts w:ascii="Times New Roman" w:cs="Times New Roman" w:eastAsia="Times New Roman" w:hAnsi="Times New Roman"/>
                  <w:sz w:val="16"/>
                  <w:szCs w:val="16"/>
                  <w:color w:val="0000EE"/>
                </w:rPr>
                <w:t>Digital Realty Trust, Inc. Policy for Recovery of Erroneously Awarded Compensation (incorporated by reference to</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20" w:type="dxa"/>
            <w:vAlign w:val="bottom"/>
            <w:tcBorders>
              <w:top w:val="single" w:sz="8" w:color="0000EE"/>
            </w:tcBorders>
            <w:gridSpan w:val="10"/>
          </w:tcPr>
          <w:p>
            <w:pPr>
              <w:spacing w:after="0" w:line="160" w:lineRule="exact"/>
              <w:rPr>
                <w:rFonts w:ascii="Times New Roman" w:cs="Times New Roman" w:eastAsia="Times New Roman" w:hAnsi="Times New Roman"/>
                <w:sz w:val="16"/>
                <w:szCs w:val="16"/>
                <w:color w:val="0000EE"/>
                <w:w w:val="98"/>
              </w:rPr>
            </w:pPr>
            <w:hyperlink r:id="rId292">
              <w:r>
                <w:rPr>
                  <w:rFonts w:ascii="Times New Roman" w:cs="Times New Roman" w:eastAsia="Times New Roman" w:hAnsi="Times New Roman"/>
                  <w:sz w:val="16"/>
                  <w:szCs w:val="16"/>
                  <w:color w:val="0000EE"/>
                  <w:w w:val="98"/>
                </w:rPr>
                <w:t>exhibit 10.62 to the Combined Annual Report on Form 10 K of Digital Realty Trust, Inc. and Digital Realty Trust,</w:t>
              </w:r>
            </w:hyperlink>
          </w:p>
        </w:tc>
        <w:tc>
          <w:tcPr>
            <w:tcW w:w="240" w:type="dxa"/>
            <w:vAlign w:val="bottom"/>
            <w:gridSpan w:val="2"/>
          </w:tcPr>
          <w:p>
            <w:pPr>
              <w:spacing w:after="0" w:line="160" w:lineRule="exact"/>
              <w:rPr>
                <w:rFonts w:ascii="Times New Roman" w:cs="Times New Roman" w:eastAsia="Times New Roman" w:hAnsi="Times New Roman"/>
                <w:sz w:val="16"/>
                <w:szCs w:val="16"/>
                <w:color w:val="0000EE"/>
                <w:w w:val="82"/>
              </w:rPr>
            </w:pPr>
            <w:hyperlink r:id="rId292">
              <w:r>
                <w:rPr>
                  <w:rFonts w:ascii="Times New Roman" w:cs="Times New Roman" w:eastAsia="Times New Roman" w:hAnsi="Times New Roman"/>
                  <w:sz w:val="16"/>
                  <w:szCs w:val="16"/>
                  <w:color w:val="0000EE"/>
                  <w:w w:val="82"/>
                </w:rPr>
                <w:t>L.P.</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140" w:type="dxa"/>
            <w:vAlign w:val="bottom"/>
            <w:tcBorders>
              <w:top w:val="single" w:sz="8" w:color="0000EE"/>
              <w:bottom w:val="single" w:sz="8" w:color="0000EE"/>
            </w:tcBorders>
            <w:gridSpan w:val="4"/>
          </w:tcPr>
          <w:p>
            <w:pPr>
              <w:spacing w:after="0" w:line="160" w:lineRule="exact"/>
              <w:rPr>
                <w:rFonts w:ascii="Times New Roman" w:cs="Times New Roman" w:eastAsia="Times New Roman" w:hAnsi="Times New Roman"/>
                <w:sz w:val="16"/>
                <w:szCs w:val="16"/>
                <w:color w:val="0000EE"/>
                <w:w w:val="96"/>
              </w:rPr>
            </w:pPr>
            <w:hyperlink r:id="rId292">
              <w:r>
                <w:rPr>
                  <w:rFonts w:ascii="Times New Roman" w:cs="Times New Roman" w:eastAsia="Times New Roman" w:hAnsi="Times New Roman"/>
                  <w:sz w:val="16"/>
                  <w:szCs w:val="16"/>
                  <w:color w:val="0000EE"/>
                  <w:w w:val="96"/>
                </w:rPr>
                <w:t>(File Nos. 001 32336 and 000 54023) filed on February 23, 2024).</w:t>
              </w:r>
            </w:hyperlink>
          </w:p>
        </w:tc>
        <w:tc>
          <w:tcPr>
            <w:tcW w:w="3300" w:type="dxa"/>
            <w:vAlign w:val="bottom"/>
            <w:tcBorders>
              <w:top w:val="single" w:sz="8" w:color="0000EE"/>
            </w:tcBorders>
            <w:gridSpan w:val="7"/>
          </w:tcPr>
          <w:p>
            <w:pPr>
              <w:spacing w:after="0"/>
              <w:rPr>
                <w:sz w:val="13"/>
                <w:szCs w:val="13"/>
                <w:color w:val="auto"/>
              </w:rPr>
            </w:pPr>
          </w:p>
        </w:tc>
        <w:tc>
          <w:tcPr>
            <w:tcW w:w="20" w:type="dxa"/>
            <w:vAlign w:val="bottom"/>
          </w:tcPr>
          <w:p>
            <w:pPr>
              <w:spacing w:after="0"/>
              <w:rPr>
                <w:sz w:val="13"/>
                <w:szCs w:val="13"/>
                <w:color w:val="auto"/>
              </w:rPr>
            </w:pPr>
          </w:p>
        </w:tc>
      </w:tr>
    </w:tbl>
    <w:p>
      <w:pPr>
        <w:spacing w:after="0" w:line="179" w:lineRule="exact"/>
        <w:rPr>
          <w:sz w:val="20"/>
          <w:szCs w:val="20"/>
          <w:color w:val="auto"/>
        </w:rPr>
      </w:pPr>
    </w:p>
    <w:p>
      <w:pPr>
        <w:ind w:left="1240" w:right="360" w:hanging="922"/>
        <w:spacing w:after="0" w:line="272" w:lineRule="auto"/>
        <w:tabs>
          <w:tab w:leader="none" w:pos="124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financial statements from Digital Realty Trust, Inc.’s and Digital Realty Trust, L.P.’s Form 10-K for the year ended December 31, 2024, formatted in Inline XBRL interactive data files: (i) Consolidated Balance Sheets as of December 31, 2024 and December 31, 2023; (ii) Consolidated Income Statements for each of the years in the three-year period ended December 31, 2024; (iii) Consolidated Statements of Equity and Comprehensive Income/Statements of Capital and Comprehensive Income for each of the years in the three-year period ended December 31, 2024; (iv) Consolidated Statements of Cash Flows for each of the years in the three-year period ended December 31, 2024; and</w:t>
      </w:r>
    </w:p>
    <w:p>
      <w:pPr>
        <w:spacing w:after="0" w:line="3" w:lineRule="exact"/>
        <w:rPr>
          <w:rFonts w:ascii="Times New Roman" w:cs="Times New Roman" w:eastAsia="Times New Roman" w:hAnsi="Times New Roman"/>
          <w:sz w:val="14"/>
          <w:szCs w:val="14"/>
          <w:color w:val="auto"/>
        </w:rPr>
      </w:pPr>
    </w:p>
    <w:p>
      <w:pPr>
        <w:ind w:left="12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(v) Notes to Consolidated Financial Statements.</w:t>
      </w:r>
    </w:p>
    <w:p>
      <w:pPr>
        <w:spacing w:after="0" w:line="314" w:lineRule="exact"/>
        <w:rPr>
          <w:sz w:val="20"/>
          <w:szCs w:val="20"/>
          <w:color w:val="auto"/>
        </w:rPr>
      </w:pPr>
    </w:p>
    <w:p>
      <w:pPr>
        <w:ind w:left="320"/>
        <w:spacing w:after="0"/>
        <w:tabs>
          <w:tab w:leader="none" w:pos="1220" w:val="left"/>
        </w:tabs>
        <w:rPr>
          <w:sz w:val="20"/>
          <w:szCs w:val="20"/>
          <w:color w:val="auto"/>
        </w:rPr>
      </w:pPr>
      <w:r>
        <w:rPr>
          <w:rFonts w:ascii="Times New Roman" w:cs="Times New Roman" w:eastAsia="Times New Roman" w:hAnsi="Times New Roman"/>
          <w:sz w:val="16"/>
          <w:szCs w:val="16"/>
          <w:color w:val="auto"/>
        </w:rPr>
        <w:t>104</w:t>
      </w:r>
      <w:r>
        <w:rPr>
          <w:sz w:val="20"/>
          <w:szCs w:val="20"/>
          <w:color w:val="auto"/>
        </w:rPr>
        <w:tab/>
      </w:r>
      <w:r>
        <w:rPr>
          <w:rFonts w:ascii="Times New Roman" w:cs="Times New Roman" w:eastAsia="Times New Roman" w:hAnsi="Times New Roman"/>
          <w:sz w:val="16"/>
          <w:szCs w:val="16"/>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180975</wp:posOffset>
            </wp:positionV>
            <wp:extent cx="1326515"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93">
                      <a:extLst>
                        <a:ext uri="{28A0092B-C50C-407E-A947-70E740481C1C}"/>
                      </a:extLst>
                    </a:blip>
                    <a:srcRect/>
                    <a:stretch>
                      <a:fillRect/>
                    </a:stretch>
                  </pic:blipFill>
                  <pic:spPr bwMode="auto">
                    <a:xfrm>
                      <a:off x="0" y="0"/>
                      <a:ext cx="1326515" cy="7620"/>
                    </a:xfrm>
                    <a:prstGeom prst="rect">
                      <a:avLst/>
                    </a:prstGeom>
                    <a:noFill/>
                  </pic:spPr>
                </pic:pic>
              </a:graphicData>
            </a:graphic>
          </wp:anchor>
        </w:drawing>
      </w:r>
    </w:p>
    <w:p>
      <w:pPr>
        <w:spacing w:after="0" w:line="336" w:lineRule="exact"/>
        <w:rPr>
          <w:sz w:val="20"/>
          <w:szCs w:val="20"/>
          <w:color w:val="auto"/>
        </w:rPr>
      </w:pPr>
    </w:p>
    <w:p>
      <w:pPr>
        <w:ind w:left="600" w:right="5500" w:hanging="282"/>
        <w:spacing w:after="0" w:line="259" w:lineRule="auto"/>
        <w:tabs>
          <w:tab w:leader="none" w:pos="60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contract or compensatory plan or arrangement.</w:t>
      </w:r>
    </w:p>
    <w:p>
      <w:pPr>
        <w:spacing w:after="0" w:line="155" w:lineRule="exact"/>
        <w:rPr>
          <w:sz w:val="20"/>
          <w:szCs w:val="20"/>
          <w:color w:val="auto"/>
        </w:rPr>
      </w:pPr>
    </w:p>
    <w:p>
      <w:pPr>
        <w:ind w:left="600" w:right="520" w:hanging="282"/>
        <w:spacing w:after="0" w:line="259" w:lineRule="auto"/>
        <w:tabs>
          <w:tab w:leader="none" w:pos="60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Portions of this exhibit have been omitted because such portions (i) are not material and (ii) would be competitively harmful if publicly disclosed.</w:t>
      </w:r>
    </w:p>
    <w:p>
      <w:pPr>
        <w:spacing w:after="0" w:line="141" w:lineRule="exact"/>
        <w:rPr>
          <w:sz w:val="20"/>
          <w:szCs w:val="20"/>
          <w:color w:val="auto"/>
        </w:rPr>
      </w:pPr>
    </w:p>
    <w:p>
      <w:pPr>
        <w:ind w:left="320"/>
        <w:spacing w:after="0"/>
        <w:tabs>
          <w:tab w:leader="none" w:pos="1420" w:val="left"/>
        </w:tabs>
        <w:rPr>
          <w:sz w:val="20"/>
          <w:szCs w:val="20"/>
          <w:color w:val="auto"/>
        </w:rPr>
      </w:pPr>
      <w:r>
        <w:rPr>
          <w:rFonts w:ascii="Times New Roman" w:cs="Times New Roman" w:eastAsia="Times New Roman" w:hAnsi="Times New Roman"/>
          <w:sz w:val="16"/>
          <w:szCs w:val="16"/>
          <w:b w:val="1"/>
          <w:bCs w:val="1"/>
          <w:color w:val="auto"/>
        </w:rPr>
        <w:t>ITEM 16.</w:t>
      </w:r>
      <w:r>
        <w:rPr>
          <w:sz w:val="20"/>
          <w:szCs w:val="20"/>
          <w:color w:val="auto"/>
        </w:rPr>
        <w:tab/>
      </w:r>
      <w:r>
        <w:rPr>
          <w:rFonts w:ascii="Times New Roman" w:cs="Times New Roman" w:eastAsia="Times New Roman" w:hAnsi="Times New Roman"/>
          <w:sz w:val="14"/>
          <w:szCs w:val="14"/>
          <w:b w:val="1"/>
          <w:bCs w:val="1"/>
          <w:color w:val="auto"/>
        </w:rPr>
        <w:t>FORM 10-K SUMMARY</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94">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78" w:name="page179"/>
    <w:bookmarkEnd w:id="178"/>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0" w:lineRule="exact"/>
        <w:rPr>
          <w:sz w:val="20"/>
          <w:szCs w:val="20"/>
          <w:color w:val="auto"/>
        </w:rPr>
      </w:pPr>
    </w:p>
    <w:p>
      <w:pPr>
        <w:ind w:left="320" w:right="400"/>
        <w:spacing w:after="0" w:line="259"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5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6"/>
          <w:szCs w:val="16"/>
          <w:color w:val="auto"/>
        </w:rPr>
        <w:t>DIGITAL REALTY TRUST, INC.</w:t>
      </w:r>
    </w:p>
    <w:p>
      <w:pPr>
        <w:spacing w:after="0" w:line="176" w:lineRule="exact"/>
        <w:rPr>
          <w:sz w:val="20"/>
          <w:szCs w:val="20"/>
          <w:color w:val="auto"/>
        </w:rPr>
      </w:pPr>
    </w:p>
    <w:p>
      <w:pPr>
        <w:ind w:left="4140"/>
        <w:spacing w:after="0"/>
        <w:tabs>
          <w:tab w:leader="none" w:pos="582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ANDREW P.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2915920</wp:posOffset>
            </wp:positionH>
            <wp:positionV relativeFrom="paragraph">
              <wp:posOffset>5715</wp:posOffset>
            </wp:positionV>
            <wp:extent cx="2606675"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95">
                      <a:extLst>
                        <a:ext uri="{28A0092B-C50C-407E-A947-70E740481C1C}"/>
                      </a:extLst>
                    </a:blip>
                    <a:srcRect/>
                    <a:stretch>
                      <a:fillRect/>
                    </a:stretch>
                  </pic:blipFill>
                  <pic:spPr bwMode="auto">
                    <a:xfrm>
                      <a:off x="0" y="0"/>
                      <a:ext cx="2606675" cy="7620"/>
                    </a:xfrm>
                    <a:prstGeom prst="rect">
                      <a:avLst/>
                    </a:prstGeom>
                    <a:noFill/>
                  </pic:spPr>
                </pic:pic>
              </a:graphicData>
            </a:graphic>
          </wp:anchor>
        </w:drawing>
      </w:r>
    </w:p>
    <w:p>
      <w:pPr>
        <w:jc w:val="center"/>
        <w:ind w:left="4280"/>
        <w:spacing w:after="0"/>
        <w:rPr>
          <w:sz w:val="20"/>
          <w:szCs w:val="20"/>
          <w:color w:val="auto"/>
        </w:rPr>
      </w:pPr>
      <w:r>
        <w:rPr>
          <w:rFonts w:ascii="Times New Roman" w:cs="Times New Roman" w:eastAsia="Times New Roman" w:hAnsi="Times New Roman"/>
          <w:sz w:val="16"/>
          <w:szCs w:val="16"/>
          <w:b w:val="1"/>
          <w:bCs w:val="1"/>
          <w:color w:val="auto"/>
        </w:rPr>
        <w:t>Andrew P. Power</w:t>
      </w:r>
    </w:p>
    <w:p>
      <w:pPr>
        <w:spacing w:after="0" w:line="3" w:lineRule="exact"/>
        <w:rPr>
          <w:sz w:val="20"/>
          <w:szCs w:val="20"/>
          <w:color w:val="auto"/>
        </w:rPr>
      </w:pPr>
    </w:p>
    <w:p>
      <w:pPr>
        <w:jc w:val="center"/>
        <w:ind w:left="4280"/>
        <w:spacing w:after="0"/>
        <w:rPr>
          <w:sz w:val="20"/>
          <w:szCs w:val="20"/>
          <w:color w:val="auto"/>
        </w:rPr>
      </w:pPr>
      <w:r>
        <w:rPr>
          <w:rFonts w:ascii="Times New Roman" w:cs="Times New Roman" w:eastAsia="Times New Roman" w:hAnsi="Times New Roman"/>
          <w:sz w:val="16"/>
          <w:szCs w:val="16"/>
          <w:b w:val="1"/>
          <w:bCs w:val="1"/>
          <w:color w:val="auto"/>
        </w:rPr>
        <w:t>President &amp; Chief Executive Officer</w:t>
      </w:r>
    </w:p>
    <w:p>
      <w:pPr>
        <w:spacing w:after="0" w:line="15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6"/>
          <w:szCs w:val="16"/>
          <w:color w:val="auto"/>
        </w:rPr>
        <w:t>Date:  February 24, 2025</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POWER OF ATTORNEY</w:t>
      </w:r>
    </w:p>
    <w:p>
      <w:pPr>
        <w:spacing w:after="0" w:line="190" w:lineRule="exact"/>
        <w:rPr>
          <w:sz w:val="20"/>
          <w:szCs w:val="20"/>
          <w:color w:val="auto"/>
        </w:rPr>
      </w:pPr>
    </w:p>
    <w:p>
      <w:pPr>
        <w:ind w:left="320" w:right="360"/>
        <w:spacing w:after="0" w:line="238" w:lineRule="auto"/>
        <w:rPr>
          <w:sz w:val="20"/>
          <w:szCs w:val="20"/>
          <w:color w:val="auto"/>
        </w:rPr>
      </w:pPr>
      <w:r>
        <w:rPr>
          <w:rFonts w:ascii="Times New Roman" w:cs="Times New Roman" w:eastAsia="Times New Roman" w:hAnsi="Times New Roman"/>
          <w:sz w:val="16"/>
          <w:szCs w:val="16"/>
          <w:color w:val="auto"/>
        </w:rPr>
        <w:t>KNOW ALL PERSONS BY THESE PRESENTS, that each person whose signature appears below constitutes and appoints Andrew P. Power, Jeannie Lee and Matthew R. Mercier, and each of them, with full power to act without the other, such person’s true and lawful attorneys- in-fact and agents, with full power of substitution and resubstitution, for him or her and in his or her name, place and stead, in any and all capacities, to sign this Form 10-K and any and all amendments thereto, and to file the same, with exhibits and schedules thereto, and other documents in connection therewith, with the Securities and Exchange Commission, granting unto said attorneys -in -fact and agents, and each of them, full power and authority to do and perform each and every act and thing necessary or desirable to be done in and about the premises,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170" w:lineRule="exact"/>
        <w:rPr>
          <w:sz w:val="20"/>
          <w:szCs w:val="20"/>
          <w:color w:val="auto"/>
        </w:rPr>
      </w:pPr>
    </w:p>
    <w:p>
      <w:pPr>
        <w:ind w:left="320" w:right="480"/>
        <w:spacing w:after="0" w:line="259"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189" w:lineRule="exact"/>
        <w:rPr>
          <w:sz w:val="20"/>
          <w:szCs w:val="20"/>
          <w:color w:val="auto"/>
        </w:rPr>
      </w:pPr>
    </w:p>
    <w:tbl>
      <w:tblPr>
        <w:tblLayout w:type="fixed"/>
        <w:tblInd w:w="320" w:type="dxa"/>
        <w:tblCellMar>
          <w:top w:w="0" w:type="dxa"/>
          <w:left w:w="0" w:type="dxa"/>
          <w:bottom w:w="0" w:type="dxa"/>
          <w:right w:w="0" w:type="dxa"/>
        </w:tblCellMar>
      </w:tblPr>
      <w:tr>
        <w:trPr>
          <w:trHeight w:val="195"/>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Signature</w:t>
            </w:r>
          </w:p>
        </w:tc>
        <w:tc>
          <w:tcPr>
            <w:tcW w:w="260" w:type="dxa"/>
            <w:vAlign w:val="bottom"/>
          </w:tcPr>
          <w:p>
            <w:pPr>
              <w:spacing w:after="0"/>
              <w:rPr>
                <w:sz w:val="16"/>
                <w:szCs w:val="16"/>
                <w:color w:val="auto"/>
              </w:rPr>
            </w:pPr>
          </w:p>
        </w:tc>
        <w:tc>
          <w:tcPr>
            <w:tcW w:w="340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260" w:type="dxa"/>
            <w:vAlign w:val="bottom"/>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Date</w:t>
            </w:r>
          </w:p>
        </w:tc>
        <w:tc>
          <w:tcPr>
            <w:tcW w:w="20" w:type="dxa"/>
            <w:vAlign w:val="bottom"/>
            <w:tcBorders>
              <w:bottom w:val="single" w:sz="8" w:color="auto"/>
            </w:tcBorders>
          </w:tcPr>
          <w:p>
            <w:pPr>
              <w:spacing w:after="0"/>
              <w:rPr>
                <w:sz w:val="16"/>
                <w:szCs w:val="16"/>
                <w:color w:val="auto"/>
              </w:rPr>
            </w:pPr>
          </w:p>
        </w:tc>
      </w:tr>
      <w:tr>
        <w:trPr>
          <w:trHeight w:val="328"/>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/s/ MARY HOGAN PREUSSE</w:t>
            </w:r>
          </w:p>
        </w:tc>
        <w:tc>
          <w:tcPr>
            <w:tcW w:w="26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Chairman of the Board</w:t>
            </w:r>
          </w:p>
        </w:tc>
        <w:tc>
          <w:tcPr>
            <w:tcW w:w="26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February 24, 2025</w:t>
            </w:r>
          </w:p>
        </w:tc>
        <w:tc>
          <w:tcPr>
            <w:tcW w:w="20" w:type="dxa"/>
            <w:vAlign w:val="bottom"/>
          </w:tcPr>
          <w:p>
            <w:pPr>
              <w:spacing w:after="0"/>
              <w:rPr>
                <w:sz w:val="24"/>
                <w:szCs w:val="24"/>
                <w:color w:val="auto"/>
              </w:rPr>
            </w:pPr>
          </w:p>
        </w:tc>
      </w:tr>
      <w:tr>
        <w:trPr>
          <w:trHeight w:val="197"/>
        </w:trPr>
        <w:tc>
          <w:tcPr>
            <w:tcW w:w="2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Mary Hogan Preusse</w:t>
            </w:r>
          </w:p>
        </w:tc>
        <w:tc>
          <w:tcPr>
            <w:tcW w:w="2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98"/>
        </w:trPr>
        <w:tc>
          <w:tcPr>
            <w:tcW w:w="2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President &amp; Chief Executive Officer (Principal</w:t>
            </w: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3"/>
        </w:trPr>
        <w:tc>
          <w:tcPr>
            <w:tcW w:w="2820" w:type="dxa"/>
            <w:vAlign w:val="bottom"/>
            <w:tcBorders>
              <w:bottom w:val="single" w:sz="8" w:color="auto"/>
            </w:tcBorders>
          </w:tcPr>
          <w:p>
            <w:pPr>
              <w:jc w:val="center"/>
              <w:ind w:left="2"/>
              <w:spacing w:after="0"/>
              <w:rPr>
                <w:sz w:val="20"/>
                <w:szCs w:val="20"/>
                <w:color w:val="auto"/>
              </w:rPr>
            </w:pPr>
            <w:r>
              <w:rPr>
                <w:rFonts w:ascii="Times New Roman" w:cs="Times New Roman" w:eastAsia="Times New Roman" w:hAnsi="Times New Roman"/>
                <w:sz w:val="16"/>
                <w:szCs w:val="16"/>
                <w:color w:val="auto"/>
                <w:w w:val="97"/>
              </w:rPr>
              <w:t>/s/ ANDREW P. POWER</w:t>
            </w:r>
          </w:p>
        </w:tc>
        <w:tc>
          <w:tcPr>
            <w:tcW w:w="260" w:type="dxa"/>
            <w:vAlign w:val="bottom"/>
          </w:tcPr>
          <w:p>
            <w:pPr>
              <w:spacing w:after="0"/>
              <w:rPr>
                <w:sz w:val="16"/>
                <w:szCs w:val="16"/>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Executive Officer)</w:t>
            </w:r>
          </w:p>
        </w:tc>
        <w:tc>
          <w:tcPr>
            <w:tcW w:w="26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February 24, 2025</w:t>
            </w:r>
          </w:p>
        </w:tc>
        <w:tc>
          <w:tcPr>
            <w:tcW w:w="20" w:type="dxa"/>
            <w:vAlign w:val="bottom"/>
          </w:tcPr>
          <w:p>
            <w:pPr>
              <w:spacing w:after="0"/>
              <w:rPr>
                <w:sz w:val="16"/>
                <w:szCs w:val="16"/>
                <w:color w:val="auto"/>
              </w:rPr>
            </w:pPr>
          </w:p>
        </w:tc>
      </w:tr>
      <w:tr>
        <w:trPr>
          <w:trHeight w:val="197"/>
        </w:trPr>
        <w:tc>
          <w:tcPr>
            <w:tcW w:w="2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Andrew P. Power</w:t>
            </w:r>
          </w:p>
        </w:tc>
        <w:tc>
          <w:tcPr>
            <w:tcW w:w="2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1"/>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/s/ MATTHEW R. MERCIER</w:t>
            </w:r>
          </w:p>
        </w:tc>
        <w:tc>
          <w:tcPr>
            <w:tcW w:w="26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 (Principal Financial Officer)</w:t>
            </w:r>
          </w:p>
        </w:tc>
        <w:tc>
          <w:tcPr>
            <w:tcW w:w="26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February 24, 2025</w:t>
            </w:r>
          </w:p>
        </w:tc>
        <w:tc>
          <w:tcPr>
            <w:tcW w:w="20" w:type="dxa"/>
            <w:vAlign w:val="bottom"/>
          </w:tcPr>
          <w:p>
            <w:pPr>
              <w:spacing w:after="0"/>
              <w:rPr>
                <w:sz w:val="24"/>
                <w:szCs w:val="24"/>
                <w:color w:val="auto"/>
              </w:rPr>
            </w:pPr>
          </w:p>
        </w:tc>
      </w:tr>
      <w:tr>
        <w:trPr>
          <w:trHeight w:val="197"/>
        </w:trPr>
        <w:tc>
          <w:tcPr>
            <w:tcW w:w="2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Matthew R. Mercier</w:t>
            </w:r>
          </w:p>
        </w:tc>
        <w:tc>
          <w:tcPr>
            <w:tcW w:w="2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98"/>
        </w:trPr>
        <w:tc>
          <w:tcPr>
            <w:tcW w:w="2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Chief Accounting Officer (Principal Accounting</w:t>
            </w: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3"/>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/s/ CHRISTINE B. KORNEGAY</w:t>
            </w:r>
          </w:p>
        </w:tc>
        <w:tc>
          <w:tcPr>
            <w:tcW w:w="260" w:type="dxa"/>
            <w:vAlign w:val="bottom"/>
          </w:tcPr>
          <w:p>
            <w:pPr>
              <w:spacing w:after="0"/>
              <w:rPr>
                <w:sz w:val="16"/>
                <w:szCs w:val="16"/>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Officer)</w:t>
            </w:r>
          </w:p>
        </w:tc>
        <w:tc>
          <w:tcPr>
            <w:tcW w:w="26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February 24, 2025</w:t>
            </w:r>
          </w:p>
        </w:tc>
        <w:tc>
          <w:tcPr>
            <w:tcW w:w="20" w:type="dxa"/>
            <w:vAlign w:val="bottom"/>
          </w:tcPr>
          <w:p>
            <w:pPr>
              <w:spacing w:after="0"/>
              <w:rPr>
                <w:sz w:val="16"/>
                <w:szCs w:val="16"/>
                <w:color w:val="auto"/>
              </w:rPr>
            </w:pPr>
          </w:p>
        </w:tc>
      </w:tr>
      <w:tr>
        <w:trPr>
          <w:trHeight w:val="197"/>
        </w:trPr>
        <w:tc>
          <w:tcPr>
            <w:tcW w:w="2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Christine B. Kornegay</w:t>
            </w:r>
          </w:p>
        </w:tc>
        <w:tc>
          <w:tcPr>
            <w:tcW w:w="2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1"/>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/s/ VERALINN JAMIESON</w:t>
            </w:r>
          </w:p>
        </w:tc>
        <w:tc>
          <w:tcPr>
            <w:tcW w:w="26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26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February 24, 2025</w:t>
            </w:r>
          </w:p>
        </w:tc>
        <w:tc>
          <w:tcPr>
            <w:tcW w:w="20" w:type="dxa"/>
            <w:vAlign w:val="bottom"/>
          </w:tcPr>
          <w:p>
            <w:pPr>
              <w:spacing w:after="0"/>
              <w:rPr>
                <w:sz w:val="24"/>
                <w:szCs w:val="24"/>
                <w:color w:val="auto"/>
              </w:rPr>
            </w:pPr>
          </w:p>
        </w:tc>
      </w:tr>
      <w:tr>
        <w:trPr>
          <w:trHeight w:val="197"/>
        </w:trPr>
        <w:tc>
          <w:tcPr>
            <w:tcW w:w="2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VeraLinn Jamieson</w:t>
            </w:r>
          </w:p>
        </w:tc>
        <w:tc>
          <w:tcPr>
            <w:tcW w:w="2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49"/>
        </w:trPr>
        <w:tc>
          <w:tcPr>
            <w:tcW w:w="2820" w:type="dxa"/>
            <w:vAlign w:val="bottom"/>
          </w:tcPr>
          <w:p>
            <w:pPr>
              <w:spacing w:after="0"/>
              <w:rPr>
                <w:sz w:val="24"/>
                <w:szCs w:val="24"/>
                <w:color w:val="auto"/>
              </w:rPr>
            </w:pPr>
          </w:p>
        </w:tc>
        <w:tc>
          <w:tcPr>
            <w:tcW w:w="3660" w:type="dxa"/>
            <w:vAlign w:val="bottom"/>
            <w:gridSpan w:val="2"/>
          </w:tcPr>
          <w:p>
            <w:pPr>
              <w:jc w:val="right"/>
              <w:ind w:right="2102"/>
              <w:spacing w:after="0"/>
              <w:rPr>
                <w:sz w:val="20"/>
                <w:szCs w:val="20"/>
                <w:color w:val="auto"/>
              </w:rPr>
            </w:pPr>
            <w:r>
              <w:rPr>
                <w:rFonts w:ascii="Times New Roman" w:cs="Times New Roman" w:eastAsia="Times New Roman" w:hAnsi="Times New Roman"/>
                <w:sz w:val="16"/>
                <w:szCs w:val="16"/>
                <w:color w:val="auto"/>
              </w:rPr>
              <w:t>174</w:t>
            </w: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4"/>
        </w:trPr>
        <w:tc>
          <w:tcPr>
            <w:tcW w:w="2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40" w:orient="portrait"/>
          <w:cols w:equalWidth="0" w:num="1">
            <w:col w:w="9020"/>
          </w:cols>
          <w:pgMar w:left="1440" w:top="557" w:right="1440" w:bottom="1440" w:gutter="0" w:footer="0" w:header="0"/>
        </w:sectPr>
      </w:pPr>
    </w:p>
    <w:bookmarkStart w:id="179" w:name="page180"/>
    <w:bookmarkEnd w:id="179"/>
    <w:p>
      <w:pPr>
        <w:spacing w:after="0" w:line="1"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1120" w:type="dxa"/>
            <w:vAlign w:val="bottom"/>
            <w:tcBorders>
              <w:bottom w:val="single" w:sz="8" w:color="0000EE"/>
            </w:tcBorders>
          </w:tcPr>
          <w:p>
            <w:pPr>
              <w:spacing w:after="0"/>
              <w:rPr>
                <w:rFonts w:ascii="Times New Roman" w:cs="Times New Roman" w:eastAsia="Times New Roman" w:hAnsi="Times New Roman"/>
                <w:sz w:val="16"/>
                <w:szCs w:val="16"/>
                <w:color w:val="0000EE"/>
                <w:w w:val="95"/>
              </w:rPr>
            </w:pPr>
            <w:hyperlink w:anchor="page1">
              <w:r>
                <w:rPr>
                  <w:rFonts w:ascii="Times New Roman" w:cs="Times New Roman" w:eastAsia="Times New Roman" w:hAnsi="Times New Roman"/>
                  <w:sz w:val="16"/>
                  <w:szCs w:val="16"/>
                  <w:color w:val="0000EE"/>
                  <w:w w:val="95"/>
                </w:rPr>
                <w:t>Table of Contents</w:t>
              </w:r>
            </w:hyperlink>
          </w:p>
        </w:tc>
        <w:tc>
          <w:tcPr>
            <w:tcW w:w="1700" w:type="dxa"/>
            <w:vAlign w:val="bottom"/>
            <w:gridSpan w:val="2"/>
          </w:tcPr>
          <w:p>
            <w:pPr>
              <w:spacing w:after="0"/>
              <w:rPr>
                <w:sz w:val="16"/>
                <w:szCs w:val="16"/>
                <w:color w:val="auto"/>
              </w:rPr>
            </w:pPr>
          </w:p>
        </w:tc>
        <w:tc>
          <w:tcPr>
            <w:tcW w:w="26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400"/>
        </w:trPr>
        <w:tc>
          <w:tcPr>
            <w:tcW w:w="2820" w:type="dxa"/>
            <w:vAlign w:val="bottom"/>
            <w:gridSpan w:val="3"/>
          </w:tcPr>
          <w:p>
            <w:pPr>
              <w:spacing w:after="0"/>
              <w:rPr>
                <w:rFonts w:ascii="Times New Roman" w:cs="Times New Roman" w:eastAsia="Times New Roman" w:hAnsi="Times New Roman"/>
                <w:sz w:val="16"/>
                <w:szCs w:val="16"/>
                <w:color w:val="0563C1"/>
              </w:rPr>
            </w:pPr>
            <w:hyperlink w:anchor="page1">
              <w:r>
                <w:rPr>
                  <w:rFonts w:ascii="Times New Roman" w:cs="Times New Roman" w:eastAsia="Times New Roman" w:hAnsi="Times New Roman"/>
                  <w:sz w:val="16"/>
                  <w:szCs w:val="16"/>
                  <w:color w:val="0563C1"/>
                </w:rPr>
                <w:t>Index to Financial Statements</w:t>
              </w:r>
            </w:hyperlink>
          </w:p>
        </w:tc>
        <w:tc>
          <w:tcPr>
            <w:tcW w:w="2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0"/>
        </w:trPr>
        <w:tc>
          <w:tcPr>
            <w:tcW w:w="1840" w:type="dxa"/>
            <w:vAlign w:val="bottom"/>
            <w:tcBorders>
              <w:top w:val="single" w:sz="8" w:color="0563C1"/>
              <w:bottom w:val="single" w:sz="8" w:color="auto"/>
            </w:tcBorders>
            <w:gridSpan w:val="2"/>
          </w:tcPr>
          <w:p>
            <w:pPr>
              <w:jc w:val="center"/>
              <w:ind w:left="942"/>
              <w:spacing w:after="0"/>
              <w:rPr>
                <w:sz w:val="20"/>
                <w:szCs w:val="20"/>
                <w:color w:val="auto"/>
              </w:rPr>
            </w:pPr>
            <w:r>
              <w:rPr>
                <w:rFonts w:ascii="Times New Roman" w:cs="Times New Roman" w:eastAsia="Times New Roman" w:hAnsi="Times New Roman"/>
                <w:sz w:val="16"/>
                <w:szCs w:val="16"/>
                <w:b w:val="1"/>
                <w:bCs w:val="1"/>
                <w:color w:val="auto"/>
                <w:w w:val="98"/>
              </w:rPr>
              <w:t>Signature</w:t>
            </w:r>
          </w:p>
        </w:tc>
        <w:tc>
          <w:tcPr>
            <w:tcW w:w="9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40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260" w:type="dxa"/>
            <w:vAlign w:val="bottom"/>
          </w:tcPr>
          <w:p>
            <w:pPr>
              <w:spacing w:after="0"/>
              <w:rPr>
                <w:sz w:val="24"/>
                <w:szCs w:val="24"/>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Date</w:t>
            </w:r>
          </w:p>
        </w:tc>
        <w:tc>
          <w:tcPr>
            <w:tcW w:w="20" w:type="dxa"/>
            <w:vAlign w:val="bottom"/>
            <w:tcBorders>
              <w:bottom w:val="single" w:sz="8" w:color="auto"/>
            </w:tcBorders>
          </w:tcPr>
          <w:p>
            <w:pPr>
              <w:spacing w:after="0"/>
              <w:rPr>
                <w:sz w:val="24"/>
                <w:szCs w:val="24"/>
                <w:color w:val="auto"/>
              </w:rPr>
            </w:pPr>
          </w:p>
        </w:tc>
      </w:tr>
      <w:tr>
        <w:trPr>
          <w:trHeight w:val="352"/>
        </w:trPr>
        <w:tc>
          <w:tcPr>
            <w:tcW w:w="28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7"/>
              </w:rPr>
              <w:t>/s/ KEVIN J. KENNEDY</w:t>
            </w:r>
          </w:p>
        </w:tc>
        <w:tc>
          <w:tcPr>
            <w:tcW w:w="26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26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February 24, 2025</w:t>
            </w:r>
          </w:p>
        </w:tc>
        <w:tc>
          <w:tcPr>
            <w:tcW w:w="20" w:type="dxa"/>
            <w:vAlign w:val="bottom"/>
          </w:tcPr>
          <w:p>
            <w:pPr>
              <w:spacing w:after="0"/>
              <w:rPr>
                <w:sz w:val="24"/>
                <w:szCs w:val="24"/>
                <w:color w:val="auto"/>
              </w:rPr>
            </w:pPr>
          </w:p>
        </w:tc>
      </w:tr>
      <w:tr>
        <w:trPr>
          <w:trHeight w:val="197"/>
        </w:trPr>
        <w:tc>
          <w:tcPr>
            <w:tcW w:w="28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Kevin J. Kennedy</w:t>
            </w:r>
          </w:p>
        </w:tc>
        <w:tc>
          <w:tcPr>
            <w:tcW w:w="2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1"/>
        </w:trPr>
        <w:tc>
          <w:tcPr>
            <w:tcW w:w="28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7"/>
              </w:rPr>
              <w:t>/s/ WILLIAM G. LAPERCH</w:t>
            </w:r>
          </w:p>
        </w:tc>
        <w:tc>
          <w:tcPr>
            <w:tcW w:w="26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26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February 24, 2025</w:t>
            </w:r>
          </w:p>
        </w:tc>
        <w:tc>
          <w:tcPr>
            <w:tcW w:w="20" w:type="dxa"/>
            <w:vAlign w:val="bottom"/>
          </w:tcPr>
          <w:p>
            <w:pPr>
              <w:spacing w:after="0"/>
              <w:rPr>
                <w:sz w:val="24"/>
                <w:szCs w:val="24"/>
                <w:color w:val="auto"/>
              </w:rPr>
            </w:pPr>
          </w:p>
        </w:tc>
      </w:tr>
      <w:tr>
        <w:trPr>
          <w:trHeight w:val="197"/>
        </w:trPr>
        <w:tc>
          <w:tcPr>
            <w:tcW w:w="28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William G. LaPerch</w:t>
            </w:r>
          </w:p>
        </w:tc>
        <w:tc>
          <w:tcPr>
            <w:tcW w:w="2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1"/>
        </w:trPr>
        <w:tc>
          <w:tcPr>
            <w:tcW w:w="28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6"/>
              </w:rPr>
              <w:t>/s/ JEAN F.H.P. MANDEVILLE</w:t>
            </w:r>
          </w:p>
        </w:tc>
        <w:tc>
          <w:tcPr>
            <w:tcW w:w="26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26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February 24, 2025</w:t>
            </w:r>
          </w:p>
        </w:tc>
        <w:tc>
          <w:tcPr>
            <w:tcW w:w="20" w:type="dxa"/>
            <w:vAlign w:val="bottom"/>
          </w:tcPr>
          <w:p>
            <w:pPr>
              <w:spacing w:after="0"/>
              <w:rPr>
                <w:sz w:val="24"/>
                <w:szCs w:val="24"/>
                <w:color w:val="auto"/>
              </w:rPr>
            </w:pPr>
          </w:p>
        </w:tc>
      </w:tr>
      <w:tr>
        <w:trPr>
          <w:trHeight w:val="197"/>
        </w:trPr>
        <w:tc>
          <w:tcPr>
            <w:tcW w:w="28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Jean F.H.P. Mandeville</w:t>
            </w:r>
          </w:p>
        </w:tc>
        <w:tc>
          <w:tcPr>
            <w:tcW w:w="2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35"/>
        </w:trPr>
        <w:tc>
          <w:tcPr>
            <w:tcW w:w="28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6"/>
              </w:rPr>
              <w:t>/s/ AFSHIN MOHEBBI</w:t>
            </w:r>
          </w:p>
        </w:tc>
        <w:tc>
          <w:tcPr>
            <w:tcW w:w="26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26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February 24, 2025</w:t>
            </w:r>
          </w:p>
        </w:tc>
        <w:tc>
          <w:tcPr>
            <w:tcW w:w="20" w:type="dxa"/>
            <w:vAlign w:val="bottom"/>
          </w:tcPr>
          <w:p>
            <w:pPr>
              <w:spacing w:after="0"/>
              <w:rPr>
                <w:sz w:val="24"/>
                <w:szCs w:val="24"/>
                <w:color w:val="auto"/>
              </w:rPr>
            </w:pPr>
          </w:p>
        </w:tc>
      </w:tr>
      <w:tr>
        <w:trPr>
          <w:trHeight w:val="197"/>
        </w:trPr>
        <w:tc>
          <w:tcPr>
            <w:tcW w:w="28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Afshin Mohebbi</w:t>
            </w:r>
          </w:p>
        </w:tc>
        <w:tc>
          <w:tcPr>
            <w:tcW w:w="2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1"/>
        </w:trPr>
        <w:tc>
          <w:tcPr>
            <w:tcW w:w="28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6"/>
              </w:rPr>
              <w:t>/s/ MARK R. PATTERSON</w:t>
            </w:r>
          </w:p>
        </w:tc>
        <w:tc>
          <w:tcPr>
            <w:tcW w:w="26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26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February 24, 2025</w:t>
            </w:r>
          </w:p>
        </w:tc>
        <w:tc>
          <w:tcPr>
            <w:tcW w:w="20" w:type="dxa"/>
            <w:vAlign w:val="bottom"/>
          </w:tcPr>
          <w:p>
            <w:pPr>
              <w:spacing w:after="0"/>
              <w:rPr>
                <w:sz w:val="24"/>
                <w:szCs w:val="24"/>
                <w:color w:val="auto"/>
              </w:rPr>
            </w:pPr>
          </w:p>
        </w:tc>
      </w:tr>
      <w:tr>
        <w:trPr>
          <w:trHeight w:val="197"/>
        </w:trPr>
        <w:tc>
          <w:tcPr>
            <w:tcW w:w="28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Mark R. Patterson</w:t>
            </w:r>
          </w:p>
        </w:tc>
        <w:tc>
          <w:tcPr>
            <w:tcW w:w="2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1"/>
        </w:trPr>
        <w:tc>
          <w:tcPr>
            <w:tcW w:w="28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7"/>
              </w:rPr>
              <w:t>/s/ SUSAN SWANEZY</w:t>
            </w:r>
          </w:p>
        </w:tc>
        <w:tc>
          <w:tcPr>
            <w:tcW w:w="26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26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February 24, 2025</w:t>
            </w:r>
          </w:p>
        </w:tc>
        <w:tc>
          <w:tcPr>
            <w:tcW w:w="20" w:type="dxa"/>
            <w:vAlign w:val="bottom"/>
          </w:tcPr>
          <w:p>
            <w:pPr>
              <w:spacing w:after="0"/>
              <w:rPr>
                <w:sz w:val="24"/>
                <w:szCs w:val="24"/>
                <w:color w:val="auto"/>
              </w:rPr>
            </w:pPr>
          </w:p>
        </w:tc>
      </w:tr>
      <w:tr>
        <w:trPr>
          <w:trHeight w:val="197"/>
        </w:trPr>
        <w:tc>
          <w:tcPr>
            <w:tcW w:w="28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Susan Swanezy</w:t>
            </w:r>
          </w:p>
        </w:tc>
        <w:tc>
          <w:tcPr>
            <w:tcW w:w="2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29"/>
        </w:trPr>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60" w:type="dxa"/>
            <w:vAlign w:val="bottom"/>
            <w:gridSpan w:val="2"/>
          </w:tcPr>
          <w:p>
            <w:pPr>
              <w:jc w:val="right"/>
              <w:ind w:right="2102"/>
              <w:spacing w:after="0"/>
              <w:rPr>
                <w:sz w:val="20"/>
                <w:szCs w:val="20"/>
                <w:color w:val="auto"/>
              </w:rPr>
            </w:pPr>
            <w:r>
              <w:rPr>
                <w:rFonts w:ascii="Times New Roman" w:cs="Times New Roman" w:eastAsia="Times New Roman" w:hAnsi="Times New Roman"/>
                <w:sz w:val="16"/>
                <w:szCs w:val="16"/>
                <w:color w:val="auto"/>
              </w:rPr>
              <w:t>175</w:t>
            </w: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4"/>
        </w:trPr>
        <w:tc>
          <w:tcPr>
            <w:tcW w:w="1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40" w:orient="portrait"/>
          <w:cols w:equalWidth="0" w:num="1">
            <w:col w:w="9020"/>
          </w:cols>
          <w:pgMar w:left="1440" w:top="542" w:right="1440" w:bottom="1440" w:gutter="0" w:footer="0" w:header="0"/>
        </w:sectPr>
      </w:pPr>
    </w:p>
    <w:bookmarkStart w:id="180" w:name="page181"/>
    <w:bookmarkEnd w:id="180"/>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0" w:lineRule="exact"/>
        <w:rPr>
          <w:sz w:val="20"/>
          <w:szCs w:val="20"/>
          <w:color w:val="auto"/>
        </w:rPr>
      </w:pPr>
    </w:p>
    <w:p>
      <w:pPr>
        <w:ind w:left="320" w:right="400"/>
        <w:spacing w:after="0" w:line="259"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6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6"/>
          <w:szCs w:val="16"/>
          <w:color w:val="auto"/>
        </w:rPr>
        <w:t>DIGITAL REALTY TRUST, L.P.</w:t>
      </w:r>
    </w:p>
    <w:p>
      <w:pPr>
        <w:spacing w:after="0" w:line="172" w:lineRule="exact"/>
        <w:rPr>
          <w:sz w:val="20"/>
          <w:szCs w:val="20"/>
          <w:color w:val="auto"/>
        </w:rPr>
      </w:pPr>
    </w:p>
    <w:tbl>
      <w:tblPr>
        <w:tblLayout w:type="fixed"/>
        <w:tblInd w:w="4140" w:type="dxa"/>
        <w:tblCellMar>
          <w:top w:w="0" w:type="dxa"/>
          <w:left w:w="0" w:type="dxa"/>
          <w:bottom w:w="0" w:type="dxa"/>
          <w:right w:w="0" w:type="dxa"/>
        </w:tblCellMar>
      </w:tblPr>
      <w:tr>
        <w:trPr>
          <w:trHeight w:val="184"/>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Digital Realty Trust, Inc.,</w:t>
            </w:r>
          </w:p>
        </w:tc>
      </w:tr>
      <w:tr>
        <w:trPr>
          <w:trHeight w:val="203"/>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auto"/>
              </w:rPr>
              <w:t>Its</w:t>
            </w:r>
          </w:p>
        </w:tc>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General Partner</w:t>
            </w:r>
          </w:p>
        </w:tc>
      </w:tr>
      <w:tr>
        <w:trPr>
          <w:trHeight w:val="350"/>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4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/s/ ANDREW P. POWER</w:t>
            </w:r>
          </w:p>
        </w:tc>
      </w:tr>
      <w:tr>
        <w:trPr>
          <w:trHeight w:val="157"/>
        </w:trPr>
        <w:tc>
          <w:tcPr>
            <w:tcW w:w="460" w:type="dxa"/>
            <w:vAlign w:val="bottom"/>
          </w:tcPr>
          <w:p>
            <w:pPr>
              <w:spacing w:after="0"/>
              <w:rPr>
                <w:sz w:val="13"/>
                <w:szCs w:val="13"/>
                <w:color w:val="auto"/>
              </w:rPr>
            </w:pPr>
          </w:p>
        </w:tc>
        <w:tc>
          <w:tcPr>
            <w:tcW w:w="410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7"/>
              </w:rPr>
              <w:t>Andrew P. Power</w:t>
            </w:r>
          </w:p>
        </w:tc>
      </w:tr>
      <w:tr>
        <w:trPr>
          <w:trHeight w:val="205"/>
        </w:trPr>
        <w:tc>
          <w:tcPr>
            <w:tcW w:w="460" w:type="dxa"/>
            <w:vAlign w:val="bottom"/>
          </w:tcPr>
          <w:p>
            <w:pPr>
              <w:spacing w:after="0"/>
              <w:rPr>
                <w:sz w:val="17"/>
                <w:szCs w:val="17"/>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President &amp; Chief Executive Officer</w:t>
            </w:r>
          </w:p>
        </w:tc>
      </w:tr>
    </w:tbl>
    <w:p>
      <w:pPr>
        <w:spacing w:after="0" w:line="15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6"/>
          <w:szCs w:val="16"/>
          <w:color w:val="auto"/>
        </w:rPr>
        <w:t>Date:  February 24, 2025</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POWER OF ATTORNEY</w:t>
      </w:r>
    </w:p>
    <w:p>
      <w:pPr>
        <w:spacing w:after="0" w:line="190" w:lineRule="exact"/>
        <w:rPr>
          <w:sz w:val="20"/>
          <w:szCs w:val="20"/>
          <w:color w:val="auto"/>
        </w:rPr>
      </w:pPr>
    </w:p>
    <w:p>
      <w:pPr>
        <w:ind w:left="320" w:right="360"/>
        <w:spacing w:after="0" w:line="238" w:lineRule="auto"/>
        <w:rPr>
          <w:sz w:val="20"/>
          <w:szCs w:val="20"/>
          <w:color w:val="auto"/>
        </w:rPr>
      </w:pPr>
      <w:r>
        <w:rPr>
          <w:rFonts w:ascii="Times New Roman" w:cs="Times New Roman" w:eastAsia="Times New Roman" w:hAnsi="Times New Roman"/>
          <w:sz w:val="16"/>
          <w:szCs w:val="16"/>
          <w:color w:val="auto"/>
        </w:rPr>
        <w:t>KNOW ALL PERSONS BY THESE PRESENTS, that each person whose signature appears below constitutes and appoints Andrew P. Power, Jeannie Lee and Matthew R. Mercier, and each of them, with full power to act without the other, such person’s true and lawful attorneys- in-fact and agents, with full power of substitution and resubstitution, for him or her and in his or her name, place and stead, in any and all capacities, to sign this Form 10-K and any and all amendments thereto, and to file the same, with exhibits and schedules thereto, and other documents in connection therewith, with the Securities and Exchange Commission, granting unto said attorneys -in -fact and agents, and each of them, full power and authority to do and perform each and every act and thing necessary or desirable to be done in and about the premises,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170" w:lineRule="exact"/>
        <w:rPr>
          <w:sz w:val="20"/>
          <w:szCs w:val="20"/>
          <w:color w:val="auto"/>
        </w:rPr>
      </w:pPr>
    </w:p>
    <w:p>
      <w:pPr>
        <w:ind w:left="320" w:right="480"/>
        <w:spacing w:after="0" w:line="259"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189" w:lineRule="exact"/>
        <w:rPr>
          <w:sz w:val="20"/>
          <w:szCs w:val="20"/>
          <w:color w:val="auto"/>
        </w:rPr>
      </w:pPr>
    </w:p>
    <w:tbl>
      <w:tblPr>
        <w:tblLayout w:type="fixed"/>
        <w:tblInd w:w="320" w:type="dxa"/>
        <w:tblCellMar>
          <w:top w:w="0" w:type="dxa"/>
          <w:left w:w="0" w:type="dxa"/>
          <w:bottom w:w="0" w:type="dxa"/>
          <w:right w:w="0" w:type="dxa"/>
        </w:tblCellMar>
      </w:tblPr>
      <w:tr>
        <w:trPr>
          <w:trHeight w:val="195"/>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Signature</w:t>
            </w:r>
          </w:p>
        </w:tc>
        <w:tc>
          <w:tcPr>
            <w:tcW w:w="260" w:type="dxa"/>
            <w:vAlign w:val="bottom"/>
          </w:tcPr>
          <w:p>
            <w:pPr>
              <w:spacing w:after="0"/>
              <w:rPr>
                <w:sz w:val="16"/>
                <w:szCs w:val="16"/>
                <w:color w:val="auto"/>
              </w:rPr>
            </w:pPr>
          </w:p>
        </w:tc>
        <w:tc>
          <w:tcPr>
            <w:tcW w:w="340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260" w:type="dxa"/>
            <w:vAlign w:val="bottom"/>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Date</w:t>
            </w:r>
          </w:p>
        </w:tc>
        <w:tc>
          <w:tcPr>
            <w:tcW w:w="20" w:type="dxa"/>
            <w:vAlign w:val="bottom"/>
            <w:tcBorders>
              <w:bottom w:val="single" w:sz="8" w:color="auto"/>
            </w:tcBorders>
          </w:tcPr>
          <w:p>
            <w:pPr>
              <w:spacing w:after="0"/>
              <w:rPr>
                <w:sz w:val="16"/>
                <w:szCs w:val="16"/>
                <w:color w:val="auto"/>
              </w:rPr>
            </w:pPr>
          </w:p>
        </w:tc>
      </w:tr>
      <w:tr>
        <w:trPr>
          <w:trHeight w:val="328"/>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/s/ MARY HOGAN PREUSSE</w:t>
            </w:r>
          </w:p>
        </w:tc>
        <w:tc>
          <w:tcPr>
            <w:tcW w:w="26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Chairman of the Board</w:t>
            </w:r>
          </w:p>
        </w:tc>
        <w:tc>
          <w:tcPr>
            <w:tcW w:w="26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February 24, 2025</w:t>
            </w:r>
          </w:p>
        </w:tc>
        <w:tc>
          <w:tcPr>
            <w:tcW w:w="20" w:type="dxa"/>
            <w:vAlign w:val="bottom"/>
          </w:tcPr>
          <w:p>
            <w:pPr>
              <w:spacing w:after="0"/>
              <w:rPr>
                <w:sz w:val="24"/>
                <w:szCs w:val="24"/>
                <w:color w:val="auto"/>
              </w:rPr>
            </w:pPr>
          </w:p>
        </w:tc>
      </w:tr>
      <w:tr>
        <w:trPr>
          <w:trHeight w:val="197"/>
        </w:trPr>
        <w:tc>
          <w:tcPr>
            <w:tcW w:w="2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Mary Hogan Preusse</w:t>
            </w:r>
          </w:p>
        </w:tc>
        <w:tc>
          <w:tcPr>
            <w:tcW w:w="2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98"/>
        </w:trPr>
        <w:tc>
          <w:tcPr>
            <w:tcW w:w="2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President &amp; Chief Executive Officer (Principal</w:t>
            </w: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3"/>
        </w:trPr>
        <w:tc>
          <w:tcPr>
            <w:tcW w:w="2820" w:type="dxa"/>
            <w:vAlign w:val="bottom"/>
            <w:tcBorders>
              <w:bottom w:val="single" w:sz="8" w:color="auto"/>
            </w:tcBorders>
          </w:tcPr>
          <w:p>
            <w:pPr>
              <w:jc w:val="center"/>
              <w:ind w:left="2"/>
              <w:spacing w:after="0"/>
              <w:rPr>
                <w:sz w:val="20"/>
                <w:szCs w:val="20"/>
                <w:color w:val="auto"/>
              </w:rPr>
            </w:pPr>
            <w:r>
              <w:rPr>
                <w:rFonts w:ascii="Times New Roman" w:cs="Times New Roman" w:eastAsia="Times New Roman" w:hAnsi="Times New Roman"/>
                <w:sz w:val="16"/>
                <w:szCs w:val="16"/>
                <w:color w:val="auto"/>
                <w:w w:val="97"/>
              </w:rPr>
              <w:t>/s/ ANDREW P. POWER</w:t>
            </w:r>
          </w:p>
        </w:tc>
        <w:tc>
          <w:tcPr>
            <w:tcW w:w="260" w:type="dxa"/>
            <w:vAlign w:val="bottom"/>
          </w:tcPr>
          <w:p>
            <w:pPr>
              <w:spacing w:after="0"/>
              <w:rPr>
                <w:sz w:val="16"/>
                <w:szCs w:val="16"/>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Executive Officer)</w:t>
            </w:r>
          </w:p>
        </w:tc>
        <w:tc>
          <w:tcPr>
            <w:tcW w:w="26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February 24, 2025</w:t>
            </w:r>
          </w:p>
        </w:tc>
        <w:tc>
          <w:tcPr>
            <w:tcW w:w="20" w:type="dxa"/>
            <w:vAlign w:val="bottom"/>
          </w:tcPr>
          <w:p>
            <w:pPr>
              <w:spacing w:after="0"/>
              <w:rPr>
                <w:sz w:val="16"/>
                <w:szCs w:val="16"/>
                <w:color w:val="auto"/>
              </w:rPr>
            </w:pPr>
          </w:p>
        </w:tc>
      </w:tr>
      <w:tr>
        <w:trPr>
          <w:trHeight w:val="197"/>
        </w:trPr>
        <w:tc>
          <w:tcPr>
            <w:tcW w:w="2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Andrew P. Power</w:t>
            </w:r>
          </w:p>
        </w:tc>
        <w:tc>
          <w:tcPr>
            <w:tcW w:w="2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1"/>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/s/ MATTHEW R. MERCIER</w:t>
            </w:r>
          </w:p>
        </w:tc>
        <w:tc>
          <w:tcPr>
            <w:tcW w:w="26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 (Principal Financial Officer)</w:t>
            </w:r>
          </w:p>
        </w:tc>
        <w:tc>
          <w:tcPr>
            <w:tcW w:w="26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February 24, 2025</w:t>
            </w:r>
          </w:p>
        </w:tc>
        <w:tc>
          <w:tcPr>
            <w:tcW w:w="20" w:type="dxa"/>
            <w:vAlign w:val="bottom"/>
          </w:tcPr>
          <w:p>
            <w:pPr>
              <w:spacing w:after="0"/>
              <w:rPr>
                <w:sz w:val="24"/>
                <w:szCs w:val="24"/>
                <w:color w:val="auto"/>
              </w:rPr>
            </w:pPr>
          </w:p>
        </w:tc>
      </w:tr>
      <w:tr>
        <w:trPr>
          <w:trHeight w:val="197"/>
        </w:trPr>
        <w:tc>
          <w:tcPr>
            <w:tcW w:w="2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Matthew R. Mercier</w:t>
            </w:r>
          </w:p>
        </w:tc>
        <w:tc>
          <w:tcPr>
            <w:tcW w:w="2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98"/>
        </w:trPr>
        <w:tc>
          <w:tcPr>
            <w:tcW w:w="2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Chief Accounting Officer (Principal Accounting</w:t>
            </w: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3"/>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/s/ CHRISTINE B. KORNEGAY</w:t>
            </w:r>
          </w:p>
        </w:tc>
        <w:tc>
          <w:tcPr>
            <w:tcW w:w="260" w:type="dxa"/>
            <w:vAlign w:val="bottom"/>
          </w:tcPr>
          <w:p>
            <w:pPr>
              <w:spacing w:after="0"/>
              <w:rPr>
                <w:sz w:val="16"/>
                <w:szCs w:val="16"/>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Officer)</w:t>
            </w:r>
          </w:p>
        </w:tc>
        <w:tc>
          <w:tcPr>
            <w:tcW w:w="26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February 24, 2025</w:t>
            </w:r>
          </w:p>
        </w:tc>
        <w:tc>
          <w:tcPr>
            <w:tcW w:w="20" w:type="dxa"/>
            <w:vAlign w:val="bottom"/>
          </w:tcPr>
          <w:p>
            <w:pPr>
              <w:spacing w:after="0"/>
              <w:rPr>
                <w:sz w:val="16"/>
                <w:szCs w:val="16"/>
                <w:color w:val="auto"/>
              </w:rPr>
            </w:pPr>
          </w:p>
        </w:tc>
      </w:tr>
      <w:tr>
        <w:trPr>
          <w:trHeight w:val="197"/>
        </w:trPr>
        <w:tc>
          <w:tcPr>
            <w:tcW w:w="2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Christine B. Kornegay</w:t>
            </w:r>
          </w:p>
        </w:tc>
        <w:tc>
          <w:tcPr>
            <w:tcW w:w="2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67"/>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/s/ VERALINN JAMIESON</w:t>
            </w:r>
          </w:p>
        </w:tc>
        <w:tc>
          <w:tcPr>
            <w:tcW w:w="26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26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February 24, 2025</w:t>
            </w:r>
          </w:p>
        </w:tc>
        <w:tc>
          <w:tcPr>
            <w:tcW w:w="20" w:type="dxa"/>
            <w:vAlign w:val="bottom"/>
          </w:tcPr>
          <w:p>
            <w:pPr>
              <w:spacing w:after="0"/>
              <w:rPr>
                <w:sz w:val="24"/>
                <w:szCs w:val="24"/>
                <w:color w:val="auto"/>
              </w:rPr>
            </w:pPr>
          </w:p>
        </w:tc>
      </w:tr>
      <w:tr>
        <w:trPr>
          <w:trHeight w:val="197"/>
        </w:trPr>
        <w:tc>
          <w:tcPr>
            <w:tcW w:w="2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VeraLinn Jamieson</w:t>
            </w:r>
          </w:p>
        </w:tc>
        <w:tc>
          <w:tcPr>
            <w:tcW w:w="2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49"/>
        </w:trPr>
        <w:tc>
          <w:tcPr>
            <w:tcW w:w="2820" w:type="dxa"/>
            <w:vAlign w:val="bottom"/>
          </w:tcPr>
          <w:p>
            <w:pPr>
              <w:spacing w:after="0"/>
              <w:rPr>
                <w:sz w:val="24"/>
                <w:szCs w:val="24"/>
                <w:color w:val="auto"/>
              </w:rPr>
            </w:pPr>
          </w:p>
        </w:tc>
        <w:tc>
          <w:tcPr>
            <w:tcW w:w="3660" w:type="dxa"/>
            <w:vAlign w:val="bottom"/>
            <w:gridSpan w:val="2"/>
          </w:tcPr>
          <w:p>
            <w:pPr>
              <w:jc w:val="right"/>
              <w:ind w:right="2102"/>
              <w:spacing w:after="0"/>
              <w:rPr>
                <w:sz w:val="20"/>
                <w:szCs w:val="20"/>
                <w:color w:val="auto"/>
              </w:rPr>
            </w:pPr>
            <w:r>
              <w:rPr>
                <w:rFonts w:ascii="Times New Roman" w:cs="Times New Roman" w:eastAsia="Times New Roman" w:hAnsi="Times New Roman"/>
                <w:sz w:val="16"/>
                <w:szCs w:val="16"/>
                <w:color w:val="auto"/>
              </w:rPr>
              <w:t>176</w:t>
            </w: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4"/>
        </w:trPr>
        <w:tc>
          <w:tcPr>
            <w:tcW w:w="2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40" w:orient="portrait"/>
          <w:cols w:equalWidth="0" w:num="1">
            <w:col w:w="9020"/>
          </w:cols>
          <w:pgMar w:left="1440" w:top="557" w:right="1440" w:bottom="1440" w:gutter="0" w:footer="0" w:header="0"/>
        </w:sectPr>
      </w:pPr>
    </w:p>
    <w:bookmarkStart w:id="181" w:name="page182"/>
    <w:bookmarkEnd w:id="181"/>
    <w:p>
      <w:pPr>
        <w:spacing w:after="0" w:line="1"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1120" w:type="dxa"/>
            <w:vAlign w:val="bottom"/>
            <w:tcBorders>
              <w:bottom w:val="single" w:sz="8" w:color="0000EE"/>
            </w:tcBorders>
          </w:tcPr>
          <w:p>
            <w:pPr>
              <w:spacing w:after="0"/>
              <w:rPr>
                <w:rFonts w:ascii="Times New Roman" w:cs="Times New Roman" w:eastAsia="Times New Roman" w:hAnsi="Times New Roman"/>
                <w:sz w:val="16"/>
                <w:szCs w:val="16"/>
                <w:color w:val="0000EE"/>
                <w:w w:val="95"/>
              </w:rPr>
            </w:pPr>
            <w:hyperlink w:anchor="page1">
              <w:r>
                <w:rPr>
                  <w:rFonts w:ascii="Times New Roman" w:cs="Times New Roman" w:eastAsia="Times New Roman" w:hAnsi="Times New Roman"/>
                  <w:sz w:val="16"/>
                  <w:szCs w:val="16"/>
                  <w:color w:val="0000EE"/>
                  <w:w w:val="95"/>
                </w:rPr>
                <w:t>Table of Contents</w:t>
              </w:r>
            </w:hyperlink>
          </w:p>
        </w:tc>
        <w:tc>
          <w:tcPr>
            <w:tcW w:w="1700" w:type="dxa"/>
            <w:vAlign w:val="bottom"/>
            <w:gridSpan w:val="2"/>
          </w:tcPr>
          <w:p>
            <w:pPr>
              <w:spacing w:after="0"/>
              <w:rPr>
                <w:sz w:val="16"/>
                <w:szCs w:val="16"/>
                <w:color w:val="auto"/>
              </w:rPr>
            </w:pPr>
          </w:p>
        </w:tc>
        <w:tc>
          <w:tcPr>
            <w:tcW w:w="26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400"/>
        </w:trPr>
        <w:tc>
          <w:tcPr>
            <w:tcW w:w="2820" w:type="dxa"/>
            <w:vAlign w:val="bottom"/>
            <w:gridSpan w:val="3"/>
          </w:tcPr>
          <w:p>
            <w:pPr>
              <w:spacing w:after="0"/>
              <w:rPr>
                <w:rFonts w:ascii="Times New Roman" w:cs="Times New Roman" w:eastAsia="Times New Roman" w:hAnsi="Times New Roman"/>
                <w:sz w:val="16"/>
                <w:szCs w:val="16"/>
                <w:color w:val="0563C1"/>
              </w:rPr>
            </w:pPr>
            <w:hyperlink w:anchor="page1">
              <w:r>
                <w:rPr>
                  <w:rFonts w:ascii="Times New Roman" w:cs="Times New Roman" w:eastAsia="Times New Roman" w:hAnsi="Times New Roman"/>
                  <w:sz w:val="16"/>
                  <w:szCs w:val="16"/>
                  <w:color w:val="0563C1"/>
                </w:rPr>
                <w:t>Index to Financial Statements</w:t>
              </w:r>
            </w:hyperlink>
          </w:p>
        </w:tc>
        <w:tc>
          <w:tcPr>
            <w:tcW w:w="2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00"/>
        </w:trPr>
        <w:tc>
          <w:tcPr>
            <w:tcW w:w="1840" w:type="dxa"/>
            <w:vAlign w:val="bottom"/>
            <w:tcBorders>
              <w:top w:val="single" w:sz="8" w:color="0563C1"/>
              <w:bottom w:val="single" w:sz="8" w:color="auto"/>
            </w:tcBorders>
            <w:gridSpan w:val="2"/>
          </w:tcPr>
          <w:p>
            <w:pPr>
              <w:jc w:val="center"/>
              <w:ind w:left="942"/>
              <w:spacing w:after="0"/>
              <w:rPr>
                <w:sz w:val="20"/>
                <w:szCs w:val="20"/>
                <w:color w:val="auto"/>
              </w:rPr>
            </w:pPr>
            <w:r>
              <w:rPr>
                <w:rFonts w:ascii="Times New Roman" w:cs="Times New Roman" w:eastAsia="Times New Roman" w:hAnsi="Times New Roman"/>
                <w:sz w:val="16"/>
                <w:szCs w:val="16"/>
                <w:b w:val="1"/>
                <w:bCs w:val="1"/>
                <w:color w:val="auto"/>
                <w:w w:val="98"/>
              </w:rPr>
              <w:t>Signature</w:t>
            </w:r>
          </w:p>
        </w:tc>
        <w:tc>
          <w:tcPr>
            <w:tcW w:w="9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40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260" w:type="dxa"/>
            <w:vAlign w:val="bottom"/>
          </w:tcPr>
          <w:p>
            <w:pPr>
              <w:spacing w:after="0"/>
              <w:rPr>
                <w:sz w:val="24"/>
                <w:szCs w:val="24"/>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Date</w:t>
            </w:r>
          </w:p>
        </w:tc>
      </w:tr>
      <w:tr>
        <w:trPr>
          <w:trHeight w:val="352"/>
        </w:trPr>
        <w:tc>
          <w:tcPr>
            <w:tcW w:w="28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7"/>
              </w:rPr>
              <w:t>/s/ KEVIN J. KENNEDY</w:t>
            </w:r>
          </w:p>
        </w:tc>
        <w:tc>
          <w:tcPr>
            <w:tcW w:w="26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26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February 24, 2025</w:t>
            </w:r>
          </w:p>
        </w:tc>
      </w:tr>
      <w:tr>
        <w:trPr>
          <w:trHeight w:val="197"/>
        </w:trPr>
        <w:tc>
          <w:tcPr>
            <w:tcW w:w="28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Kevin J. Kennedy</w:t>
            </w:r>
          </w:p>
        </w:tc>
        <w:tc>
          <w:tcPr>
            <w:tcW w:w="2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311"/>
        </w:trPr>
        <w:tc>
          <w:tcPr>
            <w:tcW w:w="28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7"/>
              </w:rPr>
              <w:t>/s/ WILLIAM G. LAPERCH</w:t>
            </w:r>
          </w:p>
        </w:tc>
        <w:tc>
          <w:tcPr>
            <w:tcW w:w="26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26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February 24, 2025</w:t>
            </w:r>
          </w:p>
        </w:tc>
      </w:tr>
      <w:tr>
        <w:trPr>
          <w:trHeight w:val="197"/>
        </w:trPr>
        <w:tc>
          <w:tcPr>
            <w:tcW w:w="28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William G. LaPerch</w:t>
            </w:r>
          </w:p>
        </w:tc>
        <w:tc>
          <w:tcPr>
            <w:tcW w:w="2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311"/>
        </w:trPr>
        <w:tc>
          <w:tcPr>
            <w:tcW w:w="28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6"/>
              </w:rPr>
              <w:t>/s/ JEAN F.H.P. MANDEVILLE</w:t>
            </w:r>
          </w:p>
        </w:tc>
        <w:tc>
          <w:tcPr>
            <w:tcW w:w="26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26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February 24, 2025</w:t>
            </w:r>
          </w:p>
        </w:tc>
      </w:tr>
      <w:tr>
        <w:trPr>
          <w:trHeight w:val="197"/>
        </w:trPr>
        <w:tc>
          <w:tcPr>
            <w:tcW w:w="28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Jean F.H.P. Mandeville</w:t>
            </w:r>
          </w:p>
        </w:tc>
        <w:tc>
          <w:tcPr>
            <w:tcW w:w="2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335"/>
        </w:trPr>
        <w:tc>
          <w:tcPr>
            <w:tcW w:w="28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6"/>
              </w:rPr>
              <w:t>/s/ AFSHIN MOHEBBI</w:t>
            </w:r>
          </w:p>
        </w:tc>
        <w:tc>
          <w:tcPr>
            <w:tcW w:w="26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26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February 24, 2025</w:t>
            </w:r>
          </w:p>
        </w:tc>
      </w:tr>
      <w:tr>
        <w:trPr>
          <w:trHeight w:val="197"/>
        </w:trPr>
        <w:tc>
          <w:tcPr>
            <w:tcW w:w="28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Afshin Mohebbi</w:t>
            </w:r>
          </w:p>
        </w:tc>
        <w:tc>
          <w:tcPr>
            <w:tcW w:w="2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311"/>
        </w:trPr>
        <w:tc>
          <w:tcPr>
            <w:tcW w:w="28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6"/>
              </w:rPr>
              <w:t>/s/ MARK R. PATTERSON</w:t>
            </w:r>
          </w:p>
        </w:tc>
        <w:tc>
          <w:tcPr>
            <w:tcW w:w="26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26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February 24, 2025</w:t>
            </w:r>
          </w:p>
        </w:tc>
      </w:tr>
      <w:tr>
        <w:trPr>
          <w:trHeight w:val="197"/>
        </w:trPr>
        <w:tc>
          <w:tcPr>
            <w:tcW w:w="28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Mark R. Patterson</w:t>
            </w:r>
          </w:p>
        </w:tc>
        <w:tc>
          <w:tcPr>
            <w:tcW w:w="2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311"/>
        </w:trPr>
        <w:tc>
          <w:tcPr>
            <w:tcW w:w="28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7"/>
              </w:rPr>
              <w:t>/s/ SUSAN SWANEZY</w:t>
            </w:r>
          </w:p>
        </w:tc>
        <w:tc>
          <w:tcPr>
            <w:tcW w:w="26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26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February 24, 2025</w:t>
            </w:r>
          </w:p>
        </w:tc>
      </w:tr>
      <w:tr>
        <w:trPr>
          <w:trHeight w:val="197"/>
        </w:trPr>
        <w:tc>
          <w:tcPr>
            <w:tcW w:w="28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Susan Swanezy</w:t>
            </w:r>
          </w:p>
        </w:tc>
        <w:tc>
          <w:tcPr>
            <w:tcW w:w="2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96">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42" w:right="1440" w:bottom="1440" w:gutter="0" w:footer="0" w:header="0"/>
        </w:sectPr>
      </w:pPr>
    </w:p>
    <w:bookmarkStart w:id="182" w:name="page183"/>
    <w:bookmarkEnd w:id="182"/>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Exhibit 3.1</w:t>
      </w:r>
    </w:p>
    <w:p>
      <w:pPr>
        <w:spacing w:after="0" w:line="211" w:lineRule="exact"/>
        <w:rPr>
          <w:sz w:val="20"/>
          <w:szCs w:val="20"/>
          <w:color w:val="auto"/>
        </w:rPr>
      </w:pPr>
    </w:p>
    <w:p>
      <w:pPr>
        <w:jc w:val="center"/>
        <w:ind w:right="20"/>
        <w:spacing w:after="0"/>
        <w:tabs>
          <w:tab w:leader="none" w:pos="120" w:val="left"/>
          <w:tab w:leader="none" w:pos="100" w:val="left"/>
          <w:tab w:leader="none" w:pos="100" w:val="left"/>
        </w:tabs>
        <w:rPr>
          <w:sz w:val="20"/>
          <w:szCs w:val="20"/>
          <w:color w:val="auto"/>
        </w:rPr>
      </w:pPr>
      <w:r>
        <w:rPr>
          <w:rFonts w:ascii="Times New Roman" w:cs="Times New Roman" w:eastAsia="Times New Roman" w:hAnsi="Times New Roman"/>
          <w:sz w:val="13"/>
          <w:szCs w:val="13"/>
          <w:b w:val="1"/>
          <w:bCs w:val="1"/>
          <w:color w:val="auto"/>
        </w:rPr>
        <w:t>DIGITAL</w:t>
        <w:tab/>
        <w:t>REALTY</w:t>
        <w:tab/>
        <w:t>TRUST,</w:t>
        <w:tab/>
        <w:t>INC. ARTICLES OF</w:t>
      </w:r>
    </w:p>
    <w:p>
      <w:pPr>
        <w:spacing w:after="0" w:line="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AMENDMENT AND RESTATEMENT</w:t>
      </w:r>
    </w:p>
    <w:p>
      <w:pPr>
        <w:spacing w:after="0" w:line="165" w:lineRule="exact"/>
        <w:rPr>
          <w:sz w:val="20"/>
          <w:szCs w:val="20"/>
          <w:color w:val="auto"/>
        </w:rPr>
      </w:pPr>
    </w:p>
    <w:p>
      <w:pPr>
        <w:ind w:left="600" w:right="680" w:firstLine="612"/>
        <w:spacing w:after="0" w:line="305" w:lineRule="auto"/>
        <w:rPr>
          <w:sz w:val="20"/>
          <w:szCs w:val="20"/>
          <w:color w:val="auto"/>
        </w:rPr>
      </w:pPr>
      <w:r>
        <w:rPr>
          <w:rFonts w:ascii="Times New Roman" w:cs="Times New Roman" w:eastAsia="Times New Roman" w:hAnsi="Times New Roman"/>
          <w:sz w:val="13"/>
          <w:szCs w:val="13"/>
          <w:u w:val="single" w:color="auto"/>
          <w:color w:val="auto"/>
        </w:rPr>
        <w:t>FIRST</w:t>
      </w:r>
      <w:r>
        <w:rPr>
          <w:rFonts w:ascii="Times New Roman" w:cs="Times New Roman" w:eastAsia="Times New Roman" w:hAnsi="Times New Roman"/>
          <w:sz w:val="13"/>
          <w:szCs w:val="13"/>
          <w:color w:val="auto"/>
        </w:rPr>
        <w:t xml:space="preserve"> : Digital Realty Trust, Inc., a Maryland corporation (the “Corporation”), desires to amend and restate its charter as currently in effect and as hereinafter amended.</w:t>
      </w:r>
    </w:p>
    <w:p>
      <w:pPr>
        <w:spacing w:after="0" w:line="12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3"/>
          <w:szCs w:val="13"/>
          <w:u w:val="single" w:color="auto"/>
          <w:color w:val="auto"/>
        </w:rPr>
        <w:t>SECOND</w:t>
      </w:r>
      <w:r>
        <w:rPr>
          <w:rFonts w:ascii="Times New Roman" w:cs="Times New Roman" w:eastAsia="Times New Roman" w:hAnsi="Times New Roman"/>
          <w:sz w:val="13"/>
          <w:szCs w:val="13"/>
          <w:color w:val="auto"/>
        </w:rPr>
        <w:t xml:space="preserve"> : The following provisions are all the provisions of the charter currently in effect and as hereinafter amended:</w:t>
      </w: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ARTICLE I NAME</w:t>
      </w:r>
    </w:p>
    <w:p>
      <w:pPr>
        <w:spacing w:after="0" w:line="14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3"/>
          <w:szCs w:val="13"/>
          <w:color w:val="auto"/>
        </w:rPr>
        <w:t>The name of the Corporation is:</w:t>
      </w:r>
    </w:p>
    <w:p>
      <w:pPr>
        <w:spacing w:after="0" w:line="1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Digital Realty Trust, Inc.</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II PURPOSE</w:t>
      </w:r>
    </w:p>
    <w:p>
      <w:pPr>
        <w:spacing w:after="0" w:line="141" w:lineRule="exact"/>
        <w:rPr>
          <w:sz w:val="20"/>
          <w:szCs w:val="20"/>
          <w:color w:val="auto"/>
        </w:rPr>
      </w:pPr>
    </w:p>
    <w:p>
      <w:pPr>
        <w:ind w:left="600" w:right="680" w:firstLine="612"/>
        <w:spacing w:after="0" w:line="281" w:lineRule="auto"/>
        <w:rPr>
          <w:sz w:val="20"/>
          <w:szCs w:val="20"/>
          <w:color w:val="auto"/>
        </w:rPr>
      </w:pPr>
      <w:r>
        <w:rPr>
          <w:rFonts w:ascii="Times New Roman" w:cs="Times New Roman" w:eastAsia="Times New Roman" w:hAnsi="Times New Roman"/>
          <w:sz w:val="13"/>
          <w:szCs w:val="13"/>
          <w:color w:val="auto"/>
        </w:rPr>
        <w:t>The purposes for which the Corporation is formed are to engage in any lawful act or activity (including, without limitation or obligation, engaging in business as a real estate investment trust under the Internal Revenue Code of 1986, as amended, or any successor statute (the “Code”)) for which corporations may be organized under the general laws of the State of Maryland as now or hereafter in force. For purposes of these Articles, “REIT” means a real estate investment trust under Sections 856 through 860 of the Code.</w:t>
      </w:r>
    </w:p>
    <w:p>
      <w:pPr>
        <w:spacing w:after="0" w:line="1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ARTICLE III</w:t>
      </w:r>
    </w:p>
    <w:p>
      <w:pPr>
        <w:spacing w:after="0" w:line="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PRINCIPAL OFFICE IN STATE AND RESIDENT AGENT</w:t>
      </w:r>
    </w:p>
    <w:p>
      <w:pPr>
        <w:spacing w:after="0" w:line="189" w:lineRule="exact"/>
        <w:rPr>
          <w:sz w:val="20"/>
          <w:szCs w:val="20"/>
          <w:color w:val="auto"/>
        </w:rPr>
      </w:pPr>
    </w:p>
    <w:p>
      <w:pPr>
        <w:ind w:left="600" w:right="720" w:firstLine="612"/>
        <w:spacing w:after="0" w:line="287" w:lineRule="auto"/>
        <w:rPr>
          <w:sz w:val="20"/>
          <w:szCs w:val="20"/>
          <w:color w:val="auto"/>
        </w:rPr>
      </w:pPr>
      <w:r>
        <w:rPr>
          <w:rFonts w:ascii="Times New Roman" w:cs="Times New Roman" w:eastAsia="Times New Roman" w:hAnsi="Times New Roman"/>
          <w:sz w:val="13"/>
          <w:szCs w:val="13"/>
          <w:color w:val="auto"/>
        </w:rPr>
        <w:t>The address of the principal office of the Corporation in the State of Maryland is c/o National Registered Agents, Inc. of MD, 11 East Chase Street, Baltimore, MD 21202. The name of the resident agent of the Corporation in the State of Maryland is National Registered Agents, Inc. of MD, whose post office address is 11 East Chase Street, Baltimore, MD 21202. The resident agent is Maryland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101600</wp:posOffset>
            </wp:positionV>
            <wp:extent cx="4436110"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97">
                      <a:extLst>
                        <a:ext uri="{28A0092B-C50C-407E-A947-70E740481C1C}"/>
                      </a:extLst>
                    </a:blip>
                    <a:srcRect/>
                    <a:stretch>
                      <a:fillRect/>
                    </a:stretch>
                  </pic:blipFill>
                  <pic:spPr bwMode="auto">
                    <a:xfrm>
                      <a:off x="0" y="0"/>
                      <a:ext cx="4436110"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535940</wp:posOffset>
            </wp:positionV>
            <wp:extent cx="5083810" cy="152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98">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183" w:name="page184"/>
    <w:bookmarkEnd w:id="183"/>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ARTICLE IV</w:t>
      </w:r>
    </w:p>
    <w:p>
      <w:pPr>
        <w:spacing w:after="0" w:line="1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PROVISIONS FOR DEFINING, LIMITING AND</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REGULATING CERTAIN POWERS OF THE</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CORPORATION AND OF THE STOCKHOLDERS AND DIRECTORS</w:t>
      </w:r>
    </w:p>
    <w:p>
      <w:pPr>
        <w:spacing w:after="0" w:line="171" w:lineRule="exact"/>
        <w:rPr>
          <w:sz w:val="20"/>
          <w:szCs w:val="20"/>
          <w:color w:val="auto"/>
        </w:rPr>
      </w:pPr>
    </w:p>
    <w:p>
      <w:pPr>
        <w:ind w:left="600" w:right="660" w:firstLine="612"/>
        <w:spacing w:after="0" w:line="278" w:lineRule="auto"/>
        <w:rPr>
          <w:sz w:val="20"/>
          <w:szCs w:val="20"/>
          <w:color w:val="auto"/>
        </w:rPr>
      </w:pPr>
      <w:r>
        <w:rPr>
          <w:rFonts w:ascii="Times New Roman" w:cs="Times New Roman" w:eastAsia="Times New Roman" w:hAnsi="Times New Roman"/>
          <w:sz w:val="13"/>
          <w:szCs w:val="13"/>
          <w:color w:val="auto"/>
        </w:rPr>
        <w:t xml:space="preserve">Section 4.1 </w:t>
      </w:r>
      <w:r>
        <w:rPr>
          <w:rFonts w:ascii="Times New Roman" w:cs="Times New Roman" w:eastAsia="Times New Roman" w:hAnsi="Times New Roman"/>
          <w:sz w:val="13"/>
          <w:szCs w:val="13"/>
          <w:u w:val="single" w:color="auto"/>
          <w:color w:val="auto"/>
        </w:rPr>
        <w:t>Number of Directors</w:t>
      </w:r>
      <w:r>
        <w:rPr>
          <w:rFonts w:ascii="Times New Roman" w:cs="Times New Roman" w:eastAsia="Times New Roman" w:hAnsi="Times New Roman"/>
          <w:sz w:val="13"/>
          <w:szCs w:val="13"/>
          <w:color w:val="auto"/>
        </w:rPr>
        <w:t xml:space="preserve"> . The business and affairs of the Corporation shall be managed under the direction of the Board of Directors. The number of directors of the Corporation initially shall be two (2), which number may be increased or decreased only by the Board of Directors pursuant to the Bylaws, but shall never be less than the minimum number required by the Maryland General Corporation Law (the “MGCL”). The names of the directors who shall serve until the first annual meeting of stockholders and until their successors are duly elected and qualify are:</w:t>
      </w:r>
    </w:p>
    <w:p>
      <w:pPr>
        <w:spacing w:after="0" w:line="22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3"/>
          <w:szCs w:val="13"/>
          <w:color w:val="auto"/>
        </w:rPr>
        <w:t>Richard Magnuson, Chairman of the Board Michael F. Foust</w:t>
      </w:r>
    </w:p>
    <w:p>
      <w:pPr>
        <w:spacing w:after="0" w:line="103" w:lineRule="exact"/>
        <w:rPr>
          <w:sz w:val="20"/>
          <w:szCs w:val="20"/>
          <w:color w:val="auto"/>
        </w:rPr>
      </w:pPr>
    </w:p>
    <w:p>
      <w:pPr>
        <w:ind w:left="600" w:right="780"/>
        <w:spacing w:after="0" w:line="305" w:lineRule="auto"/>
        <w:rPr>
          <w:sz w:val="20"/>
          <w:szCs w:val="20"/>
          <w:color w:val="auto"/>
        </w:rPr>
      </w:pPr>
      <w:r>
        <w:rPr>
          <w:rFonts w:ascii="Times New Roman" w:cs="Times New Roman" w:eastAsia="Times New Roman" w:hAnsi="Times New Roman"/>
          <w:sz w:val="13"/>
          <w:szCs w:val="13"/>
          <w:color w:val="auto"/>
        </w:rPr>
        <w:t>These directors may increase the number of directors and may fill any vacancy, whether resulting from an increase in the number of directors or otherwise, on the Board of Directors occurring before the first annual meeting of stockholders in the manner provided in the Bylaws.</w:t>
      </w:r>
    </w:p>
    <w:p>
      <w:pPr>
        <w:spacing w:after="0" w:line="124" w:lineRule="exact"/>
        <w:rPr>
          <w:sz w:val="20"/>
          <w:szCs w:val="20"/>
          <w:color w:val="auto"/>
        </w:rPr>
      </w:pPr>
    </w:p>
    <w:p>
      <w:pPr>
        <w:jc w:val="both"/>
        <w:ind w:left="600" w:right="680" w:firstLine="612"/>
        <w:spacing w:after="0" w:line="278" w:lineRule="auto"/>
        <w:rPr>
          <w:sz w:val="20"/>
          <w:szCs w:val="20"/>
          <w:color w:val="auto"/>
        </w:rPr>
      </w:pPr>
      <w:r>
        <w:rPr>
          <w:rFonts w:ascii="Times New Roman" w:cs="Times New Roman" w:eastAsia="Times New Roman" w:hAnsi="Times New Roman"/>
          <w:sz w:val="13"/>
          <w:szCs w:val="13"/>
          <w:color w:val="auto"/>
        </w:rPr>
        <w:t>The Corporation elects, at such time as it becomes eligible to make the election provided for under Section 3-802(b) of the MGCL, that, except as may be provided by the Board of Directors in setting the terms of any class or series of stock, any and all vacancies on the Board of Directors may be filled only by the affirmative vote of a majority of the remaining directors in office, even if the remaining directors do not constitute a quorum, and any director elected to fill a vacancy shall serve for the remainder of the full term of the directorship in which such vacancy occurred.</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125730</wp:posOffset>
            </wp:positionV>
            <wp:extent cx="4436110" cy="152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99">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575310</wp:posOffset>
            </wp:positionV>
            <wp:extent cx="5083810" cy="152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300">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184" w:name="page185"/>
    <w:bookmarkEnd w:id="184"/>
    <w:p>
      <w:pPr>
        <w:ind w:left="600" w:right="680" w:firstLine="612"/>
        <w:spacing w:after="0" w:line="278" w:lineRule="auto"/>
        <w:rPr>
          <w:sz w:val="20"/>
          <w:szCs w:val="20"/>
          <w:color w:val="auto"/>
        </w:rPr>
      </w:pPr>
      <w:r>
        <w:rPr>
          <w:rFonts w:ascii="Times New Roman" w:cs="Times New Roman" w:eastAsia="Times New Roman" w:hAnsi="Times New Roman"/>
          <w:sz w:val="13"/>
          <w:szCs w:val="13"/>
          <w:color w:val="auto"/>
        </w:rPr>
        <w:t xml:space="preserve">Section 4.2 </w:t>
      </w:r>
      <w:r>
        <w:rPr>
          <w:rFonts w:ascii="Times New Roman" w:cs="Times New Roman" w:eastAsia="Times New Roman" w:hAnsi="Times New Roman"/>
          <w:sz w:val="13"/>
          <w:szCs w:val="13"/>
          <w:u w:val="single" w:color="auto"/>
          <w:color w:val="auto"/>
        </w:rPr>
        <w:t>Extraordinary Actions</w:t>
      </w:r>
      <w:r>
        <w:rPr>
          <w:rFonts w:ascii="Times New Roman" w:cs="Times New Roman" w:eastAsia="Times New Roman" w:hAnsi="Times New Roman"/>
          <w:sz w:val="13"/>
          <w:szCs w:val="13"/>
          <w:color w:val="auto"/>
        </w:rPr>
        <w:t xml:space="preserve"> . Except as specifically provided in Section 4.8 (relating to removal of directors) and in Article VII (relating to amendments and transactions outside the ordinary course of business), notwithstanding any provision of law permitting or requiring any action to be taken or approved by the affirmative vote of the holders of shares entitled to cast a greater number of votes, any such action shall be effective and valid if declared advisable by the Board of Directors and taken or approved by the affirmative vote of holders of shares entitled to cast a majority of all the votes entitled to be cast on the matter.</w:t>
      </w:r>
    </w:p>
    <w:p>
      <w:pPr>
        <w:spacing w:after="0" w:line="143" w:lineRule="exact"/>
        <w:rPr>
          <w:sz w:val="20"/>
          <w:szCs w:val="20"/>
          <w:color w:val="auto"/>
        </w:rPr>
      </w:pPr>
    </w:p>
    <w:p>
      <w:pPr>
        <w:ind w:left="600" w:right="640" w:firstLine="612"/>
        <w:spacing w:after="0" w:line="281" w:lineRule="auto"/>
        <w:rPr>
          <w:sz w:val="20"/>
          <w:szCs w:val="20"/>
          <w:color w:val="auto"/>
        </w:rPr>
      </w:pPr>
      <w:r>
        <w:rPr>
          <w:rFonts w:ascii="Times New Roman" w:cs="Times New Roman" w:eastAsia="Times New Roman" w:hAnsi="Times New Roman"/>
          <w:sz w:val="13"/>
          <w:szCs w:val="13"/>
          <w:color w:val="auto"/>
        </w:rPr>
        <w:t xml:space="preserve">Section 4.3 </w:t>
      </w:r>
      <w:r>
        <w:rPr>
          <w:rFonts w:ascii="Times New Roman" w:cs="Times New Roman" w:eastAsia="Times New Roman" w:hAnsi="Times New Roman"/>
          <w:sz w:val="13"/>
          <w:szCs w:val="13"/>
          <w:u w:val="single" w:color="auto"/>
          <w:color w:val="auto"/>
        </w:rPr>
        <w:t>Authorization by Board of Stock Issuance</w:t>
      </w:r>
      <w:r>
        <w:rPr>
          <w:rFonts w:ascii="Times New Roman" w:cs="Times New Roman" w:eastAsia="Times New Roman" w:hAnsi="Times New Roman"/>
          <w:sz w:val="13"/>
          <w:szCs w:val="13"/>
          <w:color w:val="auto"/>
        </w:rPr>
        <w:t xml:space="preserve"> . The Board of Directors may authorize the issuance from time to time of shares of stock of the Corporation of any class or series, whether now or hereafter authorized, or securities or rights convertible into shares of its stock of any class or series, whether now or hereafter authorized, for such consideration as the Board of Directors may deem advisable (or without consideration in the case of a stock split or stock dividend), subject to such restrictions or limitations, if any, as may be set forth in the charter or the Bylaws.</w:t>
      </w:r>
    </w:p>
    <w:p>
      <w:pPr>
        <w:spacing w:after="0" w:line="308" w:lineRule="exact"/>
        <w:rPr>
          <w:sz w:val="20"/>
          <w:szCs w:val="20"/>
          <w:color w:val="auto"/>
        </w:rPr>
      </w:pPr>
    </w:p>
    <w:p>
      <w:pPr>
        <w:ind w:left="600" w:right="700" w:firstLine="612"/>
        <w:spacing w:after="0" w:line="281" w:lineRule="auto"/>
        <w:rPr>
          <w:sz w:val="20"/>
          <w:szCs w:val="20"/>
          <w:color w:val="auto"/>
        </w:rPr>
      </w:pPr>
      <w:r>
        <w:rPr>
          <w:rFonts w:ascii="Times New Roman" w:cs="Times New Roman" w:eastAsia="Times New Roman" w:hAnsi="Times New Roman"/>
          <w:sz w:val="13"/>
          <w:szCs w:val="13"/>
          <w:color w:val="auto"/>
        </w:rPr>
        <w:t xml:space="preserve">Section 4.4 </w:t>
      </w:r>
      <w:r>
        <w:rPr>
          <w:rFonts w:ascii="Times New Roman" w:cs="Times New Roman" w:eastAsia="Times New Roman" w:hAnsi="Times New Roman"/>
          <w:sz w:val="13"/>
          <w:szCs w:val="13"/>
          <w:u w:val="single" w:color="auto"/>
          <w:color w:val="auto"/>
        </w:rPr>
        <w:t>Preemptive Rights</w:t>
      </w:r>
      <w:r>
        <w:rPr>
          <w:rFonts w:ascii="Times New Roman" w:cs="Times New Roman" w:eastAsia="Times New Roman" w:hAnsi="Times New Roman"/>
          <w:sz w:val="13"/>
          <w:szCs w:val="13"/>
          <w:color w:val="auto"/>
        </w:rPr>
        <w:t xml:space="preserve"> . Except as may be provided by the Board of Directors in setting the terms of classified or reclassified shares of stock pursuant to Section 5.4 or as may otherwise be provided by contract, no holder of shares of stock of the Corporation shall, as such holder, have any preemptive right to purchase or subscribe for any additional shares of stock of the Corporation or any other security of the Corporation which it may issue or sell.</w:t>
      </w:r>
    </w:p>
    <w:p>
      <w:pPr>
        <w:spacing w:after="0" w:line="140" w:lineRule="exact"/>
        <w:rPr>
          <w:sz w:val="20"/>
          <w:szCs w:val="20"/>
          <w:color w:val="auto"/>
        </w:rPr>
      </w:pPr>
    </w:p>
    <w:p>
      <w:pPr>
        <w:jc w:val="both"/>
        <w:ind w:left="600" w:right="940" w:firstLine="612"/>
        <w:spacing w:after="0" w:line="287" w:lineRule="auto"/>
        <w:rPr>
          <w:sz w:val="20"/>
          <w:szCs w:val="20"/>
          <w:color w:val="auto"/>
        </w:rPr>
      </w:pPr>
      <w:r>
        <w:rPr>
          <w:rFonts w:ascii="Times New Roman" w:cs="Times New Roman" w:eastAsia="Times New Roman" w:hAnsi="Times New Roman"/>
          <w:sz w:val="13"/>
          <w:szCs w:val="13"/>
          <w:color w:val="auto"/>
        </w:rPr>
        <w:t xml:space="preserve">Section 4.5 </w:t>
      </w:r>
      <w:r>
        <w:rPr>
          <w:rFonts w:ascii="Times New Roman" w:cs="Times New Roman" w:eastAsia="Times New Roman" w:hAnsi="Times New Roman"/>
          <w:sz w:val="13"/>
          <w:szCs w:val="13"/>
          <w:u w:val="single" w:color="auto"/>
          <w:color w:val="auto"/>
        </w:rPr>
        <w:t>Indemnification</w:t>
      </w:r>
      <w:r>
        <w:rPr>
          <w:rFonts w:ascii="Times New Roman" w:cs="Times New Roman" w:eastAsia="Times New Roman" w:hAnsi="Times New Roman"/>
          <w:sz w:val="13"/>
          <w:szCs w:val="13"/>
          <w:color w:val="auto"/>
        </w:rPr>
        <w:t xml:space="preserve"> . The Corporation shall have the power, to the maximum extent permitted by Maryland law in effect from time to time, to obligate itself to indemnify, and to pay or reimburse reasonable expenses in advance of final disposition of a proceeding to, (a) any individual who is a present or former director or officer of the Corporation</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125730</wp:posOffset>
            </wp:positionV>
            <wp:extent cx="4436110" cy="152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301">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575310</wp:posOffset>
            </wp:positionV>
            <wp:extent cx="5083810" cy="152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302">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185" w:name="page186"/>
    <w:bookmarkEnd w:id="185"/>
    <w:p>
      <w:pPr>
        <w:ind w:left="600" w:right="620"/>
        <w:spacing w:after="0" w:line="276" w:lineRule="auto"/>
        <w:rPr>
          <w:sz w:val="20"/>
          <w:szCs w:val="20"/>
          <w:color w:val="auto"/>
        </w:rPr>
      </w:pPr>
      <w:r>
        <w:rPr>
          <w:rFonts w:ascii="Times New Roman" w:cs="Times New Roman" w:eastAsia="Times New Roman" w:hAnsi="Times New Roman"/>
          <w:sz w:val="13"/>
          <w:szCs w:val="13"/>
          <w:color w:val="auto"/>
        </w:rPr>
        <w:t>or (b) any individual who, while a director or officer of the Corporation and at the request of the Corporation, serves or has served as a director, officer, partner or trustee of another corporation, real estate investment trust, partnership, joint venture, trust, employee benefit plan or any other enterprise from and against any claim or liability to which such person may become subject or which such person may incur by reason of his or her service in such capacity. The Corporation shall have the power, with the approval of the Board of Directors, to provide such indemnification and advancement of expenses to a person who served a predecessor of the Corporation in any of the capacities described in (a) or (b) above and to any employee or agent of the Corporation or a predecessor of the Corporation.</w:t>
      </w:r>
    </w:p>
    <w:p>
      <w:pPr>
        <w:spacing w:after="0" w:line="145" w:lineRule="exact"/>
        <w:rPr>
          <w:sz w:val="20"/>
          <w:szCs w:val="20"/>
          <w:color w:val="auto"/>
        </w:rPr>
      </w:pPr>
    </w:p>
    <w:p>
      <w:pPr>
        <w:ind w:left="600" w:right="660" w:firstLine="612"/>
        <w:spacing w:after="0" w:line="273" w:lineRule="auto"/>
        <w:rPr>
          <w:sz w:val="20"/>
          <w:szCs w:val="20"/>
          <w:color w:val="auto"/>
        </w:rPr>
      </w:pPr>
      <w:r>
        <w:rPr>
          <w:rFonts w:ascii="Times New Roman" w:cs="Times New Roman" w:eastAsia="Times New Roman" w:hAnsi="Times New Roman"/>
          <w:sz w:val="13"/>
          <w:szCs w:val="13"/>
          <w:color w:val="auto"/>
        </w:rPr>
        <w:t xml:space="preserve">Section 4.6 </w:t>
      </w:r>
      <w:r>
        <w:rPr>
          <w:rFonts w:ascii="Times New Roman" w:cs="Times New Roman" w:eastAsia="Times New Roman" w:hAnsi="Times New Roman"/>
          <w:sz w:val="13"/>
          <w:szCs w:val="13"/>
          <w:u w:val="single" w:color="auto"/>
          <w:color w:val="auto"/>
        </w:rPr>
        <w:t>Determinations by Board</w:t>
      </w:r>
      <w:r>
        <w:rPr>
          <w:rFonts w:ascii="Times New Roman" w:cs="Times New Roman" w:eastAsia="Times New Roman" w:hAnsi="Times New Roman"/>
          <w:sz w:val="13"/>
          <w:szCs w:val="13"/>
          <w:color w:val="auto"/>
        </w:rPr>
        <w:t xml:space="preserve"> . The determination as to any of the following matters, made in good faith by or pursuant to the direction of the Board of Directors consistent with the charter and in the absence of actual receipt of an improper benefit in money, property or services or active and deliberate dishonesty established by a court, shall be final and conclusive and shall be binding upon the Corporation and every holder of shares of its stock: the amount of the net income of the Corporation for any period and the amount of assets at any time legally available for the payment of dividends, redemption of its stock or the payment of other distributions on its stock; the amount of paid-in surplus, net assets, other surplus, annual or other cash flow, funds from operations, net profit, net assets in excess of capital, undivided profits or excess of profits over losses on sales of assets; the amount, purpose, time of creation, increase or decrease, alteration or cancellation of any reserves or charges and the propriety thereof (whether or not any obligation or liability for which such reserves or charges shall have been created shall have been paid or discharged); any interpretation of the terms, preferences, conversion or other rights, voting powers or rights, restrictions, limitations as to dividends or other distributions, qualifications or terms or conditions of redemption of any class or series of stock of the</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125730</wp:posOffset>
            </wp:positionV>
            <wp:extent cx="4436110"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303">
                      <a:extLst>
                        <a:ext uri="{28A0092B-C50C-407E-A947-70E740481C1C}"/>
                      </a:extLst>
                    </a:blip>
                    <a:srcRect/>
                    <a:stretch>
                      <a:fillRect/>
                    </a:stretch>
                  </pic:blipFill>
                  <pic:spPr bwMode="auto">
                    <a:xfrm>
                      <a:off x="0" y="0"/>
                      <a:ext cx="4436110"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567690</wp:posOffset>
            </wp:positionV>
            <wp:extent cx="5083810" cy="152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304">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186" w:name="page187"/>
    <w:bookmarkEnd w:id="186"/>
    <w:p>
      <w:pPr>
        <w:ind w:left="600" w:right="760"/>
        <w:spacing w:after="0" w:line="281" w:lineRule="auto"/>
        <w:rPr>
          <w:sz w:val="20"/>
          <w:szCs w:val="20"/>
          <w:color w:val="auto"/>
        </w:rPr>
      </w:pPr>
      <w:r>
        <w:rPr>
          <w:rFonts w:ascii="Times New Roman" w:cs="Times New Roman" w:eastAsia="Times New Roman" w:hAnsi="Times New Roman"/>
          <w:sz w:val="13"/>
          <w:szCs w:val="13"/>
          <w:color w:val="auto"/>
        </w:rPr>
        <w:t>Corporation; the fair value, or any sale, bid or asked price to be applied in determining the fair value, of any asset owned or held by the Corporation; the number of shares of stock of any class of the Corporation; any matter relating to the acquisition, holding and disposition of any assets by the Corporation; or any other matter relating to the business and affairs of the Corporation or required or permitted by applicable law, the charter or Bylaws or otherwise to be determined by the Board of Directors.</w:t>
      </w:r>
    </w:p>
    <w:p>
      <w:pPr>
        <w:spacing w:after="0" w:line="140" w:lineRule="exact"/>
        <w:rPr>
          <w:sz w:val="20"/>
          <w:szCs w:val="20"/>
          <w:color w:val="auto"/>
        </w:rPr>
      </w:pPr>
    </w:p>
    <w:p>
      <w:pPr>
        <w:ind w:left="600" w:right="660" w:firstLine="612"/>
        <w:spacing w:after="0" w:line="281" w:lineRule="auto"/>
        <w:rPr>
          <w:sz w:val="20"/>
          <w:szCs w:val="20"/>
          <w:color w:val="auto"/>
        </w:rPr>
      </w:pPr>
      <w:r>
        <w:rPr>
          <w:rFonts w:ascii="Times New Roman" w:cs="Times New Roman" w:eastAsia="Times New Roman" w:hAnsi="Times New Roman"/>
          <w:sz w:val="13"/>
          <w:szCs w:val="13"/>
          <w:color w:val="auto"/>
        </w:rPr>
        <w:t xml:space="preserve">Section 4.7 </w:t>
      </w:r>
      <w:r>
        <w:rPr>
          <w:rFonts w:ascii="Times New Roman" w:cs="Times New Roman" w:eastAsia="Times New Roman" w:hAnsi="Times New Roman"/>
          <w:sz w:val="13"/>
          <w:szCs w:val="13"/>
          <w:u w:val="single" w:color="auto"/>
          <w:color w:val="auto"/>
        </w:rPr>
        <w:t>REIT Qualification</w:t>
      </w:r>
      <w:r>
        <w:rPr>
          <w:rFonts w:ascii="Times New Roman" w:cs="Times New Roman" w:eastAsia="Times New Roman" w:hAnsi="Times New Roman"/>
          <w:sz w:val="13"/>
          <w:szCs w:val="13"/>
          <w:color w:val="auto"/>
        </w:rPr>
        <w:t xml:space="preserve"> . If the Corporation elects to qualify for federal income tax treatment as a REIT, the Board of Directors shall use its commercially reasonable efforts to take such actions as are necessary or appropriate to preserve the status of the Corporation as a REIT; however, if the Board of Directors determines that it is no longer in the best interests of the Corporation to continue to be qualified as a REIT, the Board of Directors may revoke or otherwise terminate the Corporation’s REIT election.</w:t>
      </w:r>
    </w:p>
    <w:p>
      <w:pPr>
        <w:spacing w:after="0" w:line="140" w:lineRule="exact"/>
        <w:rPr>
          <w:sz w:val="20"/>
          <w:szCs w:val="20"/>
          <w:color w:val="auto"/>
        </w:rPr>
      </w:pPr>
    </w:p>
    <w:p>
      <w:pPr>
        <w:ind w:left="600" w:right="620" w:firstLine="612"/>
        <w:spacing w:after="0" w:line="278" w:lineRule="auto"/>
        <w:rPr>
          <w:sz w:val="20"/>
          <w:szCs w:val="20"/>
          <w:color w:val="auto"/>
        </w:rPr>
      </w:pPr>
      <w:r>
        <w:rPr>
          <w:rFonts w:ascii="Times New Roman" w:cs="Times New Roman" w:eastAsia="Times New Roman" w:hAnsi="Times New Roman"/>
          <w:sz w:val="13"/>
          <w:szCs w:val="13"/>
          <w:color w:val="auto"/>
        </w:rPr>
        <w:t xml:space="preserve">Section 4.8 </w:t>
      </w:r>
      <w:r>
        <w:rPr>
          <w:rFonts w:ascii="Times New Roman" w:cs="Times New Roman" w:eastAsia="Times New Roman" w:hAnsi="Times New Roman"/>
          <w:sz w:val="13"/>
          <w:szCs w:val="13"/>
          <w:u w:val="single" w:color="auto"/>
          <w:color w:val="auto"/>
        </w:rPr>
        <w:t>Removal of Directors</w:t>
      </w:r>
      <w:r>
        <w:rPr>
          <w:rFonts w:ascii="Times New Roman" w:cs="Times New Roman" w:eastAsia="Times New Roman" w:hAnsi="Times New Roman"/>
          <w:sz w:val="13"/>
          <w:szCs w:val="13"/>
          <w:color w:val="auto"/>
        </w:rPr>
        <w:t xml:space="preserve"> . Subject to the rights of holders of one or more classes or series of Preferred Stock to elect or remove one or more directors, any director, or the entire Board of Directors, may be removed from office at any time, but only for cause and then only by the affirmative vote of at least two thirds of the votes entitled to be cast generally in the election of directors. For the purpose of this paragraph, “cause” shall mean, with respect to any particular director, conviction of a felony or a final judgment of a court of competent jurisdiction holding that such director caused demonstrable, material harm to the Corporation through bad faith or active and deliberate dishonesty.</w:t>
      </w:r>
    </w:p>
    <w:p>
      <w:pPr>
        <w:spacing w:after="0" w:line="143" w:lineRule="exact"/>
        <w:rPr>
          <w:sz w:val="20"/>
          <w:szCs w:val="20"/>
          <w:color w:val="auto"/>
        </w:rPr>
      </w:pPr>
    </w:p>
    <w:p>
      <w:pPr>
        <w:ind w:left="600" w:right="660" w:firstLine="612"/>
        <w:spacing w:after="0" w:line="287" w:lineRule="auto"/>
        <w:rPr>
          <w:sz w:val="20"/>
          <w:szCs w:val="20"/>
          <w:color w:val="auto"/>
        </w:rPr>
      </w:pPr>
      <w:r>
        <w:rPr>
          <w:rFonts w:ascii="Times New Roman" w:cs="Times New Roman" w:eastAsia="Times New Roman" w:hAnsi="Times New Roman"/>
          <w:sz w:val="13"/>
          <w:szCs w:val="13"/>
          <w:color w:val="auto"/>
        </w:rPr>
        <w:t xml:space="preserve">Section 4.9 </w:t>
      </w:r>
      <w:r>
        <w:rPr>
          <w:rFonts w:ascii="Times New Roman" w:cs="Times New Roman" w:eastAsia="Times New Roman" w:hAnsi="Times New Roman"/>
          <w:sz w:val="13"/>
          <w:szCs w:val="13"/>
          <w:u w:val="single" w:color="auto"/>
          <w:color w:val="auto"/>
        </w:rPr>
        <w:t>Rights of Objecting Stockholders</w:t>
      </w:r>
      <w:r>
        <w:rPr>
          <w:rFonts w:ascii="Times New Roman" w:cs="Times New Roman" w:eastAsia="Times New Roman" w:hAnsi="Times New Roman"/>
          <w:sz w:val="13"/>
          <w:szCs w:val="13"/>
          <w:color w:val="auto"/>
        </w:rPr>
        <w:t xml:space="preserve"> . Holders of shares of stock of the Corporation shall not be entitled to exercise any rights of an objecting stockholder provided for under Title 3, Subtitle 2 of the MGCL or any successor statute unless the Board of Directors, upon the affirmative vote of a majority of the Board of Directors, shall determine that such rights</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125730</wp:posOffset>
            </wp:positionV>
            <wp:extent cx="4436110" cy="152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305">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575310</wp:posOffset>
            </wp:positionV>
            <wp:extent cx="5083810" cy="152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306">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187" w:name="page188"/>
    <w:bookmarkEnd w:id="187"/>
    <w:p>
      <w:pPr>
        <w:ind w:left="600" w:right="660"/>
        <w:spacing w:after="0" w:line="305" w:lineRule="auto"/>
        <w:rPr>
          <w:sz w:val="20"/>
          <w:szCs w:val="20"/>
          <w:color w:val="auto"/>
        </w:rPr>
      </w:pPr>
      <w:r>
        <w:rPr>
          <w:rFonts w:ascii="Times New Roman" w:cs="Times New Roman" w:eastAsia="Times New Roman" w:hAnsi="Times New Roman"/>
          <w:sz w:val="13"/>
          <w:szCs w:val="13"/>
          <w:color w:val="auto"/>
        </w:rPr>
        <w:t>apply, with respect to all or any classes or series of stock, to one or more transactions occurring after the date of such determination in connection with which holders of such shares of stock of the Corporation would otherwise be entitled to exercise such rights.</w:t>
      </w:r>
    </w:p>
    <w:p>
      <w:pPr>
        <w:spacing w:after="0" w:line="1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ARTICLE V STOCK</w:t>
      </w:r>
    </w:p>
    <w:p>
      <w:pPr>
        <w:spacing w:after="0" w:line="153" w:lineRule="exact"/>
        <w:rPr>
          <w:sz w:val="20"/>
          <w:szCs w:val="20"/>
          <w:color w:val="auto"/>
        </w:rPr>
      </w:pPr>
    </w:p>
    <w:p>
      <w:pPr>
        <w:ind w:left="600" w:right="660" w:firstLine="612"/>
        <w:spacing w:after="0" w:line="274" w:lineRule="auto"/>
        <w:rPr>
          <w:sz w:val="20"/>
          <w:szCs w:val="20"/>
          <w:color w:val="auto"/>
        </w:rPr>
      </w:pPr>
      <w:r>
        <w:rPr>
          <w:rFonts w:ascii="Times New Roman" w:cs="Times New Roman" w:eastAsia="Times New Roman" w:hAnsi="Times New Roman"/>
          <w:sz w:val="13"/>
          <w:szCs w:val="13"/>
          <w:color w:val="auto"/>
        </w:rPr>
        <w:t xml:space="preserve">Section 5.1 </w:t>
      </w:r>
      <w:r>
        <w:rPr>
          <w:rFonts w:ascii="Times New Roman" w:cs="Times New Roman" w:eastAsia="Times New Roman" w:hAnsi="Times New Roman"/>
          <w:sz w:val="13"/>
          <w:szCs w:val="13"/>
          <w:u w:val="single" w:color="auto"/>
          <w:color w:val="auto"/>
        </w:rPr>
        <w:t>Authorized Shares</w:t>
      </w:r>
      <w:r>
        <w:rPr>
          <w:rFonts w:ascii="Times New Roman" w:cs="Times New Roman" w:eastAsia="Times New Roman" w:hAnsi="Times New Roman"/>
          <w:sz w:val="13"/>
          <w:szCs w:val="13"/>
          <w:color w:val="auto"/>
        </w:rPr>
        <w:t xml:space="preserve"> . The Corporation has authority to issue 120,000,000 shares of stock, consisting of 100,000,000 shares of Common Stock, $.01 par value per share (“Common Stock”), and 20,000,000 shares of Preferred Stock, $.01 par value per share (“Preferred Stock”). The aggregate par value of all authorized shares of stock having par value is $1,200,000. If shares of one class of stock are classified or reclassified into shares of another class of stock pursuant to this Article V, the number of authorized shares of the former class shall be automatically decreased and the number of shares of the latter class shall be automatically increased, in each case by the number of shares so classified or reclassified, so that the aggregate number of shares of stock of all classes that the Corporation has authority to issue shall not be more than the total number of shares of stock set forth in the first sentence of this paragraph. The Board of Directors, with the approval of a majority of the Board and without any action by the stockholders of the Corporation, may amend the charter from time to time to increase or decrease the aggregate number of shares of stock or the number of shares of stock of any class or series that the Corporation has authority to issue.</w:t>
      </w:r>
    </w:p>
    <w:p>
      <w:pPr>
        <w:spacing w:after="0" w:line="132" w:lineRule="exact"/>
        <w:rPr>
          <w:sz w:val="20"/>
          <w:szCs w:val="20"/>
          <w:color w:val="auto"/>
        </w:rPr>
      </w:pPr>
    </w:p>
    <w:p>
      <w:pPr>
        <w:ind w:left="600" w:right="640" w:firstLine="612"/>
        <w:spacing w:after="0" w:line="287" w:lineRule="auto"/>
        <w:rPr>
          <w:sz w:val="20"/>
          <w:szCs w:val="20"/>
          <w:color w:val="auto"/>
        </w:rPr>
      </w:pPr>
      <w:r>
        <w:rPr>
          <w:rFonts w:ascii="Times New Roman" w:cs="Times New Roman" w:eastAsia="Times New Roman" w:hAnsi="Times New Roman"/>
          <w:sz w:val="13"/>
          <w:szCs w:val="13"/>
          <w:color w:val="auto"/>
        </w:rPr>
        <w:t xml:space="preserve">Section 5.2 </w:t>
      </w:r>
      <w:r>
        <w:rPr>
          <w:rFonts w:ascii="Times New Roman" w:cs="Times New Roman" w:eastAsia="Times New Roman" w:hAnsi="Times New Roman"/>
          <w:sz w:val="13"/>
          <w:szCs w:val="13"/>
          <w:u w:val="single" w:color="auto"/>
          <w:color w:val="auto"/>
        </w:rPr>
        <w:t>Common Stock</w:t>
      </w:r>
      <w:r>
        <w:rPr>
          <w:rFonts w:ascii="Times New Roman" w:cs="Times New Roman" w:eastAsia="Times New Roman" w:hAnsi="Times New Roman"/>
          <w:sz w:val="13"/>
          <w:szCs w:val="13"/>
          <w:color w:val="auto"/>
        </w:rPr>
        <w:t xml:space="preserve"> . Subject to the provisions of Article VI and except as may otherwise be specified in the terms of any class or series of Common Stock, each share of Common Stock shall entitle the holder thereof to one vote. The Board of Directors may reclassify any unissued shares of Common Stock from time to time in one or more classes or series of stock.</w:t>
      </w:r>
    </w:p>
    <w:p>
      <w:pPr>
        <w:spacing w:after="0" w:line="3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125730</wp:posOffset>
            </wp:positionV>
            <wp:extent cx="4436110" cy="152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307">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575310</wp:posOffset>
            </wp:positionV>
            <wp:extent cx="5083810" cy="152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308">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188" w:name="page189"/>
    <w:bookmarkEnd w:id="188"/>
    <w:p>
      <w:pPr>
        <w:ind w:left="600" w:right="620" w:firstLine="612"/>
        <w:spacing w:after="0" w:line="305" w:lineRule="auto"/>
        <w:rPr>
          <w:sz w:val="20"/>
          <w:szCs w:val="20"/>
          <w:color w:val="auto"/>
        </w:rPr>
      </w:pPr>
      <w:r>
        <w:rPr>
          <w:rFonts w:ascii="Times New Roman" w:cs="Times New Roman" w:eastAsia="Times New Roman" w:hAnsi="Times New Roman"/>
          <w:sz w:val="13"/>
          <w:szCs w:val="13"/>
          <w:color w:val="auto"/>
        </w:rPr>
        <w:t xml:space="preserve">Section 5.3 </w:t>
      </w:r>
      <w:r>
        <w:rPr>
          <w:rFonts w:ascii="Times New Roman" w:cs="Times New Roman" w:eastAsia="Times New Roman" w:hAnsi="Times New Roman"/>
          <w:sz w:val="13"/>
          <w:szCs w:val="13"/>
          <w:u w:val="single" w:color="auto"/>
          <w:color w:val="auto"/>
        </w:rPr>
        <w:t>Preferred Stock</w:t>
      </w:r>
      <w:r>
        <w:rPr>
          <w:rFonts w:ascii="Times New Roman" w:cs="Times New Roman" w:eastAsia="Times New Roman" w:hAnsi="Times New Roman"/>
          <w:sz w:val="13"/>
          <w:szCs w:val="13"/>
          <w:color w:val="auto"/>
        </w:rPr>
        <w:t xml:space="preserve"> . The Board of Directors may classify any unissued shares of Preferred Stock and reclassify any previously classified but unissued shares of Preferred Stock of any series from time to time, in one or more classes or series of stock.</w:t>
      </w:r>
    </w:p>
    <w:p>
      <w:pPr>
        <w:spacing w:after="0" w:line="124" w:lineRule="exact"/>
        <w:rPr>
          <w:sz w:val="20"/>
          <w:szCs w:val="20"/>
          <w:color w:val="auto"/>
        </w:rPr>
      </w:pPr>
    </w:p>
    <w:p>
      <w:pPr>
        <w:ind w:left="600" w:right="680" w:firstLine="612"/>
        <w:spacing w:after="0" w:line="273" w:lineRule="auto"/>
        <w:rPr>
          <w:sz w:val="20"/>
          <w:szCs w:val="20"/>
          <w:color w:val="auto"/>
        </w:rPr>
      </w:pPr>
      <w:r>
        <w:rPr>
          <w:rFonts w:ascii="Times New Roman" w:cs="Times New Roman" w:eastAsia="Times New Roman" w:hAnsi="Times New Roman"/>
          <w:sz w:val="13"/>
          <w:szCs w:val="13"/>
          <w:color w:val="auto"/>
        </w:rPr>
        <w:t xml:space="preserve">Section 5.4 </w:t>
      </w:r>
      <w:r>
        <w:rPr>
          <w:rFonts w:ascii="Times New Roman" w:cs="Times New Roman" w:eastAsia="Times New Roman" w:hAnsi="Times New Roman"/>
          <w:sz w:val="13"/>
          <w:szCs w:val="13"/>
          <w:u w:val="single" w:color="auto"/>
          <w:color w:val="auto"/>
        </w:rPr>
        <w:t>Classified or Reclassified Shares</w:t>
      </w:r>
      <w:r>
        <w:rPr>
          <w:rFonts w:ascii="Times New Roman" w:cs="Times New Roman" w:eastAsia="Times New Roman" w:hAnsi="Times New Roman"/>
          <w:sz w:val="13"/>
          <w:szCs w:val="13"/>
          <w:color w:val="auto"/>
        </w:rPr>
        <w:t xml:space="preserve"> . Prior to issuance of classified or reclassified shares of any class or series, the Board of Directors by resolution shall: (a) designate that class or series to distinguish it from all other classes and series of stock of the Corporation; (b) specify the number of shares to be included in the class or series; (c) set or change, subject to the provisions of Article VI and subject to the express terms of any class or series of stock of the Corporation outstanding at the time, the preferences, conversion or other rights, voting powers, restrictions, including, without limitation, restrictions on transferability, limitations as to dividends or other distributions, qualifications and terms and conditions of redemption for each class or series; and (d) cause the Corporation to file articles supplementary with the State Department of Assessments and Taxation of Maryland (“SDAT”). Any of the terms of any class or series of stock set or changed pursuant to clause (c) of this Section 5.4 may be made dependent upon facts or events ascertainable outside the charter (including determinations by the Board of Directors or other facts or events within the control of the Corporation) and may vary among holders thereof, provided that the manner in which such facts, events or variations shall operate upon the terms of such class or series of stock is clearly and expressly set forth in the articles supplementary or other charter document.</w:t>
      </w:r>
    </w:p>
    <w:p>
      <w:pPr>
        <w:spacing w:after="0" w:line="134" w:lineRule="exact"/>
        <w:rPr>
          <w:sz w:val="20"/>
          <w:szCs w:val="20"/>
          <w:color w:val="auto"/>
        </w:rPr>
      </w:pPr>
    </w:p>
    <w:p>
      <w:pPr>
        <w:jc w:val="both"/>
        <w:ind w:left="600" w:right="640" w:firstLine="612"/>
        <w:spacing w:after="0" w:line="287" w:lineRule="auto"/>
        <w:rPr>
          <w:sz w:val="20"/>
          <w:szCs w:val="20"/>
          <w:color w:val="auto"/>
        </w:rPr>
      </w:pPr>
      <w:r>
        <w:rPr>
          <w:rFonts w:ascii="Times New Roman" w:cs="Times New Roman" w:eastAsia="Times New Roman" w:hAnsi="Times New Roman"/>
          <w:sz w:val="13"/>
          <w:szCs w:val="13"/>
          <w:color w:val="auto"/>
        </w:rPr>
        <w:t xml:space="preserve">Section 5.5 </w:t>
      </w:r>
      <w:r>
        <w:rPr>
          <w:rFonts w:ascii="Times New Roman" w:cs="Times New Roman" w:eastAsia="Times New Roman" w:hAnsi="Times New Roman"/>
          <w:sz w:val="13"/>
          <w:szCs w:val="13"/>
          <w:u w:val="single" w:color="auto"/>
          <w:color w:val="auto"/>
        </w:rPr>
        <w:t>Stockholders’ Consent in Lieu of Meeting</w:t>
      </w:r>
      <w:r>
        <w:rPr>
          <w:rFonts w:ascii="Times New Roman" w:cs="Times New Roman" w:eastAsia="Times New Roman" w:hAnsi="Times New Roman"/>
          <w:sz w:val="13"/>
          <w:szCs w:val="13"/>
          <w:color w:val="auto"/>
        </w:rPr>
        <w:t xml:space="preserve"> . Any action required or permitted to be taken at any meeting of the stockholders may be taken without a meeting by consent, in writing or by electronic transmission, in any manner permitted by the MGCL and (a) set forth in the Bylaws or (b) set forth in the terms of any class or series of Preferred Stock.</w:t>
      </w:r>
    </w:p>
    <w:p>
      <w:pPr>
        <w:spacing w:after="0" w:line="3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125730</wp:posOffset>
            </wp:positionV>
            <wp:extent cx="4436110"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309">
                      <a:extLst>
                        <a:ext uri="{28A0092B-C50C-407E-A947-70E740481C1C}"/>
                      </a:extLst>
                    </a:blip>
                    <a:srcRect/>
                    <a:stretch>
                      <a:fillRect/>
                    </a:stretch>
                  </pic:blipFill>
                  <pic:spPr bwMode="auto">
                    <a:xfrm>
                      <a:off x="0" y="0"/>
                      <a:ext cx="4436110"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567690</wp:posOffset>
            </wp:positionV>
            <wp:extent cx="5083810" cy="152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310">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189" w:name="page190"/>
    <w:bookmarkEnd w:id="189"/>
    <w:p>
      <w:pPr>
        <w:ind w:left="600" w:right="820" w:firstLine="612"/>
        <w:spacing w:after="0" w:line="305" w:lineRule="auto"/>
        <w:rPr>
          <w:sz w:val="20"/>
          <w:szCs w:val="20"/>
          <w:color w:val="auto"/>
        </w:rPr>
      </w:pPr>
      <w:r>
        <w:rPr>
          <w:rFonts w:ascii="Times New Roman" w:cs="Times New Roman" w:eastAsia="Times New Roman" w:hAnsi="Times New Roman"/>
          <w:sz w:val="13"/>
          <w:szCs w:val="13"/>
          <w:color w:val="auto"/>
        </w:rPr>
        <w:t xml:space="preserve">Section 5.6 </w:t>
      </w:r>
      <w:r>
        <w:rPr>
          <w:rFonts w:ascii="Times New Roman" w:cs="Times New Roman" w:eastAsia="Times New Roman" w:hAnsi="Times New Roman"/>
          <w:sz w:val="13"/>
          <w:szCs w:val="13"/>
          <w:u w:val="single" w:color="auto"/>
          <w:color w:val="auto"/>
        </w:rPr>
        <w:t>Charter and Bylaws</w:t>
      </w:r>
      <w:r>
        <w:rPr>
          <w:rFonts w:ascii="Times New Roman" w:cs="Times New Roman" w:eastAsia="Times New Roman" w:hAnsi="Times New Roman"/>
          <w:sz w:val="13"/>
          <w:szCs w:val="13"/>
          <w:color w:val="auto"/>
        </w:rPr>
        <w:t xml:space="preserve"> . The rights of all stockholders and the terms of all stock are subject to the provisions of the charter and the Bylaws.</w:t>
      </w:r>
    </w:p>
    <w:p>
      <w:pPr>
        <w:spacing w:after="0" w:line="1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ARTICLE VI</w:t>
      </w:r>
    </w:p>
    <w:p>
      <w:pPr>
        <w:spacing w:after="0" w:line="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RESTRICTION ON TRANSFER AND OWNERSHIP OF SHARES</w:t>
      </w:r>
    </w:p>
    <w:p>
      <w:pPr>
        <w:spacing w:after="0" w:line="18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3"/>
          <w:szCs w:val="13"/>
          <w:color w:val="auto"/>
        </w:rPr>
        <w:t xml:space="preserve">Section 6.1 </w:t>
      </w:r>
      <w:r>
        <w:rPr>
          <w:rFonts w:ascii="Times New Roman" w:cs="Times New Roman" w:eastAsia="Times New Roman" w:hAnsi="Times New Roman"/>
          <w:sz w:val="13"/>
          <w:szCs w:val="13"/>
          <w:u w:val="single" w:color="auto"/>
          <w:color w:val="auto"/>
        </w:rPr>
        <w:t>Definitions</w:t>
      </w:r>
      <w:r>
        <w:rPr>
          <w:rFonts w:ascii="Times New Roman" w:cs="Times New Roman" w:eastAsia="Times New Roman" w:hAnsi="Times New Roman"/>
          <w:sz w:val="13"/>
          <w:szCs w:val="13"/>
          <w:color w:val="auto"/>
        </w:rPr>
        <w:t xml:space="preserve"> . For the purposes of Article VI, the following terms shall have the following meanings:</w:t>
      </w:r>
    </w:p>
    <w:p>
      <w:pPr>
        <w:spacing w:after="0" w:line="18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Aggregate Stock Ownership Limit</w:t>
      </w:r>
      <w:r>
        <w:rPr>
          <w:rFonts w:ascii="Times New Roman" w:cs="Times New Roman" w:eastAsia="Times New Roman" w:hAnsi="Times New Roman"/>
          <w:sz w:val="13"/>
          <w:szCs w:val="13"/>
          <w:color w:val="auto"/>
        </w:rPr>
        <w:t xml:space="preserve"> ” shall mean 9.8% in value of the aggregate of the outstanding shares of Capital Stock.</w:t>
      </w:r>
    </w:p>
    <w:p>
      <w:pPr>
        <w:spacing w:after="0" w:line="22" w:lineRule="exact"/>
        <w:rPr>
          <w:sz w:val="20"/>
          <w:szCs w:val="20"/>
          <w:color w:val="auto"/>
        </w:rPr>
      </w:pPr>
    </w:p>
    <w:p>
      <w:pPr>
        <w:ind w:left="600" w:right="660"/>
        <w:spacing w:after="0" w:line="279" w:lineRule="auto"/>
        <w:rPr>
          <w:sz w:val="20"/>
          <w:szCs w:val="20"/>
          <w:color w:val="auto"/>
        </w:rPr>
      </w:pPr>
      <w:r>
        <w:rPr>
          <w:rFonts w:ascii="Times New Roman" w:cs="Times New Roman" w:eastAsia="Times New Roman" w:hAnsi="Times New Roman"/>
          <w:sz w:val="13"/>
          <w:szCs w:val="13"/>
          <w:color w:val="auto"/>
        </w:rPr>
        <w:t>Notwithstanding the foregoing, for purposes of determining the percentage ownership of Capital Stock by any Person, shares of Capital Stock that are treated as Beneficially or Constructively owned by such Person shall be deemed outstanding. The value of the outstanding shares of Capital Stock shall be determined by the Board of Directors of the Corporation in good faith, which determination shall be conclusive for all purposes hereof.</w:t>
      </w:r>
    </w:p>
    <w:p>
      <w:pPr>
        <w:spacing w:after="0" w:line="142" w:lineRule="exact"/>
        <w:rPr>
          <w:sz w:val="20"/>
          <w:szCs w:val="20"/>
          <w:color w:val="auto"/>
        </w:rPr>
      </w:pPr>
    </w:p>
    <w:p>
      <w:pPr>
        <w:ind w:left="600" w:right="1000" w:firstLine="612"/>
        <w:spacing w:after="0" w:line="287"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Beneficial Ownership</w:t>
      </w:r>
      <w:r>
        <w:rPr>
          <w:rFonts w:ascii="Times New Roman" w:cs="Times New Roman" w:eastAsia="Times New Roman" w:hAnsi="Times New Roman"/>
          <w:sz w:val="13"/>
          <w:szCs w:val="13"/>
          <w:color w:val="auto"/>
        </w:rPr>
        <w:t xml:space="preserve"> ” shall mean ownership of Capital Stock either actually (including through a nominee) or constructively through the application of Section 544 of the Code, as modified by Sections 856(h)(1)(B) and 856(h)(3) of the Code. The terms “Beneficial Owner,” “Beneficially Own,” “Beneficially Owns” and “Beneficially Owned” shall have the correlative meanings.</w:t>
      </w:r>
    </w:p>
    <w:p>
      <w:pPr>
        <w:spacing w:after="0" w:line="136" w:lineRule="exact"/>
        <w:rPr>
          <w:sz w:val="20"/>
          <w:szCs w:val="20"/>
          <w:color w:val="auto"/>
        </w:rPr>
      </w:pPr>
    </w:p>
    <w:p>
      <w:pPr>
        <w:ind w:left="600" w:right="1080" w:firstLine="612"/>
        <w:spacing w:after="0" w:line="305"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Capital Stock</w:t>
      </w:r>
      <w:r>
        <w:rPr>
          <w:rFonts w:ascii="Times New Roman" w:cs="Times New Roman" w:eastAsia="Times New Roman" w:hAnsi="Times New Roman"/>
          <w:sz w:val="13"/>
          <w:szCs w:val="13"/>
          <w:color w:val="auto"/>
        </w:rPr>
        <w:t xml:space="preserve"> ” shall mean all classes or series of stock of the Corporation, including, without limitation, Common Stock and Preferred Stock.</w:t>
      </w:r>
    </w:p>
    <w:p>
      <w:pPr>
        <w:spacing w:after="0" w:line="12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Charitable Beneficiary</w:t>
      </w:r>
      <w:r>
        <w:rPr>
          <w:rFonts w:ascii="Times New Roman" w:cs="Times New Roman" w:eastAsia="Times New Roman" w:hAnsi="Times New Roman"/>
          <w:sz w:val="13"/>
          <w:szCs w:val="13"/>
          <w:color w:val="auto"/>
        </w:rPr>
        <w:t xml:space="preserve"> ” shall mean one or more beneficiaries of a Trust, as determined pursuant to Section 6.3.6 of  this Article</w:t>
      </w:r>
    </w:p>
    <w:p>
      <w:pPr>
        <w:spacing w:after="0" w:line="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VI.</w:t>
      </w:r>
    </w:p>
    <w:p>
      <w:pPr>
        <w:spacing w:after="0" w:line="3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125730</wp:posOffset>
            </wp:positionV>
            <wp:extent cx="4436110" cy="152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311">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575310</wp:posOffset>
            </wp:positionV>
            <wp:extent cx="5083810" cy="152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312">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190" w:name="page191"/>
    <w:bookmarkEnd w:id="190"/>
    <w:p>
      <w:pPr>
        <w:ind w:left="600" w:right="820" w:firstLine="612"/>
        <w:spacing w:after="0" w:line="305"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Code</w:t>
      </w:r>
      <w:r>
        <w:rPr>
          <w:rFonts w:ascii="Times New Roman" w:cs="Times New Roman" w:eastAsia="Times New Roman" w:hAnsi="Times New Roman"/>
          <w:sz w:val="13"/>
          <w:szCs w:val="13"/>
          <w:color w:val="auto"/>
        </w:rPr>
        <w:t xml:space="preserve"> ” shall mean the Internal Revenue Code of 1986, as amended. All section references to the Code shall include any successor provisions thereof as may be adopted from time to time.</w:t>
      </w:r>
    </w:p>
    <w:p>
      <w:pPr>
        <w:spacing w:after="0" w:line="124" w:lineRule="exact"/>
        <w:rPr>
          <w:sz w:val="20"/>
          <w:szCs w:val="20"/>
          <w:color w:val="auto"/>
        </w:rPr>
      </w:pPr>
    </w:p>
    <w:p>
      <w:pPr>
        <w:ind w:left="600" w:right="1060" w:firstLine="612"/>
        <w:spacing w:after="0" w:line="305"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Common Stock</w:t>
      </w:r>
      <w:r>
        <w:rPr>
          <w:rFonts w:ascii="Times New Roman" w:cs="Times New Roman" w:eastAsia="Times New Roman" w:hAnsi="Times New Roman"/>
          <w:sz w:val="13"/>
          <w:szCs w:val="13"/>
          <w:color w:val="auto"/>
        </w:rPr>
        <w:t xml:space="preserve"> ” shall mean that Common Stock that may be issued pursuant to Article V of the Articles of Amendment and Restatement.</w:t>
      </w:r>
    </w:p>
    <w:p>
      <w:pPr>
        <w:spacing w:after="0" w:line="124" w:lineRule="exact"/>
        <w:rPr>
          <w:sz w:val="20"/>
          <w:szCs w:val="20"/>
          <w:color w:val="auto"/>
        </w:rPr>
      </w:pPr>
    </w:p>
    <w:p>
      <w:pPr>
        <w:ind w:left="600" w:right="720" w:firstLine="612"/>
        <w:spacing w:after="0" w:line="276"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Common Stock Ownership Limit</w:t>
      </w:r>
      <w:r>
        <w:rPr>
          <w:rFonts w:ascii="Times New Roman" w:cs="Times New Roman" w:eastAsia="Times New Roman" w:hAnsi="Times New Roman"/>
          <w:sz w:val="13"/>
          <w:szCs w:val="13"/>
          <w:color w:val="auto"/>
        </w:rPr>
        <w:t xml:space="preserve"> ” shall mean 9.8% (by value or by number of shares, whichever is more restrictive) of the outstanding Common Stock of the Corporation, excluding any such outstanding Common Stock which is not treated as outstanding for federal income tax purposes. Notwithstanding the foregoing, for purposes of determining the percentage ownership of Common Stock by any Person, shares of Common Stock that are treated as Beneficially or Constructively owned by such Person shall be deemed to be outstanding. The number and value of shares of outstanding Common Stock of the Corporation shall be determined by the Board of Directors in good faith, which determination shall be conclusive for all purposes hereof.</w:t>
      </w:r>
    </w:p>
    <w:p>
      <w:pPr>
        <w:spacing w:after="0" w:line="145" w:lineRule="exact"/>
        <w:rPr>
          <w:sz w:val="20"/>
          <w:szCs w:val="20"/>
          <w:color w:val="auto"/>
        </w:rPr>
      </w:pPr>
    </w:p>
    <w:p>
      <w:pPr>
        <w:ind w:left="600" w:right="860" w:firstLine="612"/>
        <w:spacing w:after="0" w:line="287"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Constructive Ownership</w:t>
      </w:r>
      <w:r>
        <w:rPr>
          <w:rFonts w:ascii="Times New Roman" w:cs="Times New Roman" w:eastAsia="Times New Roman" w:hAnsi="Times New Roman"/>
          <w:sz w:val="13"/>
          <w:szCs w:val="13"/>
          <w:color w:val="auto"/>
        </w:rPr>
        <w:t xml:space="preserve"> ” shall mean ownership of Capital Stock either actually (including through a nominee) or constructively through the application of Section 318 of the Code, as modified by Section 856(d)(5) of the Code. The terms “Constructive Owner,” “Constructively Own,” “Constructively Owns” and “Constructively Owned” shall have the correlative meanings.</w:t>
      </w:r>
    </w:p>
    <w:p>
      <w:pPr>
        <w:spacing w:after="0" w:line="13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Corporation</w:t>
      </w:r>
      <w:r>
        <w:rPr>
          <w:rFonts w:ascii="Times New Roman" w:cs="Times New Roman" w:eastAsia="Times New Roman" w:hAnsi="Times New Roman"/>
          <w:sz w:val="13"/>
          <w:szCs w:val="13"/>
          <w:color w:val="auto"/>
        </w:rPr>
        <w:t xml:space="preserve"> ” shall have the meaning set forth in the preamble to the Articles of Amendment and Restatement.</w:t>
      </w:r>
    </w:p>
    <w:p>
      <w:pPr>
        <w:spacing w:after="0" w:line="187" w:lineRule="exact"/>
        <w:rPr>
          <w:sz w:val="20"/>
          <w:szCs w:val="20"/>
          <w:color w:val="auto"/>
        </w:rPr>
      </w:pPr>
    </w:p>
    <w:p>
      <w:pPr>
        <w:ind w:left="600" w:right="760" w:firstLine="612"/>
        <w:spacing w:after="0" w:line="305"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Individual</w:t>
      </w:r>
      <w:r>
        <w:rPr>
          <w:rFonts w:ascii="Times New Roman" w:cs="Times New Roman" w:eastAsia="Times New Roman" w:hAnsi="Times New Roman"/>
          <w:sz w:val="13"/>
          <w:szCs w:val="13"/>
          <w:color w:val="auto"/>
        </w:rPr>
        <w:t xml:space="preserve"> ” means an individual, a trust qualified under Section 401(a) or 501(c)(17) of the Code, a portion of a trust permanently set aside for or to be used exclusively for the purposes described in Section 642(c) of the Code, or a private foundation within the</w:t>
      </w:r>
    </w:p>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125730</wp:posOffset>
            </wp:positionV>
            <wp:extent cx="4436110" cy="152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313">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575310</wp:posOffset>
            </wp:positionV>
            <wp:extent cx="5083810" cy="152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314">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191" w:name="page192"/>
    <w:bookmarkEnd w:id="191"/>
    <w:p>
      <w:pPr>
        <w:ind w:left="600" w:right="940"/>
        <w:spacing w:after="0" w:line="305" w:lineRule="auto"/>
        <w:rPr>
          <w:sz w:val="20"/>
          <w:szCs w:val="20"/>
          <w:color w:val="auto"/>
        </w:rPr>
      </w:pPr>
      <w:r>
        <w:rPr>
          <w:rFonts w:ascii="Times New Roman" w:cs="Times New Roman" w:eastAsia="Times New Roman" w:hAnsi="Times New Roman"/>
          <w:sz w:val="13"/>
          <w:szCs w:val="13"/>
          <w:color w:val="auto"/>
        </w:rPr>
        <w:t>meaning of Section 509(a) of the Code, provided that, except as set forth in Section 856(h)(3)(A)(ii) of the Code, a trust described in Section 401(a) of the Code and exempt from tax under Section 501(a) of the Code shall be excluded from this definition.</w:t>
      </w:r>
    </w:p>
    <w:p>
      <w:pPr>
        <w:spacing w:after="0" w:line="124" w:lineRule="exact"/>
        <w:rPr>
          <w:sz w:val="20"/>
          <w:szCs w:val="20"/>
          <w:color w:val="auto"/>
        </w:rPr>
      </w:pPr>
    </w:p>
    <w:p>
      <w:pPr>
        <w:ind w:left="600" w:right="820" w:firstLine="612"/>
        <w:spacing w:after="0" w:line="305"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Initial Date</w:t>
      </w:r>
      <w:r>
        <w:rPr>
          <w:rFonts w:ascii="Times New Roman" w:cs="Times New Roman" w:eastAsia="Times New Roman" w:hAnsi="Times New Roman"/>
          <w:sz w:val="13"/>
          <w:szCs w:val="13"/>
          <w:color w:val="auto"/>
        </w:rPr>
        <w:t xml:space="preserve"> ” means the date upon which the Articles of Amendment and Restatement containing this Article VI are filed with the State Department of Assessments and Taxation of Maryland.</w:t>
      </w:r>
    </w:p>
    <w:p>
      <w:pPr>
        <w:spacing w:after="0" w:line="12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IRS</w:t>
      </w:r>
      <w:r>
        <w:rPr>
          <w:rFonts w:ascii="Times New Roman" w:cs="Times New Roman" w:eastAsia="Times New Roman" w:hAnsi="Times New Roman"/>
          <w:sz w:val="13"/>
          <w:szCs w:val="13"/>
          <w:color w:val="auto"/>
        </w:rPr>
        <w:t xml:space="preserve"> ” means the United States Internal Revenue Service.</w:t>
      </w:r>
    </w:p>
    <w:p>
      <w:pPr>
        <w:spacing w:after="0" w:line="186" w:lineRule="exact"/>
        <w:rPr>
          <w:sz w:val="20"/>
          <w:szCs w:val="20"/>
          <w:color w:val="auto"/>
        </w:rPr>
      </w:pPr>
    </w:p>
    <w:p>
      <w:pPr>
        <w:ind w:left="600" w:right="600" w:firstLine="612"/>
        <w:spacing w:after="0" w:line="278"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Market Price</w:t>
      </w:r>
      <w:r>
        <w:rPr>
          <w:rFonts w:ascii="Times New Roman" w:cs="Times New Roman" w:eastAsia="Times New Roman" w:hAnsi="Times New Roman"/>
          <w:sz w:val="13"/>
          <w:szCs w:val="13"/>
          <w:color w:val="auto"/>
        </w:rPr>
        <w:t xml:space="preserve"> ” means the last reported sales price reported on the New York Stock Exchange of the Capital Stock on the trading day immediately preceding the relevant date, or if the Capital Stock is not then traded on the New York Stock Exchange, the last reported sales price of the Capital Stock on the trading day immediately preceding the relevant date as reported on any exchange or quotation system over which the Capital Stock may be traded, or if the Capital Stock is not then traded over any exchange or quotation system, then the market price of the Capital Stock on the relevant date as determined in good faith by the Board of Directors of the Corporation.</w:t>
      </w:r>
    </w:p>
    <w:p>
      <w:pPr>
        <w:spacing w:after="0" w:line="142" w:lineRule="exact"/>
        <w:rPr>
          <w:sz w:val="20"/>
          <w:szCs w:val="20"/>
          <w:color w:val="auto"/>
        </w:rPr>
      </w:pPr>
    </w:p>
    <w:p>
      <w:pPr>
        <w:ind w:left="600" w:right="700" w:firstLine="612"/>
        <w:spacing w:after="0" w:line="281"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Person</w:t>
      </w:r>
      <w:r>
        <w:rPr>
          <w:rFonts w:ascii="Times New Roman" w:cs="Times New Roman" w:eastAsia="Times New Roman" w:hAnsi="Times New Roman"/>
          <w:sz w:val="13"/>
          <w:szCs w:val="13"/>
          <w:color w:val="auto"/>
        </w:rPr>
        <w:t xml:space="preserve"> ” shall mean an Individual, corporation, partnership, limited liability company, estate, trust, association, joint stock company or other entity; but does not include an underwriter acting in a capacity as such in a public offering of shares of Capital Stock provided that the ownership of such shares of Capital Stock by such underwriter would not result in the Corporation being “closely held” within the meaning of Section 856(h) of the Code, or otherwise result in the Corporation failing to qualify as a REIT.</w:t>
      </w:r>
    </w:p>
    <w:p>
      <w:pPr>
        <w:spacing w:after="0" w:line="140" w:lineRule="exact"/>
        <w:rPr>
          <w:sz w:val="20"/>
          <w:szCs w:val="20"/>
          <w:color w:val="auto"/>
        </w:rPr>
      </w:pPr>
    </w:p>
    <w:p>
      <w:pPr>
        <w:ind w:left="600" w:right="1000" w:firstLine="612"/>
        <w:spacing w:after="0" w:line="305"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Preferred Stock</w:t>
      </w:r>
      <w:r>
        <w:rPr>
          <w:rFonts w:ascii="Times New Roman" w:cs="Times New Roman" w:eastAsia="Times New Roman" w:hAnsi="Times New Roman"/>
          <w:sz w:val="13"/>
          <w:szCs w:val="13"/>
          <w:color w:val="auto"/>
        </w:rPr>
        <w:t xml:space="preserve"> ” shall mean that Preferred Stock that may be issued from time to time pursuant to Article V of the Articles of Amendment and Restatement.</w:t>
      </w:r>
    </w:p>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125730</wp:posOffset>
            </wp:positionV>
            <wp:extent cx="4436110"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315">
                      <a:extLst>
                        <a:ext uri="{28A0092B-C50C-407E-A947-70E740481C1C}"/>
                      </a:extLst>
                    </a:blip>
                    <a:srcRect/>
                    <a:stretch>
                      <a:fillRect/>
                    </a:stretch>
                  </pic:blipFill>
                  <pic:spPr bwMode="auto">
                    <a:xfrm>
                      <a:off x="0" y="0"/>
                      <a:ext cx="4436110"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567690</wp:posOffset>
            </wp:positionV>
            <wp:extent cx="5083810" cy="152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316">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192" w:name="page193"/>
    <w:bookmarkEnd w:id="192"/>
    <w:p>
      <w:pPr>
        <w:ind w:left="600" w:right="640" w:firstLine="612"/>
        <w:spacing w:after="0" w:line="281"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Purported Beneficial Transferee</w:t>
      </w:r>
      <w:r>
        <w:rPr>
          <w:rFonts w:ascii="Times New Roman" w:cs="Times New Roman" w:eastAsia="Times New Roman" w:hAnsi="Times New Roman"/>
          <w:sz w:val="13"/>
          <w:szCs w:val="13"/>
          <w:color w:val="auto"/>
        </w:rPr>
        <w:t xml:space="preserve"> ” shall mean, with respect to any purported Transfer (or other event) which results in a transfer to a Trust, as provided in Section 6.2.2 of this Article VI, the Purported Record Transferee, unless the Purported Record Transferee would have acquired or owned shares of Capital Stock for another Person who is the beneficial transferee or owner of such shares, in which case the Purported Beneficial Transferee shall be such Person.</w:t>
      </w:r>
    </w:p>
    <w:p>
      <w:pPr>
        <w:spacing w:after="0" w:line="140" w:lineRule="exact"/>
        <w:rPr>
          <w:sz w:val="20"/>
          <w:szCs w:val="20"/>
          <w:color w:val="auto"/>
        </w:rPr>
      </w:pPr>
    </w:p>
    <w:p>
      <w:pPr>
        <w:ind w:left="600" w:right="820" w:firstLine="612"/>
        <w:spacing w:after="0" w:line="287"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Purported Record Transferee</w:t>
      </w:r>
      <w:r>
        <w:rPr>
          <w:rFonts w:ascii="Times New Roman" w:cs="Times New Roman" w:eastAsia="Times New Roman" w:hAnsi="Times New Roman"/>
          <w:sz w:val="13"/>
          <w:szCs w:val="13"/>
          <w:color w:val="auto"/>
        </w:rPr>
        <w:t xml:space="preserve"> ” shall mean, with respect to any purported Transfer (or other event) which results in a transfer to a Trust, as provided in Section 6.2.2 of this Article VI, the record holder of the shares of Capital Stock if such Transfer had been valid under Section 6.2.1 of this Article VI.</w:t>
      </w:r>
    </w:p>
    <w:p>
      <w:pPr>
        <w:spacing w:after="0" w:line="13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REIT</w:t>
      </w:r>
      <w:r>
        <w:rPr>
          <w:rFonts w:ascii="Times New Roman" w:cs="Times New Roman" w:eastAsia="Times New Roman" w:hAnsi="Times New Roman"/>
          <w:sz w:val="13"/>
          <w:szCs w:val="13"/>
          <w:color w:val="auto"/>
        </w:rPr>
        <w:t xml:space="preserve"> ” shall mean a real estate investment trust under Sections 856 through 860 of the Code.</w:t>
      </w:r>
    </w:p>
    <w:p>
      <w:pPr>
        <w:spacing w:after="0" w:line="18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Restriction Termination Date</w:t>
      </w:r>
      <w:r>
        <w:rPr>
          <w:rFonts w:ascii="Times New Roman" w:cs="Times New Roman" w:eastAsia="Times New Roman" w:hAnsi="Times New Roman"/>
          <w:sz w:val="13"/>
          <w:szCs w:val="13"/>
          <w:color w:val="auto"/>
        </w:rPr>
        <w:t xml:space="preserve"> ” shall mean the first day on which the Board of Directors of the Corporation determines that it is</w:t>
      </w:r>
    </w:p>
    <w:p>
      <w:pPr>
        <w:spacing w:after="0" w:line="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no longer in the best interests of the Corporation to attempt to, or continue to, qualify as a REIT.</w:t>
      </w:r>
    </w:p>
    <w:p>
      <w:pPr>
        <w:spacing w:after="0" w:line="183" w:lineRule="exact"/>
        <w:rPr>
          <w:sz w:val="20"/>
          <w:szCs w:val="20"/>
          <w:color w:val="auto"/>
        </w:rPr>
      </w:pPr>
    </w:p>
    <w:p>
      <w:pPr>
        <w:ind w:left="600" w:right="760" w:firstLine="612"/>
        <w:spacing w:after="0" w:line="276"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Transfer</w:t>
      </w:r>
      <w:r>
        <w:rPr>
          <w:rFonts w:ascii="Times New Roman" w:cs="Times New Roman" w:eastAsia="Times New Roman" w:hAnsi="Times New Roman"/>
          <w:sz w:val="13"/>
          <w:szCs w:val="13"/>
          <w:color w:val="auto"/>
        </w:rPr>
        <w:t xml:space="preserve"> ” shall mean any issuance, sale, transfer, gift, assignment, devise, other disposition of Capital Stock as well as any other event that causes any Person to Beneficially Own or Constructively Own Capital Stock, including (i) the granting of any option or entering into any agreement for the sale, transfer or other disposition of Capital Stock or (ii) the sale, transfer, assignment or other disposition of any securities (or rights convertible into or exchangeable for Capital Stock), whether voluntary or involuntary, whether such transfer has occurred of record or beneficially or Beneficially or Constructively (including but not limited to transfers of interests in other entities which result in changes in Beneficial or Constructive Ownership of Capital Stock), and whether such transfer has occurred by operation of law or otherwise.</w:t>
      </w:r>
    </w:p>
    <w:p>
      <w:pPr>
        <w:spacing w:after="0" w:line="3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125730</wp:posOffset>
            </wp:positionV>
            <wp:extent cx="4436110" cy="152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317">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575310</wp:posOffset>
            </wp:positionV>
            <wp:extent cx="5083810" cy="152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318">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193" w:name="page194"/>
    <w:bookmarkEnd w:id="193"/>
    <w:p>
      <w:pPr>
        <w:ind w:left="12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Trust</w:t>
      </w:r>
      <w:r>
        <w:rPr>
          <w:rFonts w:ascii="Times New Roman" w:cs="Times New Roman" w:eastAsia="Times New Roman" w:hAnsi="Times New Roman"/>
          <w:sz w:val="13"/>
          <w:szCs w:val="13"/>
          <w:color w:val="auto"/>
        </w:rPr>
        <w:t xml:space="preserve"> ” shall mean each of the trusts provided for in Section 6.3 of this Article VI.</w:t>
      </w:r>
    </w:p>
    <w:p>
      <w:pPr>
        <w:spacing w:after="0" w:line="187" w:lineRule="exact"/>
        <w:rPr>
          <w:sz w:val="20"/>
          <w:szCs w:val="20"/>
          <w:color w:val="auto"/>
        </w:rPr>
      </w:pPr>
    </w:p>
    <w:p>
      <w:pPr>
        <w:ind w:left="600" w:right="960" w:firstLine="612"/>
        <w:spacing w:after="0" w:line="305"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Trustee</w:t>
      </w:r>
      <w:r>
        <w:rPr>
          <w:rFonts w:ascii="Times New Roman" w:cs="Times New Roman" w:eastAsia="Times New Roman" w:hAnsi="Times New Roman"/>
          <w:sz w:val="13"/>
          <w:szCs w:val="13"/>
          <w:color w:val="auto"/>
        </w:rPr>
        <w:t xml:space="preserve"> ” shall mean any Person unaffiliated with the Corporation, or a Purported Beneficial Transferee, or a Purported Record Transferee, that is appointed by the Corporation to serve as trustee of a Trust.</w:t>
      </w:r>
    </w:p>
    <w:p>
      <w:pPr>
        <w:spacing w:after="0" w:line="12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3"/>
          <w:szCs w:val="13"/>
          <w:color w:val="auto"/>
        </w:rPr>
        <w:t xml:space="preserve">Section 6.2 </w:t>
      </w:r>
      <w:r>
        <w:rPr>
          <w:rFonts w:ascii="Times New Roman" w:cs="Times New Roman" w:eastAsia="Times New Roman" w:hAnsi="Times New Roman"/>
          <w:sz w:val="13"/>
          <w:szCs w:val="13"/>
          <w:u w:val="single" w:color="auto"/>
          <w:color w:val="auto"/>
        </w:rPr>
        <w:t>Restriction on Ownership and Transfers</w:t>
      </w:r>
      <w:r>
        <w:rPr>
          <w:rFonts w:ascii="Times New Roman" w:cs="Times New Roman" w:eastAsia="Times New Roman" w:hAnsi="Times New Roman"/>
          <w:sz w:val="13"/>
          <w:szCs w:val="13"/>
          <w:color w:val="auto"/>
        </w:rPr>
        <w:t xml:space="preserve"> .</w:t>
      </w:r>
    </w:p>
    <w:p>
      <w:pPr>
        <w:spacing w:after="0" w:line="18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3"/>
          <w:szCs w:val="13"/>
          <w:color w:val="auto"/>
        </w:rPr>
        <w:t>6.2.1 From the Initial Date and prior to the Restriction Termination Date:</w:t>
      </w:r>
    </w:p>
    <w:p>
      <w:pPr>
        <w:spacing w:after="0" w:line="187" w:lineRule="exact"/>
        <w:rPr>
          <w:sz w:val="20"/>
          <w:szCs w:val="20"/>
          <w:color w:val="auto"/>
        </w:rPr>
      </w:pPr>
    </w:p>
    <w:p>
      <w:pPr>
        <w:ind w:left="600" w:right="780" w:firstLine="1315"/>
        <w:spacing w:after="0" w:line="287" w:lineRule="auto"/>
        <w:tabs>
          <w:tab w:leader="none" w:pos="2088"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provided in Section 6.9 of this Article VI, (1) no Person shall Beneficially Own shares of Capital Stock in excess of the Aggregate Stock Ownership Limit and (2) no Person shall Beneficially Own Common Stock in excess of the Common Stock Ownership Limit;</w:t>
      </w:r>
    </w:p>
    <w:p>
      <w:pPr>
        <w:spacing w:after="0" w:line="135" w:lineRule="exact"/>
        <w:rPr>
          <w:rFonts w:ascii="Times New Roman" w:cs="Times New Roman" w:eastAsia="Times New Roman" w:hAnsi="Times New Roman"/>
          <w:sz w:val="13"/>
          <w:szCs w:val="13"/>
          <w:color w:val="auto"/>
        </w:rPr>
      </w:pPr>
    </w:p>
    <w:p>
      <w:pPr>
        <w:ind w:left="600" w:right="780" w:firstLine="1315"/>
        <w:spacing w:after="0" w:line="287" w:lineRule="auto"/>
        <w:tabs>
          <w:tab w:leader="none" w:pos="2100"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provided in Section 6.9 of this Article VI, (1) no Person shall Constructively Own shares of Capital Stock in excess of the Aggregate Stock Ownership Limit and (2) no Person shall Constructively Own Common Stock in excess of the Common Stock Ownership Limit; and</w:t>
      </w:r>
    </w:p>
    <w:p>
      <w:pPr>
        <w:spacing w:after="0" w:line="135" w:lineRule="exact"/>
        <w:rPr>
          <w:rFonts w:ascii="Times New Roman" w:cs="Times New Roman" w:eastAsia="Times New Roman" w:hAnsi="Times New Roman"/>
          <w:sz w:val="13"/>
          <w:szCs w:val="13"/>
          <w:color w:val="auto"/>
        </w:rPr>
      </w:pPr>
    </w:p>
    <w:p>
      <w:pPr>
        <w:ind w:left="600" w:right="600" w:firstLine="1315"/>
        <w:spacing w:after="0" w:line="276" w:lineRule="auto"/>
        <w:tabs>
          <w:tab w:leader="none" w:pos="2088"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Person shall Beneficially or Constructively Own Capital Stock to the extent that such Beneficial or Constructive Ownership would result in the Corporation being “closely held” within the meaning of Section 856(h) of the Code, or otherwise failing to qualify as a REIT (including but not limited to ownership that would result in the Corporation owning (actually or Constructively) an interest in a tenant that is described in Section 856(d)(2)(B) of the Code if the income derived by the Corporation (either directly or indirectly through one or more partnerships or limited liability companies) from such tenant would cause the Corporation to fail to satisfy any of the gross income requirements of Section 856(c) of the Code).</w:t>
      </w:r>
    </w:p>
    <w:p>
      <w:pPr>
        <w:spacing w:after="0" w:line="145" w:lineRule="exact"/>
        <w:rPr>
          <w:sz w:val="20"/>
          <w:szCs w:val="20"/>
          <w:color w:val="auto"/>
        </w:rPr>
      </w:pPr>
    </w:p>
    <w:p>
      <w:pPr>
        <w:ind w:left="600" w:right="800" w:firstLine="1008"/>
        <w:spacing w:after="0" w:line="305" w:lineRule="auto"/>
        <w:rPr>
          <w:sz w:val="20"/>
          <w:szCs w:val="20"/>
          <w:color w:val="auto"/>
        </w:rPr>
      </w:pPr>
      <w:r>
        <w:rPr>
          <w:rFonts w:ascii="Times New Roman" w:cs="Times New Roman" w:eastAsia="Times New Roman" w:hAnsi="Times New Roman"/>
          <w:sz w:val="13"/>
          <w:szCs w:val="13"/>
          <w:color w:val="auto"/>
        </w:rPr>
        <w:t>6.2.2 If, during the period commencing on the Initial Date and prior to the Restriction Termination Date, any Transfer occurs that, if effective, would result in any Person Beneficially or Constructively Owning Capital Stock in violation of Section 6.2.1 of</w:t>
      </w:r>
    </w:p>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125730</wp:posOffset>
            </wp:positionV>
            <wp:extent cx="4436110" cy="152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319">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575310</wp:posOffset>
            </wp:positionV>
            <wp:extent cx="5083810" cy="152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320">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194" w:name="page195"/>
    <w:bookmarkEnd w:id="194"/>
    <w:p>
      <w:pPr>
        <w:ind w:left="600" w:right="780"/>
        <w:spacing w:after="0" w:line="275" w:lineRule="auto"/>
        <w:rPr>
          <w:sz w:val="20"/>
          <w:szCs w:val="20"/>
          <w:color w:val="auto"/>
        </w:rPr>
      </w:pPr>
      <w:r>
        <w:rPr>
          <w:rFonts w:ascii="Times New Roman" w:cs="Times New Roman" w:eastAsia="Times New Roman" w:hAnsi="Times New Roman"/>
          <w:sz w:val="13"/>
          <w:szCs w:val="13"/>
          <w:color w:val="auto"/>
        </w:rPr>
        <w:t xml:space="preserve">this Article VI, (i) then that number of shares of Capital Stock that otherwise would cause such Person to violate Section 6.2.1 of this Article VI (rounded up to the nearest whole share) shall be automatically transferred to a Trust for the benefit of a Charitable Beneficiary, as described in Section 6.3, effective as of the close of business on the business day prior to the date of such Transfer or other event, and such Purported Beneficial Transferee shall thereafter have no rights in such shares or (ii) if, for any reason, the transfer to the Trust described in clause (i) of this sentence is not automatically effective as provided therein to prevent any Person from Beneficially or Constructively Owning Capital Stock in violation of Section 6.2.1 of this Article VI, then the Transfer of that number of shares of Capital Stock that otherwise would cause any Person to violate Section 6.2.1 shall, subject to Section 6.12, be void </w:t>
      </w:r>
      <w:r>
        <w:rPr>
          <w:rFonts w:ascii="Times New Roman" w:cs="Times New Roman" w:eastAsia="Times New Roman" w:hAnsi="Times New Roman"/>
          <w:sz w:val="13"/>
          <w:szCs w:val="13"/>
          <w:i w:val="1"/>
          <w:iCs w:val="1"/>
          <w:color w:val="auto"/>
        </w:rPr>
        <w:t>ab initio</w:t>
      </w:r>
      <w:r>
        <w:rPr>
          <w:rFonts w:ascii="Times New Roman" w:cs="Times New Roman" w:eastAsia="Times New Roman" w:hAnsi="Times New Roman"/>
          <w:sz w:val="13"/>
          <w:szCs w:val="13"/>
          <w:color w:val="auto"/>
        </w:rPr>
        <w:t xml:space="preserve"> , and the Purported Beneficial Transferee shall have no rights in such shares.</w:t>
      </w:r>
    </w:p>
    <w:p>
      <w:pPr>
        <w:spacing w:after="0" w:line="313" w:lineRule="exact"/>
        <w:rPr>
          <w:sz w:val="20"/>
          <w:szCs w:val="20"/>
          <w:color w:val="auto"/>
        </w:rPr>
      </w:pPr>
    </w:p>
    <w:p>
      <w:pPr>
        <w:ind w:left="600" w:right="760" w:firstLine="1008"/>
        <w:spacing w:after="0" w:line="281" w:lineRule="auto"/>
        <w:rPr>
          <w:sz w:val="20"/>
          <w:szCs w:val="20"/>
          <w:color w:val="auto"/>
        </w:rPr>
      </w:pPr>
      <w:r>
        <w:rPr>
          <w:rFonts w:ascii="Times New Roman" w:cs="Times New Roman" w:eastAsia="Times New Roman" w:hAnsi="Times New Roman"/>
          <w:sz w:val="13"/>
          <w:szCs w:val="13"/>
          <w:color w:val="auto"/>
        </w:rPr>
        <w:t xml:space="preserve">6.2.3 Subject to Section 6.12 of this Article VI and notwithstanding any other provisions contained herein, during the period commencing on the Initial Date and prior to the Restriction Termination Date, any Transfer of Capital Stock that, if effective, would result in the Capital Stock of the Corporation being beneficially owned by less than 100 Persons (determined without reference to any rules of attribution) shall be void </w:t>
      </w:r>
      <w:r>
        <w:rPr>
          <w:rFonts w:ascii="Times New Roman" w:cs="Times New Roman" w:eastAsia="Times New Roman" w:hAnsi="Times New Roman"/>
          <w:sz w:val="13"/>
          <w:szCs w:val="13"/>
          <w:i w:val="1"/>
          <w:iCs w:val="1"/>
          <w:color w:val="auto"/>
        </w:rPr>
        <w:t>ab initio</w:t>
      </w:r>
      <w:r>
        <w:rPr>
          <w:rFonts w:ascii="Times New Roman" w:cs="Times New Roman" w:eastAsia="Times New Roman" w:hAnsi="Times New Roman"/>
          <w:sz w:val="13"/>
          <w:szCs w:val="13"/>
          <w:color w:val="auto"/>
        </w:rPr>
        <w:t xml:space="preserve"> , and the intended transferee shall acquire no rights in such Capital Stock.</w:t>
      </w:r>
    </w:p>
    <w:p>
      <w:pPr>
        <w:spacing w:after="0" w:line="140" w:lineRule="exact"/>
        <w:rPr>
          <w:sz w:val="20"/>
          <w:szCs w:val="20"/>
          <w:color w:val="auto"/>
        </w:rPr>
      </w:pPr>
    </w:p>
    <w:p>
      <w:pPr>
        <w:jc w:val="both"/>
        <w:ind w:left="600" w:right="800" w:firstLine="1008"/>
        <w:spacing w:after="0" w:line="287" w:lineRule="auto"/>
        <w:rPr>
          <w:sz w:val="20"/>
          <w:szCs w:val="20"/>
          <w:color w:val="auto"/>
        </w:rPr>
      </w:pPr>
      <w:r>
        <w:rPr>
          <w:rFonts w:ascii="Times New Roman" w:cs="Times New Roman" w:eastAsia="Times New Roman" w:hAnsi="Times New Roman"/>
          <w:sz w:val="13"/>
          <w:szCs w:val="13"/>
          <w:color w:val="auto"/>
        </w:rPr>
        <w:t>6.2.4 It is expressly intended that the restrictions on ownership and Transfer described in this Section 6.2 of Article VI shall apply to restrict the rights of any members or partners in limited liability companies or partnerships to exchange their interest in such entities for Capital Stock of the Corporation.</w:t>
      </w:r>
    </w:p>
    <w:p>
      <w:pPr>
        <w:spacing w:after="0" w:line="13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3"/>
          <w:szCs w:val="13"/>
          <w:color w:val="auto"/>
        </w:rPr>
        <w:t xml:space="preserve">Section 6.3 </w:t>
      </w:r>
      <w:r>
        <w:rPr>
          <w:rFonts w:ascii="Times New Roman" w:cs="Times New Roman" w:eastAsia="Times New Roman" w:hAnsi="Times New Roman"/>
          <w:sz w:val="13"/>
          <w:szCs w:val="13"/>
          <w:u w:val="single" w:color="auto"/>
          <w:color w:val="auto"/>
        </w:rPr>
        <w:t>Transfers of Common Stock in Trust</w:t>
      </w:r>
      <w:r>
        <w:rPr>
          <w:rFonts w:ascii="Times New Roman" w:cs="Times New Roman" w:eastAsia="Times New Roman" w:hAnsi="Times New Roman"/>
          <w:sz w:val="13"/>
          <w:szCs w:val="13"/>
          <w:color w:val="auto"/>
        </w:rPr>
        <w:t xml:space="preserve"> .</w:t>
      </w:r>
    </w:p>
    <w:p>
      <w:pPr>
        <w:spacing w:after="0" w:line="187" w:lineRule="exact"/>
        <w:rPr>
          <w:sz w:val="20"/>
          <w:szCs w:val="20"/>
          <w:color w:val="auto"/>
        </w:rPr>
      </w:pPr>
    </w:p>
    <w:p>
      <w:pPr>
        <w:ind w:left="600" w:right="720" w:firstLine="1008"/>
        <w:spacing w:after="0" w:line="305" w:lineRule="auto"/>
        <w:rPr>
          <w:sz w:val="20"/>
          <w:szCs w:val="20"/>
          <w:color w:val="auto"/>
        </w:rPr>
      </w:pPr>
      <w:r>
        <w:rPr>
          <w:rFonts w:ascii="Times New Roman" w:cs="Times New Roman" w:eastAsia="Times New Roman" w:hAnsi="Times New Roman"/>
          <w:sz w:val="13"/>
          <w:szCs w:val="13"/>
          <w:color w:val="auto"/>
        </w:rPr>
        <w:t>6.3.1 Upon any purported Transfer or other event described in Section 6.2.2 of this Article VI that would result in a transfer of shares of Capital Stock to a</w:t>
      </w:r>
    </w:p>
    <w:p>
      <w:pPr>
        <w:spacing w:after="0" w:line="2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125730</wp:posOffset>
            </wp:positionV>
            <wp:extent cx="4436110"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321">
                      <a:extLst>
                        <a:ext uri="{28A0092B-C50C-407E-A947-70E740481C1C}"/>
                      </a:extLst>
                    </a:blip>
                    <a:srcRect/>
                    <a:stretch>
                      <a:fillRect/>
                    </a:stretch>
                  </pic:blipFill>
                  <pic:spPr bwMode="auto">
                    <a:xfrm>
                      <a:off x="0" y="0"/>
                      <a:ext cx="4436110"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567690</wp:posOffset>
            </wp:positionV>
            <wp:extent cx="5083810" cy="152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22">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195" w:name="page196"/>
    <w:bookmarkEnd w:id="195"/>
    <w:p>
      <w:pPr>
        <w:ind w:left="600" w:right="880"/>
        <w:spacing w:after="0" w:line="278" w:lineRule="auto"/>
        <w:rPr>
          <w:sz w:val="20"/>
          <w:szCs w:val="20"/>
          <w:color w:val="auto"/>
        </w:rPr>
      </w:pPr>
      <w:r>
        <w:rPr>
          <w:rFonts w:ascii="Times New Roman" w:cs="Times New Roman" w:eastAsia="Times New Roman" w:hAnsi="Times New Roman"/>
          <w:sz w:val="13"/>
          <w:szCs w:val="13"/>
          <w:color w:val="auto"/>
        </w:rPr>
        <w:t>Trust, such Capital Stock shall be deemed to have been transferred to the Trustee in his capacity as trustee of a Trust for the exclusive benefit of one or more Charitable Beneficiaries. Such transfer to the Trustee shall be deemed to be effective as of the close of business on the business day prior to the purported Transfer or other event that results in a transfer to the Trust pursuant to Section 6.2.2. The Trustee shall be appointed by the Corporation and shall be a Person unaffiliated with the Corporation, any Purported Beneficial Transferee and any Purported Record Transferee. Each Charitable Beneficiary shall be designated by the Corporation as provided in Section 6.3.6 of this Article VI.</w:t>
      </w:r>
    </w:p>
    <w:p>
      <w:pPr>
        <w:spacing w:after="0" w:line="143" w:lineRule="exact"/>
        <w:rPr>
          <w:sz w:val="20"/>
          <w:szCs w:val="20"/>
          <w:color w:val="auto"/>
        </w:rPr>
      </w:pPr>
    </w:p>
    <w:p>
      <w:pPr>
        <w:ind w:left="600" w:right="800" w:firstLine="1008"/>
        <w:spacing w:after="0" w:line="278" w:lineRule="auto"/>
        <w:rPr>
          <w:sz w:val="20"/>
          <w:szCs w:val="20"/>
          <w:color w:val="auto"/>
        </w:rPr>
      </w:pPr>
      <w:r>
        <w:rPr>
          <w:rFonts w:ascii="Times New Roman" w:cs="Times New Roman" w:eastAsia="Times New Roman" w:hAnsi="Times New Roman"/>
          <w:sz w:val="13"/>
          <w:szCs w:val="13"/>
          <w:color w:val="auto"/>
        </w:rPr>
        <w:t>6.3.2 Capital Stock held by the Trustee shall be issued and outstanding Capital Stock of the Corporation. The Purported Beneficial Transferee or Purported Record Transferee shall have no rights in the shares of Capital Stock held by the Trustee. The Purported Beneficial Transferee or Purported Record Transferee shall not benefit economically from ownership of any shares held in trust by the Trustee, shall have no rights to dividends or other distributions and shall not possess any rights to vote or other rights attributable to the shares of Capital Stock held in the Trust.</w:t>
      </w:r>
    </w:p>
    <w:p>
      <w:pPr>
        <w:spacing w:after="0" w:line="143" w:lineRule="exact"/>
        <w:rPr>
          <w:sz w:val="20"/>
          <w:szCs w:val="20"/>
          <w:color w:val="auto"/>
        </w:rPr>
      </w:pPr>
    </w:p>
    <w:p>
      <w:pPr>
        <w:ind w:left="600" w:right="620" w:firstLine="1008"/>
        <w:spacing w:after="0" w:line="276" w:lineRule="auto"/>
        <w:rPr>
          <w:sz w:val="20"/>
          <w:szCs w:val="20"/>
          <w:color w:val="auto"/>
        </w:rPr>
      </w:pPr>
      <w:r>
        <w:rPr>
          <w:rFonts w:ascii="Times New Roman" w:cs="Times New Roman" w:eastAsia="Times New Roman" w:hAnsi="Times New Roman"/>
          <w:sz w:val="13"/>
          <w:szCs w:val="13"/>
          <w:color w:val="auto"/>
        </w:rPr>
        <w:t>6.3.3 The Trustee shall have all voting rights and rights to dividends or other distributions with respect to Capital Stock held in the Trust, which rights shall be exercised for the exclusive benefit of the Charitable Beneficiary. Any dividend or other distribution paid prior to the discovery by the Corporation that shares of Capital Stock have been transferred to the Trustee shall be paid to the Trustee upon demand, and any dividend or other distribution declared or authorized but unpaid with respect to such Capital Stock shall be paid when due to the Trustee. Any dividends or distributions so paid over to the Trustee shall be held in trust for the Charitable Beneficiary. The Purported Record Transferee and Purported Beneficial Transferee shall have no voting rights with respect to the Capital Stock held in the</w:t>
      </w:r>
    </w:p>
    <w:p>
      <w:pPr>
        <w:spacing w:after="0" w:line="3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125730</wp:posOffset>
            </wp:positionV>
            <wp:extent cx="4436110" cy="152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23">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575310</wp:posOffset>
            </wp:positionV>
            <wp:extent cx="5083810" cy="152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24">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196" w:name="page197"/>
    <w:bookmarkEnd w:id="196"/>
    <w:p>
      <w:pPr>
        <w:ind w:left="600" w:right="620"/>
        <w:spacing w:after="0" w:line="274" w:lineRule="auto"/>
        <w:rPr>
          <w:sz w:val="20"/>
          <w:szCs w:val="20"/>
          <w:color w:val="auto"/>
        </w:rPr>
      </w:pPr>
      <w:r>
        <w:rPr>
          <w:rFonts w:ascii="Times New Roman" w:cs="Times New Roman" w:eastAsia="Times New Roman" w:hAnsi="Times New Roman"/>
          <w:sz w:val="13"/>
          <w:szCs w:val="13"/>
          <w:color w:val="auto"/>
        </w:rPr>
        <w:t>Trust and, subject to Maryland law, effective as of the date the Capital Stock has been transferred to the Trustee, the Trustee shall have the authority (at the Trustee’s sole discretion) (i) to rescind as void any vote cast by a Purported Record Transferee with respect to such Capital Stock prior to the discovery by the Corporation that the Capital Stock has been transferred to the Trustee and (ii) to recast such vote in accordance with the desires of the Trustee acting for the benefit of the Charitable Beneficiary; provided, however, that if the Corporation has already taken irreversible corporate action, then the Trustee shall not have the authority to rescind and recast such vote. Notwithstanding the provisions of this Article VI, until the Corporation has received notification that the Capital Stock has been transferred into a Trust, the Corporation shall be entitled to rely on its share transfer and other stockholder records for purposes of preparing lists of stockholders entitled to vote at meetings, determining the validity and authority of proxies and otherwise conducting votes of stockholders.</w:t>
      </w:r>
    </w:p>
    <w:p>
      <w:pPr>
        <w:spacing w:after="0" w:line="135" w:lineRule="exact"/>
        <w:rPr>
          <w:sz w:val="20"/>
          <w:szCs w:val="20"/>
          <w:color w:val="auto"/>
        </w:rPr>
      </w:pPr>
    </w:p>
    <w:p>
      <w:pPr>
        <w:ind w:left="600" w:right="640" w:firstLine="1008"/>
        <w:spacing w:after="0" w:line="274" w:lineRule="auto"/>
        <w:rPr>
          <w:sz w:val="20"/>
          <w:szCs w:val="20"/>
          <w:color w:val="auto"/>
        </w:rPr>
      </w:pPr>
      <w:r>
        <w:rPr>
          <w:rFonts w:ascii="Times New Roman" w:cs="Times New Roman" w:eastAsia="Times New Roman" w:hAnsi="Times New Roman"/>
          <w:sz w:val="13"/>
          <w:szCs w:val="13"/>
          <w:color w:val="auto"/>
        </w:rPr>
        <w:t>6.3.4 Within 20 days of receiving notice from the Corporation that shares of Capital Stock have been transferred to the Trust, the Trustee of the Trust shall sell the shares of Capital Stock held in the Trust to a person, designated by the Trustee, whose ownership of the shares of Capital Stock will not violate the ownership limitations set forth in Section 6.2.1. Upon such sale, the interest of the Charitable Beneficiary in the shares of Capital Stock sold shall terminate and the Trustee shall distribute the net proceeds of the sale to the Purported Record Transferee and to the Charitable Beneficiary as provided in this Section 6.3.4. The Purported Record Transferee shall receive the lesser of (i) the price paid by the Purported Record Transferee for the shares of Capital Stock in the transaction that resulted in such transfer to the Trust (or, if the event which resulted in the transfer to the Trust did not involve a purchase of such shares of Capital Stock at Market Price, the Market Price of such shares of Capital Stock on the day of the event which resulted in the transfer of such shares of Capital Stock to the Trust)</w:t>
      </w:r>
    </w:p>
    <w:p>
      <w:pPr>
        <w:spacing w:after="0" w:line="3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125730</wp:posOffset>
            </wp:positionV>
            <wp:extent cx="4436110"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25">
                      <a:extLst>
                        <a:ext uri="{28A0092B-C50C-407E-A947-70E740481C1C}"/>
                      </a:extLst>
                    </a:blip>
                    <a:srcRect/>
                    <a:stretch>
                      <a:fillRect/>
                    </a:stretch>
                  </pic:blipFill>
                  <pic:spPr bwMode="auto">
                    <a:xfrm>
                      <a:off x="0" y="0"/>
                      <a:ext cx="4436110"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567690</wp:posOffset>
            </wp:positionV>
            <wp:extent cx="5083810" cy="152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26">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197" w:name="page198"/>
    <w:bookmarkEnd w:id="197"/>
    <w:p>
      <w:pPr>
        <w:ind w:left="600" w:right="680"/>
        <w:spacing w:after="0" w:line="274" w:lineRule="auto"/>
        <w:rPr>
          <w:sz w:val="20"/>
          <w:szCs w:val="20"/>
          <w:color w:val="auto"/>
        </w:rPr>
      </w:pPr>
      <w:r>
        <w:rPr>
          <w:rFonts w:ascii="Times New Roman" w:cs="Times New Roman" w:eastAsia="Times New Roman" w:hAnsi="Times New Roman"/>
          <w:sz w:val="13"/>
          <w:szCs w:val="13"/>
          <w:color w:val="auto"/>
        </w:rPr>
        <w:t>and (ii) the price per share received by the Trustee (net of any commissions and other expenses of sale) from the sale or other disposition of the shares of Capital Stock held in the Trust. The Trustee may reduce the amount payable to the Purported Record Transferee by the amount of dividends and distributions which have been paid to the Purported Record Transferee and are owed by the Purported Record Transferee to the Trustee pursuant to Section 6.3.3 of this Article VI. Any net sales proceeds in excess of the amount payable to the Purported Record Transferee shall be immediately paid to the Charitable Beneficiary together with any dividends or other distributions thereon. If, prior to the discovery by the Corporation that shares of such Capital Stock have been transferred to the Trustee, such shares of Capital Stock are sold by a Purported Record Transferee then (x) such shares of Capital Stock shall be deemed to have been sold on behalf of the Trust and (y) to the extent that the Purported Record Transferee received an amount for such shares of Capital Stock that exceeds the amount that such Purported Record Transferee was entitled to receive pursuant to this Section 6.3.4, such excess shall be paid to the Trustee upon demand.</w:t>
      </w:r>
    </w:p>
    <w:p>
      <w:pPr>
        <w:spacing w:after="0" w:line="132" w:lineRule="exact"/>
        <w:rPr>
          <w:sz w:val="20"/>
          <w:szCs w:val="20"/>
          <w:color w:val="auto"/>
        </w:rPr>
      </w:pPr>
    </w:p>
    <w:p>
      <w:pPr>
        <w:ind w:left="600" w:right="700" w:firstLine="1008"/>
        <w:spacing w:after="0" w:line="275" w:lineRule="auto"/>
        <w:rPr>
          <w:sz w:val="20"/>
          <w:szCs w:val="20"/>
          <w:color w:val="auto"/>
        </w:rPr>
      </w:pPr>
      <w:r>
        <w:rPr>
          <w:rFonts w:ascii="Times New Roman" w:cs="Times New Roman" w:eastAsia="Times New Roman" w:hAnsi="Times New Roman"/>
          <w:sz w:val="13"/>
          <w:szCs w:val="13"/>
          <w:color w:val="auto"/>
        </w:rPr>
        <w:t>6.3.5 Capital Stock transferred to the Trustee shall be deemed to have been offered for sale to the Corporation, or its designee, at a price per share equal to the lesser of (i) the price paid by the Purported Record Transferee for the shares of Capital Stock in the transaction that resulted in such transfer to the Trust (or, if the event which resulted in the transfer to the Trust did not involve a purchase of such shares of Capital Stock at Market Price, the Market Price of such shares of Capital Stock on the day of the event which resulted in the transfer of such shares of Capital Stock to the Trust) and (ii) the Market Price on the date the Corporation, or its designee, accepts such offer. The Corporation may reduce the amount payable to the Purported Record Transferee by the amount of dividends and distributions which has been paid to the Purported Record Transferee and are owed by the Purported Record</w:t>
      </w:r>
    </w:p>
    <w:p>
      <w:pPr>
        <w:spacing w:after="0" w:line="3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125730</wp:posOffset>
            </wp:positionV>
            <wp:extent cx="4436110" cy="152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27">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575310</wp:posOffset>
            </wp:positionV>
            <wp:extent cx="5083810" cy="152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28">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198" w:name="page199"/>
    <w:bookmarkEnd w:id="198"/>
    <w:p>
      <w:pPr>
        <w:ind w:left="600" w:right="640"/>
        <w:spacing w:after="0" w:line="278" w:lineRule="auto"/>
        <w:rPr>
          <w:sz w:val="20"/>
          <w:szCs w:val="20"/>
          <w:color w:val="auto"/>
        </w:rPr>
      </w:pPr>
      <w:r>
        <w:rPr>
          <w:rFonts w:ascii="Times New Roman" w:cs="Times New Roman" w:eastAsia="Times New Roman" w:hAnsi="Times New Roman"/>
          <w:sz w:val="13"/>
          <w:szCs w:val="13"/>
          <w:color w:val="auto"/>
        </w:rPr>
        <w:t>Transferee to the Trustee pursuant to Section 6.3.3 of this Article VI. The Corporation will pay the amount of such reduction to the Trustee for the benefit of the Charitable Beneficiary. The Corporation shall have the right to accept such offer until the Trustee has sold the shares of Capital Stock held in the Trust pursuant to Section 6.3.4. Upon such a sale to the Corporation, the interest of the Charitable Beneficiary in the shares of Capital Stock sold shall terminate and the Trustee shall distribute the net proceeds of the sale to the Purported Record Transferee, and any dividends or other distributions held by Trustee with respect to such Capital Stock shall thereupon be paid to the Charitable Beneficiary.</w:t>
      </w:r>
    </w:p>
    <w:p>
      <w:pPr>
        <w:spacing w:after="0" w:line="143" w:lineRule="exact"/>
        <w:rPr>
          <w:sz w:val="20"/>
          <w:szCs w:val="20"/>
          <w:color w:val="auto"/>
        </w:rPr>
      </w:pPr>
    </w:p>
    <w:p>
      <w:pPr>
        <w:ind w:left="600" w:right="840" w:firstLine="1008"/>
        <w:spacing w:after="0" w:line="281" w:lineRule="auto"/>
        <w:rPr>
          <w:sz w:val="20"/>
          <w:szCs w:val="20"/>
          <w:color w:val="auto"/>
        </w:rPr>
      </w:pPr>
      <w:r>
        <w:rPr>
          <w:rFonts w:ascii="Times New Roman" w:cs="Times New Roman" w:eastAsia="Times New Roman" w:hAnsi="Times New Roman"/>
          <w:sz w:val="13"/>
          <w:szCs w:val="13"/>
          <w:color w:val="auto"/>
        </w:rPr>
        <w:t>6.3.6 By written notice to the Trustee, the Corporation shall designate one or more nonprofit organizations to be the Charitable Beneficiary of the interest in the Trust such that (i) the shares of Capital Stock held in the Trust would not violate the restrictions set forth in Section 6.2.1 in the hands of such Charitable Beneficiary and (ii) each Charitable Beneficiary is an organization described in Sections 170(b)(1)(A), 170(c)(2) and 501(c)(3) of the Code.</w:t>
      </w:r>
    </w:p>
    <w:p>
      <w:pPr>
        <w:spacing w:after="0" w:line="140" w:lineRule="exact"/>
        <w:rPr>
          <w:sz w:val="20"/>
          <w:szCs w:val="20"/>
          <w:color w:val="auto"/>
        </w:rPr>
      </w:pPr>
    </w:p>
    <w:p>
      <w:pPr>
        <w:ind w:left="600" w:right="640" w:firstLine="612"/>
        <w:spacing w:after="0" w:line="275" w:lineRule="auto"/>
        <w:rPr>
          <w:sz w:val="20"/>
          <w:szCs w:val="20"/>
          <w:color w:val="auto"/>
        </w:rPr>
      </w:pPr>
      <w:r>
        <w:rPr>
          <w:rFonts w:ascii="Times New Roman" w:cs="Times New Roman" w:eastAsia="Times New Roman" w:hAnsi="Times New Roman"/>
          <w:sz w:val="13"/>
          <w:szCs w:val="13"/>
          <w:color w:val="auto"/>
        </w:rPr>
        <w:t xml:space="preserve">Section 6.4 </w:t>
      </w:r>
      <w:r>
        <w:rPr>
          <w:rFonts w:ascii="Times New Roman" w:cs="Times New Roman" w:eastAsia="Times New Roman" w:hAnsi="Times New Roman"/>
          <w:sz w:val="13"/>
          <w:szCs w:val="13"/>
          <w:u w:val="single" w:color="auto"/>
          <w:color w:val="auto"/>
        </w:rPr>
        <w:t>Remedies For Breach</w:t>
      </w:r>
      <w:r>
        <w:rPr>
          <w:rFonts w:ascii="Times New Roman" w:cs="Times New Roman" w:eastAsia="Times New Roman" w:hAnsi="Times New Roman"/>
          <w:sz w:val="13"/>
          <w:szCs w:val="13"/>
          <w:color w:val="auto"/>
        </w:rPr>
        <w:t xml:space="preserve"> . If the Board of Directors or a committee thereof or other designees if permitted by the MGCL shall at any time determine in good faith that a Transfer or other event has taken place in violation of Section 6.2 of this Article VI or that a Person intends to acquire, has attempted to acquire or may acquire beneficial ownership (determined without reference to any rules of attribution), Beneficial Ownership or Constructive Ownership of any shares of the Corporation in violation of Section 6.2 of this Article VI (whether or not such violation is intended), the Board of Directors or a committee thereof or other designees if permitted by the MGCL shall take such action as it deems or they deem advisable to refuse to give effect or to prevent such Transfer, including, but not limited to, causing the Corporation to redeem shares of Capital Stock, refusing to give effect to such</w:t>
      </w:r>
    </w:p>
    <w:p>
      <w:pPr>
        <w:spacing w:after="0" w:line="3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125730</wp:posOffset>
            </wp:positionV>
            <wp:extent cx="4436110" cy="152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29">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575310</wp:posOffset>
            </wp:positionV>
            <wp:extent cx="5083810" cy="152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30">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199" w:name="page200"/>
    <w:bookmarkEnd w:id="199"/>
    <w:p>
      <w:pPr>
        <w:ind w:left="600" w:right="740"/>
        <w:spacing w:after="0" w:line="281" w:lineRule="auto"/>
        <w:rPr>
          <w:sz w:val="20"/>
          <w:szCs w:val="20"/>
          <w:color w:val="auto"/>
        </w:rPr>
      </w:pPr>
      <w:r>
        <w:rPr>
          <w:rFonts w:ascii="Times New Roman" w:cs="Times New Roman" w:eastAsia="Times New Roman" w:hAnsi="Times New Roman"/>
          <w:sz w:val="13"/>
          <w:szCs w:val="13"/>
          <w:color w:val="auto"/>
        </w:rPr>
        <w:t xml:space="preserve">Transfer on the books of the Corporation or instituting proceedings to enjoin such Transfer or other event; provided, however, that any Transfers (or, in the case of events other than a Transfer, ownership or Constructive Ownership or Beneficial Ownership) in violation of Section 6.2.1 of this Article VI shall automatically result in the transfer to a Trust as described in Section 6.2.2 and any Transfer in violation of Section 6.2.3 shall, subject to Section 6.12, automatically be void </w:t>
      </w:r>
      <w:r>
        <w:rPr>
          <w:rFonts w:ascii="Times New Roman" w:cs="Times New Roman" w:eastAsia="Times New Roman" w:hAnsi="Times New Roman"/>
          <w:sz w:val="13"/>
          <w:szCs w:val="13"/>
          <w:i w:val="1"/>
          <w:iCs w:val="1"/>
          <w:color w:val="auto"/>
        </w:rPr>
        <w:t>ab initio</w:t>
      </w:r>
      <w:r>
        <w:rPr>
          <w:rFonts w:ascii="Times New Roman" w:cs="Times New Roman" w:eastAsia="Times New Roman" w:hAnsi="Times New Roman"/>
          <w:sz w:val="13"/>
          <w:szCs w:val="13"/>
          <w:color w:val="auto"/>
        </w:rPr>
        <w:t xml:space="preserve"> irrespective of any action (or non-action) by the Board of Directors or a committee thereof.</w:t>
      </w:r>
    </w:p>
    <w:p>
      <w:pPr>
        <w:spacing w:after="0" w:line="30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3"/>
          <w:szCs w:val="13"/>
          <w:color w:val="auto"/>
        </w:rPr>
        <w:t xml:space="preserve">Section 6.5 </w:t>
      </w:r>
      <w:r>
        <w:rPr>
          <w:rFonts w:ascii="Times New Roman" w:cs="Times New Roman" w:eastAsia="Times New Roman" w:hAnsi="Times New Roman"/>
          <w:sz w:val="13"/>
          <w:szCs w:val="13"/>
          <w:u w:val="single" w:color="auto"/>
          <w:color w:val="auto"/>
        </w:rPr>
        <w:t>Notice of Restricted Transfer</w:t>
      </w:r>
      <w:r>
        <w:rPr>
          <w:rFonts w:ascii="Times New Roman" w:cs="Times New Roman" w:eastAsia="Times New Roman" w:hAnsi="Times New Roman"/>
          <w:sz w:val="13"/>
          <w:szCs w:val="13"/>
          <w:color w:val="auto"/>
        </w:rPr>
        <w:t xml:space="preserve"> . Any Person who acquires or attempts or intends to acquire shares in violation of Section</w:t>
      </w:r>
    </w:p>
    <w:p>
      <w:pPr>
        <w:spacing w:after="0" w:line="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6.2 of this Article VI, or any Person who is a Purported Beneficial Transferee such that an automatic transfer to a Trust results under Section 6.2.2</w:t>
      </w:r>
    </w:p>
    <w:p>
      <w:pPr>
        <w:spacing w:after="0" w:line="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of this Article VI, shall immediately give written notice to the Corporation of such event or, in the case of such a proposed or attempted</w:t>
      </w:r>
    </w:p>
    <w:p>
      <w:pPr>
        <w:spacing w:after="0" w:line="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transaction, give at least 15 days prior written notice and shall provide to the Corporation such other information as the Corporation may request</w:t>
      </w:r>
    </w:p>
    <w:p>
      <w:pPr>
        <w:spacing w:after="0" w:line="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in order to determine the effect, if any, of such Transfer or attempted Transfer on the Corporation’s status as a REIT.</w:t>
      </w:r>
    </w:p>
    <w:p>
      <w:pPr>
        <w:spacing w:after="0" w:line="183" w:lineRule="exact"/>
        <w:rPr>
          <w:sz w:val="20"/>
          <w:szCs w:val="20"/>
          <w:color w:val="auto"/>
        </w:rPr>
      </w:pPr>
    </w:p>
    <w:p>
      <w:pPr>
        <w:ind w:left="600" w:right="640" w:firstLine="612"/>
        <w:spacing w:after="0" w:line="276" w:lineRule="auto"/>
        <w:rPr>
          <w:sz w:val="20"/>
          <w:szCs w:val="20"/>
          <w:color w:val="auto"/>
        </w:rPr>
      </w:pPr>
      <w:r>
        <w:rPr>
          <w:rFonts w:ascii="Times New Roman" w:cs="Times New Roman" w:eastAsia="Times New Roman" w:hAnsi="Times New Roman"/>
          <w:sz w:val="13"/>
          <w:szCs w:val="13"/>
          <w:color w:val="auto"/>
        </w:rPr>
        <w:t xml:space="preserve">Section 6.6 </w:t>
      </w:r>
      <w:r>
        <w:rPr>
          <w:rFonts w:ascii="Times New Roman" w:cs="Times New Roman" w:eastAsia="Times New Roman" w:hAnsi="Times New Roman"/>
          <w:sz w:val="13"/>
          <w:szCs w:val="13"/>
          <w:u w:val="single" w:color="auto"/>
          <w:color w:val="auto"/>
        </w:rPr>
        <w:t>Owners Required to Provide Information</w:t>
      </w:r>
      <w:r>
        <w:rPr>
          <w:rFonts w:ascii="Times New Roman" w:cs="Times New Roman" w:eastAsia="Times New Roman" w:hAnsi="Times New Roman"/>
          <w:sz w:val="13"/>
          <w:szCs w:val="13"/>
          <w:color w:val="auto"/>
        </w:rPr>
        <w:t xml:space="preserve"> . From the Initial Date and prior to the Restriction Termination Date, each Person who is a beneficial owner or Beneficial Owner or Constructive Owner of shares of Capital Stock and each Person (including the stockholder of record) who is holding shares of Capital Stock for a beneficial owner or Beneficial Owner or Constructive Owner shall, on demand, provide to the Corporation a completed questionnaire containing the information regarding their ownership of such shares, as set forth in the regulations (as in effect from time to time) of the U.S. Department of Treasury under the Code. In addition, each Person who is a beneficial owner or Beneficial Owner or Constructive Owner of shares of Capital Stock and each Person (including the stockholder of</w:t>
      </w:r>
    </w:p>
    <w:p>
      <w:pPr>
        <w:spacing w:after="0" w:line="3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125730</wp:posOffset>
            </wp:positionV>
            <wp:extent cx="4436110" cy="7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31">
                      <a:extLst>
                        <a:ext uri="{28A0092B-C50C-407E-A947-70E740481C1C}"/>
                      </a:extLst>
                    </a:blip>
                    <a:srcRect/>
                    <a:stretch>
                      <a:fillRect/>
                    </a:stretch>
                  </pic:blipFill>
                  <pic:spPr bwMode="auto">
                    <a:xfrm>
                      <a:off x="0" y="0"/>
                      <a:ext cx="4436110"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567690</wp:posOffset>
            </wp:positionV>
            <wp:extent cx="5083810" cy="152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32">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00" w:name="page201"/>
    <w:bookmarkEnd w:id="200"/>
    <w:p>
      <w:pPr>
        <w:ind w:left="600" w:right="640"/>
        <w:spacing w:after="0" w:line="278" w:lineRule="auto"/>
        <w:rPr>
          <w:sz w:val="20"/>
          <w:szCs w:val="20"/>
          <w:color w:val="auto"/>
        </w:rPr>
      </w:pPr>
      <w:r>
        <w:rPr>
          <w:rFonts w:ascii="Times New Roman" w:cs="Times New Roman" w:eastAsia="Times New Roman" w:hAnsi="Times New Roman"/>
          <w:sz w:val="13"/>
          <w:szCs w:val="13"/>
          <w:color w:val="auto"/>
        </w:rPr>
        <w:t>record) who is holding shares of Capital Stock for a beneficial owner or Beneficial Owner or Constructive Owner shall, on demand, be required to disclose to the Corporation in writing such information as the Corporation may request in order to determine the effect, if any, of such stockholder’s Beneficial Ownership and Constructive Ownership of shares of Capital Stock on the Corporation’s status as a REIT and to ensure compliance with the Aggregate Stock Ownership Limit, the Common Stock Ownership Limit, any other ownership limit or as otherwise permitted by the Board of Directors.</w:t>
      </w:r>
    </w:p>
    <w:p>
      <w:pPr>
        <w:spacing w:after="0" w:line="143" w:lineRule="exact"/>
        <w:rPr>
          <w:sz w:val="20"/>
          <w:szCs w:val="20"/>
          <w:color w:val="auto"/>
        </w:rPr>
      </w:pPr>
    </w:p>
    <w:p>
      <w:pPr>
        <w:ind w:left="600" w:right="680" w:firstLine="612"/>
        <w:spacing w:after="0" w:line="287" w:lineRule="auto"/>
        <w:rPr>
          <w:sz w:val="20"/>
          <w:szCs w:val="20"/>
          <w:color w:val="auto"/>
        </w:rPr>
      </w:pPr>
      <w:r>
        <w:rPr>
          <w:rFonts w:ascii="Times New Roman" w:cs="Times New Roman" w:eastAsia="Times New Roman" w:hAnsi="Times New Roman"/>
          <w:sz w:val="13"/>
          <w:szCs w:val="13"/>
          <w:color w:val="auto"/>
        </w:rPr>
        <w:t xml:space="preserve">Section 6.7 </w:t>
      </w:r>
      <w:r>
        <w:rPr>
          <w:rFonts w:ascii="Times New Roman" w:cs="Times New Roman" w:eastAsia="Times New Roman" w:hAnsi="Times New Roman"/>
          <w:sz w:val="13"/>
          <w:szCs w:val="13"/>
          <w:u w:val="single" w:color="auto"/>
          <w:color w:val="auto"/>
        </w:rPr>
        <w:t>Remedies Not Limited</w:t>
      </w:r>
      <w:r>
        <w:rPr>
          <w:rFonts w:ascii="Times New Roman" w:cs="Times New Roman" w:eastAsia="Times New Roman" w:hAnsi="Times New Roman"/>
          <w:sz w:val="13"/>
          <w:szCs w:val="13"/>
          <w:color w:val="auto"/>
        </w:rPr>
        <w:t xml:space="preserve"> . Nothing contained in this Article VI (but subject to Section 6.12 of this Article VI) shall limit the authority of the Board of Directors to take such other action as it deems necessary or advisable to protect the Corporation and the interests of its stockholders by preservation of the Corporation’s status as a REIT.</w:t>
      </w:r>
    </w:p>
    <w:p>
      <w:pPr>
        <w:spacing w:after="0" w:line="136" w:lineRule="exact"/>
        <w:rPr>
          <w:sz w:val="20"/>
          <w:szCs w:val="20"/>
          <w:color w:val="auto"/>
        </w:rPr>
      </w:pPr>
    </w:p>
    <w:p>
      <w:pPr>
        <w:ind w:left="600" w:right="620" w:firstLine="612"/>
        <w:spacing w:after="0" w:line="274" w:lineRule="auto"/>
        <w:rPr>
          <w:sz w:val="20"/>
          <w:szCs w:val="20"/>
          <w:color w:val="auto"/>
        </w:rPr>
      </w:pPr>
      <w:r>
        <w:rPr>
          <w:rFonts w:ascii="Times New Roman" w:cs="Times New Roman" w:eastAsia="Times New Roman" w:hAnsi="Times New Roman"/>
          <w:sz w:val="13"/>
          <w:szCs w:val="13"/>
          <w:color w:val="auto"/>
        </w:rPr>
        <w:t xml:space="preserve">Section 6.8 </w:t>
      </w:r>
      <w:r>
        <w:rPr>
          <w:rFonts w:ascii="Times New Roman" w:cs="Times New Roman" w:eastAsia="Times New Roman" w:hAnsi="Times New Roman"/>
          <w:sz w:val="13"/>
          <w:szCs w:val="13"/>
          <w:u w:val="single" w:color="auto"/>
          <w:color w:val="auto"/>
        </w:rPr>
        <w:t>Ambiguity</w:t>
      </w:r>
      <w:r>
        <w:rPr>
          <w:rFonts w:ascii="Times New Roman" w:cs="Times New Roman" w:eastAsia="Times New Roman" w:hAnsi="Times New Roman"/>
          <w:sz w:val="13"/>
          <w:szCs w:val="13"/>
          <w:color w:val="auto"/>
        </w:rPr>
        <w:t xml:space="preserve"> . In the case of an ambiguity in the application of any of the provisions of this Article VI, including any definition contained in Section 6.1, the Board of Directors shall have the power to determine the application of the provisions of this Article VI with respect to any situation based on the facts known to it (subject, however, to the provisions of Section 6.12 of this Article VI). In the event Article VI requires an action by the Board of Directors and the charter of the Corporation does not provide specific guidance with respect to such action, the Board of Directors shall have the power to determine the action to be taken so long as such action is not contrary to the provisions of Article VI. Absent a decision to the contrary by the Board of Directors (which the Board may make in its sole and absolute discretion), if a Person would have (but for the remedies set forth in Section 6.2.2) acquired Beneficial or Constructive Ownership of Common Stock in violation of Section 6.2.1, such remedies (as applicable) shall apply first to the shares of Capital Stock which, but for such remedies, would have been actually owned by such Person, and second to shares of Capital</w:t>
      </w:r>
    </w:p>
    <w:p>
      <w:pPr>
        <w:spacing w:after="0" w:line="3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125730</wp:posOffset>
            </wp:positionV>
            <wp:extent cx="4436110" cy="152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33">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575310</wp:posOffset>
            </wp:positionV>
            <wp:extent cx="5083810" cy="152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34">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01" w:name="page202"/>
    <w:bookmarkEnd w:id="201"/>
    <w:p>
      <w:pPr>
        <w:jc w:val="both"/>
        <w:ind w:left="600" w:right="760"/>
        <w:spacing w:after="0" w:line="287" w:lineRule="auto"/>
        <w:rPr>
          <w:sz w:val="20"/>
          <w:szCs w:val="20"/>
          <w:color w:val="auto"/>
        </w:rPr>
      </w:pPr>
      <w:r>
        <w:rPr>
          <w:rFonts w:ascii="Times New Roman" w:cs="Times New Roman" w:eastAsia="Times New Roman" w:hAnsi="Times New Roman"/>
          <w:sz w:val="13"/>
          <w:szCs w:val="13"/>
          <w:color w:val="auto"/>
        </w:rPr>
        <w:t>Stock which, but for such remedies, would have been Beneficially Owned or Constructively Owned (but not actually owned) by such Person, pro rata among the Persons who actually own such shares of Capital Stock based upon the relative number of the shares of Capital Stock held by each such Person.</w:t>
      </w:r>
    </w:p>
    <w:p>
      <w:pPr>
        <w:spacing w:after="0" w:line="13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3"/>
          <w:szCs w:val="13"/>
          <w:color w:val="auto"/>
        </w:rPr>
        <w:t xml:space="preserve">Section 6.9 </w:t>
      </w:r>
      <w:r>
        <w:rPr>
          <w:rFonts w:ascii="Times New Roman" w:cs="Times New Roman" w:eastAsia="Times New Roman" w:hAnsi="Times New Roman"/>
          <w:sz w:val="13"/>
          <w:szCs w:val="13"/>
          <w:u w:val="single" w:color="auto"/>
          <w:color w:val="auto"/>
        </w:rPr>
        <w:t>Exceptions</w:t>
      </w:r>
      <w:r>
        <w:rPr>
          <w:rFonts w:ascii="Times New Roman" w:cs="Times New Roman" w:eastAsia="Times New Roman" w:hAnsi="Times New Roman"/>
          <w:sz w:val="13"/>
          <w:szCs w:val="13"/>
          <w:color w:val="auto"/>
        </w:rPr>
        <w:t xml:space="preserve"> .</w:t>
      </w:r>
    </w:p>
    <w:p>
      <w:pPr>
        <w:spacing w:after="0" w:line="187" w:lineRule="exact"/>
        <w:rPr>
          <w:sz w:val="20"/>
          <w:szCs w:val="20"/>
          <w:color w:val="auto"/>
        </w:rPr>
      </w:pPr>
    </w:p>
    <w:p>
      <w:pPr>
        <w:ind w:left="600" w:right="720" w:firstLine="1008"/>
        <w:spacing w:after="0" w:line="278" w:lineRule="auto"/>
        <w:rPr>
          <w:sz w:val="20"/>
          <w:szCs w:val="20"/>
          <w:color w:val="auto"/>
        </w:rPr>
      </w:pPr>
      <w:r>
        <w:rPr>
          <w:rFonts w:ascii="Times New Roman" w:cs="Times New Roman" w:eastAsia="Times New Roman" w:hAnsi="Times New Roman"/>
          <w:sz w:val="13"/>
          <w:szCs w:val="13"/>
          <w:color w:val="auto"/>
        </w:rPr>
        <w:t>6.9.1 Subject to Section 6.2.1(c) of this Article VI, the Board of Directors, in its sole discretion, may exempt (prospectively or retroactively) a Person from the limitation on a Person Beneficially Owning shares of Capital Stock in excess of the Aggregate Stock Ownership Limit or Common Stock in excess of the Common Stock Ownership Limit, as set forth in Section 6.2.1(a) of this Article VI, if the Board determines that such exemption will not cause any Individual’s Beneficial Ownership of shares of Capital Stock to violate the Capital Stock Ownership Limit and that any such exemption will not cause the Corporation to fail to qualify as a REIT under the Code.</w:t>
      </w:r>
    </w:p>
    <w:p>
      <w:pPr>
        <w:spacing w:after="0" w:line="143" w:lineRule="exact"/>
        <w:rPr>
          <w:sz w:val="20"/>
          <w:szCs w:val="20"/>
          <w:color w:val="auto"/>
        </w:rPr>
      </w:pPr>
    </w:p>
    <w:p>
      <w:pPr>
        <w:ind w:left="600" w:right="720" w:firstLine="1008"/>
        <w:spacing w:after="0" w:line="275" w:lineRule="auto"/>
        <w:rPr>
          <w:sz w:val="20"/>
          <w:szCs w:val="20"/>
          <w:color w:val="auto"/>
        </w:rPr>
      </w:pPr>
      <w:r>
        <w:rPr>
          <w:rFonts w:ascii="Times New Roman" w:cs="Times New Roman" w:eastAsia="Times New Roman" w:hAnsi="Times New Roman"/>
          <w:sz w:val="13"/>
          <w:szCs w:val="13"/>
          <w:color w:val="auto"/>
        </w:rPr>
        <w:t>6.9.2 Subject to Section 6.2.1(c) of this Article VI, the Board of Directors, in its sole discretion, may exempt (prospectively or retroactively) a Person from the limitation on a Person Constructively Owning Capital Stock in excess of the Aggregate Stock Ownership Limit or Common Stock in excess of the Common Stock Ownership Limit, as set forth in Section 6.2.1(b) of this Article VI, if the Board determines that such Person does not and will not own, actually or Constructively, an interest in a tenant of the Corporation (or a tenant of any entity owned in whole or in part by the Corporation) that would cause the Corporation to own, actually or Constructively, more than a 9.8% interest (as set forth in Section 856(d)(2)(B) of the Code) in such tenant or that any such ownership would not cause the Corporation to fail to qualify as a REIT under the Code.</w:t>
      </w:r>
    </w:p>
    <w:p>
      <w:pPr>
        <w:spacing w:after="0" w:line="3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125730</wp:posOffset>
            </wp:positionV>
            <wp:extent cx="4436110" cy="152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35">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575310</wp:posOffset>
            </wp:positionV>
            <wp:extent cx="5083810" cy="152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36">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02" w:name="page203"/>
    <w:bookmarkEnd w:id="202"/>
    <w:p>
      <w:pPr>
        <w:ind w:left="600" w:right="640" w:firstLine="1008"/>
        <w:spacing w:after="0" w:line="273" w:lineRule="auto"/>
        <w:rPr>
          <w:sz w:val="20"/>
          <w:szCs w:val="20"/>
          <w:color w:val="auto"/>
        </w:rPr>
      </w:pPr>
      <w:r>
        <w:rPr>
          <w:rFonts w:ascii="Times New Roman" w:cs="Times New Roman" w:eastAsia="Times New Roman" w:hAnsi="Times New Roman"/>
          <w:sz w:val="13"/>
          <w:szCs w:val="13"/>
          <w:color w:val="auto"/>
        </w:rPr>
        <w:t>6.9.3 Subject to Section 6.2.1(c) and the remainder of this Section 6.9.3, the Board of Directors may from time to time increase the Aggregate Stock Ownership Limit and/or the Common Stock Ownership Limit for one or more Persons and decrease the Aggregate Stock Ownership Limit and/or the Common Stock Ownership Limit for all other Persons; provided, however, that the decreased Aggregate Stock Ownership Limit and/or the Common Stock Ownership Limit will not be effective for any Person whose percentage ownership in Capital Stock or Common Stock, as the case may be, is in excess of such decreased Aggregate Stock Ownership Limit and/or the Common Stock Ownership Limit until such time as such Person’s percentage of Capital Stock or Common Stock, as the case may be, equals or falls below the decreased Aggregate Stock Ownership Limit and/or the Common Stock Ownership Limit, but any further acquisition of Capital Stock or Common Stock, as the case may be, in excess of such percentage ownership of Capital Stock or Common Stock, as the case may be, will be in violation of the Aggregate Stock Ownership Limit and/or Common Stock Ownership Limit, and, provided further, that the new Aggregate Stock Ownership Limit and/or Common Stock Ownership Limit would not allow five or fewer Persons to Beneficially Own more than 49% in value of the outstanding Capital Stock.</w:t>
      </w:r>
    </w:p>
    <w:p>
      <w:pPr>
        <w:spacing w:after="0" w:line="304" w:lineRule="exact"/>
        <w:rPr>
          <w:sz w:val="20"/>
          <w:szCs w:val="20"/>
          <w:color w:val="auto"/>
        </w:rPr>
      </w:pPr>
    </w:p>
    <w:p>
      <w:pPr>
        <w:ind w:left="600" w:right="820" w:firstLine="1008"/>
        <w:spacing w:after="0" w:line="276" w:lineRule="auto"/>
        <w:rPr>
          <w:sz w:val="20"/>
          <w:szCs w:val="20"/>
          <w:color w:val="auto"/>
        </w:rPr>
      </w:pPr>
      <w:r>
        <w:rPr>
          <w:rFonts w:ascii="Times New Roman" w:cs="Times New Roman" w:eastAsia="Times New Roman" w:hAnsi="Times New Roman"/>
          <w:sz w:val="13"/>
          <w:szCs w:val="13"/>
          <w:color w:val="auto"/>
        </w:rPr>
        <w:t>6.9.4 In granting a person an exemption under Section 6.9.1 or 6.9.2 above, the Board of Directors may require such Person to make certain representations or undertakings or to agree that any violation or attempted violation of such representations or undertakings (or other action which is contrary to the restrictions contained in Section 6.2 of this Article VI) will result in such Capital Stock being transferred to a Trust in accordance with Section 6.2.2 of this Article VI. Prior to granting any exception pursuant to Section 6.9.1 or 6.9.2 of this Article VI, the Board of Directors may require a ruling from the IRS, or an opinion of counsel, in either case in form and substance satisfactory to the Board of Directors in its sole discretion, as it may deem necessary or advisable in order to determine or ensure the Corporation’s status as a REIT.</w:t>
      </w:r>
    </w:p>
    <w:p>
      <w:pPr>
        <w:spacing w:after="0" w:line="200" w:lineRule="exact"/>
        <w:rPr>
          <w:sz w:val="20"/>
          <w:szCs w:val="20"/>
          <w:color w:val="auto"/>
        </w:rPr>
      </w:pPr>
    </w:p>
    <w:p>
      <w:pPr>
        <w:spacing w:after="0" w:line="2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125730</wp:posOffset>
            </wp:positionV>
            <wp:extent cx="4436110" cy="7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37">
                      <a:extLst>
                        <a:ext uri="{28A0092B-C50C-407E-A947-70E740481C1C}"/>
                      </a:extLst>
                    </a:blip>
                    <a:srcRect/>
                    <a:stretch>
                      <a:fillRect/>
                    </a:stretch>
                  </pic:blipFill>
                  <pic:spPr bwMode="auto">
                    <a:xfrm>
                      <a:off x="0" y="0"/>
                      <a:ext cx="4436110"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567690</wp:posOffset>
            </wp:positionV>
            <wp:extent cx="5083810" cy="152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38">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03" w:name="page204"/>
    <w:bookmarkEnd w:id="203"/>
    <w:p>
      <w:pPr>
        <w:ind w:left="1220"/>
        <w:spacing w:after="0"/>
        <w:rPr>
          <w:sz w:val="20"/>
          <w:szCs w:val="20"/>
          <w:color w:val="auto"/>
        </w:rPr>
      </w:pPr>
      <w:r>
        <w:rPr>
          <w:rFonts w:ascii="Times New Roman" w:cs="Times New Roman" w:eastAsia="Times New Roman" w:hAnsi="Times New Roman"/>
          <w:sz w:val="13"/>
          <w:szCs w:val="13"/>
          <w:color w:val="auto"/>
        </w:rPr>
        <w:t xml:space="preserve">Section 6.10 </w:t>
      </w:r>
      <w:r>
        <w:rPr>
          <w:rFonts w:ascii="Times New Roman" w:cs="Times New Roman" w:eastAsia="Times New Roman" w:hAnsi="Times New Roman"/>
          <w:sz w:val="13"/>
          <w:szCs w:val="13"/>
          <w:u w:val="single" w:color="auto"/>
          <w:color w:val="auto"/>
        </w:rPr>
        <w:t>Legends</w:t>
      </w:r>
      <w:r>
        <w:rPr>
          <w:rFonts w:ascii="Times New Roman" w:cs="Times New Roman" w:eastAsia="Times New Roman" w:hAnsi="Times New Roman"/>
          <w:sz w:val="13"/>
          <w:szCs w:val="13"/>
          <w:color w:val="auto"/>
        </w:rPr>
        <w:t xml:space="preserve"> . Each certificate for Common Stock shall bear the following legends: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Restriction on Ownership and Transfer</w:t>
      </w:r>
    </w:p>
    <w:p>
      <w:pPr>
        <w:spacing w:after="0" w:line="187" w:lineRule="exact"/>
        <w:rPr>
          <w:sz w:val="20"/>
          <w:szCs w:val="20"/>
          <w:color w:val="auto"/>
        </w:rPr>
      </w:pPr>
    </w:p>
    <w:p>
      <w:pPr>
        <w:ind w:left="600" w:right="660"/>
        <w:spacing w:after="0" w:line="271" w:lineRule="auto"/>
        <w:rPr>
          <w:sz w:val="20"/>
          <w:szCs w:val="20"/>
          <w:color w:val="auto"/>
        </w:rPr>
      </w:pPr>
      <w:r>
        <w:rPr>
          <w:rFonts w:ascii="Times New Roman" w:cs="Times New Roman" w:eastAsia="Times New Roman" w:hAnsi="Times New Roman"/>
          <w:sz w:val="13"/>
          <w:szCs w:val="13"/>
          <w:color w:val="auto"/>
        </w:rPr>
        <w:t xml:space="preserve">THE SHARES OF COMMON STOCK REPRESENTED BY THIS CERTIFICATE ARE SUBJECT TO RESTRICTIONS ON BENEFICIAL AND CONSTRUCTIVE OWNERSHIP AND TRANSFER FOR THE PURPOSE OF THE CORPORATION’S MAINTENANCE OF ITS STATUS AS A REAL ESTATE INVESTMENT TRUST (“REIT”) UNDER THE INTERNAL REVENUE CODE OF 1986, AS AMENDED (THE “CODE”). SUBJECT TO CERTAIN FURTHER RESTRICTIONS AND EXCEPT AS EXPRESSLY PROVIDED IN THE CORPORATION’S ARTICLES OF AMENDMENT AND RESTATEMENT, (i) NO PERSON MAY BENEFICIALLY OR CONSTRUCTIVELY OWN SHARES OF CAPITAL STOCK OF THE CORPORATION IN EXCESS OF 9.8% OF THE VALUE OF THE TOTAL OUTSTANDING SHARES OF CAPITAL STOCK OF THE CORPORATION AND NO PERSON MAY BENEFICIALLY OR CONSTRUCTIVELY OWN SHARES OF THE CORPORATION’S COMMON STOCK IN EXCESS OF 9.8% (BY VALUE OR BY NUMBER OF SHARES, WHICHEVER IS MORE RESTRICTIVE) OF THE OUTSTANDING COMMON STOCK OF THE CORPORATION; (ii) NO PERSON MAY BENEFICIALLY OR CONSTRUCTIVELY OWN SHARES OF CAPITAL STOCK THAT WOULD RESULT IN THE CORPORATION BEING “CLOSELY HELD” UNDER SECTION 856(h) OF THE CODE OR OTHERWISE CAUSE THE CORPORATION TO FAIL TO QUALIFY AS A REIT; AND (iii) NO PERSON MAY TRANSFER SHARES OF CAPITAL STOCK IF SUCH TRANSFER WOULD RESULT IN THE CAPITAL STOCK OF THE CORPORATION BEING OWNED BY FEWER THAN 100 PERSONS. ANY PERSON WHO BENEFICIALLY OR CONSTRUCTIVELY OWNS OR ATTEMPTS TO BENEFICIALLY OR CONSTRUCTIVELY OWN SHARES OF CAPITAL STOCK IN VIOLATION OF THE ABOVE LIMITATIONS MUST IMMEDIATELY NOTIFY THE CORPORATION. IF ANY OF THE RESTRICTIONS ON TRANSFER OR OWNERSHIP SET FORTH IN (i) OR (ii) IS VIOLATED, THE SHARES OF COMMON STOCK REPRESENTED HEREBY WILL BE AUTOMATICALLY TRANSFERRED TO THE TRUSTEE OF A TRUST FOR THE BENEFIT OF ONE OR MORE CHARITABLE BENEFICIARIES, AND ANY TRANSFER THAT WOULD RESULT IN THE CAPITAL STOCK OF THE CORPORATION BEING OWNED BY FEWER THAN 100 PERSONS SHALL BE VOID </w:t>
      </w:r>
      <w:r>
        <w:rPr>
          <w:rFonts w:ascii="Times New Roman" w:cs="Times New Roman" w:eastAsia="Times New Roman" w:hAnsi="Times New Roman"/>
          <w:sz w:val="13"/>
          <w:szCs w:val="13"/>
          <w:u w:val="single" w:color="auto"/>
          <w:color w:val="auto"/>
        </w:rPr>
        <w:t>AB INITIO</w:t>
      </w:r>
      <w:r>
        <w:rPr>
          <w:rFonts w:ascii="Times New Roman" w:cs="Times New Roman" w:eastAsia="Times New Roman" w:hAnsi="Times New Roman"/>
          <w:sz w:val="13"/>
          <w:szCs w:val="13"/>
          <w:color w:val="auto"/>
        </w:rPr>
        <w:t xml:space="preserve"> . IN ADDITION, THE CORPORATION MAY REDEEM SHARES UPON THE TERMS AND CONDITIONS SPECIFIED BY THE BOARD OF DIRECTORS IN ITS SOLE DISCRETION IF THE BOARD OF DIRECTORS DETERMINES THAT OWNERSHIP OR A TRANSFER OR OTHER EVENT MAY VIOLATE THE RESTRICTIONS DESCRIBED ABOVE. FURTHERMORE, UPON THE OCCURRENCE OF CERTAIN EVENTS, ATTEMPTED TRANSFERS IN VIOLATION OF THE RESTRICTIONS DESCRIBED ABOVE MAY BE VOID AB INITIO. ALL TERMS IN THIS LEGEND THAT ARE DEFINED IN THE CHARTER OF THE CORPORATION SHALL HAVE THE MEANINGS ASCRIBED TO THEM IN THE CHARTER OF THE CORPORATION, AS THE SAME MAY BE AMENDED FROM TIME</w:t>
      </w:r>
    </w:p>
    <w:p>
      <w:pPr>
        <w:spacing w:after="0" w:line="3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125730</wp:posOffset>
            </wp:positionV>
            <wp:extent cx="4436110" cy="152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39">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575310</wp:posOffset>
            </wp:positionV>
            <wp:extent cx="5083810" cy="152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40">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04" w:name="page205"/>
    <w:bookmarkEnd w:id="204"/>
    <w:p>
      <w:pPr>
        <w:jc w:val="both"/>
        <w:ind w:left="600" w:right="780"/>
        <w:spacing w:after="0" w:line="287" w:lineRule="auto"/>
        <w:rPr>
          <w:sz w:val="20"/>
          <w:szCs w:val="20"/>
          <w:color w:val="auto"/>
        </w:rPr>
      </w:pPr>
      <w:r>
        <w:rPr>
          <w:rFonts w:ascii="Times New Roman" w:cs="Times New Roman" w:eastAsia="Times New Roman" w:hAnsi="Times New Roman"/>
          <w:sz w:val="13"/>
          <w:szCs w:val="13"/>
          <w:color w:val="auto"/>
        </w:rPr>
        <w:t>TO TIME, A COPY OF WHICH, INCLUDING THE RESTRICTIONS ON TRANSFER AND OWNERSHIP, WILL BE FURNISHED TO EACH HOLDER OF SHARES OF COMMON STOCK ON REQUEST AND WITHOUT CHARGE. REQUESTS FOR SUCH A COPY MAY BE DIRECTED TO THE SECRETARY OF THE CORPORATION AT ITS PRINCIPAL OFFICE.</w:t>
      </w:r>
    </w:p>
    <w:p>
      <w:pPr>
        <w:spacing w:after="0" w:line="136" w:lineRule="exact"/>
        <w:rPr>
          <w:sz w:val="20"/>
          <w:szCs w:val="20"/>
          <w:color w:val="auto"/>
        </w:rPr>
      </w:pPr>
    </w:p>
    <w:p>
      <w:pPr>
        <w:ind w:left="600" w:right="660" w:firstLine="612"/>
        <w:spacing w:after="0" w:line="287" w:lineRule="auto"/>
        <w:rPr>
          <w:sz w:val="20"/>
          <w:szCs w:val="20"/>
          <w:color w:val="auto"/>
        </w:rPr>
      </w:pPr>
      <w:r>
        <w:rPr>
          <w:rFonts w:ascii="Times New Roman" w:cs="Times New Roman" w:eastAsia="Times New Roman" w:hAnsi="Times New Roman"/>
          <w:sz w:val="13"/>
          <w:szCs w:val="13"/>
          <w:color w:val="auto"/>
        </w:rPr>
        <w:t xml:space="preserve">Section 6.11 </w:t>
      </w:r>
      <w:r>
        <w:rPr>
          <w:rFonts w:ascii="Times New Roman" w:cs="Times New Roman" w:eastAsia="Times New Roman" w:hAnsi="Times New Roman"/>
          <w:sz w:val="13"/>
          <w:szCs w:val="13"/>
          <w:u w:val="single" w:color="auto"/>
          <w:color w:val="auto"/>
        </w:rPr>
        <w:t>Severability</w:t>
      </w:r>
      <w:r>
        <w:rPr>
          <w:rFonts w:ascii="Times New Roman" w:cs="Times New Roman" w:eastAsia="Times New Roman" w:hAnsi="Times New Roman"/>
          <w:sz w:val="13"/>
          <w:szCs w:val="13"/>
          <w:color w:val="auto"/>
        </w:rPr>
        <w:t xml:space="preserve"> . If any provision of this Article VI or any application of any such provision is determined to be invalid by any federal or state court having jurisdiction over the issues, the validity of the remaining provision shall not be affected and other applications of such provisions shall be affected only to the extent necessary to comply with the determination of such court.</w:t>
      </w:r>
    </w:p>
    <w:p>
      <w:pPr>
        <w:spacing w:after="0" w:line="136" w:lineRule="exact"/>
        <w:rPr>
          <w:sz w:val="20"/>
          <w:szCs w:val="20"/>
          <w:color w:val="auto"/>
        </w:rPr>
      </w:pPr>
    </w:p>
    <w:p>
      <w:pPr>
        <w:jc w:val="both"/>
        <w:ind w:left="600" w:right="740" w:firstLine="612"/>
        <w:spacing w:after="0" w:line="281" w:lineRule="auto"/>
        <w:rPr>
          <w:sz w:val="20"/>
          <w:szCs w:val="20"/>
          <w:color w:val="auto"/>
        </w:rPr>
      </w:pPr>
      <w:r>
        <w:rPr>
          <w:rFonts w:ascii="Times New Roman" w:cs="Times New Roman" w:eastAsia="Times New Roman" w:hAnsi="Times New Roman"/>
          <w:sz w:val="13"/>
          <w:szCs w:val="13"/>
          <w:color w:val="auto"/>
        </w:rPr>
        <w:t xml:space="preserve">Section 6.12 </w:t>
      </w:r>
      <w:r>
        <w:rPr>
          <w:rFonts w:ascii="Times New Roman" w:cs="Times New Roman" w:eastAsia="Times New Roman" w:hAnsi="Times New Roman"/>
          <w:sz w:val="13"/>
          <w:szCs w:val="13"/>
          <w:u w:val="single" w:color="auto"/>
          <w:color w:val="auto"/>
        </w:rPr>
        <w:t>NYSE Transactions</w:t>
      </w:r>
      <w:r>
        <w:rPr>
          <w:rFonts w:ascii="Times New Roman" w:cs="Times New Roman" w:eastAsia="Times New Roman" w:hAnsi="Times New Roman"/>
          <w:sz w:val="13"/>
          <w:szCs w:val="13"/>
          <w:color w:val="auto"/>
        </w:rPr>
        <w:t xml:space="preserve"> . Nothing in this Article VI shall preclude the settlement of any transaction entered into through the facilities of the New York Stock Exchange or any other national securities exchange or automated inter-dealer quotation system. The fact that the settlement of any transaction occurs shall not negate the effect of any other provision of this Article VI and any transferee in such a transaction shall be subject to all of the provisions and limitations set forth in this Article VI.</w:t>
      </w:r>
    </w:p>
    <w:p>
      <w:pPr>
        <w:spacing w:after="0" w:line="140" w:lineRule="exact"/>
        <w:rPr>
          <w:sz w:val="20"/>
          <w:szCs w:val="20"/>
          <w:color w:val="auto"/>
        </w:rPr>
      </w:pPr>
    </w:p>
    <w:p>
      <w:pPr>
        <w:ind w:left="600" w:right="1220" w:firstLine="612"/>
        <w:spacing w:after="0" w:line="305" w:lineRule="auto"/>
        <w:rPr>
          <w:sz w:val="20"/>
          <w:szCs w:val="20"/>
          <w:color w:val="auto"/>
        </w:rPr>
      </w:pPr>
      <w:r>
        <w:rPr>
          <w:rFonts w:ascii="Times New Roman" w:cs="Times New Roman" w:eastAsia="Times New Roman" w:hAnsi="Times New Roman"/>
          <w:sz w:val="13"/>
          <w:szCs w:val="13"/>
          <w:color w:val="auto"/>
        </w:rPr>
        <w:t xml:space="preserve">Section 6.13 </w:t>
      </w:r>
      <w:r>
        <w:rPr>
          <w:rFonts w:ascii="Times New Roman" w:cs="Times New Roman" w:eastAsia="Times New Roman" w:hAnsi="Times New Roman"/>
          <w:sz w:val="13"/>
          <w:szCs w:val="13"/>
          <w:u w:val="single" w:color="auto"/>
          <w:color w:val="auto"/>
        </w:rPr>
        <w:t>Enforcement</w:t>
      </w:r>
      <w:r>
        <w:rPr>
          <w:rFonts w:ascii="Times New Roman" w:cs="Times New Roman" w:eastAsia="Times New Roman" w:hAnsi="Times New Roman"/>
          <w:sz w:val="13"/>
          <w:szCs w:val="13"/>
          <w:color w:val="auto"/>
        </w:rPr>
        <w:t xml:space="preserve"> . The Corporation is authorized specifically to seek equitable relief, including injunctive relief, to enforce the provisions of this Article VI.</w:t>
      </w:r>
    </w:p>
    <w:p>
      <w:pPr>
        <w:spacing w:after="0" w:line="124" w:lineRule="exact"/>
        <w:rPr>
          <w:sz w:val="20"/>
          <w:szCs w:val="20"/>
          <w:color w:val="auto"/>
        </w:rPr>
      </w:pPr>
    </w:p>
    <w:p>
      <w:pPr>
        <w:ind w:left="600" w:right="700" w:firstLine="612"/>
        <w:spacing w:after="0" w:line="287" w:lineRule="auto"/>
        <w:rPr>
          <w:sz w:val="20"/>
          <w:szCs w:val="20"/>
          <w:color w:val="auto"/>
        </w:rPr>
      </w:pPr>
      <w:r>
        <w:rPr>
          <w:rFonts w:ascii="Times New Roman" w:cs="Times New Roman" w:eastAsia="Times New Roman" w:hAnsi="Times New Roman"/>
          <w:sz w:val="13"/>
          <w:szCs w:val="13"/>
          <w:color w:val="auto"/>
        </w:rPr>
        <w:t xml:space="preserve">Section 6.14 </w:t>
      </w:r>
      <w:r>
        <w:rPr>
          <w:rFonts w:ascii="Times New Roman" w:cs="Times New Roman" w:eastAsia="Times New Roman" w:hAnsi="Times New Roman"/>
          <w:sz w:val="13"/>
          <w:szCs w:val="13"/>
          <w:u w:val="single" w:color="auto"/>
          <w:color w:val="auto"/>
        </w:rPr>
        <w:t>Non-Waiver</w:t>
      </w:r>
      <w:r>
        <w:rPr>
          <w:rFonts w:ascii="Times New Roman" w:cs="Times New Roman" w:eastAsia="Times New Roman" w:hAnsi="Times New Roman"/>
          <w:sz w:val="13"/>
          <w:szCs w:val="13"/>
          <w:color w:val="auto"/>
        </w:rPr>
        <w:t xml:space="preserve"> . No delay or failure on the part of the Corporation or the Board of Directors in exercising any right hereunder shall operate as a waiver of any right of the Corporation or the Board of Directors, as the case may be, except to the extent specifically waived in writing.</w:t>
      </w: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ARTICLE VII</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AMENDMENTS AND TRANSACTIONS OUTSIDE THE</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ORDINARY COURSE OF BUSINESS</w:t>
      </w:r>
    </w:p>
    <w:p>
      <w:pPr>
        <w:spacing w:after="0" w:line="183" w:lineRule="exact"/>
        <w:rPr>
          <w:sz w:val="20"/>
          <w:szCs w:val="20"/>
          <w:color w:val="auto"/>
        </w:rPr>
      </w:pPr>
    </w:p>
    <w:p>
      <w:pPr>
        <w:ind w:left="600" w:right="1000" w:firstLine="612"/>
        <w:spacing w:after="0" w:line="305" w:lineRule="auto"/>
        <w:rPr>
          <w:sz w:val="20"/>
          <w:szCs w:val="20"/>
          <w:color w:val="auto"/>
        </w:rPr>
      </w:pPr>
      <w:r>
        <w:rPr>
          <w:rFonts w:ascii="Times New Roman" w:cs="Times New Roman" w:eastAsia="Times New Roman" w:hAnsi="Times New Roman"/>
          <w:sz w:val="13"/>
          <w:szCs w:val="13"/>
          <w:color w:val="auto"/>
        </w:rPr>
        <w:t>The Corporation reserves the right from time to time to make any amendment to its charter, now or hereafter authorized by law, including any amendment altering the terms or</w:t>
      </w:r>
    </w:p>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125730</wp:posOffset>
            </wp:positionV>
            <wp:extent cx="4436110" cy="152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41">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575310</wp:posOffset>
            </wp:positionV>
            <wp:extent cx="5083810" cy="152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42">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05" w:name="page206"/>
    <w:bookmarkEnd w:id="205"/>
    <w:p>
      <w:pPr>
        <w:ind w:left="600" w:right="640"/>
        <w:spacing w:after="0" w:line="275" w:lineRule="auto"/>
        <w:rPr>
          <w:sz w:val="20"/>
          <w:szCs w:val="20"/>
          <w:color w:val="auto"/>
        </w:rPr>
      </w:pPr>
      <w:r>
        <w:rPr>
          <w:rFonts w:ascii="Times New Roman" w:cs="Times New Roman" w:eastAsia="Times New Roman" w:hAnsi="Times New Roman"/>
          <w:sz w:val="13"/>
          <w:szCs w:val="13"/>
          <w:color w:val="auto"/>
        </w:rPr>
        <w:t>contract rights, as expressly set forth in the charter, of any shares of outstanding stock. All rights and powers conferred by the charter on stockholders, directors and officers are granted subject to this reservation. Any amendment to Section 4.8 and to this sentence, shall be valid only if declared advisable by the Board of Directors and approved by the affirmative vote of two-thirds of all the votes entitled to be cast on the matter. All other amendments to this charter shall be valid only if declared advisable by the Board of Directors and approved by the affirmative vote of a majority of all the votes entitled to be cast on the matter. In addition, the Corporation shall not dissolve, merge, sell all or substantially all of its assets, engage in a share exchange or engage in similar transactions outside the ordinary course of business unless declared advisable by the Board of Directors and approved by the affirmative vote of a majority of all votes entitled to be cast on the matter.</w:t>
      </w: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ARTICLE VIII LIMITATION OF</w:t>
      </w:r>
    </w:p>
    <w:p>
      <w:pPr>
        <w:spacing w:after="0" w:line="1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LIABILITY</w:t>
      </w:r>
    </w:p>
    <w:p>
      <w:pPr>
        <w:spacing w:after="0" w:line="105" w:lineRule="exact"/>
        <w:rPr>
          <w:sz w:val="20"/>
          <w:szCs w:val="20"/>
          <w:color w:val="auto"/>
        </w:rPr>
      </w:pPr>
    </w:p>
    <w:p>
      <w:pPr>
        <w:ind w:left="600" w:right="760" w:firstLine="612"/>
        <w:spacing w:after="0" w:line="278" w:lineRule="auto"/>
        <w:rPr>
          <w:sz w:val="20"/>
          <w:szCs w:val="20"/>
          <w:color w:val="auto"/>
        </w:rPr>
      </w:pPr>
      <w:r>
        <w:rPr>
          <w:rFonts w:ascii="Times New Roman" w:cs="Times New Roman" w:eastAsia="Times New Roman" w:hAnsi="Times New Roman"/>
          <w:sz w:val="13"/>
          <w:szCs w:val="13"/>
          <w:color w:val="auto"/>
        </w:rPr>
        <w:t>To the maximum extent that Maryland law in effect from time to time permits limitation of the liability of directors and officers of a corporation, no present or former director or officer of the Corporation shall be liable to the Corporation or its stockholders for money damages. Neither the amendment nor repeal of this Article XIII, nor the adoption or amendment of any other provision of the charter or Bylaws inconsistent with this Article XIII, shall apply to or affect in any respect the applicability of the preceding sentence with respect to any act or failure to act which occurred prior to such amendment, repeal or adoption.</w:t>
      </w:r>
    </w:p>
    <w:p>
      <w:pPr>
        <w:spacing w:after="0" w:line="131" w:lineRule="exact"/>
        <w:rPr>
          <w:sz w:val="20"/>
          <w:szCs w:val="20"/>
          <w:color w:val="auto"/>
        </w:rPr>
      </w:pPr>
    </w:p>
    <w:p>
      <w:pPr>
        <w:ind w:left="600" w:right="640" w:firstLine="612"/>
        <w:spacing w:after="0" w:line="275" w:lineRule="auto"/>
        <w:rPr>
          <w:sz w:val="20"/>
          <w:szCs w:val="20"/>
          <w:color w:val="auto"/>
        </w:rPr>
      </w:pPr>
      <w:r>
        <w:rPr>
          <w:rFonts w:ascii="Times New Roman" w:cs="Times New Roman" w:eastAsia="Times New Roman" w:hAnsi="Times New Roman"/>
          <w:sz w:val="13"/>
          <w:szCs w:val="13"/>
          <w:u w:val="single" w:color="auto"/>
          <w:color w:val="auto"/>
        </w:rPr>
        <w:t>THIRD</w:t>
      </w:r>
      <w:r>
        <w:rPr>
          <w:rFonts w:ascii="Times New Roman" w:cs="Times New Roman" w:eastAsia="Times New Roman" w:hAnsi="Times New Roman"/>
          <w:sz w:val="13"/>
          <w:szCs w:val="13"/>
          <w:color w:val="auto"/>
        </w:rPr>
        <w:t xml:space="preserve"> : The amendment to and restatement of the charter as hereinabove set forth have been duly advised by the Board of Directors and approved by the stockholders of the Corporation as required by law. The total number of shares of stock which the Corporation had authority to issue immediately prior to this amendment and restatement was 100,000,000 shares,consisting solely of 100,000,000 shares of Common Stock, $.01 par value per share. The aggregate par value of all shares of stock having par value was $1,000,000. The total number of shares of stock which the Corporation has authority to issue pursuant to the foregoing amendment and restatement of the charter is 120,000,000 shares, consisting of 100,000,000 shares of Common Stock, $.01 par value per share, and 20,000,000 shares of Preferred Stock, $.01 par value per share. The aggregate par value of all authorized shares of stock having par value is $1,200,000.</w:t>
      </w:r>
    </w:p>
    <w:p>
      <w:pPr>
        <w:spacing w:after="0" w:line="3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125730</wp:posOffset>
            </wp:positionV>
            <wp:extent cx="4436110" cy="76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43">
                      <a:extLst>
                        <a:ext uri="{28A0092B-C50C-407E-A947-70E740481C1C}"/>
                      </a:extLst>
                    </a:blip>
                    <a:srcRect/>
                    <a:stretch>
                      <a:fillRect/>
                    </a:stretch>
                  </pic:blipFill>
                  <pic:spPr bwMode="auto">
                    <a:xfrm>
                      <a:off x="0" y="0"/>
                      <a:ext cx="4436110"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567690</wp:posOffset>
            </wp:positionV>
            <wp:extent cx="5083810" cy="152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44">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06" w:name="page207"/>
    <w:bookmarkEnd w:id="206"/>
    <w:p>
      <w:pPr>
        <w:ind w:left="600" w:right="740" w:firstLine="612"/>
        <w:spacing w:after="0" w:line="305" w:lineRule="auto"/>
        <w:rPr>
          <w:sz w:val="20"/>
          <w:szCs w:val="20"/>
          <w:color w:val="auto"/>
        </w:rPr>
      </w:pPr>
      <w:r>
        <w:rPr>
          <w:rFonts w:ascii="Times New Roman" w:cs="Times New Roman" w:eastAsia="Times New Roman" w:hAnsi="Times New Roman"/>
          <w:sz w:val="13"/>
          <w:szCs w:val="13"/>
          <w:u w:val="single" w:color="auto"/>
          <w:color w:val="auto"/>
        </w:rPr>
        <w:t>FOURTH</w:t>
      </w:r>
      <w:r>
        <w:rPr>
          <w:rFonts w:ascii="Times New Roman" w:cs="Times New Roman" w:eastAsia="Times New Roman" w:hAnsi="Times New Roman"/>
          <w:sz w:val="13"/>
          <w:szCs w:val="13"/>
          <w:color w:val="auto"/>
        </w:rPr>
        <w:t xml:space="preserve"> : The current address of the principal office of the Corporation is as set forth in Article III of the foregoing amendment and restatement of the charter.</w:t>
      </w:r>
    </w:p>
    <w:p>
      <w:pPr>
        <w:spacing w:after="0" w:line="124" w:lineRule="exact"/>
        <w:rPr>
          <w:sz w:val="20"/>
          <w:szCs w:val="20"/>
          <w:color w:val="auto"/>
        </w:rPr>
      </w:pPr>
    </w:p>
    <w:p>
      <w:pPr>
        <w:ind w:left="600" w:right="880" w:firstLine="612"/>
        <w:spacing w:after="0" w:line="305" w:lineRule="auto"/>
        <w:rPr>
          <w:sz w:val="20"/>
          <w:szCs w:val="20"/>
          <w:color w:val="auto"/>
        </w:rPr>
      </w:pPr>
      <w:r>
        <w:rPr>
          <w:rFonts w:ascii="Times New Roman" w:cs="Times New Roman" w:eastAsia="Times New Roman" w:hAnsi="Times New Roman"/>
          <w:sz w:val="13"/>
          <w:szCs w:val="13"/>
          <w:u w:val="single" w:color="auto"/>
          <w:color w:val="auto"/>
        </w:rPr>
        <w:t>FIFTH</w:t>
      </w:r>
      <w:r>
        <w:rPr>
          <w:rFonts w:ascii="Times New Roman" w:cs="Times New Roman" w:eastAsia="Times New Roman" w:hAnsi="Times New Roman"/>
          <w:sz w:val="13"/>
          <w:szCs w:val="13"/>
          <w:color w:val="auto"/>
        </w:rPr>
        <w:t xml:space="preserve"> : The name and address of the Corporation’s current resident agent is as set forth in Article III of the foregoing amendment and restatement of the charter.</w:t>
      </w:r>
    </w:p>
    <w:p>
      <w:pPr>
        <w:spacing w:after="0" w:line="124" w:lineRule="exact"/>
        <w:rPr>
          <w:sz w:val="20"/>
          <w:szCs w:val="20"/>
          <w:color w:val="auto"/>
        </w:rPr>
      </w:pPr>
    </w:p>
    <w:p>
      <w:pPr>
        <w:ind w:left="600" w:right="920" w:firstLine="612"/>
        <w:spacing w:after="0" w:line="305" w:lineRule="auto"/>
        <w:rPr>
          <w:sz w:val="20"/>
          <w:szCs w:val="20"/>
          <w:color w:val="auto"/>
        </w:rPr>
      </w:pPr>
      <w:r>
        <w:rPr>
          <w:rFonts w:ascii="Times New Roman" w:cs="Times New Roman" w:eastAsia="Times New Roman" w:hAnsi="Times New Roman"/>
          <w:sz w:val="13"/>
          <w:szCs w:val="13"/>
          <w:u w:val="single" w:color="auto"/>
          <w:color w:val="auto"/>
        </w:rPr>
        <w:t>SIXTH</w:t>
      </w:r>
      <w:r>
        <w:rPr>
          <w:rFonts w:ascii="Times New Roman" w:cs="Times New Roman" w:eastAsia="Times New Roman" w:hAnsi="Times New Roman"/>
          <w:sz w:val="13"/>
          <w:szCs w:val="13"/>
          <w:color w:val="auto"/>
        </w:rPr>
        <w:t xml:space="preserve"> : The number of directors of the Corporation and the names of those currently in office are as set forth in Article IV of the foregoing amendment and restatement of the charter.</w:t>
      </w:r>
    </w:p>
    <w:p>
      <w:pPr>
        <w:spacing w:after="0" w:line="122" w:lineRule="exact"/>
        <w:rPr>
          <w:sz w:val="20"/>
          <w:szCs w:val="20"/>
          <w:color w:val="auto"/>
        </w:rPr>
      </w:pPr>
    </w:p>
    <w:p>
      <w:pPr>
        <w:ind w:left="600" w:right="760" w:firstLine="612"/>
        <w:spacing w:after="0" w:line="282" w:lineRule="auto"/>
        <w:rPr>
          <w:sz w:val="20"/>
          <w:szCs w:val="20"/>
          <w:color w:val="auto"/>
        </w:rPr>
      </w:pPr>
      <w:r>
        <w:rPr>
          <w:rFonts w:ascii="Times New Roman" w:cs="Times New Roman" w:eastAsia="Times New Roman" w:hAnsi="Times New Roman"/>
          <w:sz w:val="13"/>
          <w:szCs w:val="13"/>
          <w:u w:val="single" w:color="auto"/>
          <w:color w:val="auto"/>
        </w:rPr>
        <w:t>SEVENTH</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xml:space="preserve"> The undersigned President acknowledges these Articles of Amendment and Restatement to be the corporate act of the Corporation and as to all matters or facts required to be verified under oath, the undersigned President acknowledges that to the best of his knowledge, information and belief, these matters and facts are true in all material respects and that this statement is made under the penalties for perjury.</w:t>
      </w:r>
    </w:p>
    <w:p>
      <w:pPr>
        <w:spacing w:after="0" w:line="1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i w:val="1"/>
          <w:iCs w:val="1"/>
          <w:color w:val="auto"/>
        </w:rPr>
        <w:t>(signature page follows)</w:t>
      </w:r>
    </w:p>
    <w:p>
      <w:pPr>
        <w:spacing w:after="0" w:line="3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125730</wp:posOffset>
            </wp:positionV>
            <wp:extent cx="4436110" cy="152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45">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575310</wp:posOffset>
            </wp:positionV>
            <wp:extent cx="5083810" cy="152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46">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07" w:name="page208"/>
    <w:bookmarkEnd w:id="207"/>
    <w:p>
      <w:pPr>
        <w:ind w:left="600" w:right="660" w:firstLine="612"/>
        <w:spacing w:after="0" w:line="305" w:lineRule="auto"/>
        <w:rPr>
          <w:sz w:val="20"/>
          <w:szCs w:val="20"/>
          <w:color w:val="auto"/>
        </w:rPr>
      </w:pPr>
      <w:r>
        <w:rPr>
          <w:rFonts w:ascii="Times New Roman" w:cs="Times New Roman" w:eastAsia="Times New Roman" w:hAnsi="Times New Roman"/>
          <w:sz w:val="13"/>
          <w:szCs w:val="13"/>
          <w:color w:val="auto"/>
        </w:rPr>
        <w:t>IN WITNESS WHEREOF, the Corporation has caused these Articles of Amendment and Restatement to be signed in its name and on its behalf by its President and attested to by its Secretary on this 26th day of October, 2004.</w:t>
      </w:r>
    </w:p>
    <w:p>
      <w:pPr>
        <w:spacing w:after="0" w:line="136" w:lineRule="exact"/>
        <w:rPr>
          <w:sz w:val="20"/>
          <w:szCs w:val="20"/>
          <w:color w:val="auto"/>
        </w:rPr>
      </w:pPr>
    </w:p>
    <w:tbl>
      <w:tblPr>
        <w:tblLayout w:type="fixed"/>
        <w:tblInd w:w="480" w:type="dxa"/>
        <w:tblCellMar>
          <w:top w:w="0" w:type="dxa"/>
          <w:left w:w="0" w:type="dxa"/>
          <w:bottom w:w="0" w:type="dxa"/>
          <w:right w:w="0" w:type="dxa"/>
        </w:tblCellMar>
      </w:tblPr>
      <w:tr>
        <w:trPr>
          <w:trHeight w:val="172"/>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ATTEST:</w:t>
            </w:r>
          </w:p>
        </w:tc>
        <w:tc>
          <w:tcPr>
            <w:tcW w:w="442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DIGITAL REALTY TRUST, INC.</w:t>
            </w:r>
          </w:p>
        </w:tc>
        <w:tc>
          <w:tcPr>
            <w:tcW w:w="880" w:type="dxa"/>
            <w:vAlign w:val="bottom"/>
          </w:tcPr>
          <w:p>
            <w:pPr>
              <w:spacing w:after="0"/>
              <w:rPr>
                <w:sz w:val="14"/>
                <w:szCs w:val="14"/>
                <w:color w:val="auto"/>
              </w:rPr>
            </w:pPr>
          </w:p>
        </w:tc>
      </w:tr>
      <w:tr>
        <w:trPr>
          <w:trHeight w:val="180"/>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/s/ Michael F. Foust</w:t>
            </w:r>
          </w:p>
        </w:tc>
        <w:tc>
          <w:tcPr>
            <w:tcW w:w="442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By:/s/ Richard A. Magnuson</w:t>
            </w:r>
          </w:p>
        </w:tc>
        <w:tc>
          <w:tcPr>
            <w:tcW w:w="880" w:type="dxa"/>
            <w:vAlign w:val="bottom"/>
          </w:tcPr>
          <w:p>
            <w:pPr>
              <w:spacing w:after="0"/>
              <w:rPr>
                <w:sz w:val="15"/>
                <w:szCs w:val="15"/>
                <w:color w:val="auto"/>
              </w:rPr>
            </w:pPr>
          </w:p>
        </w:tc>
      </w:tr>
      <w:tr>
        <w:trPr>
          <w:trHeight w:val="180"/>
        </w:trPr>
        <w:tc>
          <w:tcPr>
            <w:tcW w:w="1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442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(SEAL) Michael F. Foust</w:t>
            </w:r>
          </w:p>
        </w:tc>
        <w:tc>
          <w:tcPr>
            <w:tcW w:w="880" w:type="dxa"/>
            <w:vAlign w:val="bottom"/>
          </w:tcPr>
          <w:p>
            <w:pPr>
              <w:spacing w:after="0"/>
              <w:rPr>
                <w:sz w:val="15"/>
                <w:szCs w:val="15"/>
                <w:color w:val="auto"/>
              </w:rPr>
            </w:pPr>
          </w:p>
        </w:tc>
      </w:tr>
      <w:tr>
        <w:trPr>
          <w:trHeight w:val="164"/>
        </w:trPr>
        <w:tc>
          <w:tcPr>
            <w:tcW w:w="1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442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Richard A. Magnuson</w:t>
            </w:r>
          </w:p>
        </w:tc>
        <w:tc>
          <w:tcPr>
            <w:tcW w:w="880" w:type="dxa"/>
            <w:vAlign w:val="bottom"/>
          </w:tcPr>
          <w:p>
            <w:pPr>
              <w:spacing w:after="0"/>
              <w:rPr>
                <w:sz w:val="14"/>
                <w:szCs w:val="14"/>
                <w:color w:val="auto"/>
              </w:rPr>
            </w:pPr>
          </w:p>
        </w:tc>
      </w:tr>
      <w:tr>
        <w:trPr>
          <w:trHeight w:val="172"/>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Chief Executive Officer and Secretary</w:t>
            </w:r>
          </w:p>
        </w:tc>
        <w:tc>
          <w:tcPr>
            <w:tcW w:w="442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Executive Chairman</w:t>
            </w:r>
          </w:p>
        </w:tc>
        <w:tc>
          <w:tcPr>
            <w:tcW w:w="880" w:type="dxa"/>
            <w:vAlign w:val="bottom"/>
          </w:tcPr>
          <w:p>
            <w:pPr>
              <w:spacing w:after="0"/>
              <w:rPr>
                <w:sz w:val="14"/>
                <w:szCs w:val="14"/>
                <w:color w:val="auto"/>
              </w:rPr>
            </w:pPr>
          </w:p>
        </w:tc>
      </w:tr>
      <w:tr>
        <w:trPr>
          <w:trHeight w:val="492"/>
        </w:trPr>
        <w:tc>
          <w:tcPr>
            <w:tcW w:w="1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420" w:type="dxa"/>
            <w:vAlign w:val="bottom"/>
          </w:tcPr>
          <w:p>
            <w:pPr>
              <w:ind w:left="1240"/>
              <w:spacing w:after="0"/>
              <w:rPr>
                <w:sz w:val="20"/>
                <w:szCs w:val="20"/>
                <w:color w:val="auto"/>
              </w:rPr>
            </w:pPr>
            <w:r>
              <w:rPr>
                <w:rFonts w:ascii="Times New Roman" w:cs="Times New Roman" w:eastAsia="Times New Roman" w:hAnsi="Times New Roman"/>
                <w:sz w:val="13"/>
                <w:szCs w:val="13"/>
                <w:color w:val="auto"/>
              </w:rPr>
              <w:t>26</w:t>
            </w:r>
          </w:p>
        </w:tc>
        <w:tc>
          <w:tcPr>
            <w:tcW w:w="880" w:type="dxa"/>
            <w:vAlign w:val="bottom"/>
          </w:tcPr>
          <w:p>
            <w:pPr>
              <w:spacing w:after="0"/>
              <w:rPr>
                <w:sz w:val="24"/>
                <w:szCs w:val="24"/>
                <w:color w:val="auto"/>
              </w:rPr>
            </w:pPr>
          </w:p>
        </w:tc>
      </w:tr>
      <w:tr>
        <w:trPr>
          <w:trHeight w:val="180"/>
        </w:trPr>
        <w:tc>
          <w:tcPr>
            <w:tcW w:w="120" w:type="dxa"/>
            <w:vAlign w:val="bottom"/>
          </w:tcPr>
          <w:p>
            <w:pPr>
              <w:spacing w:after="0"/>
              <w:rPr>
                <w:sz w:val="15"/>
                <w:szCs w:val="15"/>
                <w:color w:val="auto"/>
              </w:rPr>
            </w:pPr>
          </w:p>
        </w:tc>
        <w:tc>
          <w:tcPr>
            <w:tcW w:w="2580" w:type="dxa"/>
            <w:vAlign w:val="bottom"/>
            <w:tcBorders>
              <w:bottom w:val="single" w:sz="8" w:color="auto"/>
            </w:tcBorders>
          </w:tcPr>
          <w:p>
            <w:pPr>
              <w:spacing w:after="0"/>
              <w:rPr>
                <w:sz w:val="15"/>
                <w:szCs w:val="15"/>
                <w:color w:val="auto"/>
              </w:rPr>
            </w:pPr>
          </w:p>
        </w:tc>
        <w:tc>
          <w:tcPr>
            <w:tcW w:w="4420" w:type="dxa"/>
            <w:vAlign w:val="bottom"/>
            <w:tcBorders>
              <w:bottom w:val="single" w:sz="8" w:color="auto"/>
            </w:tcBorders>
          </w:tcPr>
          <w:p>
            <w:pPr>
              <w:spacing w:after="0"/>
              <w:rPr>
                <w:sz w:val="15"/>
                <w:szCs w:val="15"/>
                <w:color w:val="auto"/>
              </w:rPr>
            </w:pPr>
          </w:p>
        </w:tc>
        <w:tc>
          <w:tcPr>
            <w:tcW w:w="880" w:type="dxa"/>
            <w:vAlign w:val="bottom"/>
          </w:tcPr>
          <w:p>
            <w:pPr>
              <w:spacing w:after="0"/>
              <w:rPr>
                <w:sz w:val="15"/>
                <w:szCs w:val="15"/>
                <w:color w:val="auto"/>
              </w:rPr>
            </w:pPr>
          </w:p>
        </w:tc>
      </w:tr>
      <w:tr>
        <w:trPr>
          <w:trHeight w:val="688"/>
        </w:trPr>
        <w:tc>
          <w:tcPr>
            <w:tcW w:w="1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bl>
    <w:p>
      <w:pPr>
        <w:sectPr>
          <w:pgSz w:w="11900" w:h="16840" w:orient="portrait"/>
          <w:cols w:equalWidth="0" w:num="1">
            <w:col w:w="9020"/>
          </w:cols>
          <w:pgMar w:left="1440" w:top="558" w:right="1440" w:bottom="1440" w:gutter="0" w:footer="0" w:header="0"/>
        </w:sectPr>
      </w:pPr>
    </w:p>
    <w:bookmarkStart w:id="208" w:name="page209"/>
    <w:bookmarkEnd w:id="208"/>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DIGITAL REALTY TRUST, INC. ARTICLES</w:t>
      </w:r>
    </w:p>
    <w:p>
      <w:pPr>
        <w:spacing w:after="0" w:line="1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SUPPLEMENTARY 4,140,000 SHARES OF</w:t>
      </w:r>
    </w:p>
    <w:p>
      <w:pPr>
        <w:spacing w:after="0" w:line="1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8.50% SERIES A CUMULATIVE REDEEMABLE PREFERRED STOCK</w:t>
      </w:r>
    </w:p>
    <w:p>
      <w:pPr>
        <w:spacing w:after="0" w:line="1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February 8, 2005</w:t>
      </w:r>
    </w:p>
    <w:p>
      <w:pPr>
        <w:spacing w:after="0" w:line="18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Digital Realty Trust, Inc., a Maryland corporation (the “ </w:t>
      </w:r>
      <w:r>
        <w:rPr>
          <w:rFonts w:ascii="Times New Roman" w:cs="Times New Roman" w:eastAsia="Times New Roman" w:hAnsi="Times New Roman"/>
          <w:sz w:val="13"/>
          <w:szCs w:val="13"/>
          <w:u w:val="single" w:color="auto"/>
          <w:color w:val="auto"/>
        </w:rPr>
        <w:t>Company</w:t>
      </w:r>
      <w:r>
        <w:rPr>
          <w:rFonts w:ascii="Times New Roman" w:cs="Times New Roman" w:eastAsia="Times New Roman" w:hAnsi="Times New Roman"/>
          <w:sz w:val="13"/>
          <w:szCs w:val="13"/>
          <w:color w:val="auto"/>
        </w:rPr>
        <w:t xml:space="preserve"> ”), hereby certifies to the State Department of Assessments and</w:t>
      </w:r>
    </w:p>
    <w:p>
      <w:pPr>
        <w:spacing w:after="0" w:line="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 xml:space="preserve">Taxation of Maryland (the “ </w:t>
      </w:r>
      <w:r>
        <w:rPr>
          <w:rFonts w:ascii="Times New Roman" w:cs="Times New Roman" w:eastAsia="Times New Roman" w:hAnsi="Times New Roman"/>
          <w:sz w:val="13"/>
          <w:szCs w:val="13"/>
          <w:u w:val="single" w:color="auto"/>
          <w:color w:val="auto"/>
        </w:rPr>
        <w:t>Department</w:t>
      </w:r>
      <w:r>
        <w:rPr>
          <w:rFonts w:ascii="Times New Roman" w:cs="Times New Roman" w:eastAsia="Times New Roman" w:hAnsi="Times New Roman"/>
          <w:sz w:val="13"/>
          <w:szCs w:val="13"/>
          <w:color w:val="auto"/>
        </w:rPr>
        <w:t xml:space="preserve"> ”) that:</w:t>
      </w:r>
    </w:p>
    <w:p>
      <w:pPr>
        <w:spacing w:after="0" w:line="183" w:lineRule="exact"/>
        <w:rPr>
          <w:sz w:val="20"/>
          <w:szCs w:val="20"/>
          <w:color w:val="auto"/>
        </w:rPr>
      </w:pPr>
    </w:p>
    <w:p>
      <w:pPr>
        <w:ind w:left="600" w:right="660" w:firstLine="312"/>
        <w:spacing w:after="0" w:line="272" w:lineRule="auto"/>
        <w:rPr>
          <w:sz w:val="20"/>
          <w:szCs w:val="20"/>
          <w:color w:val="auto"/>
        </w:rPr>
      </w:pPr>
      <w:r>
        <w:rPr>
          <w:rFonts w:ascii="Times New Roman" w:cs="Times New Roman" w:eastAsia="Times New Roman" w:hAnsi="Times New Roman"/>
          <w:sz w:val="13"/>
          <w:szCs w:val="13"/>
          <w:u w:val="single" w:color="auto"/>
          <w:color w:val="auto"/>
        </w:rPr>
        <w:t>FIRST</w:t>
      </w:r>
      <w:r>
        <w:rPr>
          <w:rFonts w:ascii="Times New Roman" w:cs="Times New Roman" w:eastAsia="Times New Roman" w:hAnsi="Times New Roman"/>
          <w:sz w:val="13"/>
          <w:szCs w:val="13"/>
          <w:color w:val="auto"/>
        </w:rPr>
        <w:t xml:space="preserve"> : Pursuant to the authority expressly vested in the Board of Directors of the Company (the “ </w:t>
      </w:r>
      <w:r>
        <w:rPr>
          <w:rFonts w:ascii="Times New Roman" w:cs="Times New Roman" w:eastAsia="Times New Roman" w:hAnsi="Times New Roman"/>
          <w:sz w:val="13"/>
          <w:szCs w:val="13"/>
          <w:u w:val="single" w:color="auto"/>
          <w:color w:val="auto"/>
        </w:rPr>
        <w:t>Board of Directors</w:t>
      </w:r>
      <w:r>
        <w:rPr>
          <w:rFonts w:ascii="Times New Roman" w:cs="Times New Roman" w:eastAsia="Times New Roman" w:hAnsi="Times New Roman"/>
          <w:sz w:val="13"/>
          <w:szCs w:val="13"/>
          <w:color w:val="auto"/>
        </w:rPr>
        <w:t xml:space="preserve"> ”) by Article IV of the Articles of Amendment and Restatement of the Company filed with the Department on October 26, 2004 (the “ </w:t>
      </w:r>
      <w:r>
        <w:rPr>
          <w:rFonts w:ascii="Times New Roman" w:cs="Times New Roman" w:eastAsia="Times New Roman" w:hAnsi="Times New Roman"/>
          <w:sz w:val="13"/>
          <w:szCs w:val="13"/>
          <w:u w:val="single" w:color="auto"/>
          <w:color w:val="auto"/>
        </w:rPr>
        <w:t>Charter</w:t>
      </w:r>
      <w:r>
        <w:rPr>
          <w:rFonts w:ascii="Times New Roman" w:cs="Times New Roman" w:eastAsia="Times New Roman" w:hAnsi="Times New Roman"/>
          <w:sz w:val="13"/>
          <w:szCs w:val="13"/>
          <w:color w:val="auto"/>
        </w:rPr>
        <w:t xml:space="preserve"> ”) and Section 2-105 of the Maryland General Corporation Law (the “ </w:t>
      </w:r>
      <w:r>
        <w:rPr>
          <w:rFonts w:ascii="Times New Roman" w:cs="Times New Roman" w:eastAsia="Times New Roman" w:hAnsi="Times New Roman"/>
          <w:sz w:val="13"/>
          <w:szCs w:val="13"/>
          <w:u w:val="single" w:color="auto"/>
          <w:color w:val="auto"/>
        </w:rPr>
        <w:t>MGCL</w:t>
      </w:r>
      <w:r>
        <w:rPr>
          <w:rFonts w:ascii="Times New Roman" w:cs="Times New Roman" w:eastAsia="Times New Roman" w:hAnsi="Times New Roman"/>
          <w:sz w:val="13"/>
          <w:szCs w:val="13"/>
          <w:color w:val="auto"/>
        </w:rPr>
        <w:t xml:space="preserve"> ”), the Board of Directors, by resolutions duly adopted on January 12, 2005, has authorized the classification and designation of up to 6,000,000 shares of the authorized but unissued preferred stock of the Company, par value $.01 per share (“ </w:t>
      </w:r>
      <w:r>
        <w:rPr>
          <w:rFonts w:ascii="Times New Roman" w:cs="Times New Roman" w:eastAsia="Times New Roman" w:hAnsi="Times New Roman"/>
          <w:sz w:val="13"/>
          <w:szCs w:val="13"/>
          <w:u w:val="single" w:color="auto"/>
          <w:color w:val="auto"/>
        </w:rPr>
        <w:t>Preferred Stock</w:t>
      </w:r>
      <w:r>
        <w:rPr>
          <w:rFonts w:ascii="Times New Roman" w:cs="Times New Roman" w:eastAsia="Times New Roman" w:hAnsi="Times New Roman"/>
          <w:sz w:val="13"/>
          <w:szCs w:val="13"/>
          <w:color w:val="auto"/>
        </w:rPr>
        <w:t xml:space="preserve"> ”), as a separate class of Preferred Stock, the issuance of a maximum of 6,000,000 shares of such class of Preferred Stock, and, pursuant to the powers contained in the Bylaws of the Company and the MGCL, appointed a committee (the “ </w:t>
      </w:r>
      <w:r>
        <w:rPr>
          <w:rFonts w:ascii="Times New Roman" w:cs="Times New Roman" w:eastAsia="Times New Roman" w:hAnsi="Times New Roman"/>
          <w:sz w:val="13"/>
          <w:szCs w:val="13"/>
          <w:u w:val="single" w:color="auto"/>
          <w:color w:val="auto"/>
        </w:rPr>
        <w:t>Committee</w:t>
      </w:r>
      <w:r>
        <w:rPr>
          <w:rFonts w:ascii="Times New Roman" w:cs="Times New Roman" w:eastAsia="Times New Roman" w:hAnsi="Times New Roman"/>
          <w:sz w:val="13"/>
          <w:szCs w:val="13"/>
          <w:color w:val="auto"/>
        </w:rPr>
        <w:t xml:space="preserve"> ”) of the Board of Directors and delegated to the Committee, to the fullest extent permitted by the MGCL and the Charter and Bylaws of the Company, among other things, all powers of the Board of Directors with respect to (i) setting the number of shares of the Preferred Stock to be classified and designated, up to a maximum of 6,000,000 shares of Preferred Stock, (ii) choosing the cumulative dividend percentage for the Preferred Stock, (iii) selecting the dates on which dividends will be paid on the Preferred Stock, (iv) establishing the price per share for the Preferred Stock, (v) authorizing, approving and filing these Articles Supplementary with the Department, and (vi) authorizing and approving all such other actions as the Committee may deem necessary or desirable in connection with the classification, authorization, issuance, offer, and sale of the Preferred Stock.</w:t>
      </w:r>
    </w:p>
    <w:p>
      <w:pPr>
        <w:spacing w:after="0" w:line="308" w:lineRule="exact"/>
        <w:rPr>
          <w:sz w:val="20"/>
          <w:szCs w:val="20"/>
          <w:color w:val="auto"/>
        </w:rPr>
      </w:pPr>
    </w:p>
    <w:p>
      <w:pPr>
        <w:ind w:left="600" w:right="660" w:firstLine="312"/>
        <w:spacing w:after="0" w:line="278" w:lineRule="auto"/>
        <w:rPr>
          <w:sz w:val="20"/>
          <w:szCs w:val="20"/>
          <w:color w:val="auto"/>
        </w:rPr>
      </w:pPr>
      <w:r>
        <w:rPr>
          <w:rFonts w:ascii="Times New Roman" w:cs="Times New Roman" w:eastAsia="Times New Roman" w:hAnsi="Times New Roman"/>
          <w:sz w:val="13"/>
          <w:szCs w:val="13"/>
          <w:u w:val="single" w:color="auto"/>
          <w:color w:val="auto"/>
        </w:rPr>
        <w:t>SECOND</w:t>
      </w:r>
      <w:r>
        <w:rPr>
          <w:rFonts w:ascii="Times New Roman" w:cs="Times New Roman" w:eastAsia="Times New Roman" w:hAnsi="Times New Roman"/>
          <w:sz w:val="13"/>
          <w:szCs w:val="13"/>
          <w:color w:val="auto"/>
        </w:rPr>
        <w:t xml:space="preserve"> : The Committee has unanimously adopted resolutions classifying and designating the Preferred Stock as a separate class of Preferred Stock to be known as the “8.50% Series A Cumulative Redeemable Preferred Stock,” setting the preferences, conversion and other rights, voting powers, restrictions, limitations as to dividends and other distributions, transfers, qualifications, terms and conditions of redemption and other terms and conditions of such 8.50% Series A Cumulative Redeemable Preferred Stock, and authorizing the issuance of up to 4,140,000 shares of 8.50% Series A Cumulative Redeemable Preferred Stock.</w:t>
      </w:r>
    </w:p>
    <w:p>
      <w:pPr>
        <w:spacing w:after="0" w:line="143" w:lineRule="exact"/>
        <w:rPr>
          <w:sz w:val="20"/>
          <w:szCs w:val="20"/>
          <w:color w:val="auto"/>
        </w:rPr>
      </w:pPr>
    </w:p>
    <w:p>
      <w:pPr>
        <w:ind w:left="600" w:right="760" w:firstLine="312"/>
        <w:spacing w:after="0" w:line="278" w:lineRule="auto"/>
        <w:rPr>
          <w:sz w:val="20"/>
          <w:szCs w:val="20"/>
          <w:color w:val="auto"/>
        </w:rPr>
      </w:pPr>
      <w:r>
        <w:rPr>
          <w:rFonts w:ascii="Times New Roman" w:cs="Times New Roman" w:eastAsia="Times New Roman" w:hAnsi="Times New Roman"/>
          <w:sz w:val="13"/>
          <w:szCs w:val="13"/>
          <w:u w:val="single" w:color="auto"/>
          <w:color w:val="auto"/>
        </w:rPr>
        <w:t>THIRD</w:t>
      </w:r>
      <w:r>
        <w:rPr>
          <w:rFonts w:ascii="Times New Roman" w:cs="Times New Roman" w:eastAsia="Times New Roman" w:hAnsi="Times New Roman"/>
          <w:sz w:val="13"/>
          <w:szCs w:val="13"/>
          <w:color w:val="auto"/>
        </w:rPr>
        <w:t xml:space="preserve"> : The designation, number of shares, preferences, rights, voting powers, restrictions, limitations as to dividends and other distributions, qualifications, terms and conditions of redemption and other terms and conditions of the separate class of Preferred Stock of the Company designated as 8.50% Series A Cumulative Redeemable Preferred Stock are as follows (the “ </w:t>
      </w:r>
      <w:r>
        <w:rPr>
          <w:rFonts w:ascii="Times New Roman" w:cs="Times New Roman" w:eastAsia="Times New Roman" w:hAnsi="Times New Roman"/>
          <w:sz w:val="13"/>
          <w:szCs w:val="13"/>
          <w:u w:val="single" w:color="auto"/>
          <w:color w:val="auto"/>
        </w:rPr>
        <w:t>Series A Terms</w:t>
      </w:r>
      <w:r>
        <w:rPr>
          <w:rFonts w:ascii="Times New Roman" w:cs="Times New Roman" w:eastAsia="Times New Roman" w:hAnsi="Times New Roman"/>
          <w:sz w:val="13"/>
          <w:szCs w:val="13"/>
          <w:color w:val="auto"/>
        </w:rPr>
        <w:t xml:space="preserve"> ”), which upon any restatement of the Charter shall be made a part of or incorporated by reference into the Charter with any necessary or appropriate changes to the enumeration or lettering of sections or subsections thereof:</w:t>
      </w:r>
    </w:p>
    <w:p>
      <w:pPr>
        <w:spacing w:after="0" w:line="143" w:lineRule="exact"/>
        <w:rPr>
          <w:sz w:val="20"/>
          <w:szCs w:val="20"/>
          <w:color w:val="auto"/>
        </w:rPr>
      </w:pPr>
    </w:p>
    <w:p>
      <w:pPr>
        <w:ind w:left="600" w:right="1060" w:firstLine="312"/>
        <w:spacing w:after="0" w:line="305" w:lineRule="auto"/>
        <w:rPr>
          <w:sz w:val="20"/>
          <w:szCs w:val="20"/>
          <w:color w:val="auto"/>
        </w:rPr>
      </w:pPr>
      <w:r>
        <w:rPr>
          <w:rFonts w:ascii="Times New Roman" w:cs="Times New Roman" w:eastAsia="Times New Roman" w:hAnsi="Times New Roman"/>
          <w:sz w:val="13"/>
          <w:szCs w:val="13"/>
          <w:color w:val="auto"/>
        </w:rPr>
        <w:t xml:space="preserve">Section 1. </w:t>
      </w:r>
      <w:r>
        <w:rPr>
          <w:rFonts w:ascii="Times New Roman" w:cs="Times New Roman" w:eastAsia="Times New Roman" w:hAnsi="Times New Roman"/>
          <w:sz w:val="13"/>
          <w:szCs w:val="13"/>
          <w:u w:val="single" w:color="auto"/>
          <w:color w:val="auto"/>
        </w:rPr>
        <w:t>Designation and Number</w:t>
      </w:r>
      <w:r>
        <w:rPr>
          <w:rFonts w:ascii="Times New Roman" w:cs="Times New Roman" w:eastAsia="Times New Roman" w:hAnsi="Times New Roman"/>
          <w:sz w:val="13"/>
          <w:szCs w:val="13"/>
          <w:color w:val="auto"/>
        </w:rPr>
        <w:t xml:space="preserve"> . A series of Preferred Stock, designated the “8.50% Series A Cumulative Redeemable Preferred Stock” (the “ </w:t>
      </w:r>
      <w:r>
        <w:rPr>
          <w:rFonts w:ascii="Times New Roman" w:cs="Times New Roman" w:eastAsia="Times New Roman" w:hAnsi="Times New Roman"/>
          <w:sz w:val="13"/>
          <w:szCs w:val="13"/>
          <w:u w:val="single" w:color="auto"/>
          <w:color w:val="auto"/>
        </w:rPr>
        <w:t>Series A Preferred Stock</w:t>
      </w:r>
      <w:r>
        <w:rPr>
          <w:rFonts w:ascii="Times New Roman" w:cs="Times New Roman" w:eastAsia="Times New Roman" w:hAnsi="Times New Roman"/>
          <w:sz w:val="13"/>
          <w:szCs w:val="13"/>
          <w:color w:val="auto"/>
        </w:rPr>
        <w:t xml:space="preserve"> ”), is hereby established. The number of shares of Series A Preferred Stock shall be 4,140,000.</w:t>
      </w:r>
    </w:p>
    <w:p>
      <w:pPr>
        <w:spacing w:after="0" w:line="124" w:lineRule="exact"/>
        <w:rPr>
          <w:sz w:val="20"/>
          <w:szCs w:val="20"/>
          <w:color w:val="auto"/>
        </w:rPr>
      </w:pPr>
    </w:p>
    <w:p>
      <w:pPr>
        <w:ind w:left="600" w:right="660" w:firstLine="312"/>
        <w:spacing w:after="0" w:line="274" w:lineRule="auto"/>
        <w:rPr>
          <w:sz w:val="20"/>
          <w:szCs w:val="20"/>
          <w:color w:val="auto"/>
        </w:rPr>
      </w:pPr>
      <w:r>
        <w:rPr>
          <w:rFonts w:ascii="Times New Roman" w:cs="Times New Roman" w:eastAsia="Times New Roman" w:hAnsi="Times New Roman"/>
          <w:sz w:val="13"/>
          <w:szCs w:val="13"/>
          <w:color w:val="auto"/>
        </w:rPr>
        <w:t xml:space="preserve">Section 2. </w:t>
      </w:r>
      <w:r>
        <w:rPr>
          <w:rFonts w:ascii="Times New Roman" w:cs="Times New Roman" w:eastAsia="Times New Roman" w:hAnsi="Times New Roman"/>
          <w:sz w:val="13"/>
          <w:szCs w:val="13"/>
          <w:u w:val="single" w:color="auto"/>
          <w:color w:val="auto"/>
        </w:rPr>
        <w:t>Rank</w:t>
      </w:r>
      <w:r>
        <w:rPr>
          <w:rFonts w:ascii="Times New Roman" w:cs="Times New Roman" w:eastAsia="Times New Roman" w:hAnsi="Times New Roman"/>
          <w:sz w:val="13"/>
          <w:szCs w:val="13"/>
          <w:color w:val="auto"/>
        </w:rPr>
        <w:t xml:space="preserve"> . The Series A Preferred Stock will, with respect to dividend rights and rights upon voluntary or involuntary liquidation, dissolution or winding up of the Company, rank: (i) senior to all classes or series of the Company’s common stock, par value $.01 per share (the “ </w:t>
      </w:r>
      <w:r>
        <w:rPr>
          <w:rFonts w:ascii="Times New Roman" w:cs="Times New Roman" w:eastAsia="Times New Roman" w:hAnsi="Times New Roman"/>
          <w:sz w:val="13"/>
          <w:szCs w:val="13"/>
          <w:u w:val="single" w:color="auto"/>
          <w:color w:val="auto"/>
        </w:rPr>
        <w:t>Common Stock</w:t>
      </w:r>
      <w:r>
        <w:rPr>
          <w:rFonts w:ascii="Times New Roman" w:cs="Times New Roman" w:eastAsia="Times New Roman" w:hAnsi="Times New Roman"/>
          <w:sz w:val="13"/>
          <w:szCs w:val="13"/>
          <w:color w:val="auto"/>
        </w:rPr>
        <w:t xml:space="preserve"> ”), and all classes or series of capital stock of the Company now or hereafter authorized, issued or outstanding expressly designated as ranking junior to the Series A Preferred Stock as to dividend rights and rights upon voluntary or involuntary liquidation, dissolution or winding up of the Company; (ii) on parity with any class or series of capital stock of the Company expressly designated as ranking on parity with the Series A Preferred Stock as to dividend rights and rights upon voluntary or involuntary liquidation, dissolution or winding up of the Company; and (iii) junior to any class or series of capital stock of the Company expressly designated as ranking senior to the Series A Preferred Stock as to dividend rights and rights upon voluntary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108585</wp:posOffset>
            </wp:positionV>
            <wp:extent cx="4436110" cy="76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47">
                      <a:extLst>
                        <a:ext uri="{28A0092B-C50C-407E-A947-70E740481C1C}"/>
                      </a:extLst>
                    </a:blip>
                    <a:srcRect/>
                    <a:stretch>
                      <a:fillRect/>
                    </a:stretch>
                  </pic:blipFill>
                  <pic:spPr bwMode="auto">
                    <a:xfrm>
                      <a:off x="0" y="0"/>
                      <a:ext cx="4436110"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542925</wp:posOffset>
            </wp:positionV>
            <wp:extent cx="5083810" cy="152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48">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640" w:right="1440" w:bottom="1440" w:gutter="0" w:footer="0" w:header="0"/>
        </w:sectPr>
      </w:pPr>
    </w:p>
    <w:bookmarkStart w:id="209" w:name="page210"/>
    <w:bookmarkEnd w:id="209"/>
    <w:p>
      <w:pPr>
        <w:ind w:left="600" w:right="740"/>
        <w:spacing w:after="0" w:line="305" w:lineRule="auto"/>
        <w:rPr>
          <w:sz w:val="20"/>
          <w:szCs w:val="20"/>
          <w:color w:val="auto"/>
        </w:rPr>
      </w:pPr>
      <w:r>
        <w:rPr>
          <w:rFonts w:ascii="Times New Roman" w:cs="Times New Roman" w:eastAsia="Times New Roman" w:hAnsi="Times New Roman"/>
          <w:sz w:val="13"/>
          <w:szCs w:val="13"/>
          <w:color w:val="auto"/>
        </w:rPr>
        <w:t xml:space="preserve">involuntary liquidation, dissolution or winding up of the Company. The term “ </w:t>
      </w:r>
      <w:r>
        <w:rPr>
          <w:rFonts w:ascii="Times New Roman" w:cs="Times New Roman" w:eastAsia="Times New Roman" w:hAnsi="Times New Roman"/>
          <w:sz w:val="13"/>
          <w:szCs w:val="13"/>
          <w:u w:val="single" w:color="auto"/>
          <w:color w:val="auto"/>
        </w:rPr>
        <w:t>capital stock</w:t>
      </w:r>
      <w:r>
        <w:rPr>
          <w:rFonts w:ascii="Times New Roman" w:cs="Times New Roman" w:eastAsia="Times New Roman" w:hAnsi="Times New Roman"/>
          <w:sz w:val="13"/>
          <w:szCs w:val="13"/>
          <w:color w:val="auto"/>
        </w:rPr>
        <w:t xml:space="preserve"> ” does not include convertible debt securities, which will rank senior to the Series A Preferred Stock prior to conversion.</w:t>
      </w:r>
    </w:p>
    <w:p>
      <w:pPr>
        <w:spacing w:after="0" w:line="12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Section 3. </w:t>
      </w:r>
      <w:r>
        <w:rPr>
          <w:rFonts w:ascii="Times New Roman" w:cs="Times New Roman" w:eastAsia="Times New Roman" w:hAnsi="Times New Roman"/>
          <w:sz w:val="13"/>
          <w:szCs w:val="13"/>
          <w:u w:val="single" w:color="auto"/>
          <w:color w:val="auto"/>
        </w:rPr>
        <w:t>Dividends</w:t>
      </w:r>
      <w:r>
        <w:rPr>
          <w:rFonts w:ascii="Times New Roman" w:cs="Times New Roman" w:eastAsia="Times New Roman" w:hAnsi="Times New Roman"/>
          <w:sz w:val="13"/>
          <w:szCs w:val="13"/>
          <w:color w:val="auto"/>
        </w:rPr>
        <w:t xml:space="preserve"> .</w:t>
      </w:r>
    </w:p>
    <w:p>
      <w:pPr>
        <w:spacing w:after="0" w:line="187" w:lineRule="exact"/>
        <w:rPr>
          <w:sz w:val="20"/>
          <w:szCs w:val="20"/>
          <w:color w:val="auto"/>
        </w:rPr>
      </w:pPr>
    </w:p>
    <w:p>
      <w:pPr>
        <w:ind w:left="600" w:right="620" w:firstLine="306"/>
        <w:spacing w:after="0" w:line="271" w:lineRule="auto"/>
        <w:tabs>
          <w:tab w:leader="none" w:pos="1092"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Subject to the preferential rights of the holders of any class or series of capital stock of the Company ranking senior to the Series A Preferred Stock as to dividends, the holders of shares of the Series A Preferred Stock shall be entitled to receive, when, as and if authorized by the Board of Directors and declared by the Company, out of funds legally available for the payment of dividends, cumulative cash dividends at the rate of 8.50% per annum of the $25.00 liquidation preference per share of the Series A Preferred Stock (equivalent to the fixed annual amount of $2.125 per share of the Series A Preferred Stock). Such dividends shall accrue and be cumulative from and including the first date on which any shares of Series A Preferred Stock are issued (the “ </w:t>
      </w:r>
      <w:r>
        <w:rPr>
          <w:rFonts w:ascii="Times New Roman" w:cs="Times New Roman" w:eastAsia="Times New Roman" w:hAnsi="Times New Roman"/>
          <w:sz w:val="13"/>
          <w:szCs w:val="13"/>
          <w:u w:val="single" w:color="auto"/>
          <w:color w:val="auto"/>
        </w:rPr>
        <w:t>Original Issue Date</w:t>
      </w:r>
      <w:r>
        <w:rPr>
          <w:rFonts w:ascii="Times New Roman" w:cs="Times New Roman" w:eastAsia="Times New Roman" w:hAnsi="Times New Roman"/>
          <w:sz w:val="13"/>
          <w:szCs w:val="13"/>
          <w:color w:val="auto"/>
        </w:rPr>
        <w:t xml:space="preserve"> ”) and shall be payable quarterly in arrears on each Dividend Payment Date (as defined below), commencing March 31, 2005; provided, however, that if any Dividend Payment Date is not a Business Day (as defined below), then the dividend which would otherwise have been payable on such Dividend Payment Date may be paid on the next succeeding Business Day, except that, if such Business Day is in the next succeeding calendar year, such payment shall be made on the immediately preceding Business Day, in each case with the same force and effect as if paid on such Dividend Payment Date, and no interest or additional dividends or other sums shall accrue on the amount so payable from such Dividend Payment Date to such next succeeding Business Day. The amount of any dividend payable on the Series A Preferred Stock for any partial Dividend Period (as defined below) shall be prorated and computed on the basis of a 360-day year consisting of twelve 30-day months. Dividends will be payable to holders of record as they appear in the stockholder records of the Company at the close of business on the applicable Dividend Record Date (as defined below). Notwithstanding any provision to the contrary contained herein, each outstanding share of Series A Preferred Stock shall be entitled to receive a dividend with respect to any Dividend Record Date equal to the dividend paid with respect to each other share of Series A Preferred Stock that is outstanding on such date. “ </w:t>
      </w:r>
      <w:r>
        <w:rPr>
          <w:rFonts w:ascii="Times New Roman" w:cs="Times New Roman" w:eastAsia="Times New Roman" w:hAnsi="Times New Roman"/>
          <w:sz w:val="13"/>
          <w:szCs w:val="13"/>
          <w:u w:val="single" w:color="auto"/>
          <w:color w:val="auto"/>
        </w:rPr>
        <w:t>Dividend Record Date</w:t>
      </w:r>
      <w:r>
        <w:rPr>
          <w:rFonts w:ascii="Times New Roman" w:cs="Times New Roman" w:eastAsia="Times New Roman" w:hAnsi="Times New Roman"/>
          <w:sz w:val="13"/>
          <w:szCs w:val="13"/>
          <w:color w:val="auto"/>
        </w:rPr>
        <w:t xml:space="preserve"> ” shall mean the date designated by the Board of Directors for the payment of dividends that is not more than 35 or fewer than 10 days prior to the applicable Dividend Payment Date. “ </w:t>
      </w:r>
      <w:r>
        <w:rPr>
          <w:rFonts w:ascii="Times New Roman" w:cs="Times New Roman" w:eastAsia="Times New Roman" w:hAnsi="Times New Roman"/>
          <w:sz w:val="13"/>
          <w:szCs w:val="13"/>
          <w:u w:val="single" w:color="auto"/>
          <w:color w:val="auto"/>
        </w:rPr>
        <w:t>Dividend Payment Date</w:t>
      </w:r>
      <w:r>
        <w:rPr>
          <w:rFonts w:ascii="Times New Roman" w:cs="Times New Roman" w:eastAsia="Times New Roman" w:hAnsi="Times New Roman"/>
          <w:sz w:val="13"/>
          <w:szCs w:val="13"/>
          <w:color w:val="auto"/>
        </w:rPr>
        <w:t xml:space="preserve"> ” shall mean the last calendar day of each March, June, September and December, commencing on March 31, 2005. “ </w:t>
      </w:r>
      <w:r>
        <w:rPr>
          <w:rFonts w:ascii="Times New Roman" w:cs="Times New Roman" w:eastAsia="Times New Roman" w:hAnsi="Times New Roman"/>
          <w:sz w:val="13"/>
          <w:szCs w:val="13"/>
          <w:u w:val="single" w:color="auto"/>
          <w:color w:val="auto"/>
        </w:rPr>
        <w:t>Dividend Period</w:t>
      </w:r>
      <w:r>
        <w:rPr>
          <w:rFonts w:ascii="Times New Roman" w:cs="Times New Roman" w:eastAsia="Times New Roman" w:hAnsi="Times New Roman"/>
          <w:sz w:val="13"/>
          <w:szCs w:val="13"/>
          <w:color w:val="auto"/>
        </w:rPr>
        <w:t xml:space="preserve"> ” shall mean the respective periods commencing on and including the first day of January, April, July and October of each year and ending on and including the day preceding the first day of the next succeeding Dividend Period (other than the initial Dividend Period, which shall commence on the Original Issue Date and end on and include March 31, 2005, and other than the Dividend Period during which any shares of Series A Preferred Stock shall be redeemed pursuant to Section 5, which shall end on and include the day preceding the call date with respect to the shares of Series A Preferred Stock being redeemed).</w:t>
      </w:r>
    </w:p>
    <w:p>
      <w:pPr>
        <w:spacing w:after="0" w:line="139" w:lineRule="exact"/>
        <w:rPr>
          <w:sz w:val="20"/>
          <w:szCs w:val="20"/>
          <w:color w:val="auto"/>
        </w:rPr>
      </w:pPr>
    </w:p>
    <w:p>
      <w:pPr>
        <w:ind w:left="600" w:right="900" w:firstLine="312"/>
        <w:spacing w:after="0" w:line="305" w:lineRule="auto"/>
        <w:rPr>
          <w:sz w:val="20"/>
          <w:szCs w:val="20"/>
          <w:color w:val="auto"/>
        </w:rPr>
      </w:pPr>
      <w:r>
        <w:rPr>
          <w:rFonts w:ascii="Times New Roman" w:cs="Times New Roman" w:eastAsia="Times New Roman" w:hAnsi="Times New Roman"/>
          <w:sz w:val="13"/>
          <w:szCs w:val="13"/>
          <w:color w:val="auto"/>
        </w:rPr>
        <w:t xml:space="preserve">The term “ </w:t>
      </w:r>
      <w:r>
        <w:rPr>
          <w:rFonts w:ascii="Times New Roman" w:cs="Times New Roman" w:eastAsia="Times New Roman" w:hAnsi="Times New Roman"/>
          <w:sz w:val="13"/>
          <w:szCs w:val="13"/>
          <w:u w:val="single" w:color="auto"/>
          <w:color w:val="auto"/>
        </w:rPr>
        <w:t>Business Day</w:t>
      </w:r>
      <w:r>
        <w:rPr>
          <w:rFonts w:ascii="Times New Roman" w:cs="Times New Roman" w:eastAsia="Times New Roman" w:hAnsi="Times New Roman"/>
          <w:sz w:val="13"/>
          <w:szCs w:val="13"/>
          <w:color w:val="auto"/>
        </w:rPr>
        <w:t xml:space="preserve"> ” shall mean each day, other than a Saturday or a Sunday, which is not a day on which banking institutions in New York, New York are authorized or required by law, regulation or executive order to close.</w:t>
      </w:r>
    </w:p>
    <w:p>
      <w:pPr>
        <w:spacing w:after="0" w:line="124" w:lineRule="exact"/>
        <w:rPr>
          <w:sz w:val="20"/>
          <w:szCs w:val="20"/>
          <w:color w:val="auto"/>
        </w:rPr>
      </w:pPr>
    </w:p>
    <w:p>
      <w:pPr>
        <w:ind w:left="600" w:right="720" w:firstLine="306"/>
        <w:spacing w:after="0" w:line="287" w:lineRule="auto"/>
        <w:tabs>
          <w:tab w:leader="none" w:pos="1092"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anything contained herein to the contrary, dividends on the Series A Preferred Stock shall accrue whether or not the Company has earnings, whether or not there are funds legally available for the payment of such dividends, and whether or not such dividends are authorized or declared.</w:t>
      </w:r>
    </w:p>
    <w:p>
      <w:pPr>
        <w:spacing w:after="0" w:line="136" w:lineRule="exact"/>
        <w:rPr>
          <w:sz w:val="20"/>
          <w:szCs w:val="20"/>
          <w:color w:val="auto"/>
        </w:rPr>
      </w:pPr>
    </w:p>
    <w:p>
      <w:pPr>
        <w:ind w:left="600" w:right="680" w:firstLine="312"/>
        <w:spacing w:after="0" w:line="273" w:lineRule="auto"/>
        <w:rPr>
          <w:sz w:val="20"/>
          <w:szCs w:val="20"/>
          <w:color w:val="auto"/>
        </w:rPr>
      </w:pPr>
      <w:r>
        <w:rPr>
          <w:rFonts w:ascii="Times New Roman" w:cs="Times New Roman" w:eastAsia="Times New Roman" w:hAnsi="Times New Roman"/>
          <w:sz w:val="13"/>
          <w:szCs w:val="13"/>
          <w:color w:val="auto"/>
        </w:rPr>
        <w:t>(c) Except as provided in Section 3(d) below, no dividends shall be declared or paid or set apart for payment, and no other distribution of cash or other property may be declared or made, directly or indirectly, on or with respect to, any shares of Common Stock or shares of any other class or series of capital stock of the Company ranking, as to dividends, on parity with or junior to the Series A Preferred Stock (other than a dividend paid in shares of Common Stock or in shares of any other class or series of capital stock ranking junior to the Series A Preferred Stock as to dividends and upon liquidation) for any period, nor shall any shares of Common Stock or any other shares of any other class or series of capital stock of the Company ranking, as to dividends or upon liquidation, on parity with or junior to the Series A Preferred Stock be redeemed, purchased or otherwise acquired for any consideration, nor shall any funds be paid or made available for a sinking fund for the redemption of such shares, and no other distribution of cash or other property may be made, directly or indirectly, on or with respect thereto by the Company (except by conversion into or exchange for other shares of any class or series of capital stock of the Company ranking junior to the Series A Preferred Stock as to dividends and upon liquidation, and except for the acquisition of shares made pursuant to the provisions of Article VI of the Charter or Section 7 hereof), unless full cumulative dividends on the Series A Preferred Stock for all past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504190</wp:posOffset>
            </wp:positionV>
            <wp:extent cx="4436110" cy="152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49">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336550</wp:posOffset>
            </wp:positionV>
            <wp:extent cx="5083810" cy="152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50">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10" w:name="page211"/>
    <w:bookmarkEnd w:id="210"/>
    <w:p>
      <w:pPr>
        <w:ind w:left="600"/>
        <w:spacing w:after="0"/>
        <w:rPr>
          <w:sz w:val="20"/>
          <w:szCs w:val="20"/>
          <w:color w:val="auto"/>
        </w:rPr>
      </w:pPr>
      <w:r>
        <w:rPr>
          <w:rFonts w:ascii="Times New Roman" w:cs="Times New Roman" w:eastAsia="Times New Roman" w:hAnsi="Times New Roman"/>
          <w:sz w:val="13"/>
          <w:szCs w:val="13"/>
          <w:color w:val="auto"/>
        </w:rPr>
        <w:t>dividend periods and the then current dividend period shall have been or contemporaneously are (i) declared and paid in cash or</w:t>
      </w:r>
    </w:p>
    <w:p>
      <w:pPr>
        <w:spacing w:after="0" w:line="22" w:lineRule="exact"/>
        <w:rPr>
          <w:sz w:val="20"/>
          <w:szCs w:val="20"/>
          <w:color w:val="auto"/>
        </w:rPr>
      </w:pPr>
    </w:p>
    <w:p>
      <w:pPr>
        <w:ind w:left="780" w:hanging="186"/>
        <w:spacing w:after="0"/>
        <w:tabs>
          <w:tab w:leader="none" w:pos="780" w:val="left"/>
        </w:tabs>
        <w:numPr>
          <w:ilvl w:val="0"/>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declared and a sum sufficient for the payment thereof in cash is set apart for such payment.</w:t>
      </w:r>
    </w:p>
    <w:p>
      <w:pPr>
        <w:spacing w:after="0" w:line="183" w:lineRule="exact"/>
        <w:rPr>
          <w:rFonts w:ascii="Times New Roman" w:cs="Times New Roman" w:eastAsia="Times New Roman" w:hAnsi="Times New Roman"/>
          <w:sz w:val="13"/>
          <w:szCs w:val="13"/>
          <w:color w:val="auto"/>
        </w:rPr>
      </w:pPr>
    </w:p>
    <w:p>
      <w:pPr>
        <w:ind w:left="600" w:right="640" w:firstLine="306"/>
        <w:spacing w:after="0" w:line="274" w:lineRule="auto"/>
        <w:tabs>
          <w:tab w:leader="none" w:pos="1092" w:val="left"/>
        </w:tabs>
        <w:numPr>
          <w:ilvl w:val="1"/>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When dividends are not paid in full (and a sum sufficient for such full payment is not so set apart) upon the Series A Preferred Stock and the shares of any other class or series of capital stock ranking, as to dividends, on parity with the Series A Preferred Stock, all dividends declared upon the Series A Preferred Stock and each such other class or series of capital stock ranking, as to dividends, on parity with the Series A Preferred Stock shall be declared pro rata so that the amount of dividends declared per share of Series A Preferred Stock and such other class or series of capital stock shall in all cases bear to each other the same ratio that accrued dividends per share on the Series A Preferred Stock and such other class or series of capital stock (which shall not include any accrual in respect of unpaid dividends on such other class or series of capital stock for prior dividend periods if such other class or series of capital stock does not have a cumulative dividend) bear to each other. No interest, or sum of money in lieu of interest, shall be payable in respect of any dividend payment or payments on the Series A Preferred Stock which may be in arrears.</w:t>
      </w:r>
    </w:p>
    <w:p>
      <w:pPr>
        <w:spacing w:after="0" w:line="303" w:lineRule="exact"/>
        <w:rPr>
          <w:rFonts w:ascii="Times New Roman" w:cs="Times New Roman" w:eastAsia="Times New Roman" w:hAnsi="Times New Roman"/>
          <w:sz w:val="13"/>
          <w:szCs w:val="13"/>
          <w:color w:val="auto"/>
        </w:rPr>
      </w:pPr>
    </w:p>
    <w:p>
      <w:pPr>
        <w:jc w:val="both"/>
        <w:ind w:left="600" w:right="680" w:firstLine="306"/>
        <w:spacing w:after="0" w:line="281" w:lineRule="auto"/>
        <w:tabs>
          <w:tab w:leader="none" w:pos="1092" w:val="left"/>
        </w:tabs>
        <w:numPr>
          <w:ilvl w:val="1"/>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Holders of shares of Series A Preferred Stock shall not be entitled to any dividend, whether payable in cash, property or shares of stock, in excess of full cumulative dividends on the Series A Preferred Stock as provided herein. Any dividend payment made on the Series A Preferred Stock shall first be credited against the earliest accrued but unpaid dividends due with respect to such shares which remains payable. Accrued but unpaid distributions on the Series A Preferred Stock will accumulate as of the Dividend Payment Date on which they first become payable.</w:t>
      </w:r>
    </w:p>
    <w:p>
      <w:pPr>
        <w:spacing w:after="0" w:line="14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Section 4. </w:t>
      </w:r>
      <w:r>
        <w:rPr>
          <w:rFonts w:ascii="Times New Roman" w:cs="Times New Roman" w:eastAsia="Times New Roman" w:hAnsi="Times New Roman"/>
          <w:sz w:val="13"/>
          <w:szCs w:val="13"/>
          <w:u w:val="single" w:color="auto"/>
          <w:color w:val="auto"/>
        </w:rPr>
        <w:t>Liquidation Preference</w:t>
      </w:r>
      <w:r>
        <w:rPr>
          <w:rFonts w:ascii="Times New Roman" w:cs="Times New Roman" w:eastAsia="Times New Roman" w:hAnsi="Times New Roman"/>
          <w:sz w:val="13"/>
          <w:szCs w:val="13"/>
          <w:color w:val="auto"/>
        </w:rPr>
        <w:t xml:space="preserve"> .</w:t>
      </w:r>
    </w:p>
    <w:p>
      <w:pPr>
        <w:spacing w:after="0" w:line="187" w:lineRule="exact"/>
        <w:rPr>
          <w:sz w:val="20"/>
          <w:szCs w:val="20"/>
          <w:color w:val="auto"/>
        </w:rPr>
      </w:pPr>
    </w:p>
    <w:p>
      <w:pPr>
        <w:ind w:left="600" w:right="620" w:firstLine="306"/>
        <w:spacing w:after="0" w:line="271" w:lineRule="auto"/>
        <w:tabs>
          <w:tab w:leader="none" w:pos="1092"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any voluntary or involuntary liquidation, dissolution or winding up of the affairs of the Company, before any distribution or payment shall be made to holders of shares of Common Stock or any other class or series of capital stock of the Company ranking, as to rights upon any voluntary or involuntary liquidation, dissolution or winding up of the affairs of the Company, junior to the Series A Preferred Stock, the holders of shares of Series A Preferred Stock shall be entitled to be paid out of the assets of the Company legally available for distribution to its stockholders, after payment of or provision for the debts and other liabilities of the Company, a liquidation preference of $25.00 per share, plus an amount equal to any accrued and unpaid dividends (whether or not declared) to but excluding the date of payment. In the event that, upon such voluntary or involuntary liquidation, dissolution or winding up, the available assets of the Company are insufficient to pay the full amount of the liquidating distributions on all outstanding shares of Series A Preferred Stock and the corresponding amounts payable on all shares of other classes or series of capital stock of the Company ranking, as to liquidation rights, on parity with the Series A Preferred Stock in the distribution of assets, then the holders of the Series A Preferred Stock and each such other class or series of shares of capital stock ranking, as to voluntary or involuntary liquidation rights, on parity with the Series A Preferred Stock shall share ratably in any such distribution of assets in proportion to the full liquidating distributions to which they would otherwise be respectively entitled. Written notice of any such voluntary or involuntary liquidation, dissolution or winding up of the Company, stating the payment date or dates when, and the place or places where, the amounts distributable in such circumstances shall be payable, shall be given by first class mail, postage pre-paid, not fewer than 30 or more than 60 days prior to the payment date stated therein, to each record holder of shares of Series A Preferred Stock at the respective addresses of such holders as the same shall appear on the stock transfer records of the Company. After payment of the full amount of the liquidating distributions to which they are entitled, the holders of Series A Preferred Stock will have no right or claim to any of the remaining assets of the Company. The consolidation or merger of the Company with or into any other corporation, trust or entity, or the voluntary sale, lease, transfer or conveyance of all or substantially all of the property or business of the Company, shall not be deemed to constitute a liquidation, dissolution or winding up of the affairs of the Company.</w:t>
      </w:r>
    </w:p>
    <w:p>
      <w:pPr>
        <w:spacing w:after="0" w:line="309" w:lineRule="exact"/>
        <w:rPr>
          <w:rFonts w:ascii="Times New Roman" w:cs="Times New Roman" w:eastAsia="Times New Roman" w:hAnsi="Times New Roman"/>
          <w:sz w:val="13"/>
          <w:szCs w:val="13"/>
          <w:color w:val="auto"/>
        </w:rPr>
      </w:pPr>
    </w:p>
    <w:p>
      <w:pPr>
        <w:ind w:left="600" w:right="680" w:firstLine="306"/>
        <w:spacing w:after="0" w:line="281" w:lineRule="auto"/>
        <w:tabs>
          <w:tab w:leader="none" w:pos="1092"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determining whether a distribution (other than upon voluntary or involuntary liquidation), by dividend, redemption or other acquisition of shares of stock of the Company or otherwise, is permitted under the MGCL, amounts that would be needed, if the Company were to be dissolved at the time of the distribution, to satisfy the preferential rights upon dissolution of holders of shares of Series A Preferred Stock shall not be added to the Company’s total liabilities.</w:t>
      </w:r>
    </w:p>
    <w:p>
      <w:pPr>
        <w:spacing w:after="0" w:line="14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Section 5. </w:t>
      </w:r>
      <w:r>
        <w:rPr>
          <w:rFonts w:ascii="Times New Roman" w:cs="Times New Roman" w:eastAsia="Times New Roman" w:hAnsi="Times New Roman"/>
          <w:sz w:val="13"/>
          <w:szCs w:val="13"/>
          <w:u w:val="single" w:color="auto"/>
          <w:color w:val="auto"/>
        </w:rPr>
        <w:t>Redemption</w:t>
      </w:r>
      <w:r>
        <w:rPr>
          <w:rFonts w:ascii="Times New Roman" w:cs="Times New Roman" w:eastAsia="Times New Roman" w:hAnsi="Times New Roman"/>
          <w:sz w:val="13"/>
          <w:szCs w:val="13"/>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125730</wp:posOffset>
            </wp:positionV>
            <wp:extent cx="4436110" cy="152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51">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575310</wp:posOffset>
            </wp:positionV>
            <wp:extent cx="5083810" cy="152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52">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11" w:name="page212"/>
    <w:bookmarkEnd w:id="211"/>
    <w:p>
      <w:pPr>
        <w:ind w:left="600" w:right="740" w:firstLine="312"/>
        <w:spacing w:after="0" w:line="281" w:lineRule="auto"/>
        <w:rPr>
          <w:sz w:val="20"/>
          <w:szCs w:val="20"/>
          <w:color w:val="auto"/>
        </w:rPr>
      </w:pPr>
      <w:r>
        <w:rPr>
          <w:rFonts w:ascii="Times New Roman" w:cs="Times New Roman" w:eastAsia="Times New Roman" w:hAnsi="Times New Roman"/>
          <w:sz w:val="13"/>
          <w:szCs w:val="13"/>
          <w:color w:val="auto"/>
        </w:rPr>
        <w:t>(a) Shares of Series A Preferred Stock shall not be redeemable prior to February 9, 2010 except to preserve the status of the Company as a REIT for United States federal income tax purposes. In addition, the Series A Preferred Stock shall be subject to the provisions of Section 7 pursuant to which Series A Preferred Stock owned by a stockholder in excess of the Ownership Limit shall automatically be transferred to a Trust for the exclusive benefit of a Charitable Beneficiary.</w:t>
      </w:r>
    </w:p>
    <w:p>
      <w:pPr>
        <w:spacing w:after="0" w:line="140" w:lineRule="exact"/>
        <w:rPr>
          <w:sz w:val="20"/>
          <w:szCs w:val="20"/>
          <w:color w:val="auto"/>
        </w:rPr>
      </w:pPr>
    </w:p>
    <w:p>
      <w:pPr>
        <w:ind w:left="600" w:right="880" w:firstLine="312"/>
        <w:spacing w:after="0" w:line="272" w:lineRule="auto"/>
        <w:rPr>
          <w:sz w:val="20"/>
          <w:szCs w:val="20"/>
          <w:color w:val="auto"/>
        </w:rPr>
      </w:pPr>
      <w:r>
        <w:rPr>
          <w:rFonts w:ascii="Times New Roman" w:cs="Times New Roman" w:eastAsia="Times New Roman" w:hAnsi="Times New Roman"/>
          <w:sz w:val="13"/>
          <w:szCs w:val="13"/>
          <w:color w:val="auto"/>
        </w:rPr>
        <w:t>(b) On and after February 9, 2010, the Company, at its option upon not fewer than 30 or more than 60 days’ written notice, may redeem the Series A Preferred Stock, in whole or in part, at any time or from time to time, for cash at a redemption price of</w:t>
      </w:r>
    </w:p>
    <w:p>
      <w:pPr>
        <w:spacing w:after="0" w:line="1" w:lineRule="exact"/>
        <w:rPr>
          <w:sz w:val="20"/>
          <w:szCs w:val="20"/>
          <w:color w:val="auto"/>
        </w:rPr>
      </w:pPr>
    </w:p>
    <w:p>
      <w:pPr>
        <w:ind w:left="600" w:right="700"/>
        <w:spacing w:after="0" w:line="269" w:lineRule="auto"/>
        <w:rPr>
          <w:sz w:val="20"/>
          <w:szCs w:val="20"/>
          <w:color w:val="auto"/>
        </w:rPr>
      </w:pPr>
      <w:r>
        <w:rPr>
          <w:rFonts w:ascii="Times New Roman" w:cs="Times New Roman" w:eastAsia="Times New Roman" w:hAnsi="Times New Roman"/>
          <w:sz w:val="13"/>
          <w:szCs w:val="13"/>
          <w:color w:val="auto"/>
        </w:rPr>
        <w:t>$25.00 per share, plus all accrued and unpaid dividends (whether or not declared) thereon up to but not including the date fixed for redemption, without interest, to the extent the Company has funds legally available therefor. If fewer than all of the outstanding shares of Series A Preferred Stock are to be redeemed, the shares of Series A Preferred Stock to be redeemed shall be redeemed pro rata (as nearly as may be practicable without creating fractional shares) by lot or by any other equitable method determined by the Company that will not result in a violation of the Ownership Limit. If redemption is to be by lot and, as a result, any holder of shares of Series A Preferred Stock would have actual ownership, Beneficial Ownership or Constructive Ownership (as defined in Section 7(a)) in excess of the Ownership Limit (as defined in Section 7(a)), or such other limit as permitted by the Board of Directors or the Committee pursuant to Section 7(i), because such holder’s shares of Series A Preferred Stock were not redeemed, or were only redeemed in part, then, except as otherwise provided in the Charter, the Company shall redeem the requisite number of shares of Series A Preferred Stock of such holder such that no holder will hold an amount of Series A Preferred Stock in excess of the Ownership Limit or such other limit, as applicable, subsequent to such redemption. Holders of Series A Preferred Stock to be redeemed shall surrender such Series A Preferred Stock at the place designated in such notice and</w:t>
      </w:r>
    </w:p>
    <w:p>
      <w:pPr>
        <w:spacing w:after="0" w:line="5" w:lineRule="exact"/>
        <w:rPr>
          <w:sz w:val="20"/>
          <w:szCs w:val="20"/>
          <w:color w:val="auto"/>
        </w:rPr>
      </w:pPr>
    </w:p>
    <w:p>
      <w:pPr>
        <w:ind w:left="600" w:right="700"/>
        <w:spacing w:after="0" w:line="273" w:lineRule="auto"/>
        <w:rPr>
          <w:sz w:val="20"/>
          <w:szCs w:val="20"/>
          <w:color w:val="auto"/>
        </w:rPr>
      </w:pPr>
      <w:r>
        <w:rPr>
          <w:rFonts w:ascii="Times New Roman" w:cs="Times New Roman" w:eastAsia="Times New Roman" w:hAnsi="Times New Roman"/>
          <w:sz w:val="13"/>
          <w:szCs w:val="13"/>
          <w:color w:val="auto"/>
        </w:rPr>
        <w:t>shall be entitled to the redemption price of $25.00 per share and any accrued and unpaid dividends payable upon such redemption following such surrender. If (i) notice of redemption of any shares of Series A Preferred Stock has been given, (ii) the funds necessary for such redemption have been set aside by the Company in trust for the benefit of the holders of any shares of Series A Preferred Stock so called for redemption, and (iii) irrevocable instructions have been given to pay the redemption price and all accrued and unpaid dividends, then from and after the redemption date, dividends shall cease to accrue on such shares of Series A Preferred Stock, such shares of Series A Preferred Stock shall no longer be deemed outstanding, and all rights of the holders of such shares shall terminate, except the right to receive the redemption price plus any accrued and unpaid dividends payable upon such redemption, without interest. So long as no dividends are in arrears, nothing herein shall prevent or restrict the Company’s right or ability to purchase, from time to time, either at a public or a private sale, all or any part of the Series A Preferred Stock at such price or prices as the Company may determine, subject to the provisions of applicable law, including the repurchase of shares of Series A Preferred Stock in open-market transactions duly authorized by the Board of Directors.</w:t>
      </w:r>
    </w:p>
    <w:p>
      <w:pPr>
        <w:spacing w:after="0" w:line="133" w:lineRule="exact"/>
        <w:rPr>
          <w:sz w:val="20"/>
          <w:szCs w:val="20"/>
          <w:color w:val="auto"/>
        </w:rPr>
      </w:pPr>
    </w:p>
    <w:p>
      <w:pPr>
        <w:ind w:left="600" w:right="700" w:firstLine="306"/>
        <w:spacing w:after="0" w:line="271" w:lineRule="auto"/>
        <w:tabs>
          <w:tab w:leader="none" w:pos="1092"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event of any redemption of the Series A Preferred Stock in order to preserve the status of the Company as a REIT for United States federal income tax purposes, such redemption shall be made in accordance with the terms and conditions set forth in this Section 5 of these Articles Supplementary. If the Company calls for redemption any shares of Series A Preferred Stock pursuant to and in accordance with this Section 5(c), then the redemption price for such shares will be an amount in cash equal to</w:t>
      </w:r>
    </w:p>
    <w:p>
      <w:pPr>
        <w:ind w:left="60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$25.00 per share together with all accrued and unpaid dividends to but excluding the dated fixed for redemption.</w:t>
      </w:r>
    </w:p>
    <w:p>
      <w:pPr>
        <w:spacing w:after="0" w:line="171" w:lineRule="exact"/>
        <w:rPr>
          <w:sz w:val="20"/>
          <w:szCs w:val="20"/>
          <w:color w:val="auto"/>
        </w:rPr>
      </w:pPr>
    </w:p>
    <w:p>
      <w:pPr>
        <w:ind w:left="600" w:right="620" w:firstLine="312"/>
        <w:spacing w:after="0" w:line="273" w:lineRule="auto"/>
        <w:rPr>
          <w:sz w:val="20"/>
          <w:szCs w:val="20"/>
          <w:color w:val="auto"/>
        </w:rPr>
      </w:pPr>
      <w:r>
        <w:rPr>
          <w:rFonts w:ascii="Times New Roman" w:cs="Times New Roman" w:eastAsia="Times New Roman" w:hAnsi="Times New Roman"/>
          <w:sz w:val="13"/>
          <w:szCs w:val="13"/>
          <w:color w:val="auto"/>
        </w:rPr>
        <w:t xml:space="preserve">(d) Unless full cumulative dividends on all Series A Preferred Stock shall have been or contemporaneously are authorized, declared and paid in cash, or declared and a sum sufficient for the payment thereof in cash set apart for payment for all past dividend periods and the then current dividend period, no shares of Series A Preferred Stock shall be redeemed unless all outstanding shares of Series A Preferred Stock are simultaneously redeemed, and the Company shall not purchase or otherwise acquire directly or indirectly any shares of Series A Preferred Stock or any class or series of capital stock of the Company ranking, as to dividends or upon liquidation, on parity with or junior to the Series A Preferred Stock (except by exchange for shares of capital stock of the Company ranking, as to dividends and upon liquidation, junior to the Series A Preferred Stock);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 that the foregoing shall not prevent the purchase of Series A Preferred Stock by the Company in accordance with the terms of Sections 5(c) and 7 of these Articles Supplementary or otherwise in order to ensure that the Company remains qualified as a REIT for United States federal income tax purposes, or the purchase or acquisition of Series A Preferred Stock pursuant to a purchase or exchange offer made on the same terms to holders of all outstanding shares of Series A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109220</wp:posOffset>
            </wp:positionV>
            <wp:extent cx="4436110" cy="76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53">
                      <a:extLst>
                        <a:ext uri="{28A0092B-C50C-407E-A947-70E740481C1C}"/>
                      </a:extLst>
                    </a:blip>
                    <a:srcRect/>
                    <a:stretch>
                      <a:fillRect/>
                    </a:stretch>
                  </pic:blipFill>
                  <pic:spPr bwMode="auto">
                    <a:xfrm>
                      <a:off x="0" y="0"/>
                      <a:ext cx="4436110"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535940</wp:posOffset>
            </wp:positionV>
            <wp:extent cx="5083810" cy="152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54">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12" w:name="page213"/>
    <w:bookmarkEnd w:id="212"/>
    <w:p>
      <w:pPr>
        <w:ind w:left="600" w:right="640" w:firstLine="306"/>
        <w:spacing w:after="0" w:line="272" w:lineRule="auto"/>
        <w:tabs>
          <w:tab w:leader="none" w:pos="1080" w:val="left"/>
        </w:tabs>
        <w:numPr>
          <w:ilvl w:val="0"/>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Notice of redemption will be given by publication in a newspaper of general circulation in the City of New York, such publication to be made once a week for two successive weeks commencing not fewer than 30 or more than 60 days prior to the redemption date. A similar notice will be mailed by the Company, postage prepaid, not fewer than 30 or more than 60 days prior to the redemption date, addressed to the respective holders of record of the Series A Preferred Stock to be redeemed at their respective addresses as they appear on the transfer records of the Company. No failure to give or defect in such notice shall affect the validity of the proceedings for the redemption of any Series A Preferred Stock except as to the holder to whom such notice was defective or not given. In addition to any information required by law or by the applicable rules of any exchange upon which the Series A Preferred Stock may be listed or admitted to trading, each such notice shall state: (i) the redemption date, (ii) the redemption price, (iii) the number of shares of Series A Preferred Stock to be redeemed, (iv) the place or places where the certificates representing shares of Series A Preferred Stock are to be surrendered for payment of the redemption price, (v) that dividends on the shares of Series A Preferred Stock to be redeemed will cease to accumulate on such redemption date and (vi) that payment of the redemption price and any accumulated and unpaid dividends will be made upon presentation and surrender of such Series A Preferred Stock. If fewer than all of the shares of Series A Preferred Stock held by any holder are to be redeemed, the notice mailed to such holder shall also specify the number of shares of Series A Preferred Stock held by such holder to be redeemed. Notwithstanding anything else to the contrary in these Articles Supplementary, the Company shall not be required to provide notice to the holder of Series A Preferred Stock in the event such holder’s Series A Preferred Stock is redeemed in accordance with Section 7 of these Articles Supplementary to preserve the Company’s status as a REIT.</w:t>
      </w:r>
    </w:p>
    <w:p>
      <w:pPr>
        <w:spacing w:after="0" w:line="135" w:lineRule="exact"/>
        <w:rPr>
          <w:rFonts w:ascii="Times New Roman" w:cs="Times New Roman" w:eastAsia="Times New Roman" w:hAnsi="Times New Roman"/>
          <w:sz w:val="13"/>
          <w:szCs w:val="13"/>
          <w:color w:val="auto"/>
        </w:rPr>
      </w:pPr>
    </w:p>
    <w:p>
      <w:pPr>
        <w:ind w:left="600" w:right="580" w:firstLine="306"/>
        <w:spacing w:after="0" w:line="276" w:lineRule="auto"/>
        <w:tabs>
          <w:tab w:leader="none" w:pos="1068" w:val="left"/>
        </w:tabs>
        <w:numPr>
          <w:ilvl w:val="0"/>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 redemption date falls after a Dividend Record Date and on or prior to the corresponding Dividend Payment Date, each holder of Series A Preferred Stock at the close of business of such Dividend Record Date shall be entitled to the dividend payable on such shares on the corresponding Dividend Payment Date notwithstanding the redemption of such shares on or prior to such Dividend Payment Date, and each holder of Series A Preferred Stock that surrenders its shares on such redemption date will be entitled to the dividends accruing after the end of the Dividend Period to which such Dividend Payment Date relates up to but excluding the redemption date. Except as provided herein, the Company shall make no payment or allowance for unpaid dividends, whether or not in arrears, on Series A Preferred Stock for which a notice of redemption has been given.</w:t>
      </w:r>
    </w:p>
    <w:p>
      <w:pPr>
        <w:spacing w:after="0" w:line="312" w:lineRule="exact"/>
        <w:rPr>
          <w:rFonts w:ascii="Times New Roman" w:cs="Times New Roman" w:eastAsia="Times New Roman" w:hAnsi="Times New Roman"/>
          <w:sz w:val="13"/>
          <w:szCs w:val="13"/>
          <w:color w:val="auto"/>
        </w:rPr>
      </w:pPr>
    </w:p>
    <w:p>
      <w:pPr>
        <w:ind w:left="1080" w:hanging="174"/>
        <w:spacing w:after="0"/>
        <w:tabs>
          <w:tab w:leader="none" w:pos="1080" w:val="left"/>
        </w:tabs>
        <w:numPr>
          <w:ilvl w:val="0"/>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shares of the Series A Preferred Stock redeemed or repurchased pursuant to this Section 5 shall be retired and shall be restored to</w:t>
      </w:r>
    </w:p>
    <w:p>
      <w:pPr>
        <w:spacing w:after="0" w:line="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the status of authorized but unissued shares of Preferred Stock, without designation as to series or class.</w:t>
      </w:r>
    </w:p>
    <w:p>
      <w:pPr>
        <w:spacing w:after="0" w:line="183" w:lineRule="exact"/>
        <w:rPr>
          <w:sz w:val="20"/>
          <w:szCs w:val="20"/>
          <w:color w:val="auto"/>
        </w:rPr>
      </w:pPr>
    </w:p>
    <w:p>
      <w:pPr>
        <w:ind w:left="600" w:right="680" w:firstLine="306"/>
        <w:spacing w:after="0" w:line="287" w:lineRule="auto"/>
        <w:tabs>
          <w:tab w:leader="none" w:pos="1092" w:val="left"/>
        </w:tabs>
        <w:numPr>
          <w:ilvl w:val="0"/>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Series A Preferred Stock shall have no stated maturity and shall not be subject to any sinking fund or mandatory redemption;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 that the Series A Preferred Stock owned by a stockholder in excess of the Ownership Limit shall be subject to the provisions of this Section 5 and Section 7 of these Articles Supplementary.</w:t>
      </w:r>
    </w:p>
    <w:p>
      <w:pPr>
        <w:spacing w:after="0" w:line="13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Section 6. </w:t>
      </w:r>
      <w:r>
        <w:rPr>
          <w:rFonts w:ascii="Times New Roman" w:cs="Times New Roman" w:eastAsia="Times New Roman" w:hAnsi="Times New Roman"/>
          <w:sz w:val="13"/>
          <w:szCs w:val="13"/>
          <w:u w:val="single" w:color="auto"/>
          <w:color w:val="auto"/>
        </w:rPr>
        <w:t>Voting Rights</w:t>
      </w:r>
      <w:r>
        <w:rPr>
          <w:rFonts w:ascii="Times New Roman" w:cs="Times New Roman" w:eastAsia="Times New Roman" w:hAnsi="Times New Roman"/>
          <w:sz w:val="13"/>
          <w:szCs w:val="13"/>
          <w:color w:val="auto"/>
        </w:rPr>
        <w:t xml:space="preserve"> .</w:t>
      </w:r>
    </w:p>
    <w:p>
      <w:pPr>
        <w:spacing w:after="0" w:line="187" w:lineRule="exact"/>
        <w:rPr>
          <w:sz w:val="20"/>
          <w:szCs w:val="20"/>
          <w:color w:val="auto"/>
        </w:rPr>
      </w:pPr>
    </w:p>
    <w:p>
      <w:pPr>
        <w:ind w:left="1080" w:hanging="174"/>
        <w:spacing w:after="0"/>
        <w:tabs>
          <w:tab w:leader="none" w:pos="1080" w:val="left"/>
        </w:tabs>
        <w:numPr>
          <w:ilvl w:val="0"/>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Holders of the Series A Preferred Stock shall not have any voting rights, except as set forth in this Section 6.</w:t>
      </w:r>
    </w:p>
    <w:p>
      <w:pPr>
        <w:spacing w:after="0" w:line="186" w:lineRule="exact"/>
        <w:rPr>
          <w:rFonts w:ascii="Times New Roman" w:cs="Times New Roman" w:eastAsia="Times New Roman" w:hAnsi="Times New Roman"/>
          <w:sz w:val="13"/>
          <w:szCs w:val="13"/>
          <w:color w:val="auto"/>
        </w:rPr>
      </w:pPr>
    </w:p>
    <w:p>
      <w:pPr>
        <w:ind w:left="600" w:right="640" w:firstLine="306"/>
        <w:spacing w:after="0" w:line="276" w:lineRule="auto"/>
        <w:tabs>
          <w:tab w:leader="none" w:pos="1092" w:val="left"/>
        </w:tabs>
        <w:numPr>
          <w:ilvl w:val="0"/>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Whenever dividends on any shares of Series A Preferred Stock shall be in arrears for six or more consecutive or non- consecutive quarterly periods (a “ </w:t>
      </w:r>
      <w:r>
        <w:rPr>
          <w:rFonts w:ascii="Times New Roman" w:cs="Times New Roman" w:eastAsia="Times New Roman" w:hAnsi="Times New Roman"/>
          <w:sz w:val="13"/>
          <w:szCs w:val="13"/>
          <w:u w:val="single" w:color="auto"/>
          <w:color w:val="auto"/>
        </w:rPr>
        <w:t>Preferred Dividend Default</w:t>
      </w:r>
      <w:r>
        <w:rPr>
          <w:rFonts w:ascii="Times New Roman" w:cs="Times New Roman" w:eastAsia="Times New Roman" w:hAnsi="Times New Roman"/>
          <w:sz w:val="13"/>
          <w:szCs w:val="13"/>
          <w:color w:val="auto"/>
        </w:rPr>
        <w:t xml:space="preserve"> ”), the holders of such Series A Preferred Stock (voting as a single class with all other classes or series of preferred stock of the Company upon which like voting rights have been conferred and are exercisable (“ </w:t>
      </w:r>
      <w:r>
        <w:rPr>
          <w:rFonts w:ascii="Times New Roman" w:cs="Times New Roman" w:eastAsia="Times New Roman" w:hAnsi="Times New Roman"/>
          <w:sz w:val="13"/>
          <w:szCs w:val="13"/>
          <w:u w:val="single" w:color="auto"/>
          <w:color w:val="auto"/>
        </w:rPr>
        <w:t>Parity Preferred</w:t>
      </w:r>
      <w:r>
        <w:rPr>
          <w:rFonts w:ascii="Times New Roman" w:cs="Times New Roman" w:eastAsia="Times New Roman" w:hAnsi="Times New Roman"/>
          <w:sz w:val="13"/>
          <w:szCs w:val="13"/>
          <w:color w:val="auto"/>
        </w:rPr>
        <w:t xml:space="preserve"> ”)) shall be entitled to vote for the election of a total of two additional directors of the Company (the “ </w:t>
      </w:r>
      <w:r>
        <w:rPr>
          <w:rFonts w:ascii="Times New Roman" w:cs="Times New Roman" w:eastAsia="Times New Roman" w:hAnsi="Times New Roman"/>
          <w:sz w:val="13"/>
          <w:szCs w:val="13"/>
          <w:u w:val="single" w:color="auto"/>
          <w:color w:val="auto"/>
        </w:rPr>
        <w:t>Preferred Directors</w:t>
      </w:r>
      <w:r>
        <w:rPr>
          <w:rFonts w:ascii="Times New Roman" w:cs="Times New Roman" w:eastAsia="Times New Roman" w:hAnsi="Times New Roman"/>
          <w:sz w:val="13"/>
          <w:szCs w:val="13"/>
          <w:color w:val="auto"/>
        </w:rPr>
        <w:t xml:space="preserve"> ”) until all dividends accumulated on such Series A Preferred Stock and Parity Preferred for the past dividend periods shall have been fully paid or declared and a sum sufficient for the payment thereof set aside for payment. In such case, the entire Board of Directors will be increased by two directors.</w:t>
      </w:r>
    </w:p>
    <w:p>
      <w:pPr>
        <w:spacing w:after="0" w:line="144" w:lineRule="exact"/>
        <w:rPr>
          <w:rFonts w:ascii="Times New Roman" w:cs="Times New Roman" w:eastAsia="Times New Roman" w:hAnsi="Times New Roman"/>
          <w:sz w:val="13"/>
          <w:szCs w:val="13"/>
          <w:color w:val="auto"/>
        </w:rPr>
      </w:pPr>
    </w:p>
    <w:p>
      <w:pPr>
        <w:ind w:left="600" w:right="640" w:firstLine="306"/>
        <w:spacing w:after="0" w:line="278" w:lineRule="auto"/>
        <w:tabs>
          <w:tab w:leader="none" w:pos="1080" w:val="left"/>
        </w:tabs>
        <w:numPr>
          <w:ilvl w:val="0"/>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Preferred Directors will be elected by a plurality of the votes cast in the election for a one-year term and each Preferred Director will serve until his or her successor is duly elected and qualified or until such Preferred Director’s right to hold the office terminates, whichever occurs earlier, subject to such Preferred Director’s earlier death, disqualification, resignation or removal. The election will take place at (i) either (A) a special meeting called in accordance with Section 6(d) below if the request is received more than 90 days before the date fixed for the Company’s next annual or special meeting of stockholders or (B) the next annual or special meeting of stockholders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501650</wp:posOffset>
            </wp:positionV>
            <wp:extent cx="4436110" cy="152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55">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334010</wp:posOffset>
            </wp:positionV>
            <wp:extent cx="5083810" cy="152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56">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13" w:name="page214"/>
    <w:bookmarkEnd w:id="213"/>
    <w:p>
      <w:pPr>
        <w:ind w:left="600" w:right="660"/>
        <w:spacing w:after="0" w:line="278" w:lineRule="auto"/>
        <w:rPr>
          <w:sz w:val="20"/>
          <w:szCs w:val="20"/>
          <w:color w:val="auto"/>
        </w:rPr>
      </w:pPr>
      <w:r>
        <w:rPr>
          <w:rFonts w:ascii="Times New Roman" w:cs="Times New Roman" w:eastAsia="Times New Roman" w:hAnsi="Times New Roman"/>
          <w:sz w:val="13"/>
          <w:szCs w:val="13"/>
          <w:color w:val="auto"/>
        </w:rPr>
        <w:t>the request is received within 90 days of the date fixed for the Company’s next annual or special meeting of stockholders, and (ii) at each subsequent annual meeting of stockholders, or special meeting held in place thereof, until all such dividends in arrears on the Series A Preferred Stock and each such class or series of outstanding Parity Preferred have been paid in full. A dividend in respect of Series A Preferred Stock shall be considered timely made if made within two Business Days after the applicable Dividend Payment Date if at the time of such late payment date there shall not be any prior quarterly dividend periods in respect of which full dividends were not timely made at the applicable Dividend Payment Date.</w:t>
      </w:r>
    </w:p>
    <w:p>
      <w:pPr>
        <w:spacing w:after="0" w:line="311" w:lineRule="exact"/>
        <w:rPr>
          <w:sz w:val="20"/>
          <w:szCs w:val="20"/>
          <w:color w:val="auto"/>
        </w:rPr>
      </w:pPr>
    </w:p>
    <w:p>
      <w:pPr>
        <w:ind w:left="600" w:right="600" w:firstLine="306"/>
        <w:spacing w:after="0" w:line="272" w:lineRule="auto"/>
        <w:tabs>
          <w:tab w:leader="none" w:pos="1092"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any time when such voting rights shall have vested, a proper officer of the Company shall call or cause to be called, upon written request of holders of record of at least 10% of the outstanding shares of Series A Preferred Stock and Parity Preferred, a special meeting of the holders of Series A Preferred Stock and each class or series of Parity Preferred by mailing or causing to be mailed to such holders a notice of such special meeting to be held not fewer than ten or more than 45 days after the date such notice is given. The record date for determining holders of the Series A Preferred Stock and Parity Preferred entitled to notice of and to vote at such special meeting will be the close of business on the third Business Day preceding the day on which such notice is mailed. At any such annual or special meeting, all of the holders of the Series A Preferred Stock and Parity Preferred, by plurality vote, voting together as a single class without regard to class or series will be entitled to elect two directors on the basis of one vote per $25.00 of liquidation preference to which such Parity Preferred are entitled by their terms (excluding amounts in respect of accumulated and unpaid dividends) and not cumulatively. The holder or holders of one-third of the Series A Preferred stock and Parity Preferred voting as a single class then outstanding, present in person or by proxy, will constitute a quorum for the election of the Preferred Directors except as otherwise provided by law. Notice of all meetings at which holders of the Series A Preferred Stock and the Parity Preferred shall be entitled to vote will be given to such holders at their addresses as they appear in the transfer records. At any such meeting or adjournment thereof in the absence of a quorum, subject to the provisions of any applicable law, a majority of the holders of the Series A Preferred and Parity Preferred voting as a single class present in person or by proxy shall have the power to adjourn the meeting for the election of the Preferred Directors, without notice other than an announcement at the meeting, until a quorum is present. If a Preferred Dividend Default shall terminate after the notice of a special meeting has been given but before such special meeting has been held, the Company shall, as soon as practicable after such termination, mail or cause to be mailed notice of such termination to holders of the Series A Preferred Stock and the Parity Preferred that would have been entitled to vote at such special meeting.</w:t>
      </w:r>
    </w:p>
    <w:p>
      <w:pPr>
        <w:spacing w:after="0" w:line="300" w:lineRule="exact"/>
        <w:rPr>
          <w:rFonts w:ascii="Times New Roman" w:cs="Times New Roman" w:eastAsia="Times New Roman" w:hAnsi="Times New Roman"/>
          <w:sz w:val="13"/>
          <w:szCs w:val="13"/>
          <w:color w:val="auto"/>
        </w:rPr>
      </w:pPr>
    </w:p>
    <w:p>
      <w:pPr>
        <w:ind w:left="600" w:right="640" w:firstLine="306"/>
        <w:spacing w:after="0" w:line="273" w:lineRule="auto"/>
        <w:tabs>
          <w:tab w:leader="none" w:pos="1080"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and when all accumulated dividends on such Series A Preferred Stock and all classes or series of Parity Preferred for the past dividend periods shall have been fully paid or declared and a sum sufficient for the payment thereof set aside for payment, the right of the holders of Series A Preferred Stock and the Parity Preferred to elect such additional two directors shall immediately cease (subject to revesting in the event of each and every Preferred Dividend Default), and the term of office of each Preferred Director so elected shall terminate and the entire Board of Directors shall be reduced accordingly. Any Preferred Director may be removed at any time with or without cause by the vote of, and shall not be removed otherwise than by the vote of, the holders of record of a majority of the outstanding Series A Preferred Stock and the Parity Preferred entitled to vote thereon when they have the voting rights set forth in Section 6(b) (voting as a single class). So long as a Preferred Dividend Default shall continue, any vacancy in the office of a Preferred Director may be filled by written consent of the Preferred Director remaining in office, or if none remains in office, by a vote of the holders of record of a majority of the outstanding Series A Preferred Stock when they have the voting rights described above (voting as a single class with all other classes or series of Parity Preferred). Each of the Preferred Directors shall be entitled to one vote on any matter.</w:t>
      </w:r>
    </w:p>
    <w:p>
      <w:pPr>
        <w:spacing w:after="0" w:line="134" w:lineRule="exact"/>
        <w:rPr>
          <w:rFonts w:ascii="Times New Roman" w:cs="Times New Roman" w:eastAsia="Times New Roman" w:hAnsi="Times New Roman"/>
          <w:sz w:val="13"/>
          <w:szCs w:val="13"/>
          <w:color w:val="auto"/>
        </w:rPr>
      </w:pPr>
    </w:p>
    <w:p>
      <w:pPr>
        <w:ind w:left="600" w:right="720" w:firstLine="306"/>
        <w:spacing w:after="0" w:line="274" w:lineRule="auto"/>
        <w:tabs>
          <w:tab w:leader="none" w:pos="1068"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So long as any shares of Series A Preferred Stock remain outstanding, the affirmative vote or consent of the holders of two-thirds of the shares of Series A Preferred Stock and each other class or series of preferred stock ranking on parity with the Series A Preferred Stock with respect to the payment of dividends and the distribution of assets upon liquidation, dissolution or winding up of the Company upon which like voting rights have been conferred outstanding at the time, given in person or by proxy, either in writing or at a meeting (voting as a single class) will be required to: (i) authorize, create or issue, or increase the authorized or issued amount of, any class or series of capital stock ranking senior to the Series A Preferred Stock with respect to payment of dividends or the distribution of assets upon liquidation, dissolution or winding up of the affairs of the Company or reclassify any authorized shares of capital stock of the Company into such capital stock, or create, authorize or issue any obligation or security convertible into or evidencing the right to purchase any such capital stock; or (ii) amend, alter or repeal the provisions of the Charter 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215265</wp:posOffset>
            </wp:positionV>
            <wp:extent cx="4436110" cy="152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57">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657225</wp:posOffset>
            </wp:positionV>
            <wp:extent cx="5083810" cy="152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58">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14" w:name="page215"/>
    <w:bookmarkEnd w:id="214"/>
    <w:p>
      <w:pPr>
        <w:ind w:left="600" w:right="680"/>
        <w:spacing w:after="0" w:line="272" w:lineRule="auto"/>
        <w:rPr>
          <w:sz w:val="20"/>
          <w:szCs w:val="20"/>
          <w:color w:val="auto"/>
        </w:rPr>
      </w:pPr>
      <w:r>
        <w:rPr>
          <w:rFonts w:ascii="Times New Roman" w:cs="Times New Roman" w:eastAsia="Times New Roman" w:hAnsi="Times New Roman"/>
          <w:sz w:val="13"/>
          <w:szCs w:val="13"/>
          <w:color w:val="auto"/>
        </w:rPr>
        <w:t xml:space="preserve">terms of the Series A Preferred Stock, whether by merger, consolidation, transfer or conveyance of all or substantially all of its assets or otherwise (an “ </w:t>
      </w:r>
      <w:r>
        <w:rPr>
          <w:rFonts w:ascii="Times New Roman" w:cs="Times New Roman" w:eastAsia="Times New Roman" w:hAnsi="Times New Roman"/>
          <w:sz w:val="13"/>
          <w:szCs w:val="13"/>
          <w:u w:val="single" w:color="auto"/>
          <w:color w:val="auto"/>
        </w:rPr>
        <w:t>Event</w:t>
      </w:r>
      <w:r>
        <w:rPr>
          <w:rFonts w:ascii="Times New Roman" w:cs="Times New Roman" w:eastAsia="Times New Roman" w:hAnsi="Times New Roman"/>
          <w:sz w:val="13"/>
          <w:szCs w:val="13"/>
          <w:color w:val="auto"/>
        </w:rPr>
        <w:t xml:space="preserve"> ”), so as to materially and adversely affect any right, preference, privilege or voting power of the Series A Preferred Stock; </w:t>
      </w:r>
      <w:r>
        <w:rPr>
          <w:rFonts w:ascii="Times New Roman" w:cs="Times New Roman" w:eastAsia="Times New Roman" w:hAnsi="Times New Roman"/>
          <w:sz w:val="13"/>
          <w:szCs w:val="13"/>
          <w:u w:val="single" w:color="auto"/>
          <w:color w:val="auto"/>
        </w:rPr>
        <w:t>provided however</w:t>
      </w:r>
      <w:r>
        <w:rPr>
          <w:rFonts w:ascii="Times New Roman" w:cs="Times New Roman" w:eastAsia="Times New Roman" w:hAnsi="Times New Roman"/>
          <w:sz w:val="13"/>
          <w:szCs w:val="13"/>
          <w:color w:val="auto"/>
        </w:rPr>
        <w:t xml:space="preserve"> , with respect to the occurrence of any of the Events set forth in (ii) above, so long as the Series A Preferred Stock remains outstanding with the terms thereof materially unchanged, taking into account that, upon the occurrence of an Event, the Company may not be the surviving entity, the occurrence of such Event shall not be deemed to materially and adversely affect such rights, preferences, privileges or voting power of Series A Preferred Stock, and in such case such holders shall not have any voting rights with respect to the occurrence of any of the Events set forth in (ii) above. In addition, if the holders of the Series A Preferred Stock receive the greater of the full trading price of the Series A Preferred Stock on the date of an Event set forth in (ii) above or the $25.00 liquidation preference per share of the Series A Preferred Stock pursuant to the occurrence of any of the Events set forth in (ii) above, then such holders shall not have any voting rights with respect to the Events set forth in (ii) above. Holders of shares of Series A Preferred Stock shall not be entitled to vote with respect to (A) any increase in the total number of authorized shares of Common Stock or Preferred Stock of the Company, or (B) any increase in the amount of the authorized Series A Preferred Stock or the creation or issuance of any other class or series of capital stock, or (C) any increase in the number of authorized shares of any other class or series of capital stock, in each case referred to in clause (A), (B) or (C) above ranking on parity with or junior to the Series A Preferred Stock with respect to the payment of dividends and the distribution of assets upon liquidation, dissolution or winding up of the Company. Except as set forth herein, holders of the Series A Preferred Stock shall not have any voting rights with respect to, and the consent of the holders of the Series A Preferred Stock shall not be required for, the taking of any corporate action, including an Event, regardless of the effect that such corporate action or Event may have upon the powers, preferences, voting power or other rights or privileges of the Series A Preferred Stock.</w:t>
      </w:r>
    </w:p>
    <w:p>
      <w:pPr>
        <w:spacing w:after="0" w:line="301" w:lineRule="exact"/>
        <w:rPr>
          <w:sz w:val="20"/>
          <w:szCs w:val="20"/>
          <w:color w:val="auto"/>
        </w:rPr>
      </w:pPr>
    </w:p>
    <w:p>
      <w:pPr>
        <w:ind w:left="600" w:right="740" w:firstLine="306"/>
        <w:spacing w:after="0" w:line="287" w:lineRule="auto"/>
        <w:tabs>
          <w:tab w:leader="none" w:pos="1092" w:val="left"/>
        </w:tabs>
        <w:numPr>
          <w:ilvl w:val="0"/>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foregoing voting provisions of this Section 6 shall not apply if, at or prior to the time when the act with respect to which such vote would otherwise be required shall be effected, all outstanding shares of Series A Preferred Stock shall have been redeemed or called for redemption upon proper notice and sufficient funds, in cash, shall have been deposited in trust to effect such redemption.</w:t>
      </w:r>
    </w:p>
    <w:p>
      <w:pPr>
        <w:spacing w:after="0" w:line="136" w:lineRule="exact"/>
        <w:rPr>
          <w:sz w:val="20"/>
          <w:szCs w:val="20"/>
          <w:color w:val="auto"/>
        </w:rPr>
      </w:pPr>
    </w:p>
    <w:p>
      <w:pPr>
        <w:ind w:left="600" w:right="1220" w:firstLine="312"/>
        <w:spacing w:after="0" w:line="305" w:lineRule="auto"/>
        <w:rPr>
          <w:sz w:val="20"/>
          <w:szCs w:val="20"/>
          <w:color w:val="auto"/>
        </w:rPr>
      </w:pPr>
      <w:r>
        <w:rPr>
          <w:rFonts w:ascii="Times New Roman" w:cs="Times New Roman" w:eastAsia="Times New Roman" w:hAnsi="Times New Roman"/>
          <w:sz w:val="13"/>
          <w:szCs w:val="13"/>
          <w:color w:val="auto"/>
        </w:rPr>
        <w:t>(h) In any matter in which the Series A Preferred Stock may vote (as expressly provided herein), each share of Series A Preferred Stock shall be entitled to one vote per $25.00 of liquidation preference.</w:t>
      </w:r>
    </w:p>
    <w:p>
      <w:pPr>
        <w:spacing w:after="0" w:line="12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Section 7. </w:t>
      </w:r>
      <w:r>
        <w:rPr>
          <w:rFonts w:ascii="Times New Roman" w:cs="Times New Roman" w:eastAsia="Times New Roman" w:hAnsi="Times New Roman"/>
          <w:sz w:val="13"/>
          <w:szCs w:val="13"/>
          <w:u w:val="single" w:color="auto"/>
          <w:color w:val="auto"/>
        </w:rPr>
        <w:t>Restrictions on Ownership and Transfer to Preserve Tax Benefit</w:t>
      </w:r>
      <w:r>
        <w:rPr>
          <w:rFonts w:ascii="Times New Roman" w:cs="Times New Roman" w:eastAsia="Times New Roman" w:hAnsi="Times New Roman"/>
          <w:sz w:val="13"/>
          <w:szCs w:val="13"/>
          <w:color w:val="auto"/>
        </w:rPr>
        <w:t xml:space="preserve"> .</w:t>
      </w:r>
    </w:p>
    <w:p>
      <w:pPr>
        <w:spacing w:after="0" w:line="187" w:lineRule="exact"/>
        <w:rPr>
          <w:sz w:val="20"/>
          <w:szCs w:val="20"/>
          <w:color w:val="auto"/>
        </w:rPr>
      </w:pPr>
    </w:p>
    <w:p>
      <w:pPr>
        <w:ind w:left="600" w:right="1080" w:firstLine="312"/>
        <w:spacing w:after="0" w:line="305" w:lineRule="auto"/>
        <w:rPr>
          <w:sz w:val="20"/>
          <w:szCs w:val="20"/>
          <w:color w:val="auto"/>
        </w:rPr>
      </w:pPr>
      <w:r>
        <w:rPr>
          <w:rFonts w:ascii="Times New Roman" w:cs="Times New Roman" w:eastAsia="Times New Roman" w:hAnsi="Times New Roman"/>
          <w:sz w:val="13"/>
          <w:szCs w:val="13"/>
          <w:color w:val="auto"/>
        </w:rPr>
        <w:t xml:space="preserve">(a) </w:t>
      </w:r>
      <w:r>
        <w:rPr>
          <w:rFonts w:ascii="Times New Roman" w:cs="Times New Roman" w:eastAsia="Times New Roman" w:hAnsi="Times New Roman"/>
          <w:sz w:val="13"/>
          <w:szCs w:val="13"/>
          <w:u w:val="single" w:color="auto"/>
          <w:color w:val="auto"/>
        </w:rPr>
        <w:t>Definitions</w:t>
      </w:r>
      <w:r>
        <w:rPr>
          <w:rFonts w:ascii="Times New Roman" w:cs="Times New Roman" w:eastAsia="Times New Roman" w:hAnsi="Times New Roman"/>
          <w:sz w:val="13"/>
          <w:szCs w:val="13"/>
          <w:color w:val="auto"/>
        </w:rPr>
        <w:t xml:space="preserve"> . For the purposes of Section 5 and this Section 7 of these Articles Supplementary, the following terms shall have the following meanings:</w:t>
      </w:r>
    </w:p>
    <w:p>
      <w:pPr>
        <w:spacing w:after="0" w:line="12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Aggregate Stock Ownership Limit</w:t>
      </w:r>
      <w:r>
        <w:rPr>
          <w:rFonts w:ascii="Times New Roman" w:cs="Times New Roman" w:eastAsia="Times New Roman" w:hAnsi="Times New Roman"/>
          <w:sz w:val="13"/>
          <w:szCs w:val="13"/>
          <w:color w:val="auto"/>
        </w:rPr>
        <w:t xml:space="preserve"> ” has the meaning set forth in Article 6 of the Charter.</w:t>
      </w:r>
    </w:p>
    <w:p>
      <w:pPr>
        <w:spacing w:after="0" w:line="186" w:lineRule="exact"/>
        <w:rPr>
          <w:sz w:val="20"/>
          <w:szCs w:val="20"/>
          <w:color w:val="auto"/>
        </w:rPr>
      </w:pPr>
    </w:p>
    <w:p>
      <w:pPr>
        <w:ind w:left="1080" w:right="680" w:firstLine="312"/>
        <w:spacing w:after="0" w:line="281"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Beneficial Ownership</w:t>
      </w:r>
      <w:r>
        <w:rPr>
          <w:rFonts w:ascii="Times New Roman" w:cs="Times New Roman" w:eastAsia="Times New Roman" w:hAnsi="Times New Roman"/>
          <w:sz w:val="13"/>
          <w:szCs w:val="13"/>
          <w:color w:val="auto"/>
        </w:rPr>
        <w:t xml:space="preserve"> ” shall mean ownership of Series A Preferred Stock by a Person who is or would be treated as an owner of such Series A Preferred Stock either actually or constructively through the application of Section 544 of the Code, as modified by Sections 856(h)(1)(B) and 856(h)(3) of the Code. The terms “ </w:t>
      </w:r>
      <w:r>
        <w:rPr>
          <w:rFonts w:ascii="Times New Roman" w:cs="Times New Roman" w:eastAsia="Times New Roman" w:hAnsi="Times New Roman"/>
          <w:sz w:val="13"/>
          <w:szCs w:val="13"/>
          <w:u w:val="single" w:color="auto"/>
          <w:color w:val="auto"/>
        </w:rPr>
        <w:t>Beneficial Owner</w:t>
      </w:r>
      <w:r>
        <w:rPr>
          <w:rFonts w:ascii="Times New Roman" w:cs="Times New Roman" w:eastAsia="Times New Roman" w:hAnsi="Times New Roman"/>
          <w:sz w:val="13"/>
          <w:szCs w:val="13"/>
          <w:color w:val="auto"/>
        </w:rPr>
        <w:t xml:space="preserve"> ,” “ </w:t>
      </w:r>
      <w:r>
        <w:rPr>
          <w:rFonts w:ascii="Times New Roman" w:cs="Times New Roman" w:eastAsia="Times New Roman" w:hAnsi="Times New Roman"/>
          <w:sz w:val="13"/>
          <w:szCs w:val="13"/>
          <w:u w:val="single" w:color="auto"/>
          <w:color w:val="auto"/>
        </w:rPr>
        <w:t>Beneficially Owns</w:t>
      </w:r>
      <w:r>
        <w:rPr>
          <w:rFonts w:ascii="Times New Roman" w:cs="Times New Roman" w:eastAsia="Times New Roman" w:hAnsi="Times New Roman"/>
          <w:sz w:val="13"/>
          <w:szCs w:val="13"/>
          <w:color w:val="auto"/>
        </w:rPr>
        <w:t xml:space="preserve"> ” and “ </w:t>
      </w:r>
      <w:r>
        <w:rPr>
          <w:rFonts w:ascii="Times New Roman" w:cs="Times New Roman" w:eastAsia="Times New Roman" w:hAnsi="Times New Roman"/>
          <w:sz w:val="13"/>
          <w:szCs w:val="13"/>
          <w:u w:val="single" w:color="auto"/>
          <w:color w:val="auto"/>
        </w:rPr>
        <w:t>Beneficially Owned</w:t>
      </w:r>
      <w:r>
        <w:rPr>
          <w:rFonts w:ascii="Times New Roman" w:cs="Times New Roman" w:eastAsia="Times New Roman" w:hAnsi="Times New Roman"/>
          <w:sz w:val="13"/>
          <w:szCs w:val="13"/>
          <w:color w:val="auto"/>
        </w:rPr>
        <w:t xml:space="preserve"> ” shall have the correlative meanings.</w:t>
      </w:r>
    </w:p>
    <w:p>
      <w:pPr>
        <w:spacing w:after="0" w:line="14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Capital Stock</w:t>
      </w:r>
      <w:r>
        <w:rPr>
          <w:rFonts w:ascii="Times New Roman" w:cs="Times New Roman" w:eastAsia="Times New Roman" w:hAnsi="Times New Roman"/>
          <w:sz w:val="13"/>
          <w:szCs w:val="13"/>
          <w:color w:val="auto"/>
        </w:rPr>
        <w:t xml:space="preserve"> ” has the meaning set forth in Article 6 of the Charter.</w:t>
      </w:r>
    </w:p>
    <w:p>
      <w:pPr>
        <w:spacing w:after="0" w:line="186" w:lineRule="exact"/>
        <w:rPr>
          <w:sz w:val="20"/>
          <w:szCs w:val="20"/>
          <w:color w:val="auto"/>
        </w:rPr>
      </w:pPr>
    </w:p>
    <w:p>
      <w:pPr>
        <w:ind w:left="1080" w:right="720" w:firstLine="312"/>
        <w:spacing w:after="0" w:line="305"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Charitable Beneficiary</w:t>
      </w:r>
      <w:r>
        <w:rPr>
          <w:rFonts w:ascii="Times New Roman" w:cs="Times New Roman" w:eastAsia="Times New Roman" w:hAnsi="Times New Roman"/>
          <w:sz w:val="13"/>
          <w:szCs w:val="13"/>
          <w:color w:val="auto"/>
        </w:rPr>
        <w:t xml:space="preserve"> ” shall mean one or more beneficiaries of a Trust, as determined pursuant to Section 7(c)(vi) of these Articles Supplementary, each of which shall be an organization described in Sections 170(b)(1)(A), 170(c)(2) and 501(c)(3) of the Code.</w:t>
      </w:r>
    </w:p>
    <w:p>
      <w:pPr>
        <w:spacing w:after="0" w:line="124" w:lineRule="exact"/>
        <w:rPr>
          <w:sz w:val="20"/>
          <w:szCs w:val="20"/>
          <w:color w:val="auto"/>
        </w:rPr>
      </w:pPr>
    </w:p>
    <w:p>
      <w:pPr>
        <w:ind w:left="1080" w:right="1180" w:firstLine="312"/>
        <w:spacing w:after="0" w:line="305"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Code</w:t>
      </w:r>
      <w:r>
        <w:rPr>
          <w:rFonts w:ascii="Times New Roman" w:cs="Times New Roman" w:eastAsia="Times New Roman" w:hAnsi="Times New Roman"/>
          <w:sz w:val="13"/>
          <w:szCs w:val="13"/>
          <w:color w:val="auto"/>
        </w:rPr>
        <w:t xml:space="preserve"> ” shall mean the Internal Revenue Code of 1986, as amended. All section references to the Code shall include any successor provisions thereof as may be adopted from time to time.</w:t>
      </w:r>
    </w:p>
    <w:p>
      <w:pPr>
        <w:spacing w:after="0" w:line="124" w:lineRule="exact"/>
        <w:rPr>
          <w:sz w:val="20"/>
          <w:szCs w:val="20"/>
          <w:color w:val="auto"/>
        </w:rPr>
      </w:pPr>
    </w:p>
    <w:p>
      <w:pPr>
        <w:ind w:left="1080" w:right="660" w:firstLine="312"/>
        <w:spacing w:after="0" w:line="281"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Constructive Ownership</w:t>
      </w:r>
      <w:r>
        <w:rPr>
          <w:rFonts w:ascii="Times New Roman" w:cs="Times New Roman" w:eastAsia="Times New Roman" w:hAnsi="Times New Roman"/>
          <w:sz w:val="13"/>
          <w:szCs w:val="13"/>
          <w:color w:val="auto"/>
        </w:rPr>
        <w:t xml:space="preserve"> ” shall mean ownership of Series A Preferred Stock by a Person who is or would be treated as an owner of such Series A Preferred Stock either actually or constructively through the application of Section 318 of the Code, as modified by Section 856(d)(5) of the Code. The terms “ </w:t>
      </w:r>
      <w:r>
        <w:rPr>
          <w:rFonts w:ascii="Times New Roman" w:cs="Times New Roman" w:eastAsia="Times New Roman" w:hAnsi="Times New Roman"/>
          <w:sz w:val="13"/>
          <w:szCs w:val="13"/>
          <w:u w:val="single" w:color="auto"/>
          <w:color w:val="auto"/>
        </w:rPr>
        <w:t>Constructive Owner</w:t>
      </w:r>
      <w:r>
        <w:rPr>
          <w:rFonts w:ascii="Times New Roman" w:cs="Times New Roman" w:eastAsia="Times New Roman" w:hAnsi="Times New Roman"/>
          <w:sz w:val="13"/>
          <w:szCs w:val="13"/>
          <w:color w:val="auto"/>
        </w:rPr>
        <w:t xml:space="preserve"> ,” “ </w:t>
      </w:r>
      <w:r>
        <w:rPr>
          <w:rFonts w:ascii="Times New Roman" w:cs="Times New Roman" w:eastAsia="Times New Roman" w:hAnsi="Times New Roman"/>
          <w:sz w:val="13"/>
          <w:szCs w:val="13"/>
          <w:u w:val="single" w:color="auto"/>
          <w:color w:val="auto"/>
        </w:rPr>
        <w:t>Constructively Owns</w:t>
      </w:r>
      <w:r>
        <w:rPr>
          <w:rFonts w:ascii="Times New Roman" w:cs="Times New Roman" w:eastAsia="Times New Roman" w:hAnsi="Times New Roman"/>
          <w:sz w:val="13"/>
          <w:szCs w:val="13"/>
          <w:color w:val="auto"/>
        </w:rPr>
        <w:t xml:space="preserve"> ” and “ </w:t>
      </w:r>
      <w:r>
        <w:rPr>
          <w:rFonts w:ascii="Times New Roman" w:cs="Times New Roman" w:eastAsia="Times New Roman" w:hAnsi="Times New Roman"/>
          <w:sz w:val="13"/>
          <w:szCs w:val="13"/>
          <w:u w:val="single" w:color="auto"/>
          <w:color w:val="auto"/>
        </w:rPr>
        <w:t>Constructively Owned</w:t>
      </w:r>
      <w:r>
        <w:rPr>
          <w:rFonts w:ascii="Times New Roman" w:cs="Times New Roman" w:eastAsia="Times New Roman" w:hAnsi="Times New Roman"/>
          <w:sz w:val="13"/>
          <w:szCs w:val="13"/>
          <w:color w:val="auto"/>
        </w:rPr>
        <w:t xml:space="preserve"> ” shall have the correlative meanings.</w:t>
      </w:r>
    </w:p>
    <w:p>
      <w:pPr>
        <w:spacing w:after="0" w:line="140" w:lineRule="exact"/>
        <w:rPr>
          <w:sz w:val="20"/>
          <w:szCs w:val="20"/>
          <w:color w:val="auto"/>
        </w:rPr>
      </w:pPr>
    </w:p>
    <w:p>
      <w:pPr>
        <w:jc w:val="both"/>
        <w:ind w:left="1080" w:right="800" w:firstLine="312"/>
        <w:spacing w:after="0" w:line="287"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Individual</w:t>
      </w:r>
      <w:r>
        <w:rPr>
          <w:rFonts w:ascii="Times New Roman" w:cs="Times New Roman" w:eastAsia="Times New Roman" w:hAnsi="Times New Roman"/>
          <w:sz w:val="13"/>
          <w:szCs w:val="13"/>
          <w:color w:val="auto"/>
        </w:rPr>
        <w:t xml:space="preserve"> ” means an individual, a trust qualified under Section 401(a) or 501(c)(17) of the Code, a portion of a trust permanently set aside for or to be used exclusively for the purposes described in Section 642(c) of the Code, or a private foundation within the meaning of Section 509(a) of the Code, provided that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101600</wp:posOffset>
            </wp:positionV>
            <wp:extent cx="4436110" cy="76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59">
                      <a:extLst>
                        <a:ext uri="{28A0092B-C50C-407E-A947-70E740481C1C}"/>
                      </a:extLst>
                    </a:blip>
                    <a:srcRect/>
                    <a:stretch>
                      <a:fillRect/>
                    </a:stretch>
                  </pic:blipFill>
                  <pic:spPr bwMode="auto">
                    <a:xfrm>
                      <a:off x="0" y="0"/>
                      <a:ext cx="4436110"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535940</wp:posOffset>
            </wp:positionV>
            <wp:extent cx="5083810" cy="152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60">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15" w:name="page216"/>
    <w:bookmarkEnd w:id="215"/>
    <w:p>
      <w:pPr>
        <w:ind w:left="1080" w:right="1160"/>
        <w:spacing w:after="0" w:line="305" w:lineRule="auto"/>
        <w:rPr>
          <w:sz w:val="20"/>
          <w:szCs w:val="20"/>
          <w:color w:val="auto"/>
        </w:rPr>
      </w:pPr>
      <w:r>
        <w:rPr>
          <w:rFonts w:ascii="Times New Roman" w:cs="Times New Roman" w:eastAsia="Times New Roman" w:hAnsi="Times New Roman"/>
          <w:sz w:val="13"/>
          <w:szCs w:val="13"/>
          <w:color w:val="auto"/>
        </w:rPr>
        <w:t>trust described in Section 401(a) of the Code and exempt from tax under Section 501(a) of the Code shall be excluded from this definition.</w:t>
      </w:r>
    </w:p>
    <w:p>
      <w:pPr>
        <w:spacing w:after="0" w:line="12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IRS</w:t>
      </w:r>
      <w:r>
        <w:rPr>
          <w:rFonts w:ascii="Times New Roman" w:cs="Times New Roman" w:eastAsia="Times New Roman" w:hAnsi="Times New Roman"/>
          <w:sz w:val="13"/>
          <w:szCs w:val="13"/>
          <w:color w:val="auto"/>
        </w:rPr>
        <w:t xml:space="preserve"> ” means the United States Internal Revenue Service.</w:t>
      </w:r>
    </w:p>
    <w:p>
      <w:pPr>
        <w:spacing w:after="0" w:line="187" w:lineRule="exact"/>
        <w:rPr>
          <w:sz w:val="20"/>
          <w:szCs w:val="20"/>
          <w:color w:val="auto"/>
        </w:rPr>
      </w:pPr>
    </w:p>
    <w:p>
      <w:pPr>
        <w:ind w:left="1080" w:right="640" w:firstLine="312"/>
        <w:spacing w:after="0" w:line="276"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Market Price</w:t>
      </w:r>
      <w:r>
        <w:rPr>
          <w:rFonts w:ascii="Times New Roman" w:cs="Times New Roman" w:eastAsia="Times New Roman" w:hAnsi="Times New Roman"/>
          <w:sz w:val="13"/>
          <w:szCs w:val="13"/>
          <w:color w:val="auto"/>
        </w:rPr>
        <w:t xml:space="preserve"> ” shall mean the last reported sales price reported on the New York Stock Exchange of the Series A Preferred Stock on the trading day immediately preceding the relevant date, or if the Series A Preferred Stock is not then traded on the New York Stock Exchange, the last reported sales price of the Series A Preferred Stock on the trading day immediately preceding the relevant date as reported on any exchange or quotation system over which the Series A Preferred Stock may be traded, or if the Series A Preferred Stock is not then traded over any exchange or quotation system, the market price of the Series A Preferred Stock on the relevant date as determined in good faith by the Board of Directors of the Company.</w:t>
      </w:r>
    </w:p>
    <w:p>
      <w:pPr>
        <w:spacing w:after="0" w:line="14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NYSE</w:t>
      </w:r>
      <w:r>
        <w:rPr>
          <w:rFonts w:ascii="Times New Roman" w:cs="Times New Roman" w:eastAsia="Times New Roman" w:hAnsi="Times New Roman"/>
          <w:sz w:val="13"/>
          <w:szCs w:val="13"/>
          <w:color w:val="auto"/>
        </w:rPr>
        <w:t xml:space="preserve"> ” means the New York Stock Exchange.</w:t>
      </w:r>
    </w:p>
    <w:p>
      <w:pPr>
        <w:spacing w:after="0" w:line="186" w:lineRule="exact"/>
        <w:rPr>
          <w:sz w:val="20"/>
          <w:szCs w:val="20"/>
          <w:color w:val="auto"/>
        </w:rPr>
      </w:pPr>
    </w:p>
    <w:p>
      <w:pPr>
        <w:ind w:left="1080" w:right="660" w:firstLine="312"/>
        <w:spacing w:after="0" w:line="287"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Ownership Limit</w:t>
      </w:r>
      <w:r>
        <w:rPr>
          <w:rFonts w:ascii="Times New Roman" w:cs="Times New Roman" w:eastAsia="Times New Roman" w:hAnsi="Times New Roman"/>
          <w:sz w:val="13"/>
          <w:szCs w:val="13"/>
          <w:color w:val="auto"/>
        </w:rPr>
        <w:t xml:space="preserve"> ” shall mean 9.8% (by value or number of shares, whichever is more restrictive) of the outstanding shares of Series A Preferred Stock of the Company. The number and value of shares of outstanding Series A Preferred Stock of the Company shall be determined by the Board of Directors in good faith, which determination shall be conclusive for all purposes hereof.</w:t>
      </w:r>
    </w:p>
    <w:p>
      <w:pPr>
        <w:spacing w:after="0" w:line="135" w:lineRule="exact"/>
        <w:rPr>
          <w:sz w:val="20"/>
          <w:szCs w:val="20"/>
          <w:color w:val="auto"/>
        </w:rPr>
      </w:pPr>
    </w:p>
    <w:p>
      <w:pPr>
        <w:ind w:left="1080" w:right="680" w:firstLine="312"/>
        <w:spacing w:after="0" w:line="275"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Person</w:t>
      </w:r>
      <w:r>
        <w:rPr>
          <w:rFonts w:ascii="Times New Roman" w:cs="Times New Roman" w:eastAsia="Times New Roman" w:hAnsi="Times New Roman"/>
          <w:sz w:val="13"/>
          <w:szCs w:val="13"/>
          <w:color w:val="auto"/>
        </w:rPr>
        <w:t xml:space="preserve"> ” shall mean an Individual, corporation, partnership, limited liability company, estate, trust (including a trust qualified under Section 401(a) or 501(c)(17) of the Code), a portion of a trust permanently set aside for or to be used exclusively for the purposes described in Section 642(c) of the Code, association, private foundation within the meaning of Section 509(a) of the Code, joint stock company or other entity; but does not include an underwriter acting in a capacity as such in a public offering of shares of Series A Preferred Stock provided that the ownership of such shares of Series A Preferred Stock by such underwriter would not result in the Company being “closely held” within the meaning of Section 856(h) of the Code, or otherwise result in the Company failing to qualify as a REIT.</w:t>
      </w:r>
    </w:p>
    <w:p>
      <w:pPr>
        <w:spacing w:after="0" w:line="145" w:lineRule="exact"/>
        <w:rPr>
          <w:sz w:val="20"/>
          <w:szCs w:val="20"/>
          <w:color w:val="auto"/>
        </w:rPr>
      </w:pPr>
    </w:p>
    <w:p>
      <w:pPr>
        <w:ind w:left="1080" w:right="600" w:firstLine="312"/>
        <w:spacing w:after="0" w:line="281"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Purported Beneficial Transferee</w:t>
      </w:r>
      <w:r>
        <w:rPr>
          <w:rFonts w:ascii="Times New Roman" w:cs="Times New Roman" w:eastAsia="Times New Roman" w:hAnsi="Times New Roman"/>
          <w:sz w:val="13"/>
          <w:szCs w:val="13"/>
          <w:color w:val="auto"/>
        </w:rPr>
        <w:t xml:space="preserve"> ” shall mean, with respect to any purported Transfer (or other event) which results in a transfer to a Trust, as provided in Section 7(b)(ii) of these Articles Supplementary, the Purported Record Transferee, unless the Purported Record Transferee would have acquired or owned shares of Series A Preferred Stock for another Person who is the beneficial transferee or beneficial owner of such shares, in which case the Purported Beneficial Transferee shall be such Person.</w:t>
      </w:r>
    </w:p>
    <w:p>
      <w:pPr>
        <w:spacing w:after="0" w:line="140" w:lineRule="exact"/>
        <w:rPr>
          <w:sz w:val="20"/>
          <w:szCs w:val="20"/>
          <w:color w:val="auto"/>
        </w:rPr>
      </w:pPr>
    </w:p>
    <w:p>
      <w:pPr>
        <w:ind w:left="1080" w:right="660" w:firstLine="312"/>
        <w:spacing w:after="0" w:line="287"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Purported Record Transferee</w:t>
      </w:r>
      <w:r>
        <w:rPr>
          <w:rFonts w:ascii="Times New Roman" w:cs="Times New Roman" w:eastAsia="Times New Roman" w:hAnsi="Times New Roman"/>
          <w:sz w:val="13"/>
          <w:szCs w:val="13"/>
          <w:color w:val="auto"/>
        </w:rPr>
        <w:t xml:space="preserve"> ” shall mean, with respect to any purported Transfer (or other event) which results in a transfer to a Trust, as provided in Section 7(b)(ii) of these Articles Supplementary, the record holder of the Series A Preferred Stock if such Transfer had been valid under Section 7(b)(i) of these Articles Supplementary.</w:t>
      </w:r>
    </w:p>
    <w:p>
      <w:pPr>
        <w:spacing w:after="0" w:line="13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REIT</w:t>
      </w:r>
      <w:r>
        <w:rPr>
          <w:rFonts w:ascii="Times New Roman" w:cs="Times New Roman" w:eastAsia="Times New Roman" w:hAnsi="Times New Roman"/>
          <w:sz w:val="13"/>
          <w:szCs w:val="13"/>
          <w:color w:val="auto"/>
        </w:rPr>
        <w:t xml:space="preserve"> ” shall mean a real estate investment trust under Sections 856 through 860 of the Code.</w:t>
      </w:r>
    </w:p>
    <w:p>
      <w:pPr>
        <w:spacing w:after="0" w:line="186" w:lineRule="exact"/>
        <w:rPr>
          <w:sz w:val="20"/>
          <w:szCs w:val="20"/>
          <w:color w:val="auto"/>
        </w:rPr>
      </w:pPr>
    </w:p>
    <w:p>
      <w:pPr>
        <w:ind w:left="1080" w:right="880" w:firstLine="312"/>
        <w:spacing w:after="0" w:line="305"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Restriction Termination Date</w:t>
      </w:r>
      <w:r>
        <w:rPr>
          <w:rFonts w:ascii="Times New Roman" w:cs="Times New Roman" w:eastAsia="Times New Roman" w:hAnsi="Times New Roman"/>
          <w:sz w:val="13"/>
          <w:szCs w:val="13"/>
          <w:color w:val="auto"/>
        </w:rPr>
        <w:t xml:space="preserve"> ” shall mean the first day after the date hereof on which the Board of Directors of the Company determines that it is no longer in the best interests of the Company to attempt to, or continue to, qualify as a REIT.</w:t>
      </w:r>
    </w:p>
    <w:p>
      <w:pPr>
        <w:spacing w:after="0" w:line="124" w:lineRule="exact"/>
        <w:rPr>
          <w:sz w:val="20"/>
          <w:szCs w:val="20"/>
          <w:color w:val="auto"/>
        </w:rPr>
      </w:pPr>
    </w:p>
    <w:p>
      <w:pPr>
        <w:ind w:left="1080" w:right="620" w:firstLine="312"/>
        <w:spacing w:after="0" w:line="275"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Transfer</w:t>
      </w:r>
      <w:r>
        <w:rPr>
          <w:rFonts w:ascii="Times New Roman" w:cs="Times New Roman" w:eastAsia="Times New Roman" w:hAnsi="Times New Roman"/>
          <w:sz w:val="13"/>
          <w:szCs w:val="13"/>
          <w:color w:val="auto"/>
        </w:rPr>
        <w:t xml:space="preserve"> ” shall mean any sale, issuance, transfer, gift, assignment, devise or other disposition of Series A Preferred Stock as well as any other event that causes any Person to Beneficially Own or Constructively Own Series A Preferred Stock, including (i) the granting of any option or entering into any agreement for the sale, transfer or other disposition of Series A Preferred Stock or (ii) the sale, transfer, assignment or other disposition of any securities (or rights convertible into or exchangeable for Series A Preferred Stock), whether voluntary or involuntary, whether such transfer has occurred of record or beneficially or Beneficially or Constructively (including but not limited to transfers of interests in other entities which result in changes in Beneficial or Constructive Ownership of Series A Preferred Stock), and whether such transfer has occurred by operation of law or otherwise.</w:t>
      </w:r>
    </w:p>
    <w:p>
      <w:pPr>
        <w:spacing w:after="0" w:line="14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Trust</w:t>
      </w:r>
      <w:r>
        <w:rPr>
          <w:rFonts w:ascii="Times New Roman" w:cs="Times New Roman" w:eastAsia="Times New Roman" w:hAnsi="Times New Roman"/>
          <w:sz w:val="13"/>
          <w:szCs w:val="13"/>
          <w:color w:val="auto"/>
        </w:rPr>
        <w:t xml:space="preserve"> ” shall mean each of the trusts provided for in Section 7(c) of these Articles Supplementary.</w:t>
      </w:r>
    </w:p>
    <w:p>
      <w:pPr>
        <w:spacing w:after="0" w:line="187" w:lineRule="exact"/>
        <w:rPr>
          <w:sz w:val="20"/>
          <w:szCs w:val="20"/>
          <w:color w:val="auto"/>
        </w:rPr>
      </w:pPr>
    </w:p>
    <w:p>
      <w:pPr>
        <w:ind w:left="1080" w:right="900" w:firstLine="312"/>
        <w:spacing w:after="0" w:line="305"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Trustee</w:t>
      </w:r>
      <w:r>
        <w:rPr>
          <w:rFonts w:ascii="Times New Roman" w:cs="Times New Roman" w:eastAsia="Times New Roman" w:hAnsi="Times New Roman"/>
          <w:sz w:val="13"/>
          <w:szCs w:val="13"/>
          <w:color w:val="auto"/>
        </w:rPr>
        <w:t xml:space="preserve"> ” shall mean any Person unaffiliated with the Company, or a Purported Beneficial Transferee, or a Purported Record Transferee, that is appointed by the Company to serve as trustee of a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93980</wp:posOffset>
            </wp:positionV>
            <wp:extent cx="4436110" cy="152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61">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535940</wp:posOffset>
            </wp:positionV>
            <wp:extent cx="5083810" cy="152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62">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16" w:name="page217"/>
    <w:bookmarkEnd w:id="216"/>
    <w:p>
      <w:pPr>
        <w:ind w:left="1080" w:hanging="174"/>
        <w:spacing w:after="0"/>
        <w:tabs>
          <w:tab w:leader="none" w:pos="1080"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Restriction on Ownership and Transfers</w:t>
      </w:r>
      <w:r>
        <w:rPr>
          <w:rFonts w:ascii="Times New Roman" w:cs="Times New Roman" w:eastAsia="Times New Roman" w:hAnsi="Times New Roman"/>
          <w:sz w:val="13"/>
          <w:szCs w:val="13"/>
          <w:color w:val="auto"/>
        </w:rPr>
        <w:t xml:space="preserve"> .</w:t>
      </w:r>
    </w:p>
    <w:p>
      <w:pPr>
        <w:spacing w:after="0" w:line="186" w:lineRule="exact"/>
        <w:rPr>
          <w:rFonts w:ascii="Times New Roman" w:cs="Times New Roman" w:eastAsia="Times New Roman" w:hAnsi="Times New Roman"/>
          <w:sz w:val="13"/>
          <w:szCs w:val="13"/>
          <w:color w:val="auto"/>
        </w:rPr>
      </w:pPr>
    </w:p>
    <w:p>
      <w:pPr>
        <w:ind w:left="1380" w:hanging="161"/>
        <w:spacing w:after="0"/>
        <w:tabs>
          <w:tab w:leader="none" w:pos="1380" w:val="left"/>
        </w:tabs>
        <w:numPr>
          <w:ilvl w:val="1"/>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Prior to the Restriction Termination Date, but subject to Section 7(l):</w:t>
      </w:r>
    </w:p>
    <w:p>
      <w:pPr>
        <w:spacing w:after="0" w:line="187" w:lineRule="exact"/>
        <w:rPr>
          <w:sz w:val="20"/>
          <w:szCs w:val="20"/>
          <w:color w:val="auto"/>
        </w:rPr>
      </w:pPr>
    </w:p>
    <w:p>
      <w:pPr>
        <w:ind w:left="1220" w:right="860" w:firstLine="312"/>
        <w:spacing w:after="0" w:line="287" w:lineRule="auto"/>
        <w:rPr>
          <w:sz w:val="20"/>
          <w:szCs w:val="20"/>
          <w:color w:val="auto"/>
        </w:rPr>
      </w:pPr>
      <w:r>
        <w:rPr>
          <w:rFonts w:ascii="Times New Roman" w:cs="Times New Roman" w:eastAsia="Times New Roman" w:hAnsi="Times New Roman"/>
          <w:sz w:val="13"/>
          <w:szCs w:val="13"/>
          <w:color w:val="auto"/>
        </w:rPr>
        <w:t>(A) except as provided in Section 7(i) of these Articles Supplementary, (1) no Person shall Beneficially Own Series A Preferred Stock in excess of the Ownership Limit and (2) no Person shall Beneficially Own shares of Capital Stock in excess of the Aggregate Stock Ownership Limit;</w:t>
      </w:r>
    </w:p>
    <w:p>
      <w:pPr>
        <w:spacing w:after="0" w:line="136" w:lineRule="exact"/>
        <w:rPr>
          <w:sz w:val="20"/>
          <w:szCs w:val="20"/>
          <w:color w:val="auto"/>
        </w:rPr>
      </w:pPr>
    </w:p>
    <w:p>
      <w:pPr>
        <w:ind w:left="1220" w:right="780" w:firstLine="312"/>
        <w:spacing w:after="0" w:line="287" w:lineRule="auto"/>
        <w:rPr>
          <w:sz w:val="20"/>
          <w:szCs w:val="20"/>
          <w:color w:val="auto"/>
        </w:rPr>
      </w:pPr>
      <w:r>
        <w:rPr>
          <w:rFonts w:ascii="Times New Roman" w:cs="Times New Roman" w:eastAsia="Times New Roman" w:hAnsi="Times New Roman"/>
          <w:sz w:val="13"/>
          <w:szCs w:val="13"/>
          <w:color w:val="auto"/>
        </w:rPr>
        <w:t>(B) except as provided in Section 7(i) of these Articles Supplementary, (1) no Person shall Constructively Own Series A Preferred Stock in excess of the Ownership Limit and (2) no Person shall Constructively own shares of Capital Stock in excess of the Aggregate Stock Ownership Limit;</w:t>
      </w:r>
    </w:p>
    <w:p>
      <w:pPr>
        <w:spacing w:after="0" w:line="136" w:lineRule="exact"/>
        <w:rPr>
          <w:sz w:val="20"/>
          <w:szCs w:val="20"/>
          <w:color w:val="auto"/>
        </w:rPr>
      </w:pPr>
    </w:p>
    <w:p>
      <w:pPr>
        <w:ind w:left="1220" w:right="700" w:firstLine="311"/>
        <w:spacing w:after="0" w:line="276" w:lineRule="auto"/>
        <w:tabs>
          <w:tab w:leader="none" w:pos="1736" w:val="left"/>
        </w:tabs>
        <w:numPr>
          <w:ilvl w:val="2"/>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Person shall Beneficially Own or Constructively Own Series A Preferred Stock which, taking into account any other Capital Stock of the Company Beneficially or Constructively Owned by such Person, would result in the Company being “closely held” within the meaning of Section 856(h) of the Code, or otherwise failing to qualify as a REIT (including but not limited to Beneficial or Constructive Ownership that would result in the Company owning (actually or Constructively) an interest in a tenant that is described in Section 856(d)(2)(B) of the Code if the income derived by the Company (either directly or indirectly through one or more subsidiaries) from such tenant would cause the Company to fail to satisfy any of the gross income requirements of Section 856(c) of the Code).</w:t>
      </w:r>
    </w:p>
    <w:p>
      <w:pPr>
        <w:spacing w:after="0" w:line="312" w:lineRule="exact"/>
        <w:rPr>
          <w:rFonts w:ascii="Times New Roman" w:cs="Times New Roman" w:eastAsia="Times New Roman" w:hAnsi="Times New Roman"/>
          <w:sz w:val="13"/>
          <w:szCs w:val="13"/>
          <w:color w:val="auto"/>
        </w:rPr>
      </w:pPr>
    </w:p>
    <w:p>
      <w:pPr>
        <w:ind w:left="600" w:right="680" w:firstLine="607"/>
        <w:spacing w:after="0" w:line="274" w:lineRule="auto"/>
        <w:tabs>
          <w:tab w:leader="none" w:pos="1404" w:val="left"/>
        </w:tabs>
        <w:numPr>
          <w:ilvl w:val="1"/>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prior to the Restriction Termination Date, any Transfer or other event occurs that, if effective, would result in any Person Beneficially or Constructively Owning Series A Preferred Stock in violation of Section 7(b)(i) of these Articles Supplementary, (i) then that number of shares of Series A Preferred Stock that otherwise would cause such Person to violate Section 7(b)(i) of these Articles Supplementary (rounded up to the nearest whole share) shall be automatically transferred to a Trust for the benefit of a Charitable Beneficiary, as described in Section 7(c), effective as of the close of business on the Business Day prior to the date of such Transfer or other event, and such Purported Beneficial Transferee shall thereafter have no rights in such shares or (ii) if, for any reason, the transfer to the Trust described in clause (i) of this sentence is not automatically effective as provided therein to prevent any Person from Beneficially or Constructively Owning Series A Preferred Stock in violation of Section 7(b)(i) of these Articles Supplementary, then the Transfer of that number of shares of Series A Preferred Stock that otherwise would cause any Person to violate Section 7(b)(i) shall be void ab initio, and the Purported Beneficial Transferee shall have no rights in such shares.</w:t>
      </w:r>
    </w:p>
    <w:p>
      <w:pPr>
        <w:spacing w:after="0" w:line="300" w:lineRule="exact"/>
        <w:rPr>
          <w:rFonts w:ascii="Times New Roman" w:cs="Times New Roman" w:eastAsia="Times New Roman" w:hAnsi="Times New Roman"/>
          <w:sz w:val="13"/>
          <w:szCs w:val="13"/>
          <w:color w:val="auto"/>
        </w:rPr>
      </w:pPr>
    </w:p>
    <w:p>
      <w:pPr>
        <w:ind w:left="600" w:right="760" w:firstLine="607"/>
        <w:spacing w:after="0" w:line="287" w:lineRule="auto"/>
        <w:tabs>
          <w:tab w:leader="none" w:pos="1428" w:val="left"/>
        </w:tabs>
        <w:numPr>
          <w:ilvl w:val="1"/>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Section 7(l) and prior to the Restriction Termination Date, any Transfer of Series A Preferred Stock that, if effective, would result in the capital stock of the Company being beneficially owned by fewer than 100 Persons (determined without reference to any rules of attribution) shall be void ab initio, and the intended transferee shall acquire no rights in such Series A Preferred Stock.</w:t>
      </w:r>
    </w:p>
    <w:p>
      <w:pPr>
        <w:spacing w:after="0" w:line="135" w:lineRule="exact"/>
        <w:rPr>
          <w:rFonts w:ascii="Times New Roman" w:cs="Times New Roman" w:eastAsia="Times New Roman" w:hAnsi="Times New Roman"/>
          <w:sz w:val="13"/>
          <w:szCs w:val="13"/>
          <w:color w:val="auto"/>
        </w:rPr>
      </w:pPr>
    </w:p>
    <w:p>
      <w:pPr>
        <w:ind w:left="1080" w:hanging="174"/>
        <w:spacing w:after="0"/>
        <w:tabs>
          <w:tab w:leader="none" w:pos="1080" w:val="left"/>
        </w:tabs>
        <w:numPr>
          <w:ilvl w:val="0"/>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Transfers of Series A Preferred Stock in Trust</w:t>
      </w:r>
      <w:r>
        <w:rPr>
          <w:rFonts w:ascii="Times New Roman" w:cs="Times New Roman" w:eastAsia="Times New Roman" w:hAnsi="Times New Roman"/>
          <w:sz w:val="13"/>
          <w:szCs w:val="13"/>
          <w:color w:val="auto"/>
        </w:rPr>
        <w:t xml:space="preserve"> .</w:t>
      </w:r>
    </w:p>
    <w:p>
      <w:pPr>
        <w:spacing w:after="0" w:line="186" w:lineRule="exact"/>
        <w:rPr>
          <w:rFonts w:ascii="Times New Roman" w:cs="Times New Roman" w:eastAsia="Times New Roman" w:hAnsi="Times New Roman"/>
          <w:sz w:val="13"/>
          <w:szCs w:val="13"/>
          <w:color w:val="auto"/>
        </w:rPr>
      </w:pPr>
    </w:p>
    <w:p>
      <w:pPr>
        <w:ind w:left="600" w:right="740" w:firstLine="607"/>
        <w:spacing w:after="0" w:line="276" w:lineRule="auto"/>
        <w:tabs>
          <w:tab w:leader="none" w:pos="1368" w:val="left"/>
        </w:tabs>
        <w:numPr>
          <w:ilvl w:val="1"/>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any purported Transfer or other event described in Section 7(b)(ii) of these Articles Supplementary, such Series A Preferred Stock shall be deemed to have been transferred to the Trustee in his capacity as trustee of a Trust for the exclusive benefit of one or more Charitable Beneficiaries. Such transfer to the Trustee shall be deemed to be effective as of the close of business on the Business Day prior to the purported Transfer or other event that results in a transfer to the Trust pursuant to Section 7(b)(ii). The Trustee shall be appointed by the Company and shall be a Person unaffiliated with the Company, any Purported Beneficial Transferee or any Purported Record Transferee. Each Charitable Beneficiary shall be designated by the Company as provided in Section 7(c)(vi) of these Articles Supplementary.</w:t>
      </w:r>
    </w:p>
    <w:p>
      <w:pPr>
        <w:spacing w:after="0" w:line="144" w:lineRule="exact"/>
        <w:rPr>
          <w:rFonts w:ascii="Times New Roman" w:cs="Times New Roman" w:eastAsia="Times New Roman" w:hAnsi="Times New Roman"/>
          <w:sz w:val="13"/>
          <w:szCs w:val="13"/>
          <w:color w:val="auto"/>
        </w:rPr>
      </w:pPr>
    </w:p>
    <w:p>
      <w:pPr>
        <w:ind w:left="600" w:right="820" w:firstLine="607"/>
        <w:spacing w:after="0" w:line="278" w:lineRule="auto"/>
        <w:tabs>
          <w:tab w:leader="none" w:pos="1404" w:val="left"/>
        </w:tabs>
        <w:numPr>
          <w:ilvl w:val="1"/>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Series A Preferred Stock held by the Trustee shall be issued and outstanding Series A Preferred Stock of the Company. The Purported Beneficial Transferee or Purported Record Transferee shall have no rights in the shares of the Series A Preferred Stock held by the Trustee. The Purported Beneficial Transferee or Purported Record Transferee shall not benefit economically from ownership of any shares held in trust by the Trustee, shall have no rights to dividends and shall not possess any rights to vote or other rights attributable to the shares of Series A Preferred Stock held in the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105410</wp:posOffset>
            </wp:positionV>
            <wp:extent cx="4436110" cy="152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63">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547370</wp:posOffset>
            </wp:positionV>
            <wp:extent cx="5083810" cy="152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64">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17" w:name="page218"/>
    <w:bookmarkEnd w:id="217"/>
    <w:p>
      <w:pPr>
        <w:ind w:left="600" w:right="660" w:firstLine="612"/>
        <w:spacing w:after="0" w:line="272" w:lineRule="auto"/>
        <w:rPr>
          <w:sz w:val="20"/>
          <w:szCs w:val="20"/>
          <w:color w:val="auto"/>
        </w:rPr>
      </w:pPr>
      <w:r>
        <w:rPr>
          <w:rFonts w:ascii="Times New Roman" w:cs="Times New Roman" w:eastAsia="Times New Roman" w:hAnsi="Times New Roman"/>
          <w:sz w:val="13"/>
          <w:szCs w:val="13"/>
          <w:color w:val="auto"/>
        </w:rPr>
        <w:t xml:space="preserve">(iii) The Trustee shall have all voting rights and rights to dividends with respect to Series A Preferred Stock held in the Trust, which rights shall be exercised for the exclusive benefit of the Charitable Beneficiary. Any dividend or distribution paid to or on behalf of the Purported Record Transferee or Purported Beneficial Transferee prior to the discovery by the Company that shares of Series A Preferred Stock have been transferred to the Trustee shall be paid to the Trustee upon demand, and any dividend or distribution declared but unpaid shall be paid when due to the Trustee with respect to such Series A Preferred Stock. Any dividends or distributions so paid over to the Trustee shall be held in trust for the Charitable Beneficiary. The Purported Record Transferee and Purported Beneficial Transferee shall have no voting rights with respect to the Series A Preferred Stock held in the Trust and, subject to Maryland law, effective as of the date the Series A Preferred Stock has been transferred to the Trustee, the Trustee shall have the authority (at the Trustee’s sole discretion) (i) to rescind as void any vote cast by a Purported Record Transferee with respect to such Series A Preferred Stock prior to the discovery by the Company that the Series A Preferred Stock has been transferred to the Trustee and (ii) to recast such vote in accordance with the desires of the Trustee acting for the benefit of the Charitable Beneficiary;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xml:space="preserve"> that if the Company has already taken irreversible corporate action, then the Trustee shall not have the authority to rescind and recast such vote. Notwithstanding any other provision of these Articles Supplementary to the contrary, until the Company has received notification that the Series A Preferred Stock has been transferred into a Trust, the Company shall be entitled to rely on its share transfer and other stockholder records for purposes of preparing lists of stockholders entitled to vote at meetings, determining the validity and authority of proxies and otherwise conducting votes of stockholders.</w:t>
      </w:r>
    </w:p>
    <w:p>
      <w:pPr>
        <w:spacing w:after="0" w:line="135" w:lineRule="exact"/>
        <w:rPr>
          <w:sz w:val="20"/>
          <w:szCs w:val="20"/>
          <w:color w:val="auto"/>
        </w:rPr>
      </w:pPr>
    </w:p>
    <w:p>
      <w:pPr>
        <w:ind w:left="600" w:right="620" w:firstLine="607"/>
        <w:spacing w:after="0" w:line="272" w:lineRule="auto"/>
        <w:tabs>
          <w:tab w:leader="none" w:pos="1428"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Within twenty (20) days of receiving notice from the Company that shares of Series A Preferred Stock have been transferred to the Trust, the Trustee of the Trust shall sell the shares of Series A Preferred Stock held in the Trust to a Person, designated by the Trustee, whose ownership of the shares of Series A Preferred Stock will not violate the ownership limitations set forth in Section 7(b)(i). Upon such sale, the interest of the Charitable Beneficiary in the shares of Series A Preferred Stock sold shall terminate and the Trustee shall distribute the net proceeds of the sale to the Purported Record Transferee and to the Charitable Beneficiary as provided in this Section 7(c)(iv). The Purported Record Transferee shall receive the lesser of (i) the price paid by the Purported Record Transferee for the shares of Series A Preferred Stock in the transaction that resulted in such transfer to the Trust (or, if the event which resulted in the transfer to the Trust did not involve a purchase of such shares of Series A Preferred Stock at Market Price, the Market Price of such shares of Series A Preferred Stock on the day of the event which resulted in the transfer of such shares of Series A Preferred Stock to the Trust) and (ii) the price per share received by the Trustee (net of any commissions and other expenses of sale) from the sale or other disposition of the shares of Series A Preferred Stock held in the Trust. The Trustee may reduce the amount payable to the Purported Record Transferee by the amount of dividends and distributions which have been paid to the Purported Record Transferee and are owed by the Purported Record Transferee to the Trustee pursuant to Section 7(c)(iii). Any net sales proceeds in excess of the amount payable to the Purported Record Transferee shall be immediately paid to the Charitable Beneficiary together with any dividends or other distributions thereon. If, prior to the discovery by the Company that shares of such Series A Preferred Stock have been transferred to the Trustee, such shares of Series A Preferred Stock are sold by a Purported Record Transferee then (i) such shares of Series A Preferred Stock shall be deemed to have been sold on behalf of the Trust and (ii) to the extent that the Purported Record Transferee received an amount for such shares of Series A Preferred Stock that exceeds the amount that such Purported Record Transferee was entitled to receive pursuant to this Section 7(c)(iv), such excess shall be paid to the Trustee upon demand.</w:t>
      </w:r>
    </w:p>
    <w:p>
      <w:pPr>
        <w:spacing w:after="0" w:line="300" w:lineRule="exact"/>
        <w:rPr>
          <w:rFonts w:ascii="Times New Roman" w:cs="Times New Roman" w:eastAsia="Times New Roman" w:hAnsi="Times New Roman"/>
          <w:sz w:val="13"/>
          <w:szCs w:val="13"/>
          <w:color w:val="auto"/>
        </w:rPr>
      </w:pPr>
    </w:p>
    <w:p>
      <w:pPr>
        <w:ind w:left="600" w:right="660" w:firstLine="607"/>
        <w:spacing w:after="0" w:line="273" w:lineRule="auto"/>
        <w:tabs>
          <w:tab w:leader="none" w:pos="1392"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Series A Preferred Stock transferred to the Trustee shall be deemed to have been offered for sale to the Company, or its designee, at a price per share equal to the lesser of (i) the price paid by the Purported Record Transferee for the shares of Series A Preferred Stock in the transaction that resulted in such transfer to the Trust (or, if the event which resulted in the transfer to the Trust did not involve a purchase of such shares of Series A Preferred Stock at Market Price, the Market Price of such shares of Series A Preferred Stock on the day of the event which resulted in the transfer of such shares of Series A Preferred Stock to the Trust) and (ii) the Market Price on the date the Company, or its designee, accepts such offer. The Company may reduce the amount payable to the Purported Record Transferee by the amount of dividends and distributions which have been paid to the Purported Record Transferee and are owed by the Purported Record Transferee to the Trustee pursuant to Section 7(c)(iii). The Company shall have the right to accept such offer until the Trustee has sold the shares of Series A Preferred Stock held in the Trust pursuant to Section 7(c)(iv). Upon such a sale to the Company, the interest of the Charitable Beneficiary in the shares of Series A Preferred Stock sold shall terminate and the Trustee shall distribute the net proceeds of the sale to the Purported Record Transferee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109220</wp:posOffset>
            </wp:positionV>
            <wp:extent cx="4436110" cy="76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65">
                      <a:extLst>
                        <a:ext uri="{28A0092B-C50C-407E-A947-70E740481C1C}"/>
                      </a:extLst>
                    </a:blip>
                    <a:srcRect/>
                    <a:stretch>
                      <a:fillRect/>
                    </a:stretch>
                  </pic:blipFill>
                  <pic:spPr bwMode="auto">
                    <a:xfrm>
                      <a:off x="0" y="0"/>
                      <a:ext cx="4436110"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535940</wp:posOffset>
            </wp:positionV>
            <wp:extent cx="5083810" cy="152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66">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18" w:name="page219"/>
    <w:bookmarkEnd w:id="218"/>
    <w:p>
      <w:pPr>
        <w:ind w:left="600" w:right="820"/>
        <w:spacing w:after="0" w:line="305" w:lineRule="auto"/>
        <w:rPr>
          <w:sz w:val="20"/>
          <w:szCs w:val="20"/>
          <w:color w:val="auto"/>
        </w:rPr>
      </w:pPr>
      <w:r>
        <w:rPr>
          <w:rFonts w:ascii="Times New Roman" w:cs="Times New Roman" w:eastAsia="Times New Roman" w:hAnsi="Times New Roman"/>
          <w:sz w:val="13"/>
          <w:szCs w:val="13"/>
          <w:color w:val="auto"/>
        </w:rPr>
        <w:t>any dividends or other distributions held by the Trustee with respect to such Series A Preferred Stock shall thereupon be paid to the Charitable Beneficiary.</w:t>
      </w:r>
    </w:p>
    <w:p>
      <w:pPr>
        <w:spacing w:after="0" w:line="124" w:lineRule="exact"/>
        <w:rPr>
          <w:sz w:val="20"/>
          <w:szCs w:val="20"/>
          <w:color w:val="auto"/>
        </w:rPr>
      </w:pPr>
    </w:p>
    <w:p>
      <w:pPr>
        <w:ind w:left="600" w:right="1100" w:firstLine="607"/>
        <w:spacing w:after="0" w:line="287" w:lineRule="auto"/>
        <w:tabs>
          <w:tab w:leader="none" w:pos="1428" w:val="left"/>
        </w:tabs>
        <w:numPr>
          <w:ilvl w:val="1"/>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written notice to the Trustee, the Company shall designate one or more nonprofit organizations to be the Charitable Beneficiary of the interest in the Trust such that the Series A Preferred Stock held in the Trust would not violate the restrictions set forth in Section 7(b)(i) in the hands of such Charitable Beneficiary.</w:t>
      </w:r>
    </w:p>
    <w:p>
      <w:pPr>
        <w:spacing w:after="0" w:line="135" w:lineRule="exact"/>
        <w:rPr>
          <w:rFonts w:ascii="Times New Roman" w:cs="Times New Roman" w:eastAsia="Times New Roman" w:hAnsi="Times New Roman"/>
          <w:sz w:val="13"/>
          <w:szCs w:val="13"/>
          <w:color w:val="auto"/>
        </w:rPr>
      </w:pPr>
    </w:p>
    <w:p>
      <w:pPr>
        <w:ind w:left="600" w:right="640" w:firstLine="306"/>
        <w:spacing w:after="0" w:line="273" w:lineRule="auto"/>
        <w:tabs>
          <w:tab w:leader="none" w:pos="1092"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Remedies For Breach</w:t>
      </w:r>
      <w:r>
        <w:rPr>
          <w:rFonts w:ascii="Times New Roman" w:cs="Times New Roman" w:eastAsia="Times New Roman" w:hAnsi="Times New Roman"/>
          <w:sz w:val="13"/>
          <w:szCs w:val="13"/>
          <w:color w:val="auto"/>
        </w:rPr>
        <w:t xml:space="preserve"> . If the Board of Directors or a committee thereof or other designees if permitted by the MGCL shall at any time determine in good faith that a Transfer or other event has taken place in violation of Section 7(b) of these Articles Supplementary or that a Person intends to acquire, has attempted to acquire or may acquire beneficial ownership (determined without reference to any rules of attribution), Beneficial Ownership or Constructive Ownership of any shares of Series A Preferred Stock of the Company in violation of Section 7(b) of these Articles Supplementary, the Board of Directors or the Committee or other designees if permitted by the MGCL shall take such action as it deems advisable to refuse to give effect or to prevent such Transfer, including, but not limited to, causing the Company to redeem shares of Series A Preferred Stock, refusing to give effect to such Transfer on the books of the Company or instituting proceedings to enjoin such Transfer; </w:t>
      </w:r>
      <w:r>
        <w:rPr>
          <w:rFonts w:ascii="Times New Roman" w:cs="Times New Roman" w:eastAsia="Times New Roman" w:hAnsi="Times New Roman"/>
          <w:sz w:val="13"/>
          <w:szCs w:val="13"/>
          <w:i w:val="1"/>
          <w:iCs w:val="1"/>
          <w:color w:val="auto"/>
        </w:rPr>
        <w:t xml:space="preserve">provided, however, </w:t>
      </w:r>
      <w:r>
        <w:rPr>
          <w:rFonts w:ascii="Times New Roman" w:cs="Times New Roman" w:eastAsia="Times New Roman" w:hAnsi="Times New Roman"/>
          <w:sz w:val="13"/>
          <w:szCs w:val="13"/>
          <w:color w:val="auto"/>
        </w:rPr>
        <w:t>that any Transfers (or, in the case of events other than a Transfer, ownership or Constructive Ownership or Beneficial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Ownership) in violation of Section 7(b)(i) of these Articles Supplementary, shall automatically result in the transfer to a Trust as described in Section 7(b)(ii) and any Transfer in violation of Section 7(b)(iii) shall automatically be void ab initio irrespective of any action (or non-action) by the Board of Directors.</w:t>
      </w:r>
    </w:p>
    <w:p>
      <w:pPr>
        <w:spacing w:after="0" w:line="304" w:lineRule="exact"/>
        <w:rPr>
          <w:rFonts w:ascii="Times New Roman" w:cs="Times New Roman" w:eastAsia="Times New Roman" w:hAnsi="Times New Roman"/>
          <w:sz w:val="13"/>
          <w:szCs w:val="13"/>
          <w:color w:val="auto"/>
        </w:rPr>
      </w:pPr>
    </w:p>
    <w:p>
      <w:pPr>
        <w:ind w:left="600" w:right="660" w:firstLine="306"/>
        <w:spacing w:after="0" w:line="278" w:lineRule="auto"/>
        <w:tabs>
          <w:tab w:leader="none" w:pos="1080"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Notice of Restricted Transfer</w:t>
      </w:r>
      <w:r>
        <w:rPr>
          <w:rFonts w:ascii="Times New Roman" w:cs="Times New Roman" w:eastAsia="Times New Roman" w:hAnsi="Times New Roman"/>
          <w:sz w:val="13"/>
          <w:szCs w:val="13"/>
          <w:color w:val="auto"/>
        </w:rPr>
        <w:t xml:space="preserve"> . Any Person who acquires or attempts to acquire shares of Series A Preferred Stock in violation of Section 7(b) of these Articles Supplementary, or any Person who is a Purported Beneficial Transferee such that an automatic transfer to a Trust results under Section 7(b)(ii) of these Articles Supplementary, shall immediately give written notice to the Company of such event and shall provide to the Company such other information as the Company may request in order to determine the effect, if any of such Transfer or attempted Transfer on the Company’s status as a REIT.</w:t>
      </w:r>
    </w:p>
    <w:p>
      <w:pPr>
        <w:spacing w:after="0" w:line="142" w:lineRule="exact"/>
        <w:rPr>
          <w:rFonts w:ascii="Times New Roman" w:cs="Times New Roman" w:eastAsia="Times New Roman" w:hAnsi="Times New Roman"/>
          <w:sz w:val="13"/>
          <w:szCs w:val="13"/>
          <w:color w:val="auto"/>
        </w:rPr>
      </w:pPr>
    </w:p>
    <w:p>
      <w:pPr>
        <w:ind w:left="600" w:right="680" w:firstLine="306"/>
        <w:spacing w:after="0" w:line="281" w:lineRule="auto"/>
        <w:tabs>
          <w:tab w:leader="none" w:pos="1056"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Owners Required To Provide Information</w:t>
      </w:r>
      <w:r>
        <w:rPr>
          <w:rFonts w:ascii="Times New Roman" w:cs="Times New Roman" w:eastAsia="Times New Roman" w:hAnsi="Times New Roman"/>
          <w:sz w:val="13"/>
          <w:szCs w:val="13"/>
          <w:color w:val="auto"/>
        </w:rPr>
        <w:t xml:space="preserve"> . Prior to the Restriction Termination Date each Person who is a beneficial owner or Beneficial Owner or Constructive Owner of Series A Preferred Stock and each Person (including the stockholder of record) who is holding Series A Preferred Stock for a beneficial owner or Beneficial Owner or Constructive Owner shall provide to the Company such information that the Company may request, in good faith, in order to determine the Company’s status as a REIT.</w:t>
      </w:r>
    </w:p>
    <w:p>
      <w:pPr>
        <w:spacing w:after="0" w:line="140" w:lineRule="exact"/>
        <w:rPr>
          <w:sz w:val="20"/>
          <w:szCs w:val="20"/>
          <w:color w:val="auto"/>
        </w:rPr>
      </w:pPr>
    </w:p>
    <w:p>
      <w:pPr>
        <w:ind w:left="600" w:right="640" w:firstLine="312"/>
        <w:spacing w:after="0" w:line="287" w:lineRule="auto"/>
        <w:rPr>
          <w:sz w:val="20"/>
          <w:szCs w:val="20"/>
          <w:color w:val="auto"/>
        </w:rPr>
      </w:pPr>
      <w:r>
        <w:rPr>
          <w:rFonts w:ascii="Times New Roman" w:cs="Times New Roman" w:eastAsia="Times New Roman" w:hAnsi="Times New Roman"/>
          <w:sz w:val="13"/>
          <w:szCs w:val="13"/>
          <w:color w:val="auto"/>
        </w:rPr>
        <w:t xml:space="preserve">(g) </w:t>
      </w:r>
      <w:r>
        <w:rPr>
          <w:rFonts w:ascii="Times New Roman" w:cs="Times New Roman" w:eastAsia="Times New Roman" w:hAnsi="Times New Roman"/>
          <w:sz w:val="13"/>
          <w:szCs w:val="13"/>
          <w:u w:val="single" w:color="auto"/>
          <w:color w:val="auto"/>
        </w:rPr>
        <w:t>Remedies Not Limited</w:t>
      </w:r>
      <w:r>
        <w:rPr>
          <w:rFonts w:ascii="Times New Roman" w:cs="Times New Roman" w:eastAsia="Times New Roman" w:hAnsi="Times New Roman"/>
          <w:sz w:val="13"/>
          <w:szCs w:val="13"/>
          <w:color w:val="auto"/>
        </w:rPr>
        <w:t xml:space="preserve"> . Nothing contained in these Articles Supplementary (but subject to Section 7(l) of these Articles Supplementary) shall limit the authority of the Board of Directors to take such other action as it deems necessary or advisable to protect the Company and the interests of its stockholders by preservation of the Company’s status as a REIT.</w:t>
      </w:r>
    </w:p>
    <w:p>
      <w:pPr>
        <w:spacing w:after="0" w:line="136" w:lineRule="exact"/>
        <w:rPr>
          <w:sz w:val="20"/>
          <w:szCs w:val="20"/>
          <w:color w:val="auto"/>
        </w:rPr>
      </w:pPr>
    </w:p>
    <w:p>
      <w:pPr>
        <w:ind w:left="600" w:right="620" w:firstLine="306"/>
        <w:spacing w:after="0" w:line="273" w:lineRule="auto"/>
        <w:tabs>
          <w:tab w:leader="none" w:pos="1092" w:val="left"/>
        </w:tabs>
        <w:numPr>
          <w:ilvl w:val="0"/>
          <w:numId w:val="1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Ambiguity</w:t>
      </w:r>
      <w:r>
        <w:rPr>
          <w:rFonts w:ascii="Times New Roman" w:cs="Times New Roman" w:eastAsia="Times New Roman" w:hAnsi="Times New Roman"/>
          <w:sz w:val="13"/>
          <w:szCs w:val="13"/>
          <w:color w:val="auto"/>
        </w:rPr>
        <w:t xml:space="preserve"> . In the case of an ambiguity in the application of any of the provisions of this Section 7 of these Articles Supplementary, including any definition contained in Section 7(a), the Board of Directors shall have the power to determine the application of the provisions of this Section 7 with respect to any situation based on the facts known to it (subject, however, to the provisions of Section 7(l) of these Articles Supplementary). In the event Section 7 requires an action by the Board of Directors and these Articles Supplementary fail to provide specific guidance with respect to such action, the Board of Directors shall have the power to determine the action to be taken so long as such action is not contrary to the provisions of Section 7. Absent a decision to the contrary by the Board of Directors (which the Board of Directors may make in its sole and absolute discretion), if a Person would have (but for the remedies set forth in Section 7(b)) acquired Beneficial or Constructive Ownership of Series A Preferred Stock in violation of Section 7(b)(i), such remedies (as applicable) shall apply first to the shares of Series A Preferred Stock which, but for such remedies, would have been actually owned by such Person, and second to shares of Series A Preferred Stock, which, but for such remedies, would have been Beneficially Owned or Constructively Owned (but not actually owned) by such Person, pro rata among the Persons who actually own such shares of Series A Preferred Stock based upon the relative number of the shares of Series A Preferred Stock held by each such Person.</w:t>
      </w:r>
    </w:p>
    <w:p>
      <w:pPr>
        <w:spacing w:after="0" w:line="132" w:lineRule="exact"/>
        <w:rPr>
          <w:rFonts w:ascii="Times New Roman" w:cs="Times New Roman" w:eastAsia="Times New Roman" w:hAnsi="Times New Roman"/>
          <w:sz w:val="13"/>
          <w:szCs w:val="13"/>
          <w:color w:val="auto"/>
        </w:rPr>
      </w:pPr>
    </w:p>
    <w:p>
      <w:pPr>
        <w:ind w:left="1040" w:hanging="134"/>
        <w:spacing w:after="0"/>
        <w:tabs>
          <w:tab w:leader="none" w:pos="1040" w:val="left"/>
        </w:tabs>
        <w:numPr>
          <w:ilvl w:val="0"/>
          <w:numId w:val="1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Exceptions</w:t>
      </w:r>
      <w:r>
        <w:rPr>
          <w:rFonts w:ascii="Times New Roman" w:cs="Times New Roman" w:eastAsia="Times New Roman" w:hAnsi="Times New Roman"/>
          <w:sz w:val="13"/>
          <w:szCs w:val="13"/>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125730</wp:posOffset>
            </wp:positionV>
            <wp:extent cx="4436110" cy="152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67">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575310</wp:posOffset>
            </wp:positionV>
            <wp:extent cx="5083810" cy="152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68">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19" w:name="page220"/>
    <w:bookmarkEnd w:id="219"/>
    <w:p>
      <w:pPr>
        <w:ind w:left="600" w:right="660" w:firstLine="607"/>
        <w:spacing w:after="0" w:line="281" w:lineRule="auto"/>
        <w:tabs>
          <w:tab w:leader="none" w:pos="1368" w:val="left"/>
        </w:tabs>
        <w:numPr>
          <w:ilvl w:val="0"/>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Section 7(b)(i)(C), the Board of Directors, in its sole discretion, may exempt (prospectively or retroactively) a Person from the limitation on a Person Beneficially Owning shares of Series A Preferred Stock in violation of Section 7(b)(i)(A) if the Board of Directors determines that such exemption will not cause any Individual’s Beneficial Ownership of shares of Capital Stock to violate the Aggregate Stock Ownership Limit and that such exemption will not cause the Company to fail to qualify as a REIT under the Code.</w:t>
      </w:r>
    </w:p>
    <w:p>
      <w:pPr>
        <w:spacing w:after="0" w:line="140" w:lineRule="exact"/>
        <w:rPr>
          <w:rFonts w:ascii="Times New Roman" w:cs="Times New Roman" w:eastAsia="Times New Roman" w:hAnsi="Times New Roman"/>
          <w:sz w:val="13"/>
          <w:szCs w:val="13"/>
          <w:color w:val="auto"/>
        </w:rPr>
      </w:pPr>
    </w:p>
    <w:p>
      <w:pPr>
        <w:ind w:left="600" w:right="860" w:firstLine="607"/>
        <w:spacing w:after="0" w:line="287" w:lineRule="auto"/>
        <w:tabs>
          <w:tab w:leader="none" w:pos="1404" w:val="left"/>
        </w:tabs>
        <w:numPr>
          <w:ilvl w:val="0"/>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Section 7(b)(i)(C), the Board of Directors in its sole discretion, may exempt (prospectively or retroactively) a Person from the limitation on a Person Constructively Owning Series A Preferred Stock in violation of Section 7(b) (i)(B), if the Board of Directors determines that such ownership would not cause the Company to fail to qualify as a REIT under the Code.</w:t>
      </w:r>
    </w:p>
    <w:p>
      <w:pPr>
        <w:spacing w:after="0" w:line="136" w:lineRule="exact"/>
        <w:rPr>
          <w:sz w:val="20"/>
          <w:szCs w:val="20"/>
          <w:color w:val="auto"/>
        </w:rPr>
      </w:pPr>
    </w:p>
    <w:p>
      <w:pPr>
        <w:ind w:left="600" w:right="720" w:firstLine="612"/>
        <w:spacing w:after="0" w:line="276" w:lineRule="auto"/>
        <w:rPr>
          <w:sz w:val="20"/>
          <w:szCs w:val="20"/>
          <w:color w:val="auto"/>
        </w:rPr>
      </w:pPr>
      <w:r>
        <w:rPr>
          <w:rFonts w:ascii="Times New Roman" w:cs="Times New Roman" w:eastAsia="Times New Roman" w:hAnsi="Times New Roman"/>
          <w:sz w:val="13"/>
          <w:szCs w:val="13"/>
          <w:color w:val="auto"/>
        </w:rPr>
        <w:t xml:space="preserve">(iii) Subject to Section 7(b)(i)(C) and the remainder of this Section 7(i)(iii), the Board of Directors may from time to time increase or decrease the Ownership Limit;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xml:space="preserve"> , that the decreased Ownership Limit will not be effective for any Person whose percentage ownership of Series A Preferred Stock is in excess of such decreased Ownership Limit until such time as such Person’s percentage of Series A Preferred Stock equals or falls below the decreased Ownership Limit, but any further acquisition of Series A Preferred Stock in excess of such percentage ownership of Series A Preferred Stock will be in violation of the Ownership Limit, and, provided further, that the new Ownership Limit would not allow five or fewer Persons to Beneficially Own more than 49% in value of the outstanding capital stock of the Company.</w:t>
      </w:r>
    </w:p>
    <w:p>
      <w:pPr>
        <w:spacing w:after="0" w:line="145" w:lineRule="exact"/>
        <w:rPr>
          <w:sz w:val="20"/>
          <w:szCs w:val="20"/>
          <w:color w:val="auto"/>
        </w:rPr>
      </w:pPr>
    </w:p>
    <w:p>
      <w:pPr>
        <w:ind w:left="600" w:right="700" w:firstLine="607"/>
        <w:spacing w:after="0" w:line="271" w:lineRule="auto"/>
        <w:tabs>
          <w:tab w:leader="none" w:pos="1428" w:val="left"/>
        </w:tabs>
        <w:numPr>
          <w:ilvl w:val="1"/>
          <w:numId w:val="1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granting a person an exemption under Section 7(i)(i) or (ii) above, the Board of Directors may require such Person to make certain representations or undertakings or to agree that any violation or attempted violation of such representations or undertakings (or other action which is contrary to the restrictions contained in Section 7(b) of these Articles Supplementary) will result in such Series A Preferred Stock being transferred to a Trust in accordance with Section 7(b)(ii) of these Articles Supplementary. In granting any exception pursuant to Section 7(i)</w:t>
      </w:r>
    </w:p>
    <w:p>
      <w:pPr>
        <w:jc w:val="both"/>
        <w:ind w:left="600" w:right="860" w:hanging="6"/>
        <w:spacing w:after="0" w:line="284" w:lineRule="auto"/>
        <w:tabs>
          <w:tab w:leader="none" w:pos="757" w:val="left"/>
        </w:tabs>
        <w:numPr>
          <w:ilvl w:val="0"/>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or (ii) of these Articles Supplementary, the Board of Directors may require a ruling from the IRS, or an opinion of counsel, in either case in form and substance satisfactory to the Board of Directors in its sole discretion, as it may deem necessary or advisable in order to determine or ensure the Company’s status as a REIT.</w:t>
      </w:r>
    </w:p>
    <w:p>
      <w:pPr>
        <w:spacing w:after="0" w:line="138" w:lineRule="exact"/>
        <w:rPr>
          <w:sz w:val="20"/>
          <w:szCs w:val="20"/>
          <w:color w:val="auto"/>
        </w:rPr>
      </w:pPr>
    </w:p>
    <w:p>
      <w:pPr>
        <w:ind w:left="600" w:right="1180" w:firstLine="312"/>
        <w:spacing w:after="0" w:line="305" w:lineRule="auto"/>
        <w:rPr>
          <w:sz w:val="20"/>
          <w:szCs w:val="20"/>
          <w:color w:val="auto"/>
        </w:rPr>
      </w:pPr>
      <w:r>
        <w:rPr>
          <w:rFonts w:ascii="Times New Roman" w:cs="Times New Roman" w:eastAsia="Times New Roman" w:hAnsi="Times New Roman"/>
          <w:sz w:val="13"/>
          <w:szCs w:val="13"/>
          <w:color w:val="auto"/>
        </w:rPr>
        <w:t>(j)</w:t>
      </w:r>
      <w:r>
        <w:rPr>
          <w:rFonts w:ascii="Times New Roman" w:cs="Times New Roman" w:eastAsia="Times New Roman" w:hAnsi="Times New Roman"/>
          <w:sz w:val="13"/>
          <w:szCs w:val="13"/>
          <w:u w:val="single" w:color="auto"/>
          <w:color w:val="auto"/>
        </w:rPr>
        <w:t>Legends</w:t>
      </w:r>
      <w:r>
        <w:rPr>
          <w:rFonts w:ascii="Times New Roman" w:cs="Times New Roman" w:eastAsia="Times New Roman" w:hAnsi="Times New Roman"/>
          <w:sz w:val="13"/>
          <w:szCs w:val="13"/>
          <w:color w:val="auto"/>
        </w:rPr>
        <w:t xml:space="preserve"> . Each certificate for Series A Preferred Stock shall bear substantially the following legends in addition to any legends required to comply with federal and state securities laws:</w:t>
      </w:r>
    </w:p>
    <w:p>
      <w:pPr>
        <w:spacing w:after="0" w:line="12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color w:val="auto"/>
        </w:rPr>
        <w:t>Classes of Stock</w:t>
      </w:r>
    </w:p>
    <w:p>
      <w:pPr>
        <w:spacing w:after="0" w:line="189" w:lineRule="exact"/>
        <w:rPr>
          <w:sz w:val="20"/>
          <w:szCs w:val="20"/>
          <w:color w:val="auto"/>
        </w:rPr>
      </w:pPr>
    </w:p>
    <w:p>
      <w:pPr>
        <w:ind w:left="900" w:right="720"/>
        <w:spacing w:after="0" w:line="272" w:lineRule="auto"/>
        <w:rPr>
          <w:sz w:val="20"/>
          <w:szCs w:val="20"/>
          <w:color w:val="auto"/>
        </w:rPr>
      </w:pPr>
      <w:r>
        <w:rPr>
          <w:rFonts w:ascii="Times New Roman" w:cs="Times New Roman" w:eastAsia="Times New Roman" w:hAnsi="Times New Roman"/>
          <w:sz w:val="13"/>
          <w:szCs w:val="13"/>
          <w:color w:val="auto"/>
        </w:rPr>
        <w:t>“THE COMPANY IS AUTHORIZED TO ISSUE CAPITAL STOCK OF MORE THAN ONE CLASS, CONSISTING OF COMMON STOCK AND ONE OR MORE CLASSES OF PREFERRED STOCK. THE BOARD OF DIRECTORS IS AUTHORIZED TO DETERMINE THE PREFERENCES, LIMITATIONS AND RELATIVE RIGHTS OF ANY CLASS OF THE PREFERRED STOCK BEFORE THE ISSUANCE OF SHARES OF SUCH CLASS OF PREFERRED STOCK. THE COMPANY WILL FURNISH, WITHOUT CHARGE, TO ANY STOCKHOLDER MAKING A WRITTEN REQUEST THEREFOR, A COPY OF THE COMPANY’S CHARTER AND A WRITTEN STATEMENT OF THE DESIGNATIONS, RELATIVE RIGHTS, PREFERENCES, CONVERSION OR OTHER RIGHTS, VOTING POWERS, RESTRICTIONS, LIMITATIONS AS TO DIVIDENDS AND OTHER DISTRIBUTIONS, QUALIFICATIONS AND TERMS AND CONDITIONS OF REDEMPTION OF THE STOCK OF EACH CLASS WHICH THE COMPANY HAS THE AUTHORITY TO ISSUE AND, IF THE COMPANY IS AUTHORIZED TO ISSUE ANY PREFERRED OR SPECIAL CLASS AND SERIES, (i) THE DIFFERENCES IN THE RELATIVE RIGHTS AND PREFERENCES BETWEEN THE SHARES OF EACH SERIES TO THE EXTENT SET, AND (ii) THE AUTHORITY OF THE BOARD OF DIRECTORS TO SET SUCH RIGHTS AND PREFERENCES OF SUBSEQUENT SERIES. REQUESTS FOR SUCH WRITTEN STATEMENT MAY BE DIRECTED TO THE SECRETARY OF THE COMPANY AT ITS PRINCIPAL OFFICE.”</w:t>
      </w:r>
    </w:p>
    <w:p>
      <w:pPr>
        <w:spacing w:after="0" w:line="13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color w:val="auto"/>
        </w:rPr>
        <w:t>Restriction on Ownership and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127000</wp:posOffset>
            </wp:positionV>
            <wp:extent cx="4436110" cy="152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69">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576580</wp:posOffset>
            </wp:positionV>
            <wp:extent cx="5083810" cy="152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70">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20" w:name="page221"/>
    <w:bookmarkEnd w:id="220"/>
    <w:p>
      <w:pPr>
        <w:ind w:left="900" w:right="600"/>
        <w:spacing w:after="0" w:line="270" w:lineRule="auto"/>
        <w:rPr>
          <w:sz w:val="20"/>
          <w:szCs w:val="20"/>
          <w:color w:val="auto"/>
        </w:rPr>
      </w:pPr>
      <w:r>
        <w:rPr>
          <w:rFonts w:ascii="Times New Roman" w:cs="Times New Roman" w:eastAsia="Times New Roman" w:hAnsi="Times New Roman"/>
          <w:sz w:val="13"/>
          <w:szCs w:val="13"/>
          <w:color w:val="auto"/>
        </w:rPr>
        <w:t>“THE SHARES OF SERIES A PREFERRED STOCK REPRESENTED BY THIS CERTIFICATE ARE SUBJECT TO RESTRICTIONS ON BENEFICIAL AND CONSTRUCTIVE OWNERSHIP AND TRANSFER FOR THE PURPOSE OF THE COMPANY’S MAINTENANCE OF ITS STATUS AS A REAL ESTATE INVESTMENT TRUST UNDER THE INTERNAL REVENUE CODE OF 1986, AS AMENDED (THE “CODE”). SUBJECT TO CERTAIN FURTHER RESTRICTIONS AND EXCEPT AS EXPRESSLY PROVIDED IN THE ARTICLES SUPPLEMENTARY FOR THE SERIES A PREFERRED STOCK, (i) NO PERSON MAY BENEFICIALLY OWN SHARES OF THE COMPANY’S SERIES A PREFERRED STOCK IN EXCESS OF 9.8% (BY VALUE OR BY NUMBER OF SHARES, WHICHEVER IS MORE RESTRICTIVE) OF THE OUTSTANDING SERIES A PREFERRED STOCK OF THE COMPANY; (ii) NO PERSON MAY CONSTRUCTIVELY OWN SHARES OF THE COMPANY’S SERIES A PREFERRED STOCK IN EXCESS OF 9.8% (BY VALUE OR BY NUMBER OF SHARES, WHICHEVER IS MORE RESTRICTIVE) OF THE OUTSTANDING SERIES A PREFERRED STOCK OF THE COMPANY; (iii) NO PERSON MAY BENEFICIALLY OWN SHARES OF THE COMPANY’S CAPITAL STOCK WITH A VALUE IN EXCESS OF 9.8% OF THE VALUE OF THE COMPANY’S OUTSTANDING CAPITAL STOCK; (iv) NO PERSON MAY BENEFICIALLY OR CONSTRUCTIVELY OWN SERIES A PREFERRED STOCK THAT,</w:t>
      </w:r>
    </w:p>
    <w:p>
      <w:pPr>
        <w:spacing w:after="0" w:line="2" w:lineRule="exact"/>
        <w:rPr>
          <w:sz w:val="20"/>
          <w:szCs w:val="20"/>
          <w:color w:val="auto"/>
        </w:rPr>
      </w:pPr>
    </w:p>
    <w:p>
      <w:pPr>
        <w:ind w:left="900" w:right="620"/>
        <w:spacing w:after="0" w:line="271" w:lineRule="auto"/>
        <w:rPr>
          <w:sz w:val="20"/>
          <w:szCs w:val="20"/>
          <w:color w:val="auto"/>
        </w:rPr>
      </w:pPr>
      <w:r>
        <w:rPr>
          <w:rFonts w:ascii="Times New Roman" w:cs="Times New Roman" w:eastAsia="Times New Roman" w:hAnsi="Times New Roman"/>
          <w:sz w:val="13"/>
          <w:szCs w:val="13"/>
          <w:color w:val="auto"/>
        </w:rPr>
        <w:t>TAKING INTO ACCOUNT ANY OTHER CAPITAL STOCK OF THE COMPANY BENEFICIALLY OR CONSTRUCTIVELY OWNED BY SUCH PERSON, WOULD RESULT IN THE COMPANY BEING “CLOSELY HELD” UNDER SECTION 856(h) OF THE CODE OR OTHERWISE CAUSE THE COMPANY TO FAIL TO QUALIFY AS A REIT; AND (v) NO PERSON MAY TRANSFER SERIES A PREFERRED STOCK IF SUCH TRANSFER WOULD RESULT IN THE CAPITAL STOCK OF THE COMPANY BEING OWNED BY FEWER THAN 100 PERSONS. ANY PERSON WHO BENEFICIALLY OR CONSTRUCTIVELY OWNS OR ATTEMPTS TO BENEFICIALLY OR CONSTRUCTIVELY OWN SERIES A PREFERRED STOCK WHICH CAUSES OR WILL CAUSE A PERSON TO BENEFICIALLY OR CONSTRUCTIVELY OWN SERIES A PREFERRED STOCK IN EXCESS OF THE ABOVE LIMITATIONS MUST IMMEDIATELY NOTIFY THE COMPANY. IF ANY OF THE RESTRICTIONS ON TRANSFER OR OWNERSHIP ARE VIOLATED, THE SERIES A PREFERRED STOCK REPRESENTED HEREBY IN EXCESS OF SUCH RESTRICTIONS WILL BE AUTOMATICALLY TRANSFERRED TO THE TRUSTEE OF A TRUST FOR THE BENEFIT OF ONE OR MORE CHARITABLE BENEFICIARIES. IN ADDITION, THE COMPANY MAY REDEEM SHARES UPON THE TERMS AND CONDITIONS SPECIFIED BY THE BOARD OF DIRECTORS IN ITS SOLE DISCRETION IF THE BOARD OF DIRECTORS DETERMINES THAT OWNERSHIP OR A TRANSFER OR OTHER EVENT MAY VIOLATE THE RESTRICTIONS DESCRIBED ABOVE. FURTHERMORE, UPON THE OCCURRENCE OF CERTAIN EVENTS, ATTEMPTED TRANSFERS IN VIOLATION OF THE RESTRICTIONS DESCRIBED ABOVE MAY BE VOID AB INITIO. ALL TERMS IN THIS LEGEND WHICH ARE DEFINED IN THE ARTICLES SUPPLEMENTARY FOR THE SERIES A PREFERRED STOCK SHALL HAVE THE MEANINGS ASCRIBED TO THEM IN SUCH ARTICLES SUPPLEMENTARY, AS THE SAME MAY BE AMENDED FROM TIME TO TIME, A COPY OF WHICH, INCLUDING THE RESTRICTIONS ON TRANSFER AND OWNERSHIP, WILL BE FURNISHED TO EACH HOLDER OF SERIES A PREFERRED STOCK ON REQUEST AND WITHOUT CHARGE. REQUESTS FOR SUCH A COPY MAY BE DIRECTED TO THE SECRETARY OF THE COMPANY AT ITS PRINCIPAL OFFICE.”</w:t>
      </w:r>
    </w:p>
    <w:p>
      <w:pPr>
        <w:spacing w:after="0" w:line="137" w:lineRule="exact"/>
        <w:rPr>
          <w:sz w:val="20"/>
          <w:szCs w:val="20"/>
          <w:color w:val="auto"/>
        </w:rPr>
      </w:pPr>
    </w:p>
    <w:p>
      <w:pPr>
        <w:ind w:left="600" w:right="860" w:firstLine="306"/>
        <w:spacing w:after="0" w:line="287" w:lineRule="auto"/>
        <w:tabs>
          <w:tab w:leader="none" w:pos="1080" w:val="left"/>
        </w:tabs>
        <w:numPr>
          <w:ilvl w:val="0"/>
          <w:numId w:val="1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Severability</w:t>
      </w:r>
      <w:r>
        <w:rPr>
          <w:rFonts w:ascii="Times New Roman" w:cs="Times New Roman" w:eastAsia="Times New Roman" w:hAnsi="Times New Roman"/>
          <w:sz w:val="13"/>
          <w:szCs w:val="13"/>
          <w:color w:val="auto"/>
        </w:rPr>
        <w:t xml:space="preserve"> . If any provision of this Section 7 or any application of any such provision is determined to be invalid by any federal or state court having jurisdiction over the issues, the validity of the remaining provisions shall not be affected and other applications of such provision shall be affected only to the extent necessary to comply with the determination of such court.</w:t>
      </w:r>
    </w:p>
    <w:p>
      <w:pPr>
        <w:spacing w:after="0" w:line="136" w:lineRule="exact"/>
        <w:rPr>
          <w:sz w:val="20"/>
          <w:szCs w:val="20"/>
          <w:color w:val="auto"/>
        </w:rPr>
      </w:pPr>
    </w:p>
    <w:p>
      <w:pPr>
        <w:ind w:left="600" w:right="700" w:firstLine="312"/>
        <w:spacing w:after="0" w:line="287" w:lineRule="auto"/>
        <w:rPr>
          <w:sz w:val="20"/>
          <w:szCs w:val="20"/>
          <w:color w:val="auto"/>
        </w:rPr>
      </w:pPr>
      <w:r>
        <w:rPr>
          <w:rFonts w:ascii="Times New Roman" w:cs="Times New Roman" w:eastAsia="Times New Roman" w:hAnsi="Times New Roman"/>
          <w:sz w:val="13"/>
          <w:szCs w:val="13"/>
          <w:color w:val="auto"/>
        </w:rPr>
        <w:t>(l)</w:t>
      </w:r>
      <w:r>
        <w:rPr>
          <w:rFonts w:ascii="Times New Roman" w:cs="Times New Roman" w:eastAsia="Times New Roman" w:hAnsi="Times New Roman"/>
          <w:sz w:val="13"/>
          <w:szCs w:val="13"/>
          <w:u w:val="single" w:color="auto"/>
          <w:color w:val="auto"/>
        </w:rPr>
        <w:t>NYSE</w:t>
      </w:r>
      <w:r>
        <w:rPr>
          <w:rFonts w:ascii="Times New Roman" w:cs="Times New Roman" w:eastAsia="Times New Roman" w:hAnsi="Times New Roman"/>
          <w:sz w:val="13"/>
          <w:szCs w:val="13"/>
          <w:color w:val="auto"/>
        </w:rPr>
        <w:t xml:space="preserve"> . Nothing in this Section 7 shall preclude the settlement of any transaction entered into through the facilities of the NYSE. The shares of Series A Preferred Stock that are the subject of such transaction shall continue to be subject to the provisions of this Section 7 after such settlement.</w:t>
      </w:r>
    </w:p>
    <w:p>
      <w:pPr>
        <w:spacing w:after="0" w:line="136" w:lineRule="exact"/>
        <w:rPr>
          <w:sz w:val="20"/>
          <w:szCs w:val="20"/>
          <w:color w:val="auto"/>
        </w:rPr>
      </w:pPr>
    </w:p>
    <w:p>
      <w:pPr>
        <w:ind w:left="600" w:right="840" w:firstLine="312"/>
        <w:spacing w:after="0" w:line="305" w:lineRule="auto"/>
        <w:rPr>
          <w:sz w:val="20"/>
          <w:szCs w:val="20"/>
          <w:color w:val="auto"/>
        </w:rPr>
      </w:pPr>
      <w:r>
        <w:rPr>
          <w:rFonts w:ascii="Times New Roman" w:cs="Times New Roman" w:eastAsia="Times New Roman" w:hAnsi="Times New Roman"/>
          <w:sz w:val="13"/>
          <w:szCs w:val="13"/>
          <w:color w:val="auto"/>
        </w:rPr>
        <w:t>(m)</w:t>
      </w:r>
      <w:r>
        <w:rPr>
          <w:rFonts w:ascii="Times New Roman" w:cs="Times New Roman" w:eastAsia="Times New Roman" w:hAnsi="Times New Roman"/>
          <w:sz w:val="13"/>
          <w:szCs w:val="13"/>
          <w:u w:val="single" w:color="auto"/>
          <w:color w:val="auto"/>
        </w:rPr>
        <w:t>Applicability of Section 7</w:t>
      </w:r>
      <w:r>
        <w:rPr>
          <w:rFonts w:ascii="Times New Roman" w:cs="Times New Roman" w:eastAsia="Times New Roman" w:hAnsi="Times New Roman"/>
          <w:sz w:val="13"/>
          <w:szCs w:val="13"/>
          <w:color w:val="auto"/>
        </w:rPr>
        <w:t xml:space="preserve"> . The provisions set forth in this Section 7 shall apply to the Series A Preferred Stock notwithstanding any contrary provisions of the Series A Preferred Stock provided for elsewhere in these Articles Supplementary.</w:t>
      </w:r>
    </w:p>
    <w:p>
      <w:pPr>
        <w:spacing w:after="0" w:line="124" w:lineRule="exact"/>
        <w:rPr>
          <w:sz w:val="20"/>
          <w:szCs w:val="20"/>
          <w:color w:val="auto"/>
        </w:rPr>
      </w:pPr>
    </w:p>
    <w:p>
      <w:pPr>
        <w:ind w:left="600" w:right="1040" w:firstLine="312"/>
        <w:spacing w:after="0" w:line="305" w:lineRule="auto"/>
        <w:rPr>
          <w:sz w:val="20"/>
          <w:szCs w:val="20"/>
          <w:color w:val="auto"/>
        </w:rPr>
      </w:pPr>
      <w:r>
        <w:rPr>
          <w:rFonts w:ascii="Times New Roman" w:cs="Times New Roman" w:eastAsia="Times New Roman" w:hAnsi="Times New Roman"/>
          <w:sz w:val="13"/>
          <w:szCs w:val="13"/>
          <w:color w:val="auto"/>
        </w:rPr>
        <w:t xml:space="preserve">Section 8. </w:t>
      </w:r>
      <w:r>
        <w:rPr>
          <w:rFonts w:ascii="Times New Roman" w:cs="Times New Roman" w:eastAsia="Times New Roman" w:hAnsi="Times New Roman"/>
          <w:sz w:val="13"/>
          <w:szCs w:val="13"/>
          <w:u w:val="single" w:color="auto"/>
          <w:color w:val="auto"/>
        </w:rPr>
        <w:t>No Conversion Rights</w:t>
      </w:r>
      <w:r>
        <w:rPr>
          <w:rFonts w:ascii="Times New Roman" w:cs="Times New Roman" w:eastAsia="Times New Roman" w:hAnsi="Times New Roman"/>
          <w:sz w:val="13"/>
          <w:szCs w:val="13"/>
          <w:color w:val="auto"/>
        </w:rPr>
        <w:t xml:space="preserve"> . The shares of Series A Preferred Stock shall not be convertible into or exchangeable for any other property or securities of the Company or any other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93980</wp:posOffset>
            </wp:positionV>
            <wp:extent cx="4436110" cy="76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71">
                      <a:extLst>
                        <a:ext uri="{28A0092B-C50C-407E-A947-70E740481C1C}"/>
                      </a:extLst>
                    </a:blip>
                    <a:srcRect/>
                    <a:stretch>
                      <a:fillRect/>
                    </a:stretch>
                  </pic:blipFill>
                  <pic:spPr bwMode="auto">
                    <a:xfrm>
                      <a:off x="0" y="0"/>
                      <a:ext cx="4436110"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528320</wp:posOffset>
            </wp:positionV>
            <wp:extent cx="5083810" cy="152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72">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21" w:name="page222"/>
    <w:bookmarkEnd w:id="221"/>
    <w:p>
      <w:pPr>
        <w:ind w:left="600" w:right="680" w:firstLine="312"/>
        <w:spacing w:after="0" w:line="303" w:lineRule="auto"/>
        <w:rPr>
          <w:sz w:val="20"/>
          <w:szCs w:val="20"/>
          <w:color w:val="auto"/>
        </w:rPr>
      </w:pPr>
      <w:r>
        <w:rPr>
          <w:rFonts w:ascii="Times New Roman" w:cs="Times New Roman" w:eastAsia="Times New Roman" w:hAnsi="Times New Roman"/>
          <w:sz w:val="13"/>
          <w:szCs w:val="13"/>
          <w:color w:val="auto"/>
        </w:rPr>
        <w:t xml:space="preserve">Section 9. </w:t>
      </w:r>
      <w:r>
        <w:rPr>
          <w:rFonts w:ascii="Times New Roman" w:cs="Times New Roman" w:eastAsia="Times New Roman" w:hAnsi="Times New Roman"/>
          <w:sz w:val="13"/>
          <w:szCs w:val="13"/>
          <w:u w:val="single" w:color="auto"/>
          <w:color w:val="auto"/>
        </w:rPr>
        <w:t>Record Holders</w:t>
      </w:r>
      <w:r>
        <w:rPr>
          <w:rFonts w:ascii="Times New Roman" w:cs="Times New Roman" w:eastAsia="Times New Roman" w:hAnsi="Times New Roman"/>
          <w:sz w:val="13"/>
          <w:szCs w:val="13"/>
          <w:color w:val="auto"/>
        </w:rPr>
        <w:t xml:space="preserve"> . The Company and the Transfer Agent may deem and treat the record holder of any Series A Preferred Stock as the true and lawful owner thereof for all purposes, and neither the Company nor the Transfer Agent shall be affected by any notice to the contrary.</w:t>
      </w:r>
    </w:p>
    <w:p>
      <w:pPr>
        <w:spacing w:after="0" w:line="295" w:lineRule="exact"/>
        <w:rPr>
          <w:sz w:val="20"/>
          <w:szCs w:val="20"/>
          <w:color w:val="auto"/>
        </w:rPr>
      </w:pPr>
    </w:p>
    <w:p>
      <w:pPr>
        <w:ind w:left="600" w:right="700" w:firstLine="312"/>
        <w:spacing w:after="0" w:line="305" w:lineRule="auto"/>
        <w:rPr>
          <w:sz w:val="20"/>
          <w:szCs w:val="20"/>
          <w:color w:val="auto"/>
        </w:rPr>
      </w:pPr>
      <w:r>
        <w:rPr>
          <w:rFonts w:ascii="Times New Roman" w:cs="Times New Roman" w:eastAsia="Times New Roman" w:hAnsi="Times New Roman"/>
          <w:sz w:val="13"/>
          <w:szCs w:val="13"/>
          <w:color w:val="auto"/>
        </w:rPr>
        <w:t xml:space="preserve">Section 10. </w:t>
      </w:r>
      <w:r>
        <w:rPr>
          <w:rFonts w:ascii="Times New Roman" w:cs="Times New Roman" w:eastAsia="Times New Roman" w:hAnsi="Times New Roman"/>
          <w:sz w:val="13"/>
          <w:szCs w:val="13"/>
          <w:u w:val="single" w:color="auto"/>
          <w:color w:val="auto"/>
        </w:rPr>
        <w:t>No Maturity or Sinking Fund</w:t>
      </w:r>
      <w:r>
        <w:rPr>
          <w:rFonts w:ascii="Times New Roman" w:cs="Times New Roman" w:eastAsia="Times New Roman" w:hAnsi="Times New Roman"/>
          <w:sz w:val="13"/>
          <w:szCs w:val="13"/>
          <w:color w:val="auto"/>
        </w:rPr>
        <w:t xml:space="preserve"> . The Series A Preferred Stock has no maturity date, and no sinking fund has been established for the retirement or redemption of Series A Preferred Stock.</w:t>
      </w:r>
    </w:p>
    <w:p>
      <w:pPr>
        <w:spacing w:after="0" w:line="124" w:lineRule="exact"/>
        <w:rPr>
          <w:sz w:val="20"/>
          <w:szCs w:val="20"/>
          <w:color w:val="auto"/>
        </w:rPr>
      </w:pPr>
    </w:p>
    <w:p>
      <w:pPr>
        <w:jc w:val="both"/>
        <w:ind w:left="600" w:right="780" w:firstLine="312"/>
        <w:spacing w:after="0" w:line="287" w:lineRule="auto"/>
        <w:rPr>
          <w:sz w:val="20"/>
          <w:szCs w:val="20"/>
          <w:color w:val="auto"/>
        </w:rPr>
      </w:pPr>
      <w:r>
        <w:rPr>
          <w:rFonts w:ascii="Times New Roman" w:cs="Times New Roman" w:eastAsia="Times New Roman" w:hAnsi="Times New Roman"/>
          <w:sz w:val="13"/>
          <w:szCs w:val="13"/>
          <w:color w:val="auto"/>
        </w:rPr>
        <w:t xml:space="preserve">Section 11. </w:t>
      </w:r>
      <w:r>
        <w:rPr>
          <w:rFonts w:ascii="Times New Roman" w:cs="Times New Roman" w:eastAsia="Times New Roman" w:hAnsi="Times New Roman"/>
          <w:sz w:val="13"/>
          <w:szCs w:val="13"/>
          <w:u w:val="single" w:color="auto"/>
          <w:color w:val="auto"/>
        </w:rPr>
        <w:t>Exclusion of Other Rights</w:t>
      </w:r>
      <w:r>
        <w:rPr>
          <w:rFonts w:ascii="Times New Roman" w:cs="Times New Roman" w:eastAsia="Times New Roman" w:hAnsi="Times New Roman"/>
          <w:sz w:val="13"/>
          <w:szCs w:val="13"/>
          <w:color w:val="auto"/>
        </w:rPr>
        <w:t xml:space="preserve"> . The Series A Preferred Stock shall not have any preferences or other rights, voting powers, restrictions, limitations as to dividends or other distributions, qualifications or terms or conditions of redemption other than expressly set forth in the Charter and these Articles Supplementary.</w:t>
      </w:r>
    </w:p>
    <w:p>
      <w:pPr>
        <w:spacing w:after="0" w:line="136" w:lineRule="exact"/>
        <w:rPr>
          <w:sz w:val="20"/>
          <w:szCs w:val="20"/>
          <w:color w:val="auto"/>
        </w:rPr>
      </w:pPr>
    </w:p>
    <w:p>
      <w:pPr>
        <w:ind w:left="600" w:right="800" w:firstLine="312"/>
        <w:spacing w:after="0" w:line="305" w:lineRule="auto"/>
        <w:rPr>
          <w:sz w:val="20"/>
          <w:szCs w:val="20"/>
          <w:color w:val="auto"/>
        </w:rPr>
      </w:pPr>
      <w:r>
        <w:rPr>
          <w:rFonts w:ascii="Times New Roman" w:cs="Times New Roman" w:eastAsia="Times New Roman" w:hAnsi="Times New Roman"/>
          <w:sz w:val="13"/>
          <w:szCs w:val="13"/>
          <w:color w:val="auto"/>
        </w:rPr>
        <w:t xml:space="preserve">Section 12. </w:t>
      </w:r>
      <w:r>
        <w:rPr>
          <w:rFonts w:ascii="Times New Roman" w:cs="Times New Roman" w:eastAsia="Times New Roman" w:hAnsi="Times New Roman"/>
          <w:sz w:val="13"/>
          <w:szCs w:val="13"/>
          <w:u w:val="single" w:color="auto"/>
          <w:color w:val="auto"/>
        </w:rPr>
        <w:t>Headings of Subdivisions</w:t>
      </w:r>
      <w:r>
        <w:rPr>
          <w:rFonts w:ascii="Times New Roman" w:cs="Times New Roman" w:eastAsia="Times New Roman" w:hAnsi="Times New Roman"/>
          <w:sz w:val="13"/>
          <w:szCs w:val="13"/>
          <w:color w:val="auto"/>
        </w:rPr>
        <w:t xml:space="preserve"> . The headings of the various subdivisions hereof are for convenience of reference only and shall not affect the interpretation of any of the provisions hereof.</w:t>
      </w:r>
    </w:p>
    <w:p>
      <w:pPr>
        <w:spacing w:after="0" w:line="124" w:lineRule="exact"/>
        <w:rPr>
          <w:sz w:val="20"/>
          <w:szCs w:val="20"/>
          <w:color w:val="auto"/>
        </w:rPr>
      </w:pPr>
    </w:p>
    <w:p>
      <w:pPr>
        <w:ind w:left="600" w:right="700" w:firstLine="312"/>
        <w:spacing w:after="0" w:line="274" w:lineRule="auto"/>
        <w:rPr>
          <w:sz w:val="20"/>
          <w:szCs w:val="20"/>
          <w:color w:val="auto"/>
        </w:rPr>
      </w:pPr>
      <w:r>
        <w:rPr>
          <w:rFonts w:ascii="Times New Roman" w:cs="Times New Roman" w:eastAsia="Times New Roman" w:hAnsi="Times New Roman"/>
          <w:sz w:val="13"/>
          <w:szCs w:val="13"/>
          <w:color w:val="auto"/>
        </w:rPr>
        <w:t xml:space="preserve">Section 13. </w:t>
      </w:r>
      <w:r>
        <w:rPr>
          <w:rFonts w:ascii="Times New Roman" w:cs="Times New Roman" w:eastAsia="Times New Roman" w:hAnsi="Times New Roman"/>
          <w:sz w:val="13"/>
          <w:szCs w:val="13"/>
          <w:u w:val="single" w:color="auto"/>
          <w:color w:val="auto"/>
        </w:rPr>
        <w:t>Severability of Provisions</w:t>
      </w:r>
      <w:r>
        <w:rPr>
          <w:rFonts w:ascii="Times New Roman" w:cs="Times New Roman" w:eastAsia="Times New Roman" w:hAnsi="Times New Roman"/>
          <w:sz w:val="13"/>
          <w:szCs w:val="13"/>
          <w:color w:val="auto"/>
        </w:rPr>
        <w:t xml:space="preserve"> . If any preferences or other rights, voting powers, restrictions, limitations as to dividends or other distributions, qualifications or terms or conditions of redemption of the Series A Preferred Stock set forth in the Charter and these Articles Supplementary are invalid, unlawful or incapable of being enforced by reason of any rule of law or public policy, all other preferences or other rights, voting powers, restrictions, limitations as to dividends or other distributions, qualifications or terms or conditions of redemption of Series A Preferred Stock set forth in the Charter which can be given effect without the invalid, unlawful or unenforceable provision thereof shall, nevertheless, remain in full force and effect and no preferences or other rights, voting powers, restrictions, limitations as to dividends or other distributions, qualifications or terms or conditions of redemption of the Series A Preferred Stock herein set forth shall be deemed dependent upon any other provision thereof unless so expressed therein.</w:t>
      </w:r>
    </w:p>
    <w:p>
      <w:pPr>
        <w:spacing w:after="0" w:line="135" w:lineRule="exact"/>
        <w:rPr>
          <w:sz w:val="20"/>
          <w:szCs w:val="20"/>
          <w:color w:val="auto"/>
        </w:rPr>
      </w:pPr>
    </w:p>
    <w:p>
      <w:pPr>
        <w:ind w:left="600" w:right="760" w:firstLine="312"/>
        <w:spacing w:after="0" w:line="287" w:lineRule="auto"/>
        <w:rPr>
          <w:sz w:val="20"/>
          <w:szCs w:val="20"/>
          <w:color w:val="auto"/>
        </w:rPr>
      </w:pPr>
      <w:r>
        <w:rPr>
          <w:rFonts w:ascii="Times New Roman" w:cs="Times New Roman" w:eastAsia="Times New Roman" w:hAnsi="Times New Roman"/>
          <w:sz w:val="13"/>
          <w:szCs w:val="13"/>
          <w:color w:val="auto"/>
        </w:rPr>
        <w:t xml:space="preserve">Section 14. </w:t>
      </w:r>
      <w:r>
        <w:rPr>
          <w:rFonts w:ascii="Times New Roman" w:cs="Times New Roman" w:eastAsia="Times New Roman" w:hAnsi="Times New Roman"/>
          <w:sz w:val="13"/>
          <w:szCs w:val="13"/>
          <w:u w:val="single" w:color="auto"/>
          <w:color w:val="auto"/>
        </w:rPr>
        <w:t>No Preemptive Rights</w:t>
      </w:r>
      <w:r>
        <w:rPr>
          <w:rFonts w:ascii="Times New Roman" w:cs="Times New Roman" w:eastAsia="Times New Roman" w:hAnsi="Times New Roman"/>
          <w:sz w:val="13"/>
          <w:szCs w:val="13"/>
          <w:color w:val="auto"/>
        </w:rPr>
        <w:t xml:space="preserve"> . No holder of Series A Preferred Stock shall be entitled to any preemptive rights to subscribe for or acquire any unissued shares of capital stock of the Company (whether now or hereafter authorized) or securities of the Company convertible into or carrying a right to subscribe to or acquire shares of capital stock of the Company.</w:t>
      </w:r>
    </w:p>
    <w:p>
      <w:pPr>
        <w:spacing w:after="0" w:line="136" w:lineRule="exact"/>
        <w:rPr>
          <w:sz w:val="20"/>
          <w:szCs w:val="20"/>
          <w:color w:val="auto"/>
        </w:rPr>
      </w:pPr>
    </w:p>
    <w:p>
      <w:pPr>
        <w:ind w:left="600" w:right="700" w:firstLine="312"/>
        <w:spacing w:after="0" w:line="305" w:lineRule="auto"/>
        <w:rPr>
          <w:sz w:val="20"/>
          <w:szCs w:val="20"/>
          <w:color w:val="auto"/>
        </w:rPr>
      </w:pPr>
      <w:r>
        <w:rPr>
          <w:rFonts w:ascii="Times New Roman" w:cs="Times New Roman" w:eastAsia="Times New Roman" w:hAnsi="Times New Roman"/>
          <w:sz w:val="13"/>
          <w:szCs w:val="13"/>
          <w:u w:val="single" w:color="auto"/>
          <w:color w:val="auto"/>
        </w:rPr>
        <w:t>FOURTH</w:t>
      </w:r>
      <w:r>
        <w:rPr>
          <w:rFonts w:ascii="Times New Roman" w:cs="Times New Roman" w:eastAsia="Times New Roman" w:hAnsi="Times New Roman"/>
          <w:sz w:val="13"/>
          <w:szCs w:val="13"/>
          <w:color w:val="auto"/>
        </w:rPr>
        <w:t xml:space="preserve"> : The Series A Preferred Stock have been classified and designated by the Board of Directors under the authority contained in the Charter.</w:t>
      </w:r>
    </w:p>
    <w:p>
      <w:pPr>
        <w:spacing w:after="0" w:line="4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u w:val="single" w:color="auto"/>
          <w:color w:val="auto"/>
        </w:rPr>
        <w:t>FIFTH</w:t>
      </w:r>
      <w:r>
        <w:rPr>
          <w:rFonts w:ascii="Times New Roman" w:cs="Times New Roman" w:eastAsia="Times New Roman" w:hAnsi="Times New Roman"/>
          <w:sz w:val="13"/>
          <w:szCs w:val="13"/>
          <w:color w:val="auto"/>
        </w:rPr>
        <w:t xml:space="preserve"> : These Articles Supplementary have been approved by the Board in the manner and by the vote required by law. </w:t>
      </w:r>
      <w:r>
        <w:rPr>
          <w:rFonts w:ascii="Times New Roman" w:cs="Times New Roman" w:eastAsia="Times New Roman" w:hAnsi="Times New Roman"/>
          <w:sz w:val="13"/>
          <w:szCs w:val="13"/>
          <w:u w:val="single" w:color="auto"/>
          <w:color w:val="auto"/>
        </w:rPr>
        <w:t>SIXTH</w:t>
      </w:r>
      <w:r>
        <w:rPr>
          <w:rFonts w:ascii="Times New Roman" w:cs="Times New Roman" w:eastAsia="Times New Roman" w:hAnsi="Times New Roman"/>
          <w:sz w:val="13"/>
          <w:szCs w:val="13"/>
          <w:color w:val="auto"/>
        </w:rPr>
        <w:t xml:space="preserve"> : These</w:t>
      </w:r>
    </w:p>
    <w:p>
      <w:pPr>
        <w:spacing w:after="0" w:line="163" w:lineRule="exact"/>
        <w:rPr>
          <w:sz w:val="20"/>
          <w:szCs w:val="20"/>
          <w:color w:val="auto"/>
        </w:rPr>
      </w:pPr>
    </w:p>
    <w:p>
      <w:pPr>
        <w:ind w:left="600" w:right="2440" w:firstLine="312"/>
        <w:spacing w:after="0" w:line="401" w:lineRule="auto"/>
        <w:rPr>
          <w:sz w:val="20"/>
          <w:szCs w:val="20"/>
          <w:color w:val="auto"/>
        </w:rPr>
      </w:pPr>
      <w:r>
        <w:rPr>
          <w:rFonts w:ascii="Times New Roman" w:cs="Times New Roman" w:eastAsia="Times New Roman" w:hAnsi="Times New Roman"/>
          <w:sz w:val="13"/>
          <w:szCs w:val="13"/>
          <w:color w:val="auto"/>
        </w:rPr>
        <w:t>Articles Supplementary shall be effective at the time the State Department of Assessments and Taxation of Maryland accepts these Articles Supplementary for record.</w:t>
      </w:r>
    </w:p>
    <w:p>
      <w:pPr>
        <w:spacing w:after="0" w:line="41" w:lineRule="exact"/>
        <w:rPr>
          <w:sz w:val="20"/>
          <w:szCs w:val="20"/>
          <w:color w:val="auto"/>
        </w:rPr>
      </w:pPr>
    </w:p>
    <w:p>
      <w:pPr>
        <w:ind w:left="600" w:right="580" w:firstLine="312"/>
        <w:spacing w:after="0" w:line="281" w:lineRule="auto"/>
        <w:rPr>
          <w:sz w:val="20"/>
          <w:szCs w:val="20"/>
          <w:color w:val="auto"/>
        </w:rPr>
      </w:pPr>
      <w:r>
        <w:rPr>
          <w:rFonts w:ascii="Times New Roman" w:cs="Times New Roman" w:eastAsia="Times New Roman" w:hAnsi="Times New Roman"/>
          <w:sz w:val="13"/>
          <w:szCs w:val="13"/>
          <w:u w:val="single" w:color="auto"/>
          <w:color w:val="auto"/>
        </w:rPr>
        <w:t>SEVENTH</w:t>
      </w:r>
      <w:r>
        <w:rPr>
          <w:rFonts w:ascii="Times New Roman" w:cs="Times New Roman" w:eastAsia="Times New Roman" w:hAnsi="Times New Roman"/>
          <w:sz w:val="13"/>
          <w:szCs w:val="13"/>
          <w:color w:val="auto"/>
        </w:rPr>
        <w:t xml:space="preserve"> : The undersigned Chief Executive Officer of the Company acknowledges these Articles Supplementary to be the corporate act of the Company and, as to all matters or facts required to be verified under oath, the undersigned Chief Executive Officer acknowledges that to the best of his knowledge, information and belief, these matters and facts are true in all material respects and that this statement is made under the penalties for perjury.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104140</wp:posOffset>
            </wp:positionV>
            <wp:extent cx="4436110" cy="152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73">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546100</wp:posOffset>
            </wp:positionV>
            <wp:extent cx="5083810" cy="152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74">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22" w:name="page223"/>
    <w:bookmarkEnd w:id="222"/>
    <w:p>
      <w:pPr>
        <w:jc w:val="both"/>
        <w:ind w:left="600" w:right="660" w:firstLine="312"/>
        <w:spacing w:after="0" w:line="303" w:lineRule="auto"/>
        <w:rPr>
          <w:sz w:val="20"/>
          <w:szCs w:val="20"/>
          <w:color w:val="auto"/>
        </w:rPr>
      </w:pPr>
      <w:r>
        <w:rPr>
          <w:rFonts w:ascii="Times New Roman" w:cs="Times New Roman" w:eastAsia="Times New Roman" w:hAnsi="Times New Roman"/>
          <w:sz w:val="13"/>
          <w:szCs w:val="13"/>
          <w:color w:val="auto"/>
        </w:rPr>
        <w:t>IN WITNESS WHEREOF, the Company has caused these Articles Supplementary to be executed under seal in its name and on its behalf by its Chief Executive Officer and attested to by its Chief Financial Officer, Chief Investment Officer and Secretary as of the date first written above.</w:t>
      </w:r>
    </w:p>
    <w:p>
      <w:pPr>
        <w:spacing w:after="0" w:line="3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DIGITAL REALTY TRUST, INC.</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By:/s/ Michael F. Foust</w:t>
      </w:r>
    </w:p>
    <w:p>
      <w:pPr>
        <w:spacing w:after="0" w:line="3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3"/>
          <w:szCs w:val="13"/>
          <w:color w:val="auto"/>
        </w:rPr>
        <w:t>Michael F. Foust</w:t>
      </w:r>
    </w:p>
    <w:p>
      <w:pPr>
        <w:spacing w:after="0" w:line="2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3"/>
          <w:szCs w:val="13"/>
          <w:color w:val="auto"/>
        </w:rPr>
        <w:t>Chief Executive Officer</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[SEAL]</w:t>
      </w:r>
    </w:p>
    <w:p>
      <w:pPr>
        <w:spacing w:after="0" w:line="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ATTEST:</w:t>
      </w:r>
    </w:p>
    <w:p>
      <w:pPr>
        <w:spacing w:after="0" w:line="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/s/ A. William Stein</w:t>
      </w:r>
    </w:p>
    <w:p>
      <w:pPr>
        <w:spacing w:after="0" w:line="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A. William Stein</w:t>
      </w:r>
    </w:p>
    <w:p>
      <w:pPr>
        <w:spacing w:after="0" w:line="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Chief Financial Officer,</w:t>
      </w:r>
    </w:p>
    <w:p>
      <w:pPr>
        <w:spacing w:after="0" w:line="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Chief Investment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588645</wp:posOffset>
            </wp:positionV>
            <wp:extent cx="5083810" cy="152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75">
                      <a:extLst>
                        <a:ext uri="{28A0092B-C50C-407E-A947-70E740481C1C}"/>
                      </a:extLst>
                    </a:blip>
                    <a:srcRect/>
                    <a:stretch>
                      <a:fillRect/>
                    </a:stretch>
                  </pic:blipFill>
                  <pic:spPr bwMode="auto">
                    <a:xfrm>
                      <a:off x="0" y="0"/>
                      <a:ext cx="5083810" cy="15240"/>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268605</wp:posOffset>
            </wp:positionV>
            <wp:extent cx="4436110" cy="152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76">
                      <a:extLst>
                        <a:ext uri="{28A0092B-C50C-407E-A947-70E740481C1C}"/>
                      </a:extLst>
                    </a:blip>
                    <a:srcRect/>
                    <a:stretch>
                      <a:fillRect/>
                    </a:stretch>
                  </pic:blipFill>
                  <pic:spPr bwMode="auto">
                    <a:xfrm>
                      <a:off x="0" y="0"/>
                      <a:ext cx="44361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23" w:name="page224"/>
    <w:bookmarkEnd w:id="223"/>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DIGITAL REALTY TRUST, INC. ARTICLES</w:t>
      </w:r>
    </w:p>
    <w:p>
      <w:pPr>
        <w:spacing w:after="0" w:line="1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SUPPLEMENTARY 2,530,000 SHARES OF</w:t>
      </w:r>
    </w:p>
    <w:p>
      <w:pPr>
        <w:spacing w:after="0" w:line="1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7.875% SERIES B CUMULATIVE REDEEMABLE PREFERRED STOCK J</w:t>
      </w:r>
      <w:r>
        <w:rPr>
          <w:rFonts w:ascii="Times New Roman" w:cs="Times New Roman" w:eastAsia="Times New Roman" w:hAnsi="Times New Roman"/>
          <w:sz w:val="10"/>
          <w:szCs w:val="10"/>
          <w:b w:val="1"/>
          <w:bCs w:val="1"/>
          <w:color w:val="auto"/>
        </w:rPr>
        <w:t>ULY</w:t>
      </w:r>
      <w:r>
        <w:rPr>
          <w:rFonts w:ascii="Times New Roman" w:cs="Times New Roman" w:eastAsia="Times New Roman" w:hAnsi="Times New Roman"/>
          <w:sz w:val="13"/>
          <w:szCs w:val="13"/>
          <w:b w:val="1"/>
          <w:bCs w:val="1"/>
          <w:color w:val="auto"/>
        </w:rPr>
        <w:t xml:space="preserve"> 25,</w:t>
      </w:r>
    </w:p>
    <w:p>
      <w:pPr>
        <w:spacing w:after="0" w:line="1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2005</w:t>
      </w:r>
    </w:p>
    <w:p>
      <w:pPr>
        <w:spacing w:after="0" w:line="10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Digital Realty Trust, Inc., a Maryland corporation (the “ </w:t>
      </w:r>
      <w:r>
        <w:rPr>
          <w:rFonts w:ascii="Times New Roman" w:cs="Times New Roman" w:eastAsia="Times New Roman" w:hAnsi="Times New Roman"/>
          <w:sz w:val="13"/>
          <w:szCs w:val="13"/>
          <w:u w:val="single" w:color="auto"/>
          <w:color w:val="auto"/>
        </w:rPr>
        <w:t>Company</w:t>
      </w:r>
      <w:r>
        <w:rPr>
          <w:rFonts w:ascii="Times New Roman" w:cs="Times New Roman" w:eastAsia="Times New Roman" w:hAnsi="Times New Roman"/>
          <w:sz w:val="13"/>
          <w:szCs w:val="13"/>
          <w:color w:val="auto"/>
        </w:rPr>
        <w:t xml:space="preserve"> ”), hereby certifies to the State Department of Assessments and</w:t>
      </w:r>
    </w:p>
    <w:p>
      <w:pPr>
        <w:spacing w:after="0" w:line="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 xml:space="preserve">Taxation of Maryland (the “ </w:t>
      </w:r>
      <w:r>
        <w:rPr>
          <w:rFonts w:ascii="Times New Roman" w:cs="Times New Roman" w:eastAsia="Times New Roman" w:hAnsi="Times New Roman"/>
          <w:sz w:val="13"/>
          <w:szCs w:val="13"/>
          <w:u w:val="single" w:color="auto"/>
          <w:color w:val="auto"/>
        </w:rPr>
        <w:t>Department</w:t>
      </w:r>
      <w:r>
        <w:rPr>
          <w:rFonts w:ascii="Times New Roman" w:cs="Times New Roman" w:eastAsia="Times New Roman" w:hAnsi="Times New Roman"/>
          <w:sz w:val="13"/>
          <w:szCs w:val="13"/>
          <w:color w:val="auto"/>
        </w:rPr>
        <w:t xml:space="preserve"> ”) that:</w:t>
      </w:r>
    </w:p>
    <w:p>
      <w:pPr>
        <w:spacing w:after="0" w:line="171" w:lineRule="exact"/>
        <w:rPr>
          <w:sz w:val="20"/>
          <w:szCs w:val="20"/>
          <w:color w:val="auto"/>
        </w:rPr>
      </w:pPr>
    </w:p>
    <w:p>
      <w:pPr>
        <w:ind w:left="600" w:right="700" w:firstLine="312"/>
        <w:spacing w:after="0" w:line="270" w:lineRule="auto"/>
        <w:rPr>
          <w:sz w:val="20"/>
          <w:szCs w:val="20"/>
          <w:color w:val="auto"/>
        </w:rPr>
      </w:pPr>
      <w:r>
        <w:rPr>
          <w:rFonts w:ascii="Times New Roman" w:cs="Times New Roman" w:eastAsia="Times New Roman" w:hAnsi="Times New Roman"/>
          <w:sz w:val="13"/>
          <w:szCs w:val="13"/>
          <w:u w:val="single" w:color="auto"/>
          <w:color w:val="auto"/>
        </w:rPr>
        <w:t>FIRST</w:t>
      </w:r>
      <w:r>
        <w:rPr>
          <w:rFonts w:ascii="Times New Roman" w:cs="Times New Roman" w:eastAsia="Times New Roman" w:hAnsi="Times New Roman"/>
          <w:sz w:val="13"/>
          <w:szCs w:val="13"/>
          <w:color w:val="auto"/>
        </w:rPr>
        <w:t xml:space="preserve"> : Pursuant to the authority expressly vested in the Board of Directors of the Company (the “ </w:t>
      </w:r>
      <w:r>
        <w:rPr>
          <w:rFonts w:ascii="Times New Roman" w:cs="Times New Roman" w:eastAsia="Times New Roman" w:hAnsi="Times New Roman"/>
          <w:sz w:val="13"/>
          <w:szCs w:val="13"/>
          <w:u w:val="single" w:color="auto"/>
          <w:color w:val="auto"/>
        </w:rPr>
        <w:t>Board of Directors</w:t>
      </w:r>
      <w:r>
        <w:rPr>
          <w:rFonts w:ascii="Times New Roman" w:cs="Times New Roman" w:eastAsia="Times New Roman" w:hAnsi="Times New Roman"/>
          <w:sz w:val="13"/>
          <w:szCs w:val="13"/>
          <w:color w:val="auto"/>
        </w:rPr>
        <w:t xml:space="preserve"> ”) by Article IV of the Articles of Amendment and Restatement of the Company filed with the Department on October 26, 2004 (the “ </w:t>
      </w:r>
      <w:r>
        <w:rPr>
          <w:rFonts w:ascii="Times New Roman" w:cs="Times New Roman" w:eastAsia="Times New Roman" w:hAnsi="Times New Roman"/>
          <w:sz w:val="13"/>
          <w:szCs w:val="13"/>
          <w:u w:val="single" w:color="auto"/>
          <w:color w:val="auto"/>
        </w:rPr>
        <w:t>Charter</w:t>
      </w:r>
      <w:r>
        <w:rPr>
          <w:rFonts w:ascii="Times New Roman" w:cs="Times New Roman" w:eastAsia="Times New Roman" w:hAnsi="Times New Roman"/>
          <w:sz w:val="13"/>
          <w:szCs w:val="13"/>
          <w:color w:val="auto"/>
        </w:rPr>
        <w:t xml:space="preserve"> ”) and Section 2-105 of the Maryland General Corporation Law (the “ </w:t>
      </w:r>
      <w:r>
        <w:rPr>
          <w:rFonts w:ascii="Times New Roman" w:cs="Times New Roman" w:eastAsia="Times New Roman" w:hAnsi="Times New Roman"/>
          <w:sz w:val="13"/>
          <w:szCs w:val="13"/>
          <w:u w:val="single" w:color="auto"/>
          <w:color w:val="auto"/>
        </w:rPr>
        <w:t>MGCL</w:t>
      </w:r>
      <w:r>
        <w:rPr>
          <w:rFonts w:ascii="Times New Roman" w:cs="Times New Roman" w:eastAsia="Times New Roman" w:hAnsi="Times New Roman"/>
          <w:sz w:val="13"/>
          <w:szCs w:val="13"/>
          <w:color w:val="auto"/>
        </w:rPr>
        <w:t xml:space="preserve"> ”), the Board of Directors, by resolutions duly adopted on June 21, 2005, has authorized the classification and designation of up to 3,600,000 shares (plus up to an additional 15% to cover any underwriter over-allotment option) of the authorized but unissued preferred stock of the Company, par value</w:t>
      </w:r>
    </w:p>
    <w:p>
      <w:pPr>
        <w:spacing w:after="0" w:line="3" w:lineRule="exact"/>
        <w:rPr>
          <w:sz w:val="20"/>
          <w:szCs w:val="20"/>
          <w:color w:val="auto"/>
        </w:rPr>
      </w:pPr>
    </w:p>
    <w:p>
      <w:pPr>
        <w:ind w:left="600" w:right="620"/>
        <w:spacing w:after="0" w:line="273" w:lineRule="auto"/>
        <w:rPr>
          <w:sz w:val="20"/>
          <w:szCs w:val="20"/>
          <w:color w:val="auto"/>
        </w:rPr>
      </w:pPr>
      <w:r>
        <w:rPr>
          <w:rFonts w:ascii="Times New Roman" w:cs="Times New Roman" w:eastAsia="Times New Roman" w:hAnsi="Times New Roman"/>
          <w:sz w:val="13"/>
          <w:szCs w:val="13"/>
          <w:color w:val="auto"/>
        </w:rPr>
        <w:t xml:space="preserve">$.01 per share (“ </w:t>
      </w:r>
      <w:r>
        <w:rPr>
          <w:rFonts w:ascii="Times New Roman" w:cs="Times New Roman" w:eastAsia="Times New Roman" w:hAnsi="Times New Roman"/>
          <w:sz w:val="13"/>
          <w:szCs w:val="13"/>
          <w:u w:val="single" w:color="auto"/>
          <w:color w:val="auto"/>
        </w:rPr>
        <w:t>Preferred Stock</w:t>
      </w:r>
      <w:r>
        <w:rPr>
          <w:rFonts w:ascii="Times New Roman" w:cs="Times New Roman" w:eastAsia="Times New Roman" w:hAnsi="Times New Roman"/>
          <w:sz w:val="13"/>
          <w:szCs w:val="13"/>
          <w:color w:val="auto"/>
        </w:rPr>
        <w:t xml:space="preserve"> ”), as a separate class of Preferred Stock, the issuance of a maximum of 3,600,000 shares (plus up to an additional 15% to cover any underwriter over-allotment option) of such class of Preferred Stock, and, pursuant to the powers contained in the Bylaws of the Company and the MGCL, appointed a committee (the “ </w:t>
      </w:r>
      <w:r>
        <w:rPr>
          <w:rFonts w:ascii="Times New Roman" w:cs="Times New Roman" w:eastAsia="Times New Roman" w:hAnsi="Times New Roman"/>
          <w:sz w:val="13"/>
          <w:szCs w:val="13"/>
          <w:u w:val="single" w:color="auto"/>
          <w:color w:val="auto"/>
        </w:rPr>
        <w:t>Committee</w:t>
      </w:r>
      <w:r>
        <w:rPr>
          <w:rFonts w:ascii="Times New Roman" w:cs="Times New Roman" w:eastAsia="Times New Roman" w:hAnsi="Times New Roman"/>
          <w:sz w:val="13"/>
          <w:szCs w:val="13"/>
          <w:color w:val="auto"/>
        </w:rPr>
        <w:t xml:space="preserve"> ”) of the Board of Directors and delegated to the Committee, to the fullest extent permitted by the MGCL and the Charter and Bylaws of the Company, among other things, all powers of the Board of Directors with respect to (i) setting the number of shares of the Preferred Stock to be classified and designated, up to a maximum of 3,600,000 shares (plus up to an additional 15% to cover any underwriter over-allotment option) of Preferred Stock, (ii) choosing the cumulative dividend percentage for the Preferred Stock, (iii) selecting the dates on which dividends will be paid on the Preferred Stock, (iv) establishing the price per share for the Preferred Stock, (v) authorizing, approving and filing these Articles Supplementary with the Department, and (vi) authorizing and approving all such other actions as the Committee may deem necessary or desirable in connection with the classification, authorization, issuance, offer, and sale of the Preferred Stock.</w:t>
      </w:r>
    </w:p>
    <w:p>
      <w:pPr>
        <w:spacing w:after="0" w:line="303" w:lineRule="exact"/>
        <w:rPr>
          <w:sz w:val="20"/>
          <w:szCs w:val="20"/>
          <w:color w:val="auto"/>
        </w:rPr>
      </w:pPr>
    </w:p>
    <w:p>
      <w:pPr>
        <w:ind w:left="600" w:right="660" w:firstLine="312"/>
        <w:spacing w:after="0" w:line="278" w:lineRule="auto"/>
        <w:rPr>
          <w:sz w:val="20"/>
          <w:szCs w:val="20"/>
          <w:color w:val="auto"/>
        </w:rPr>
      </w:pPr>
      <w:r>
        <w:rPr>
          <w:rFonts w:ascii="Times New Roman" w:cs="Times New Roman" w:eastAsia="Times New Roman" w:hAnsi="Times New Roman"/>
          <w:sz w:val="13"/>
          <w:szCs w:val="13"/>
          <w:u w:val="single" w:color="auto"/>
          <w:color w:val="auto"/>
        </w:rPr>
        <w:t>SECOND</w:t>
      </w:r>
      <w:r>
        <w:rPr>
          <w:rFonts w:ascii="Times New Roman" w:cs="Times New Roman" w:eastAsia="Times New Roman" w:hAnsi="Times New Roman"/>
          <w:sz w:val="13"/>
          <w:szCs w:val="13"/>
          <w:color w:val="auto"/>
        </w:rPr>
        <w:t xml:space="preserve"> : The Committee has unanimously adopted resolutions classifying and designating the Preferred Stock as a separate class of Preferred Stock to be known as the “7.875% Series B Cumulative Redeemable Preferred Stock,” setting the preferences, conversion and other rights, voting powers, restrictions, limitations as to dividends and other distributions, transfers, qualifications, terms and conditions of redemption and other terms and conditions of such 7.875% Series B Cumulative Redeemable Preferred Stock, and authorizing the issuance of up to 2,530,000 shares of 7.875% Series B Cumulative Redeemable Preferred Stock.</w:t>
      </w:r>
    </w:p>
    <w:p>
      <w:pPr>
        <w:spacing w:after="0" w:line="143" w:lineRule="exact"/>
        <w:rPr>
          <w:sz w:val="20"/>
          <w:szCs w:val="20"/>
          <w:color w:val="auto"/>
        </w:rPr>
      </w:pPr>
    </w:p>
    <w:p>
      <w:pPr>
        <w:ind w:left="600" w:right="760" w:firstLine="312"/>
        <w:spacing w:after="0" w:line="278" w:lineRule="auto"/>
        <w:rPr>
          <w:sz w:val="20"/>
          <w:szCs w:val="20"/>
          <w:color w:val="auto"/>
        </w:rPr>
      </w:pPr>
      <w:r>
        <w:rPr>
          <w:rFonts w:ascii="Times New Roman" w:cs="Times New Roman" w:eastAsia="Times New Roman" w:hAnsi="Times New Roman"/>
          <w:sz w:val="13"/>
          <w:szCs w:val="13"/>
          <w:u w:val="single" w:color="auto"/>
          <w:color w:val="auto"/>
        </w:rPr>
        <w:t>THIRD</w:t>
      </w:r>
      <w:r>
        <w:rPr>
          <w:rFonts w:ascii="Times New Roman" w:cs="Times New Roman" w:eastAsia="Times New Roman" w:hAnsi="Times New Roman"/>
          <w:sz w:val="13"/>
          <w:szCs w:val="13"/>
          <w:color w:val="auto"/>
        </w:rPr>
        <w:t xml:space="preserve"> : The designation, number of shares, preferences, rights, voting powers, restrictions, limitations as to dividends and other distributions, qualifications, terms and conditions of redemption and other terms and conditions of the separate class of Preferred Stock of the Company designated as 7.875% Series B Cumulative Redeemable Preferred Stock are as follows (the “ </w:t>
      </w:r>
      <w:r>
        <w:rPr>
          <w:rFonts w:ascii="Times New Roman" w:cs="Times New Roman" w:eastAsia="Times New Roman" w:hAnsi="Times New Roman"/>
          <w:sz w:val="13"/>
          <w:szCs w:val="13"/>
          <w:u w:val="single" w:color="auto"/>
          <w:color w:val="auto"/>
        </w:rPr>
        <w:t>Series B Terms</w:t>
      </w:r>
      <w:r>
        <w:rPr>
          <w:rFonts w:ascii="Times New Roman" w:cs="Times New Roman" w:eastAsia="Times New Roman" w:hAnsi="Times New Roman"/>
          <w:sz w:val="13"/>
          <w:szCs w:val="13"/>
          <w:color w:val="auto"/>
        </w:rPr>
        <w:t xml:space="preserve"> ”), which upon any restatement of the Charter shall be made a part of or incorporated by reference into the Charter with any necessary or appropriate changes to the enumeration or lettering of sections or subsections thereof:</w:t>
      </w:r>
    </w:p>
    <w:p>
      <w:pPr>
        <w:spacing w:after="0" w:line="137" w:lineRule="exact"/>
        <w:rPr>
          <w:sz w:val="20"/>
          <w:szCs w:val="20"/>
          <w:color w:val="auto"/>
        </w:rPr>
      </w:pPr>
    </w:p>
    <w:tbl>
      <w:tblPr>
        <w:tblLayout w:type="fixed"/>
        <w:tblInd w:w="600" w:type="dxa"/>
        <w:tblCellMar>
          <w:top w:w="0" w:type="dxa"/>
          <w:left w:w="0" w:type="dxa"/>
          <w:bottom w:w="0" w:type="dxa"/>
          <w:right w:w="0" w:type="dxa"/>
        </w:tblCellMar>
      </w:tblPr>
      <w:tr>
        <w:trPr>
          <w:trHeight w:val="149"/>
        </w:trPr>
        <w:tc>
          <w:tcPr>
            <w:tcW w:w="7140" w:type="dxa"/>
            <w:vAlign w:val="bottom"/>
            <w:gridSpan w:val="6"/>
          </w:tcPr>
          <w:p>
            <w:pPr>
              <w:ind w:left="300"/>
              <w:spacing w:after="0"/>
              <w:rPr>
                <w:sz w:val="20"/>
                <w:szCs w:val="20"/>
                <w:color w:val="auto"/>
              </w:rPr>
            </w:pPr>
            <w:r>
              <w:rPr>
                <w:rFonts w:ascii="Times New Roman" w:cs="Times New Roman" w:eastAsia="Times New Roman" w:hAnsi="Times New Roman"/>
                <w:sz w:val="13"/>
                <w:szCs w:val="13"/>
                <w:color w:val="auto"/>
              </w:rPr>
              <w:t>Section 1. Designation and Number . A series of Preferred Stock, designated the “7.875% Series B Cumulative Redeemable</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Preferred</w:t>
            </w:r>
          </w:p>
        </w:tc>
      </w:tr>
      <w:tr>
        <w:trPr>
          <w:trHeight w:val="20"/>
        </w:trPr>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48"/>
        </w:trPr>
        <w:tc>
          <w:tcPr>
            <w:tcW w:w="7140" w:type="dxa"/>
            <w:vAlign w:val="bottom"/>
            <w:gridSpan w:val="6"/>
          </w:tcPr>
          <w:p>
            <w:pPr>
              <w:spacing w:after="0" w:line="148" w:lineRule="exact"/>
              <w:rPr>
                <w:sz w:val="20"/>
                <w:szCs w:val="20"/>
                <w:color w:val="auto"/>
              </w:rPr>
            </w:pPr>
            <w:r>
              <w:rPr>
                <w:rFonts w:ascii="Times New Roman" w:cs="Times New Roman" w:eastAsia="Times New Roman" w:hAnsi="Times New Roman"/>
                <w:sz w:val="13"/>
                <w:szCs w:val="13"/>
                <w:color w:val="auto"/>
              </w:rPr>
              <w:t>Stock” (the “ Series B Preferred Stock ”), is hereby established. The number of shares of Series B Preferred Stock shall be 2,530,000.</w:t>
            </w:r>
          </w:p>
        </w:tc>
        <w:tc>
          <w:tcPr>
            <w:tcW w:w="640" w:type="dxa"/>
            <w:vAlign w:val="bottom"/>
          </w:tcPr>
          <w:p>
            <w:pPr>
              <w:spacing w:after="0"/>
              <w:rPr>
                <w:sz w:val="12"/>
                <w:szCs w:val="12"/>
                <w:color w:val="auto"/>
              </w:rPr>
            </w:pPr>
          </w:p>
        </w:tc>
      </w:tr>
      <w:tr>
        <w:trPr>
          <w:trHeight w:val="20"/>
        </w:trPr>
        <w:tc>
          <w:tcPr>
            <w:tcW w:w="72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1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16"/>
        </w:trPr>
        <w:tc>
          <w:tcPr>
            <w:tcW w:w="7140" w:type="dxa"/>
            <w:vAlign w:val="bottom"/>
            <w:gridSpan w:val="6"/>
          </w:tcPr>
          <w:p>
            <w:pPr>
              <w:ind w:left="300"/>
              <w:spacing w:after="0"/>
              <w:rPr>
                <w:sz w:val="20"/>
                <w:szCs w:val="20"/>
                <w:color w:val="auto"/>
              </w:rPr>
            </w:pPr>
            <w:r>
              <w:rPr>
                <w:rFonts w:ascii="Times New Roman" w:cs="Times New Roman" w:eastAsia="Times New Roman" w:hAnsi="Times New Roman"/>
                <w:sz w:val="13"/>
                <w:szCs w:val="13"/>
                <w:color w:val="auto"/>
              </w:rPr>
              <w:t>Section 2. Rank . The Series B Preferred Stock will, with respect to dividend rights and rights upon voluntary or involuntary</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7"/>
              </w:rPr>
              <w:t>liquidation,</w:t>
            </w:r>
          </w:p>
        </w:tc>
      </w:tr>
      <w:tr>
        <w:trPr>
          <w:trHeight w:val="20"/>
        </w:trPr>
        <w:tc>
          <w:tcPr>
            <w:tcW w:w="7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12" w:lineRule="exact"/>
        <w:rPr>
          <w:sz w:val="20"/>
          <w:szCs w:val="20"/>
          <w:color w:val="auto"/>
        </w:rPr>
      </w:pPr>
    </w:p>
    <w:p>
      <w:pPr>
        <w:jc w:val="both"/>
        <w:ind w:left="600" w:right="640"/>
        <w:spacing w:after="0" w:line="305" w:lineRule="auto"/>
        <w:rPr>
          <w:sz w:val="20"/>
          <w:szCs w:val="20"/>
          <w:color w:val="auto"/>
        </w:rPr>
      </w:pPr>
      <w:r>
        <w:rPr>
          <w:rFonts w:ascii="Times New Roman" w:cs="Times New Roman" w:eastAsia="Times New Roman" w:hAnsi="Times New Roman"/>
          <w:sz w:val="13"/>
          <w:szCs w:val="13"/>
          <w:color w:val="auto"/>
        </w:rPr>
        <w:t xml:space="preserve">dissolution or winding up of the Company, rank: (i) senior to all classes or series of the Company’s common stock, par value $.01 per share (the “ </w:t>
      </w:r>
      <w:r>
        <w:rPr>
          <w:rFonts w:ascii="Times New Roman" w:cs="Times New Roman" w:eastAsia="Times New Roman" w:hAnsi="Times New Roman"/>
          <w:sz w:val="13"/>
          <w:szCs w:val="13"/>
          <w:u w:val="single" w:color="auto"/>
          <w:color w:val="auto"/>
        </w:rPr>
        <w:t>Common Stock</w:t>
      </w:r>
      <w:r>
        <w:rPr>
          <w:rFonts w:ascii="Times New Roman" w:cs="Times New Roman" w:eastAsia="Times New Roman" w:hAnsi="Times New Roman"/>
          <w:sz w:val="13"/>
          <w:szCs w:val="13"/>
          <w:color w:val="auto"/>
        </w:rPr>
        <w:t xml:space="preserve"> ”), and all classes or series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93980</wp:posOffset>
            </wp:positionV>
            <wp:extent cx="4436110" cy="76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77">
                      <a:extLst>
                        <a:ext uri="{28A0092B-C50C-407E-A947-70E740481C1C}"/>
                      </a:extLst>
                    </a:blip>
                    <a:srcRect/>
                    <a:stretch>
                      <a:fillRect/>
                    </a:stretch>
                  </pic:blipFill>
                  <pic:spPr bwMode="auto">
                    <a:xfrm>
                      <a:off x="0" y="0"/>
                      <a:ext cx="4436110"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528320</wp:posOffset>
            </wp:positionV>
            <wp:extent cx="5083810" cy="152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78">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640" w:right="1440" w:bottom="1440" w:gutter="0" w:footer="0" w:header="0"/>
        </w:sectPr>
      </w:pPr>
    </w:p>
    <w:bookmarkStart w:id="224" w:name="page225"/>
    <w:bookmarkEnd w:id="224"/>
    <w:p>
      <w:pPr>
        <w:ind w:left="600" w:right="740"/>
        <w:spacing w:after="0" w:line="274" w:lineRule="auto"/>
        <w:rPr>
          <w:sz w:val="20"/>
          <w:szCs w:val="20"/>
          <w:color w:val="auto"/>
        </w:rPr>
      </w:pPr>
      <w:r>
        <w:rPr>
          <w:rFonts w:ascii="Times New Roman" w:cs="Times New Roman" w:eastAsia="Times New Roman" w:hAnsi="Times New Roman"/>
          <w:sz w:val="13"/>
          <w:szCs w:val="13"/>
          <w:color w:val="auto"/>
        </w:rPr>
        <w:t xml:space="preserve">capital stock of the Company now or hereafter authorized, issued or outstanding expressly designated as ranking junior to the Series B Preferred Stock as to dividend rights and rights upon voluntary or involuntary liquidation, dissolution or winding up of the Company; (ii) on parity with Series A Cumulative Redeemable Preferred Stock of the Company and with any class or series of capital stock of the Company expressly designated as ranking on parity with the Series B Preferred Stock as to dividend rights and rights upon voluntary or involuntary liquidation, dissolution or winding up of the Company; and (iii) junior to any class or series of capital stock of the Company expressly designated as ranking senior to the Series B Preferred Stock as to dividend rights and rights upon voluntary or involuntary liquidation, dissolution or winding up of the Company. The term “ </w:t>
      </w:r>
      <w:r>
        <w:rPr>
          <w:rFonts w:ascii="Times New Roman" w:cs="Times New Roman" w:eastAsia="Times New Roman" w:hAnsi="Times New Roman"/>
          <w:sz w:val="13"/>
          <w:szCs w:val="13"/>
          <w:u w:val="single" w:color="auto"/>
          <w:color w:val="auto"/>
        </w:rPr>
        <w:t>capital stock</w:t>
      </w:r>
      <w:r>
        <w:rPr>
          <w:rFonts w:ascii="Times New Roman" w:cs="Times New Roman" w:eastAsia="Times New Roman" w:hAnsi="Times New Roman"/>
          <w:sz w:val="13"/>
          <w:szCs w:val="13"/>
          <w:color w:val="auto"/>
        </w:rPr>
        <w:t xml:space="preserve"> ” does not include convertible debt securities, which will rank senior to the Series B Preferred Stock prior to conversion.</w:t>
      </w:r>
    </w:p>
    <w:p>
      <w:pPr>
        <w:spacing w:after="0" w:line="14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Section 3. </w:t>
      </w:r>
      <w:r>
        <w:rPr>
          <w:rFonts w:ascii="Times New Roman" w:cs="Times New Roman" w:eastAsia="Times New Roman" w:hAnsi="Times New Roman"/>
          <w:sz w:val="13"/>
          <w:szCs w:val="13"/>
          <w:u w:val="single" w:color="auto"/>
          <w:color w:val="auto"/>
        </w:rPr>
        <w:t>Dividends</w:t>
      </w:r>
      <w:r>
        <w:rPr>
          <w:rFonts w:ascii="Times New Roman" w:cs="Times New Roman" w:eastAsia="Times New Roman" w:hAnsi="Times New Roman"/>
          <w:sz w:val="13"/>
          <w:szCs w:val="13"/>
          <w:color w:val="auto"/>
        </w:rPr>
        <w:t xml:space="preserve"> .</w:t>
      </w:r>
    </w:p>
    <w:p>
      <w:pPr>
        <w:spacing w:after="0" w:line="187" w:lineRule="exact"/>
        <w:rPr>
          <w:sz w:val="20"/>
          <w:szCs w:val="20"/>
          <w:color w:val="auto"/>
        </w:rPr>
      </w:pPr>
    </w:p>
    <w:p>
      <w:pPr>
        <w:ind w:left="600" w:right="620" w:firstLine="306"/>
        <w:spacing w:after="0" w:line="271" w:lineRule="auto"/>
        <w:tabs>
          <w:tab w:leader="none" w:pos="1092" w:val="left"/>
        </w:tabs>
        <w:numPr>
          <w:ilvl w:val="0"/>
          <w:numId w:val="1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Subject to the preferential rights of the holders of any class or series of capital stock of the Company ranking senior to the Series B Preferred Stock as to dividends, the holders of shares of the Series B Preferred Stock shall be entitled to receive, when, as and if authorized by the Board of Directors and declared by the Company, out of funds legally available for the payment of dividends, cumulative cash dividends at the rate of 7.875% per annum of the $25.00 liquidation preference per share of the Series B Preferred Stock (equivalent to the fixed annual amount of $1.96875 per share of the Series B Preferred Stock). Such dividends shall accrue and be cumulative from and including the first date on which any shares of Series B Preferred Stock are issued (the “ </w:t>
      </w:r>
      <w:r>
        <w:rPr>
          <w:rFonts w:ascii="Times New Roman" w:cs="Times New Roman" w:eastAsia="Times New Roman" w:hAnsi="Times New Roman"/>
          <w:sz w:val="13"/>
          <w:szCs w:val="13"/>
          <w:u w:val="single" w:color="auto"/>
          <w:color w:val="auto"/>
        </w:rPr>
        <w:t>Original Issue Date</w:t>
      </w:r>
      <w:r>
        <w:rPr>
          <w:rFonts w:ascii="Times New Roman" w:cs="Times New Roman" w:eastAsia="Times New Roman" w:hAnsi="Times New Roman"/>
          <w:sz w:val="13"/>
          <w:szCs w:val="13"/>
          <w:color w:val="auto"/>
        </w:rPr>
        <w:t xml:space="preserve"> ”) and shall be payable quarterly in arrears on each Dividend Payment Date (as defined below), commencing September 30, 2005; provided, however, that if any Dividend Payment Date is not a Business Day (as defined below), then the dividend which would otherwise have been payable on such Dividend Payment Date may be paid on the next succeeding Business Day, except that, if such Business Day is in the next succeeding calendar year, such payment shall be made on the immediately preceding Business Day, in each case with the same force and effect as if paid on such Dividend Payment Date, and no interest or additional dividends or other sums shall accrue on the amount so payable from such Dividend Payment Date to such next succeeding Business Day. The amount of any dividend payable on the Series B Preferred Stock for any partial Dividend Period (as defined below) shall be prorated and computed on the basis of a 360-day year consisting of twelve 30-day months. Dividends will be payable to holders of record as they appear in the stockholder records of the Company at the close of business on the applicable Dividend Record Date (as defined below). Notwithstanding any provision to the contrary contained herein, each outstanding share of Series B Preferred Stock shall be entitled to receive a dividend with respect to any Dividend Record Date equal to the dividend paid with respect to each other share of Series B Preferred Stock that is outstanding on such date. “ </w:t>
      </w:r>
      <w:r>
        <w:rPr>
          <w:rFonts w:ascii="Times New Roman" w:cs="Times New Roman" w:eastAsia="Times New Roman" w:hAnsi="Times New Roman"/>
          <w:sz w:val="13"/>
          <w:szCs w:val="13"/>
          <w:u w:val="single" w:color="auto"/>
          <w:color w:val="auto"/>
        </w:rPr>
        <w:t>Dividend Record Date</w:t>
      </w:r>
      <w:r>
        <w:rPr>
          <w:rFonts w:ascii="Times New Roman" w:cs="Times New Roman" w:eastAsia="Times New Roman" w:hAnsi="Times New Roman"/>
          <w:sz w:val="13"/>
          <w:szCs w:val="13"/>
          <w:color w:val="auto"/>
        </w:rPr>
        <w:t xml:space="preserve"> ” shall mean the date designated by the Board of Directors for the payment of dividends that is not more than 35 or fewer than 10 days prior to the applicable Dividend Payment Date. “ </w:t>
      </w:r>
      <w:r>
        <w:rPr>
          <w:rFonts w:ascii="Times New Roman" w:cs="Times New Roman" w:eastAsia="Times New Roman" w:hAnsi="Times New Roman"/>
          <w:sz w:val="13"/>
          <w:szCs w:val="13"/>
          <w:u w:val="single" w:color="auto"/>
          <w:color w:val="auto"/>
        </w:rPr>
        <w:t>Dividend Payment Date</w:t>
      </w:r>
      <w:r>
        <w:rPr>
          <w:rFonts w:ascii="Times New Roman" w:cs="Times New Roman" w:eastAsia="Times New Roman" w:hAnsi="Times New Roman"/>
          <w:sz w:val="13"/>
          <w:szCs w:val="13"/>
          <w:color w:val="auto"/>
        </w:rPr>
        <w:t xml:space="preserve"> ” shall mean the last calendar day of each March, June, September and December, commencing on September 30, 2005. “ </w:t>
      </w:r>
      <w:r>
        <w:rPr>
          <w:rFonts w:ascii="Times New Roman" w:cs="Times New Roman" w:eastAsia="Times New Roman" w:hAnsi="Times New Roman"/>
          <w:sz w:val="13"/>
          <w:szCs w:val="13"/>
          <w:u w:val="single" w:color="auto"/>
          <w:color w:val="auto"/>
        </w:rPr>
        <w:t>Dividend Period</w:t>
      </w:r>
      <w:r>
        <w:rPr>
          <w:rFonts w:ascii="Times New Roman" w:cs="Times New Roman" w:eastAsia="Times New Roman" w:hAnsi="Times New Roman"/>
          <w:sz w:val="13"/>
          <w:szCs w:val="13"/>
          <w:color w:val="auto"/>
        </w:rPr>
        <w:t xml:space="preserve"> ” shall mean the respective periods commencing on and including the first day of January, April, July and October of each year and ending on and including the day preceding the first day of the next succeeding Dividend Period (other than the initial Dividend Period, which shall commence on the Original Issue Date and end on and include September 30, 2005, and other than the Dividend Period during which any shares of Series B Preferred Stock shall be redeemed pursuant to Section 5, which shall end on and include the day preceding the call date with respect to the shares of Series B Preferred Stock being redeemed).</w:t>
      </w:r>
    </w:p>
    <w:p>
      <w:pPr>
        <w:spacing w:after="0" w:line="139" w:lineRule="exact"/>
        <w:rPr>
          <w:sz w:val="20"/>
          <w:szCs w:val="20"/>
          <w:color w:val="auto"/>
        </w:rPr>
      </w:pPr>
    </w:p>
    <w:p>
      <w:pPr>
        <w:ind w:left="600" w:right="900" w:firstLine="312"/>
        <w:spacing w:after="0" w:line="305" w:lineRule="auto"/>
        <w:rPr>
          <w:sz w:val="20"/>
          <w:szCs w:val="20"/>
          <w:color w:val="auto"/>
        </w:rPr>
      </w:pPr>
      <w:r>
        <w:rPr>
          <w:rFonts w:ascii="Times New Roman" w:cs="Times New Roman" w:eastAsia="Times New Roman" w:hAnsi="Times New Roman"/>
          <w:sz w:val="13"/>
          <w:szCs w:val="13"/>
          <w:color w:val="auto"/>
        </w:rPr>
        <w:t xml:space="preserve">The term “ </w:t>
      </w:r>
      <w:r>
        <w:rPr>
          <w:rFonts w:ascii="Times New Roman" w:cs="Times New Roman" w:eastAsia="Times New Roman" w:hAnsi="Times New Roman"/>
          <w:sz w:val="13"/>
          <w:szCs w:val="13"/>
          <w:u w:val="single" w:color="auto"/>
          <w:color w:val="auto"/>
        </w:rPr>
        <w:t>Business Day</w:t>
      </w:r>
      <w:r>
        <w:rPr>
          <w:rFonts w:ascii="Times New Roman" w:cs="Times New Roman" w:eastAsia="Times New Roman" w:hAnsi="Times New Roman"/>
          <w:sz w:val="13"/>
          <w:szCs w:val="13"/>
          <w:color w:val="auto"/>
        </w:rPr>
        <w:t xml:space="preserve"> ” shall mean each day, other than a Saturday or a Sunday, which is not a day on which banking institutions in New York, New York are authorized or required by law, regulation or executive order to close.</w:t>
      </w:r>
    </w:p>
    <w:p>
      <w:pPr>
        <w:spacing w:after="0" w:line="124" w:lineRule="exact"/>
        <w:rPr>
          <w:sz w:val="20"/>
          <w:szCs w:val="20"/>
          <w:color w:val="auto"/>
        </w:rPr>
      </w:pPr>
    </w:p>
    <w:p>
      <w:pPr>
        <w:ind w:left="600" w:right="720" w:firstLine="306"/>
        <w:spacing w:after="0" w:line="287" w:lineRule="auto"/>
        <w:tabs>
          <w:tab w:leader="none" w:pos="1092" w:val="left"/>
        </w:tabs>
        <w:numPr>
          <w:ilvl w:val="0"/>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anything contained herein to the contrary, dividends on the Series B Preferred Stock shall accrue whether or not the Company has earnings, whether or not there are funds legally available for the payment of such dividends, and whether or not such dividends are authorized or declared.</w:t>
      </w:r>
    </w:p>
    <w:p>
      <w:pPr>
        <w:spacing w:after="0" w:line="136" w:lineRule="exact"/>
        <w:rPr>
          <w:sz w:val="20"/>
          <w:szCs w:val="20"/>
          <w:color w:val="auto"/>
        </w:rPr>
      </w:pPr>
    </w:p>
    <w:p>
      <w:pPr>
        <w:ind w:left="600" w:right="640" w:firstLine="312"/>
        <w:spacing w:after="0" w:line="281" w:lineRule="auto"/>
        <w:rPr>
          <w:sz w:val="20"/>
          <w:szCs w:val="20"/>
          <w:color w:val="auto"/>
        </w:rPr>
      </w:pPr>
      <w:r>
        <w:rPr>
          <w:rFonts w:ascii="Times New Roman" w:cs="Times New Roman" w:eastAsia="Times New Roman" w:hAnsi="Times New Roman"/>
          <w:sz w:val="13"/>
          <w:szCs w:val="13"/>
          <w:color w:val="auto"/>
        </w:rPr>
        <w:t>(c) Except as provided in Section 3(d) below, no dividends shall be declared or paid or set apart for payment, and no other distribution of cash or other property may be declared or made, directly or indirectly, on or with respect to, any shares of Common Stock or shares of any other class or series of capital stock of the Company ranking, as to dividends, on parity with or junior to the Series B Preferred Stock (other than a dividend paid in shares of Common Stock or in shares of any other class or series of capital stock ranking junior to the Series B Preferred Stock as to dividends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210820</wp:posOffset>
            </wp:positionV>
            <wp:extent cx="4436110" cy="152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79">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652780</wp:posOffset>
            </wp:positionV>
            <wp:extent cx="5083810" cy="152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80">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25" w:name="page226"/>
    <w:bookmarkEnd w:id="225"/>
    <w:p>
      <w:pPr>
        <w:ind w:left="600" w:right="700"/>
        <w:spacing w:after="0" w:line="274" w:lineRule="auto"/>
        <w:rPr>
          <w:sz w:val="20"/>
          <w:szCs w:val="20"/>
          <w:color w:val="auto"/>
        </w:rPr>
      </w:pPr>
      <w:r>
        <w:rPr>
          <w:rFonts w:ascii="Times New Roman" w:cs="Times New Roman" w:eastAsia="Times New Roman" w:hAnsi="Times New Roman"/>
          <w:sz w:val="13"/>
          <w:szCs w:val="13"/>
          <w:color w:val="auto"/>
        </w:rPr>
        <w:t>upon liquidation) for any period, nor shall any shares of Common Stock or any other shares of any other class or series of capital stock of the Company ranking, as to dividends or upon liquidation, on parity with or junior to the Series B Preferred Stock be redeemed, purchased or otherwise acquired for any consideration, nor shall any funds be paid or made available for a sinking fund for the redemption of such shares, and no other distribution of cash or other property may be made, directly or indirectly, on or with respect thereto by the Company (except by conversion into or exchange for other shares of any class or series of capital stock of the Company ranking junior to the Series B Preferred Stock as to dividends and upon liquidation, and except for the acquisition of shares made pursuant to the provisions of Article VI of the Charter or Section 7 hereof), unless full cumulative dividends on the Series B Preferred Stock for all past dividend periods shall have been or contemporaneously are (i) declared and paid in cash or (ii) declared and a sum sufficient for the payment thereof in cash is set apart for such payment.</w:t>
      </w:r>
    </w:p>
    <w:p>
      <w:pPr>
        <w:spacing w:after="0" w:line="303" w:lineRule="exact"/>
        <w:rPr>
          <w:sz w:val="20"/>
          <w:szCs w:val="20"/>
          <w:color w:val="auto"/>
        </w:rPr>
      </w:pPr>
    </w:p>
    <w:p>
      <w:pPr>
        <w:ind w:left="600" w:right="640" w:firstLine="306"/>
        <w:spacing w:after="0" w:line="274" w:lineRule="auto"/>
        <w:tabs>
          <w:tab w:leader="none" w:pos="1092" w:val="left"/>
        </w:tabs>
        <w:numPr>
          <w:ilvl w:val="0"/>
          <w:numId w:val="1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When dividends are not paid in full (and a sum sufficient for such full payment is not so set apart) upon the Series B Preferred Stock and the shares of any other class or series of capital stock ranking, as to dividends, on parity with the Series B Preferred Stock, all dividends declared upon the Series B Preferred Stock and each such other class or series of capital stock ranking, as to dividends, on parity with the Series B Preferred Stock shall be declared pro rata so that the amount of dividends declared per share of Series B Preferred Stock and such other class or series of capital stock shall in all cases bear to each other the same ratio that accrued dividends per share on the Series B Preferred Stock and such other class or series of capital stock (which shall not include any accrual in respect of unpaid dividends on such other class or series of capital stock for prior dividend periods if such other class or series of capital stock does not have a cumulative dividend) bear to each other. No interest, or sum of money in lieu of interest, shall be payable in respect of any dividend payment or payments on the Series B Preferred Stock which may be in arrears.</w:t>
      </w:r>
    </w:p>
    <w:p>
      <w:pPr>
        <w:spacing w:after="0" w:line="303" w:lineRule="exact"/>
        <w:rPr>
          <w:rFonts w:ascii="Times New Roman" w:cs="Times New Roman" w:eastAsia="Times New Roman" w:hAnsi="Times New Roman"/>
          <w:sz w:val="13"/>
          <w:szCs w:val="13"/>
          <w:color w:val="auto"/>
        </w:rPr>
      </w:pPr>
    </w:p>
    <w:p>
      <w:pPr>
        <w:jc w:val="both"/>
        <w:ind w:left="600" w:right="680" w:firstLine="306"/>
        <w:spacing w:after="0" w:line="281" w:lineRule="auto"/>
        <w:tabs>
          <w:tab w:leader="none" w:pos="1092" w:val="left"/>
        </w:tabs>
        <w:numPr>
          <w:ilvl w:val="0"/>
          <w:numId w:val="1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Holders of shares of Series B Preferred Stock shall not be entitled to any dividend, whether payable in cash, property or shares of stock, in excess of full cumulative dividends on the Series B Preferred Stock as provided herein. Any dividend payment made on the Series B Preferred Stock shall first be credited against the earliest accrued but unpaid dividends due with respect to such shares which remains payable. Accrued but unpaid distributions on the Series B Preferred Stock will accumulate as of the Dividend Payment Date on which they first become payable.</w:t>
      </w:r>
    </w:p>
    <w:p>
      <w:pPr>
        <w:spacing w:after="0" w:line="14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Section 4. </w:t>
      </w:r>
      <w:r>
        <w:rPr>
          <w:rFonts w:ascii="Times New Roman" w:cs="Times New Roman" w:eastAsia="Times New Roman" w:hAnsi="Times New Roman"/>
          <w:sz w:val="13"/>
          <w:szCs w:val="13"/>
          <w:u w:val="single" w:color="auto"/>
          <w:color w:val="auto"/>
        </w:rPr>
        <w:t>Liquidation Preference</w:t>
      </w:r>
      <w:r>
        <w:rPr>
          <w:rFonts w:ascii="Times New Roman" w:cs="Times New Roman" w:eastAsia="Times New Roman" w:hAnsi="Times New Roman"/>
          <w:sz w:val="13"/>
          <w:szCs w:val="13"/>
          <w:color w:val="auto"/>
        </w:rPr>
        <w:t xml:space="preserve"> .</w:t>
      </w:r>
    </w:p>
    <w:p>
      <w:pPr>
        <w:spacing w:after="0" w:line="187" w:lineRule="exact"/>
        <w:rPr>
          <w:sz w:val="20"/>
          <w:szCs w:val="20"/>
          <w:color w:val="auto"/>
        </w:rPr>
      </w:pPr>
    </w:p>
    <w:p>
      <w:pPr>
        <w:ind w:left="600" w:right="620" w:firstLine="306"/>
        <w:spacing w:after="0" w:line="271" w:lineRule="auto"/>
        <w:tabs>
          <w:tab w:leader="none" w:pos="1092" w:val="left"/>
        </w:tabs>
        <w:numPr>
          <w:ilvl w:val="0"/>
          <w:numId w:val="1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any voluntary or involuntary liquidation, dissolution or winding up of the affairs of the Company, before any distribution or payment shall be made to holders of shares of Common Stock or any other class or series of capital stock of the Company ranking, as to rights upon any voluntary or involuntary liquidation, dissolution or winding up of the affairs of the Company, junior to the Series B Preferred Stock, the holders of shares of Series B Preferred Stock shall be entitled to be paid out of the assets of the Company legally available for distribution to its stockholders, after payment of or provision for the debts and other liabilities of the Company, a liquidation preference of $25.00 per share, plus an amount equal to any accrued and unpaid dividends (whether or not declared) to but excluding the date of payment. In the event that, upon such voluntary or involuntary liquidation, dissolution or winding up, the available assets of the Company are insufficient to pay the full amount of the liquidating distributions on all outstanding shares of Series B Preferred Stock and the corresponding amounts payable on all shares of other classes or series of capital stock of the Company ranking, as to liquidation rights, on parity with the Series B Preferred Stock in the distribution of assets, then the holders of the Series B Preferred Stock and each such other class or series of shares of capital stock ranking, as to voluntary or involuntary liquidation rights, on parity with the Series B Preferred Stock shall share ratably in any such distribution of assets in proportion to the full liquidating distributions to which they would otherwise be respectively entitled. Written notice of any such voluntary or involuntary liquidation, dissolution or winding up of the Company, stating the payment date or dates when, and the place or places where, the amounts distributable in such circumstances shall be payable, shall be given by first class mail, postage pre-paid, not fewer than 30 or more than 60 days prior to the payment date stated therein, to each record holder of shares of Series B Preferred Stock at the respective addresses of such holders as the same shall appear on the stock transfer records of the Company. After payment of the full amount of the liquidating distributions to which they are entitled, the holders of Series B Preferred Stock will have no right or claim to any of the remaining assets of the Company. The consolidation or merger of the Company with or into any other corporation, trust or entity, or the voluntary sale, lease, transfer or conveyance of all or substantially all of the property or business of the Company, shall not be deemed to constitute a liquidation, dissolution or winding up of the affairs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219075</wp:posOffset>
            </wp:positionV>
            <wp:extent cx="4436110" cy="152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81">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654050</wp:posOffset>
            </wp:positionV>
            <wp:extent cx="5083810" cy="152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82">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26" w:name="page227"/>
    <w:bookmarkEnd w:id="226"/>
    <w:p>
      <w:pPr>
        <w:ind w:left="600" w:right="680" w:firstLine="306"/>
        <w:spacing w:after="0" w:line="281" w:lineRule="auto"/>
        <w:tabs>
          <w:tab w:leader="none" w:pos="1092" w:val="left"/>
        </w:tabs>
        <w:numPr>
          <w:ilvl w:val="0"/>
          <w:numId w:val="1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determining whether a distribution (other than upon voluntary or involuntary liquidation), by dividend, redemption or other acquisition of shares of stock of the Company or otherwise, is permitted under the MGCL, amounts that would be needed, if the Company were to be dissolved at the time of the distribution, to satisfy the preferential rights upon dissolution of holders of shares of Series B Preferred Stock shall not be added to the Company’s total liabilities.</w:t>
      </w:r>
    </w:p>
    <w:p>
      <w:pPr>
        <w:spacing w:after="0" w:line="14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Section 5. </w:t>
      </w:r>
      <w:r>
        <w:rPr>
          <w:rFonts w:ascii="Times New Roman" w:cs="Times New Roman" w:eastAsia="Times New Roman" w:hAnsi="Times New Roman"/>
          <w:sz w:val="13"/>
          <w:szCs w:val="13"/>
          <w:u w:val="single" w:color="auto"/>
          <w:color w:val="auto"/>
        </w:rPr>
        <w:t>Redemption</w:t>
      </w:r>
      <w:r>
        <w:rPr>
          <w:rFonts w:ascii="Times New Roman" w:cs="Times New Roman" w:eastAsia="Times New Roman" w:hAnsi="Times New Roman"/>
          <w:sz w:val="13"/>
          <w:szCs w:val="13"/>
          <w:color w:val="auto"/>
        </w:rPr>
        <w:t xml:space="preserve"> .</w:t>
      </w:r>
    </w:p>
    <w:p>
      <w:pPr>
        <w:spacing w:after="0" w:line="187" w:lineRule="exact"/>
        <w:rPr>
          <w:sz w:val="20"/>
          <w:szCs w:val="20"/>
          <w:color w:val="auto"/>
        </w:rPr>
      </w:pPr>
    </w:p>
    <w:p>
      <w:pPr>
        <w:ind w:left="600" w:right="640" w:firstLine="312"/>
        <w:spacing w:after="0" w:line="281" w:lineRule="auto"/>
        <w:rPr>
          <w:sz w:val="20"/>
          <w:szCs w:val="20"/>
          <w:color w:val="auto"/>
        </w:rPr>
      </w:pPr>
      <w:r>
        <w:rPr>
          <w:rFonts w:ascii="Times New Roman" w:cs="Times New Roman" w:eastAsia="Times New Roman" w:hAnsi="Times New Roman"/>
          <w:sz w:val="13"/>
          <w:szCs w:val="13"/>
          <w:color w:val="auto"/>
        </w:rPr>
        <w:t>(a) Shares of Series B Preferred Stock shall not be redeemable prior to July 26, 2010 except to preserve the status of the Company as a REIT for United States federal income tax purposes. In addition, the Series B Preferred Stock shall be subject to the provisions of Section 7 pursuant to which Series B Preferred Stock owned by a stockholder in excess of the Ownership Limit shall automatically be transferred to a Trust for the exclusive benefit of a Charitable Beneficiary.</w:t>
      </w:r>
    </w:p>
    <w:p>
      <w:pPr>
        <w:spacing w:after="0" w:line="140" w:lineRule="exact"/>
        <w:rPr>
          <w:sz w:val="20"/>
          <w:szCs w:val="20"/>
          <w:color w:val="auto"/>
        </w:rPr>
      </w:pPr>
    </w:p>
    <w:p>
      <w:pPr>
        <w:ind w:left="600" w:right="620" w:firstLine="312"/>
        <w:spacing w:after="0" w:line="271" w:lineRule="auto"/>
        <w:rPr>
          <w:sz w:val="20"/>
          <w:szCs w:val="20"/>
          <w:color w:val="auto"/>
        </w:rPr>
      </w:pPr>
      <w:r>
        <w:rPr>
          <w:rFonts w:ascii="Times New Roman" w:cs="Times New Roman" w:eastAsia="Times New Roman" w:hAnsi="Times New Roman"/>
          <w:sz w:val="13"/>
          <w:szCs w:val="13"/>
          <w:color w:val="auto"/>
        </w:rPr>
        <w:t>(b) On and after July 26, 2010, the Company, at its option upon not fewer than 30 or more than 60 days’ written notice, may redeem the Series B Preferred Stock, in whole or in part, at any time or from time to time, for cash at a redemption price of $25.00 per share, plus all accrued and unpaid dividends (whether or not declared) thereon up to but not including the date fixed for redemption, without interest, to the extent the Company has funds legally available therefor. If fewer than all of the outstanding shares of Series B Preferred Stock are to be redeemed, the shares of Series B Preferred Stock to be redeemed shall be redeemed pro rata (as nearly as may be practicable without creating fractional shares) by lot or by any other equitable method determined by the Company that will not result in a violation of the Ownership Limit. If redemption is to be by lot and, as a result, any holder of shares of Series B Preferred Stock would have actual ownership, Beneficial Ownership or Constructive Ownership (as defined in Section 7(a)) in excess of the Ownership Limit (as defined in Section 7(a)), or such other limit as permitted by the Board of Directors or the Committee pursuant to Section 7(i), because such holder’s shares of Series B Preferred Stock were not redeemed, or were only redeemed in part, then, except as otherwise provided in the Charter, the Company shall redeem the requisite number of shares of Series B Preferred Stock of such holder such that no holder will hold an amount of Series B Preferred Stock in excess of the Ownership Limit or such other limit, as applicable, subsequent to such redemption. Holders of Series B Preferred Stock to be redeemed shall surrender such Series B Preferred Stock at the place designated in such notice and shall be entitled to the redemption price of $25.00 per share and any accrued and unpaid dividends payable upon such redemption following such surrender. If (i) notice of redemption of any shares of Series B Preferred Stock has been given, (ii) the funds necessary for such redemption have been set aside by the Company in trust for the benefit of the holders of any shares of Series B Preferred Stock so called for redemption, and (iii) irrevocable instructions have been given to pay the redemption price and all accrued and unpaid dividends, then from and after the redemption date, dividends shall cease to accrue on such shares of Series B Preferred Stock, such shares of Series B Preferred Stock shall no longer be deemed outstanding, and all rights of the holders of such shares shall terminate, except the right to receive the redemption price plus any accrued and unpaid dividends payable upon such redemption, without interest. So long as no dividends are in arrears, nothing herein shall prevent or restrict the Company’s right or ability to purchase, from time to time, either at a public or a private sale, all or any part of the Series B Preferred Stock at such price or prices as the Company may determine, subject to the provisions of applicable law, including the repurchase of shares of Series B Preferred Stock in open-market transactions duly authorized by the Board of Directors.</w:t>
      </w:r>
    </w:p>
    <w:p>
      <w:pPr>
        <w:spacing w:after="0" w:line="308" w:lineRule="exact"/>
        <w:rPr>
          <w:sz w:val="20"/>
          <w:szCs w:val="20"/>
          <w:color w:val="auto"/>
        </w:rPr>
      </w:pPr>
    </w:p>
    <w:p>
      <w:pPr>
        <w:ind w:left="600" w:right="640" w:firstLine="306"/>
        <w:spacing w:after="0" w:line="271" w:lineRule="auto"/>
        <w:tabs>
          <w:tab w:leader="none" w:pos="1080" w:val="left"/>
        </w:tabs>
        <w:numPr>
          <w:ilvl w:val="0"/>
          <w:numId w:val="1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event of any redemption of the Series B Preferred Stock in order to preserve the status of the Company as a REIT for United States federal income tax purposes, such redemption shall be made in accordance with the terms and conditions set forth in this Section 5 of these Articles Supplementary. If the Company calls for redemption any shares of Series B Preferred Stock pursuant to and in accordance with this Section 5(c), then the redemption price for such shares will be an amount in cash equal to</w:t>
      </w:r>
    </w:p>
    <w:p>
      <w:pPr>
        <w:ind w:left="60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$25.00 per share together with all accrued and unpaid dividends to but excluding the dated fixed for redemption.</w:t>
      </w:r>
    </w:p>
    <w:p>
      <w:pPr>
        <w:spacing w:after="0" w:line="171" w:lineRule="exact"/>
        <w:rPr>
          <w:rFonts w:ascii="Times New Roman" w:cs="Times New Roman" w:eastAsia="Times New Roman" w:hAnsi="Times New Roman"/>
          <w:sz w:val="13"/>
          <w:szCs w:val="13"/>
          <w:color w:val="auto"/>
        </w:rPr>
      </w:pPr>
    </w:p>
    <w:p>
      <w:pPr>
        <w:jc w:val="both"/>
        <w:ind w:left="600" w:right="900" w:firstLine="306"/>
        <w:spacing w:after="0" w:line="287" w:lineRule="auto"/>
        <w:tabs>
          <w:tab w:leader="none" w:pos="1092" w:val="left"/>
        </w:tabs>
        <w:numPr>
          <w:ilvl w:val="0"/>
          <w:numId w:val="1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Unless full cumulative dividends on all Series B Preferred Stock shall have been or contemporaneously are authorized, declared and paid in cash, or declared and a sum sufficient for the payment thereof in cash set apart for payment for all past dividend periods, no shares of Series B Preferred Stock shall be redeemed unless all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101600</wp:posOffset>
            </wp:positionV>
            <wp:extent cx="4436110" cy="76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83">
                      <a:extLst>
                        <a:ext uri="{28A0092B-C50C-407E-A947-70E740481C1C}"/>
                      </a:extLst>
                    </a:blip>
                    <a:srcRect/>
                    <a:stretch>
                      <a:fillRect/>
                    </a:stretch>
                  </pic:blipFill>
                  <pic:spPr bwMode="auto">
                    <a:xfrm>
                      <a:off x="0" y="0"/>
                      <a:ext cx="4436110"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535940</wp:posOffset>
            </wp:positionV>
            <wp:extent cx="5083810" cy="152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84">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27" w:name="page228"/>
    <w:bookmarkEnd w:id="227"/>
    <w:p>
      <w:pPr>
        <w:ind w:left="600" w:right="620"/>
        <w:spacing w:after="0" w:line="275" w:lineRule="auto"/>
        <w:rPr>
          <w:sz w:val="20"/>
          <w:szCs w:val="20"/>
          <w:color w:val="auto"/>
        </w:rPr>
      </w:pPr>
      <w:r>
        <w:rPr>
          <w:rFonts w:ascii="Times New Roman" w:cs="Times New Roman" w:eastAsia="Times New Roman" w:hAnsi="Times New Roman"/>
          <w:sz w:val="13"/>
          <w:szCs w:val="13"/>
          <w:color w:val="auto"/>
        </w:rPr>
        <w:t xml:space="preserve">shares of Series B Preferred Stock are simultaneously redeemed, and the Company shall not purchase or otherwise acquire directly or indirectly any shares of Series B Preferred Stock or any class or series of capital stock of the Company ranking, as to dividends or upon liquidation, on parity with or junior to the Series B Preferred Stock (except by exchange for shares of capital stock of the Company ranking, as to dividends and upon liquidation, junior to the Series B Preferred Stock);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 that the foregoing shall not prevent the purchase of Series B Preferred Stock by the Company in accordance with the terms of Sections 5(c) and 7 of these Articles Supplementary or otherwise in order to ensure that the Company remains qualified as a REIT for United States federal income tax purposes, or the purchase or acquisition of Series B Preferred Stock pursuant to a purchase or exchange offer made on the same terms to holders of all outstanding shares of Series B Preferred Stock.</w:t>
      </w:r>
    </w:p>
    <w:p>
      <w:pPr>
        <w:spacing w:after="0" w:line="145" w:lineRule="exact"/>
        <w:rPr>
          <w:sz w:val="20"/>
          <w:szCs w:val="20"/>
          <w:color w:val="auto"/>
        </w:rPr>
      </w:pPr>
    </w:p>
    <w:p>
      <w:pPr>
        <w:ind w:left="600" w:right="640" w:firstLine="306"/>
        <w:spacing w:after="0" w:line="272" w:lineRule="auto"/>
        <w:tabs>
          <w:tab w:leader="none" w:pos="1080" w:val="left"/>
        </w:tabs>
        <w:numPr>
          <w:ilvl w:val="0"/>
          <w:numId w:val="1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Notice of redemption will be given by publication in a newspaper of general circulation in the City of New York, such publication to be made once a week for two successive weeks commencing not fewer than 30 or more than 60 days prior to the redemption date. A similar notice will be mailed by the Company, postage prepaid, not fewer than 30 or more than 60 days prior to the redemption date, addressed to the respective holders of record of the Series B Preferred Stock to be redeemed at their respective addresses as they appear on the transfer records of the Company. No failure to give or defect in such notice shall affect the validity of the proceedings for the redemption of any Series B Preferred Stock except as to the holder to whom such notice was defective or not given. In addition to any information required by law or by the applicable rules of any exchange upon which the Series B Preferred Stock may be listed or admitted to trading, each such notice shall state: (i) the redemption date, (ii) the redemption price, (iii) the number of shares of Series B Preferred Stock to be redeemed, (iv) the place or places where the certificates representing shares of Series B Preferred Stock are to be surrendered for payment of the redemption price, (v) that dividends on the shares of Series B Preferred Stock to be redeemed will cease to accumulate on such redemption date and (vi) that payment of the redemption price and any accumulated and unpaid dividends will be made upon presentation and surrender of such Series B Preferred Stock. If fewer than all of the shares of Series B Preferred Stock held by any holder are to be redeemed, the notice mailed to such holder shall also specify the number of shares of Series B Preferred Stock held by such holder to be redeemed. Notwithstanding anything else to the contrary in these Articles Supplementary, the Company shall not be required to provide notice to the holder of Series B Preferred Stock in the event such holder’s Series B Preferred Stock is redeemed in accordance with Section 7 of these Articles Supplementary to preserve the Company’s status as a REIT.</w:t>
      </w:r>
    </w:p>
    <w:p>
      <w:pPr>
        <w:spacing w:after="0" w:line="135" w:lineRule="exact"/>
        <w:rPr>
          <w:rFonts w:ascii="Times New Roman" w:cs="Times New Roman" w:eastAsia="Times New Roman" w:hAnsi="Times New Roman"/>
          <w:sz w:val="13"/>
          <w:szCs w:val="13"/>
          <w:color w:val="auto"/>
        </w:rPr>
      </w:pPr>
    </w:p>
    <w:p>
      <w:pPr>
        <w:ind w:left="600" w:right="580" w:firstLine="306"/>
        <w:spacing w:after="0" w:line="276" w:lineRule="auto"/>
        <w:tabs>
          <w:tab w:leader="none" w:pos="1068" w:val="left"/>
        </w:tabs>
        <w:numPr>
          <w:ilvl w:val="0"/>
          <w:numId w:val="1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 redemption date falls after a Dividend Record Date and on or prior to the corresponding Dividend Payment Date, each holder of Series B Preferred Stock at the close of business of such Dividend Record Date shall be entitled to the dividend payable on such shares on the corresponding Dividend Payment Date notwithstanding the redemption of such shares on or prior to such Dividend Payment Date, and each holder of Series B Preferred Stock that surrenders its shares on such redemption date will be entitled to the dividends accruing after the end of the Dividend Period to which such Dividend Payment Date relates up to but excluding the redemption date. Except as provided herein, the Company shall make no payment or allowance for unpaid dividends, whether or not in arrears, on Series B Preferred Stock for which a notice of redemption has been given.</w:t>
      </w:r>
    </w:p>
    <w:p>
      <w:pPr>
        <w:spacing w:after="0" w:line="312" w:lineRule="exact"/>
        <w:rPr>
          <w:rFonts w:ascii="Times New Roman" w:cs="Times New Roman" w:eastAsia="Times New Roman" w:hAnsi="Times New Roman"/>
          <w:sz w:val="13"/>
          <w:szCs w:val="13"/>
          <w:color w:val="auto"/>
        </w:rPr>
      </w:pPr>
    </w:p>
    <w:p>
      <w:pPr>
        <w:ind w:left="600" w:right="660" w:firstLine="306"/>
        <w:spacing w:after="0" w:line="305" w:lineRule="auto"/>
        <w:tabs>
          <w:tab w:leader="none" w:pos="1092" w:val="left"/>
        </w:tabs>
        <w:numPr>
          <w:ilvl w:val="0"/>
          <w:numId w:val="1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shares of the Series B Preferred Stock redeemed or repurchased pursuant to this Section 5 shall be retired and shall be restored to the status of authorized but unissued shares of Preferred Stock, without designation as to series or class.</w:t>
      </w:r>
    </w:p>
    <w:p>
      <w:pPr>
        <w:spacing w:after="0" w:line="124" w:lineRule="exact"/>
        <w:rPr>
          <w:rFonts w:ascii="Times New Roman" w:cs="Times New Roman" w:eastAsia="Times New Roman" w:hAnsi="Times New Roman"/>
          <w:sz w:val="13"/>
          <w:szCs w:val="13"/>
          <w:color w:val="auto"/>
        </w:rPr>
      </w:pPr>
    </w:p>
    <w:p>
      <w:pPr>
        <w:ind w:left="600" w:right="680" w:firstLine="306"/>
        <w:spacing w:after="0" w:line="287" w:lineRule="auto"/>
        <w:tabs>
          <w:tab w:leader="none" w:pos="1092" w:val="left"/>
        </w:tabs>
        <w:numPr>
          <w:ilvl w:val="0"/>
          <w:numId w:val="1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Series B Preferred Stock shall have no stated maturity and shall not be subject to any sinking fund or mandatory redemption;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 that the Series B Preferred Stock owned by a stockholder in excess of the Ownership Limit shall be subject to the provisions of this Section 5 and Section 7 of these Articles Supplementary.</w:t>
      </w:r>
    </w:p>
    <w:p>
      <w:pPr>
        <w:spacing w:after="0" w:line="13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Section 6. </w:t>
      </w:r>
      <w:r>
        <w:rPr>
          <w:rFonts w:ascii="Times New Roman" w:cs="Times New Roman" w:eastAsia="Times New Roman" w:hAnsi="Times New Roman"/>
          <w:sz w:val="13"/>
          <w:szCs w:val="13"/>
          <w:u w:val="single" w:color="auto"/>
          <w:color w:val="auto"/>
        </w:rPr>
        <w:t>Voting Rights</w:t>
      </w:r>
      <w:r>
        <w:rPr>
          <w:rFonts w:ascii="Times New Roman" w:cs="Times New Roman" w:eastAsia="Times New Roman" w:hAnsi="Times New Roman"/>
          <w:sz w:val="13"/>
          <w:szCs w:val="13"/>
          <w:color w:val="auto"/>
        </w:rPr>
        <w:t xml:space="preserve"> .</w:t>
      </w:r>
    </w:p>
    <w:p>
      <w:pPr>
        <w:spacing w:after="0" w:line="187" w:lineRule="exact"/>
        <w:rPr>
          <w:sz w:val="20"/>
          <w:szCs w:val="20"/>
          <w:color w:val="auto"/>
        </w:rPr>
      </w:pPr>
    </w:p>
    <w:p>
      <w:pPr>
        <w:ind w:left="1080" w:hanging="174"/>
        <w:spacing w:after="0"/>
        <w:tabs>
          <w:tab w:leader="none" w:pos="1080" w:val="left"/>
        </w:tabs>
        <w:numPr>
          <w:ilvl w:val="0"/>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Holders of the Series B Preferred Stock shall not have any voting rights, except as set forth in this Section 6.</w:t>
      </w:r>
    </w:p>
    <w:p>
      <w:pPr>
        <w:spacing w:after="0" w:line="186" w:lineRule="exact"/>
        <w:rPr>
          <w:rFonts w:ascii="Times New Roman" w:cs="Times New Roman" w:eastAsia="Times New Roman" w:hAnsi="Times New Roman"/>
          <w:sz w:val="13"/>
          <w:szCs w:val="13"/>
          <w:color w:val="auto"/>
        </w:rPr>
      </w:pPr>
    </w:p>
    <w:p>
      <w:pPr>
        <w:ind w:left="600" w:right="800" w:firstLine="306"/>
        <w:spacing w:after="0" w:line="287" w:lineRule="auto"/>
        <w:tabs>
          <w:tab w:leader="none" w:pos="1092" w:val="left"/>
        </w:tabs>
        <w:numPr>
          <w:ilvl w:val="0"/>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Whenever dividends on any shares of Series B Preferred Stock shall be in arrears for six or more consecutive or non- consecutive quarterly periods (a “ </w:t>
      </w:r>
      <w:r>
        <w:rPr>
          <w:rFonts w:ascii="Times New Roman" w:cs="Times New Roman" w:eastAsia="Times New Roman" w:hAnsi="Times New Roman"/>
          <w:sz w:val="13"/>
          <w:szCs w:val="13"/>
          <w:u w:val="single" w:color="auto"/>
          <w:color w:val="auto"/>
        </w:rPr>
        <w:t>Preferred Dividend Default</w:t>
      </w:r>
      <w:r>
        <w:rPr>
          <w:rFonts w:ascii="Times New Roman" w:cs="Times New Roman" w:eastAsia="Times New Roman" w:hAnsi="Times New Roman"/>
          <w:sz w:val="13"/>
          <w:szCs w:val="13"/>
          <w:color w:val="auto"/>
        </w:rPr>
        <w:t xml:space="preserve"> ”), the holders of such Series B Preferred Stock (voting as a single class with all other classes or series of preferred stock of the Company 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101600</wp:posOffset>
            </wp:positionV>
            <wp:extent cx="4436110" cy="152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85">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543560</wp:posOffset>
            </wp:positionV>
            <wp:extent cx="5083810" cy="152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86">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28" w:name="page229"/>
    <w:bookmarkEnd w:id="228"/>
    <w:p>
      <w:pPr>
        <w:jc w:val="both"/>
        <w:ind w:left="600" w:right="740"/>
        <w:spacing w:after="0" w:line="278" w:lineRule="auto"/>
        <w:rPr>
          <w:sz w:val="20"/>
          <w:szCs w:val="20"/>
          <w:color w:val="auto"/>
        </w:rPr>
      </w:pPr>
      <w:r>
        <w:rPr>
          <w:rFonts w:ascii="Times New Roman" w:cs="Times New Roman" w:eastAsia="Times New Roman" w:hAnsi="Times New Roman"/>
          <w:sz w:val="13"/>
          <w:szCs w:val="13"/>
          <w:color w:val="auto"/>
        </w:rPr>
        <w:t xml:space="preserve">which like voting rights have been conferred and are exercisable (“ </w:t>
      </w:r>
      <w:r>
        <w:rPr>
          <w:rFonts w:ascii="Times New Roman" w:cs="Times New Roman" w:eastAsia="Times New Roman" w:hAnsi="Times New Roman"/>
          <w:sz w:val="13"/>
          <w:szCs w:val="13"/>
          <w:u w:val="single" w:color="auto"/>
          <w:color w:val="auto"/>
        </w:rPr>
        <w:t>Parity Preferred</w:t>
      </w:r>
      <w:r>
        <w:rPr>
          <w:rFonts w:ascii="Times New Roman" w:cs="Times New Roman" w:eastAsia="Times New Roman" w:hAnsi="Times New Roman"/>
          <w:sz w:val="13"/>
          <w:szCs w:val="13"/>
          <w:color w:val="auto"/>
        </w:rPr>
        <w:t xml:space="preserve"> ”), including the Series A Cumulative Redeemable Preferred Stock of the Company) shall be entitled to vote for the election of a total of two additional directors of the Company (the “ </w:t>
      </w:r>
      <w:r>
        <w:rPr>
          <w:rFonts w:ascii="Times New Roman" w:cs="Times New Roman" w:eastAsia="Times New Roman" w:hAnsi="Times New Roman"/>
          <w:sz w:val="13"/>
          <w:szCs w:val="13"/>
          <w:u w:val="single" w:color="auto"/>
          <w:color w:val="auto"/>
        </w:rPr>
        <w:t>Preferred Directors</w:t>
      </w:r>
      <w:r>
        <w:rPr>
          <w:rFonts w:ascii="Times New Roman" w:cs="Times New Roman" w:eastAsia="Times New Roman" w:hAnsi="Times New Roman"/>
          <w:sz w:val="13"/>
          <w:szCs w:val="13"/>
          <w:color w:val="auto"/>
        </w:rPr>
        <w:t xml:space="preserve"> ”) until all dividends accumulated on such Series B Preferred Stock and Parity Preferred for the past dividend periods shall have been fully paid or declared and a sum sufficient for the payment thereof set aside for payment. In such case, the entire Board of Directors will be increased by two directors.</w:t>
      </w:r>
    </w:p>
    <w:p>
      <w:pPr>
        <w:spacing w:after="0" w:line="143" w:lineRule="exact"/>
        <w:rPr>
          <w:sz w:val="20"/>
          <w:szCs w:val="20"/>
          <w:color w:val="auto"/>
        </w:rPr>
      </w:pPr>
    </w:p>
    <w:p>
      <w:pPr>
        <w:ind w:left="600" w:right="640" w:firstLine="306"/>
        <w:spacing w:after="0" w:line="273" w:lineRule="auto"/>
        <w:tabs>
          <w:tab w:leader="none" w:pos="1080"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Preferred Directors will be elected by a plurality of the votes cast in the election for a one-year term and each Preferred Director will serve until his or her successor is duly elected and qualified or until such Preferred Director’s right to hold the office terminates, whichever occurs earlier, subject to such Preferred Director’s earlier death, disqualification, resignation or removal. The election will take place at (i) either (A) a special meeting called in accordance with Section 6(d) below if the request is received more than 90 days before the date fixed for the Company’s next annual or special meeting of stockholders or (B) the next annual or special meeting of stockholders if the request is received within 90 days of the date fixed for the Company’s next annual or special meeting of stockholders, and (ii) at each subsequent annual meeting of stockholders, or special meeting held in place thereof, until all such dividends in arrears on the Series B Preferred Stock and each such class or series of outstanding Parity Preferred have been paid in full. A dividend in respect of Series B Preferred Stock shall be considered timely made if made within two Business Days after the applicable Dividend Payment Date if at the time of such late payment date there shall not be any prior quarterly dividend periods in respect of which full dividends were not timely made at the applicable Dividend Payment Date.</w:t>
      </w:r>
    </w:p>
    <w:p>
      <w:pPr>
        <w:spacing w:after="0" w:line="136" w:lineRule="exact"/>
        <w:rPr>
          <w:rFonts w:ascii="Times New Roman" w:cs="Times New Roman" w:eastAsia="Times New Roman" w:hAnsi="Times New Roman"/>
          <w:sz w:val="13"/>
          <w:szCs w:val="13"/>
          <w:color w:val="auto"/>
        </w:rPr>
      </w:pPr>
    </w:p>
    <w:p>
      <w:pPr>
        <w:ind w:left="600" w:right="600" w:firstLine="306"/>
        <w:spacing w:after="0" w:line="271" w:lineRule="auto"/>
        <w:tabs>
          <w:tab w:leader="none" w:pos="1092"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any time when such voting rights shall have vested, a proper officer of the Company shall call or cause to be called, upon written request of holders of record of at least 10% of the outstanding shares of Series B Preferred Stock and Parity Preferred, a special meeting of the holders of Series B Preferred Stock and each class or series of Parity Preferred by mailing or causing to be mailed to such holders a notice of such special meeting to be held not fewer than ten or more than 45 days after the date such notice is given. The record date for determining holders of the Series B Preferred Stock and Parity Preferred entitled to notice of and to vote at such special meeting will be the close of business on the third Business Day preceding the day on which such notice is mailed. At any such annual or special meeting, all of the holders of the Series B Preferred Stock and Parity Preferred, by plurality vote, voting together as a single class without regard to class or series will be entitled to elect two directors on the basis of one vote per $25.00 of liquidation preference to which such Series B Preferred Stock and Parity Preferred are entitled by their terms (excluding amounts in respect of accumulated and unpaid dividends) and not cumulatively. The holder or holders of one-third of the Series B Preferred stock and Parity Preferred voting as a single class then outstanding, present in person or by proxy, will constitute a quorum for the election of the Preferred Directors except as otherwise provided by law. Notice of all meetings at which holders of the Series B Preferred Stock and the Parity Preferred shall be entitled to vote will be given to such holders at their addresses as they appear in the transfer records. At any such meeting or adjournment thereof in the absence of a quorum, subject to the provisions of any applicable law, a majority of the holders of the Series B Preferred and Parity Preferred voting as a single class present in person or by proxy shall have the power to adjourn the meeting for the election of the Preferred Directors, without notice other than an announcement at the meeting, until a quorum is present. If a Preferred Dividend Default shall terminate after the notice of a special meeting has been given but before such special meeting has been held, the Company shall, as soon as practicable after such termination, mail or cause to be mailed notice of such termination to holders of the Series B Preferred Stock and the Parity Preferred that would have been entitled to vote at such special meeting.</w:t>
      </w:r>
    </w:p>
    <w:p>
      <w:pPr>
        <w:spacing w:after="0" w:line="142" w:lineRule="exact"/>
        <w:rPr>
          <w:rFonts w:ascii="Times New Roman" w:cs="Times New Roman" w:eastAsia="Times New Roman" w:hAnsi="Times New Roman"/>
          <w:sz w:val="13"/>
          <w:szCs w:val="13"/>
          <w:color w:val="auto"/>
        </w:rPr>
      </w:pPr>
    </w:p>
    <w:p>
      <w:pPr>
        <w:ind w:left="600" w:right="660" w:firstLine="306"/>
        <w:spacing w:after="0" w:line="274" w:lineRule="auto"/>
        <w:tabs>
          <w:tab w:leader="none" w:pos="1080"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and when all accumulated dividends on such Series B Preferred Stock and all classes or series of Parity Preferred for the past dividend periods shall have been fully paid or declared and a sum sufficient for the payment thereof set aside for payment, the right of the holders of Series B Preferred Stock and the Parity Preferred to elect such additional two directors shall immediately cease (subject to revesting in the event of each and every Preferred Dividend Default), and the term of office of each Preferred Director so elected shall terminate and the entire Board of Directors shall be reduced accordingly. Any Preferred Director may be removed at any time with or without cause by the vote of, and shall not be removed otherwise than by the vote of, the holders of record of a majority of the outstanding Series B Preferred Stock and the Parity Preferred entitled to vote thereon when they have the voting rights set forth in Section 6(b) (voting as a single class). So long as a Preferred Dividend Default shall continue, any vacancy in the office of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108585</wp:posOffset>
            </wp:positionV>
            <wp:extent cx="4436110" cy="76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87">
                      <a:extLst>
                        <a:ext uri="{28A0092B-C50C-407E-A947-70E740481C1C}"/>
                      </a:extLst>
                    </a:blip>
                    <a:srcRect/>
                    <a:stretch>
                      <a:fillRect/>
                    </a:stretch>
                  </pic:blipFill>
                  <pic:spPr bwMode="auto">
                    <a:xfrm>
                      <a:off x="0" y="0"/>
                      <a:ext cx="4436110"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542925</wp:posOffset>
            </wp:positionV>
            <wp:extent cx="5083810" cy="152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88">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29" w:name="page230"/>
    <w:bookmarkEnd w:id="229"/>
    <w:p>
      <w:pPr>
        <w:ind w:left="600" w:right="800"/>
        <w:spacing w:after="0" w:line="287" w:lineRule="auto"/>
        <w:rPr>
          <w:sz w:val="20"/>
          <w:szCs w:val="20"/>
          <w:color w:val="auto"/>
        </w:rPr>
      </w:pPr>
      <w:r>
        <w:rPr>
          <w:rFonts w:ascii="Times New Roman" w:cs="Times New Roman" w:eastAsia="Times New Roman" w:hAnsi="Times New Roman"/>
          <w:sz w:val="13"/>
          <w:szCs w:val="13"/>
          <w:color w:val="auto"/>
        </w:rPr>
        <w:t>Preferred Director may be filled by written consent of the Preferred Director remaining in office, or if none remains in office, by a vote of the holders of record of a majority of the outstanding Series B Preferred Stock when they have the voting rights described above (voting as a single class with all other classes or series of Parity Preferred). Each of the Preferred Directors shall be entitled to one vote on any matter.</w:t>
      </w:r>
    </w:p>
    <w:p>
      <w:pPr>
        <w:spacing w:after="0" w:line="136" w:lineRule="exact"/>
        <w:rPr>
          <w:sz w:val="20"/>
          <w:szCs w:val="20"/>
          <w:color w:val="auto"/>
        </w:rPr>
      </w:pPr>
    </w:p>
    <w:p>
      <w:pPr>
        <w:ind w:left="600" w:right="640" w:firstLine="294"/>
        <w:spacing w:after="0" w:line="271" w:lineRule="auto"/>
        <w:tabs>
          <w:tab w:leader="none" w:pos="1056" w:val="left"/>
        </w:tabs>
        <w:numPr>
          <w:ilvl w:val="0"/>
          <w:numId w:val="1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So long as any shares of Series B Preferred Stock remain outstanding, the affirmative vote or consent of the holders of two-thirds of the shares of Series B Preferred Stock and each other class or series of preferred stock ranking on parity with the Series B Preferred Stock with respect to the payment of dividends and the distribution of assets upon liquidation, dissolution or winding up of the Company upon which like voting rights have been conferred outstanding at the time, given in person or by proxy, either in writing or at a meeting (voting as a single class) will be required to: (i) authorize, create or issue, or increase the authorized or issued amount of, any class or series of capital stock ranking senior to the Series B Preferred Stock with respect to payment of dividends or the distribution of assets upon liquidation, dissolution or winding up of the affairs of the Company or reclassify any authorized shares of capital stock of the Company into such capital stock, or create, authorize or issue any obligation or security convertible into or evidencing the right to purchase any such capital stock; or (ii) amend, alter or repeal the provisions of the Charter or the terms of the Series B Preferred Stock, whether by merger, consolidation, transfer or conveyance of all or substantially all of its assets or otherwise (an “ </w:t>
      </w:r>
      <w:r>
        <w:rPr>
          <w:rFonts w:ascii="Times New Roman" w:cs="Times New Roman" w:eastAsia="Times New Roman" w:hAnsi="Times New Roman"/>
          <w:sz w:val="13"/>
          <w:szCs w:val="13"/>
          <w:u w:val="single" w:color="auto"/>
          <w:color w:val="auto"/>
        </w:rPr>
        <w:t>Event</w:t>
      </w:r>
      <w:r>
        <w:rPr>
          <w:rFonts w:ascii="Times New Roman" w:cs="Times New Roman" w:eastAsia="Times New Roman" w:hAnsi="Times New Roman"/>
          <w:sz w:val="13"/>
          <w:szCs w:val="13"/>
          <w:color w:val="auto"/>
        </w:rPr>
        <w:t xml:space="preserve"> ”), so as to materially and adversely affect any right, preference, privilege or voting power of the Series B Preferred Stock; </w:t>
      </w:r>
      <w:r>
        <w:rPr>
          <w:rFonts w:ascii="Times New Roman" w:cs="Times New Roman" w:eastAsia="Times New Roman" w:hAnsi="Times New Roman"/>
          <w:sz w:val="13"/>
          <w:szCs w:val="13"/>
          <w:u w:val="single" w:color="auto"/>
          <w:color w:val="auto"/>
        </w:rPr>
        <w:t>provided however</w:t>
      </w:r>
      <w:r>
        <w:rPr>
          <w:rFonts w:ascii="Times New Roman" w:cs="Times New Roman" w:eastAsia="Times New Roman" w:hAnsi="Times New Roman"/>
          <w:sz w:val="13"/>
          <w:szCs w:val="13"/>
          <w:color w:val="auto"/>
        </w:rPr>
        <w:t xml:space="preserve"> , with respect to the occurrence of any of the Events set forth in (ii) above, so long as the Series B Preferred Stock remains outstanding with the terms thereof materially unchanged, taking into account that, upon the occurrence of an Event, the Company may not be the surviving entity, the occurrence of such Event shall not be deemed to materially and adversely affect such rights, preferences, privileges or voting power of Series B Preferred Stock, and in such case such holders shall not have any voting rights with respect to the occurrence of any of the Events set forth in (ii) above. In addition, if the holders of the Series B Preferred Stock receive the greater of the full trading price of the Series B Preferred Stock on the date of an Event set forth in (ii) above or the $25.00 liquidation preference per share of the Series B Preferred Stock pursuant to the occurrence of any of the Events set forth in (ii) above, then such holders shall not have any voting rights with respect to the Events set forth in (ii) above. Holders of shares of Series B Preferred Stock shall not be entitled to vote with respect to (A) any increase in the total number of authorized shares of Common Stock or Preferred Stock of the Company, or (B) any increase in the amount of the authorized Series B Preferred Stock or the creation or issuance of any other class or series of capital stock, or (C) any increase in the number of authorized shares of any other class or series of capital stock, in each case referred to in clause (A), (B) or (C) above ranking on parity with or junior to the Series B Preferred Stock with respect to the payment of dividends and the distribution of assets upon liquidation, dissolution or winding up of the Company. Except as set forth herein, holders of the Series B Preferred Stock shall not have any voting rights with respect to, and the consent of the holders of the Series B Preferred Stock shall not be required for, the taking of any corporate action, including an Event, regardless of the effect that such corporate action or Event may have upon the powers, preferences, voting power or other rights or privileges of the Series B Preferred Stock.</w:t>
      </w:r>
    </w:p>
    <w:p>
      <w:pPr>
        <w:spacing w:after="0" w:line="305" w:lineRule="exact"/>
        <w:rPr>
          <w:rFonts w:ascii="Times New Roman" w:cs="Times New Roman" w:eastAsia="Times New Roman" w:hAnsi="Times New Roman"/>
          <w:sz w:val="13"/>
          <w:szCs w:val="13"/>
          <w:color w:val="auto"/>
        </w:rPr>
      </w:pPr>
    </w:p>
    <w:p>
      <w:pPr>
        <w:ind w:left="600" w:right="740" w:firstLine="306"/>
        <w:spacing w:after="0" w:line="287" w:lineRule="auto"/>
        <w:tabs>
          <w:tab w:leader="none" w:pos="1092" w:val="left"/>
        </w:tabs>
        <w:numPr>
          <w:ilvl w:val="1"/>
          <w:numId w:val="1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foregoing voting provisions of this Section 6 shall not apply if, at or prior to the time when the act with respect to which such vote would otherwise be required shall be effected, all outstanding shares of Series B Preferred Stock shall have been redeemed or called for redemption upon proper notice and sufficient funds, in cash, shall have been deposited in trust to effect such redemption.</w:t>
      </w:r>
    </w:p>
    <w:p>
      <w:pPr>
        <w:spacing w:after="0" w:line="135" w:lineRule="exact"/>
        <w:rPr>
          <w:rFonts w:ascii="Times New Roman" w:cs="Times New Roman" w:eastAsia="Times New Roman" w:hAnsi="Times New Roman"/>
          <w:sz w:val="13"/>
          <w:szCs w:val="13"/>
          <w:color w:val="auto"/>
        </w:rPr>
      </w:pPr>
    </w:p>
    <w:p>
      <w:pPr>
        <w:ind w:left="1080" w:hanging="174"/>
        <w:spacing w:after="0"/>
        <w:tabs>
          <w:tab w:leader="none" w:pos="1080" w:val="left"/>
        </w:tabs>
        <w:numPr>
          <w:ilvl w:val="1"/>
          <w:numId w:val="1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any matter in which the Series B Preferred Stock may vote (as expressly provided herein), each share of Series B  Preferred</w:t>
      </w:r>
    </w:p>
    <w:p>
      <w:pPr>
        <w:spacing w:after="0" w:line="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Stock shall be entitled to one vote per $25.00 of liquidation preference.</w:t>
      </w:r>
    </w:p>
    <w:p>
      <w:pPr>
        <w:spacing w:after="0" w:line="18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Section 7. </w:t>
      </w:r>
      <w:r>
        <w:rPr>
          <w:rFonts w:ascii="Times New Roman" w:cs="Times New Roman" w:eastAsia="Times New Roman" w:hAnsi="Times New Roman"/>
          <w:sz w:val="13"/>
          <w:szCs w:val="13"/>
          <w:u w:val="single" w:color="auto"/>
          <w:color w:val="auto"/>
        </w:rPr>
        <w:t>Restrictions on Ownership and Transfer to Preserve Tax Benefit</w:t>
      </w:r>
      <w:r>
        <w:rPr>
          <w:rFonts w:ascii="Times New Roman" w:cs="Times New Roman" w:eastAsia="Times New Roman" w:hAnsi="Times New Roman"/>
          <w:sz w:val="13"/>
          <w:szCs w:val="13"/>
          <w:color w:val="auto"/>
        </w:rPr>
        <w:t xml:space="preserve"> .</w:t>
      </w:r>
    </w:p>
    <w:p>
      <w:pPr>
        <w:spacing w:after="0" w:line="187" w:lineRule="exact"/>
        <w:rPr>
          <w:sz w:val="20"/>
          <w:szCs w:val="20"/>
          <w:color w:val="auto"/>
        </w:rPr>
      </w:pPr>
    </w:p>
    <w:p>
      <w:pPr>
        <w:ind w:left="600" w:right="1080" w:firstLine="312"/>
        <w:spacing w:after="0" w:line="305" w:lineRule="auto"/>
        <w:rPr>
          <w:sz w:val="20"/>
          <w:szCs w:val="20"/>
          <w:color w:val="auto"/>
        </w:rPr>
      </w:pPr>
      <w:r>
        <w:rPr>
          <w:rFonts w:ascii="Times New Roman" w:cs="Times New Roman" w:eastAsia="Times New Roman" w:hAnsi="Times New Roman"/>
          <w:sz w:val="13"/>
          <w:szCs w:val="13"/>
          <w:color w:val="auto"/>
        </w:rPr>
        <w:t xml:space="preserve">(a) </w:t>
      </w:r>
      <w:r>
        <w:rPr>
          <w:rFonts w:ascii="Times New Roman" w:cs="Times New Roman" w:eastAsia="Times New Roman" w:hAnsi="Times New Roman"/>
          <w:sz w:val="13"/>
          <w:szCs w:val="13"/>
          <w:u w:val="single" w:color="auto"/>
          <w:color w:val="auto"/>
        </w:rPr>
        <w:t>Definitions</w:t>
      </w:r>
      <w:r>
        <w:rPr>
          <w:rFonts w:ascii="Times New Roman" w:cs="Times New Roman" w:eastAsia="Times New Roman" w:hAnsi="Times New Roman"/>
          <w:sz w:val="13"/>
          <w:szCs w:val="13"/>
          <w:color w:val="auto"/>
        </w:rPr>
        <w:t xml:space="preserve"> . For the purposes of Section 5 and this Section 7 of these Articles Supplementary, the following terms shall have the following meanings:</w:t>
      </w:r>
    </w:p>
    <w:p>
      <w:pPr>
        <w:spacing w:after="0" w:line="12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Aggregate Stock Ownership Limit</w:t>
      </w:r>
      <w:r>
        <w:rPr>
          <w:rFonts w:ascii="Times New Roman" w:cs="Times New Roman" w:eastAsia="Times New Roman" w:hAnsi="Times New Roman"/>
          <w:sz w:val="13"/>
          <w:szCs w:val="13"/>
          <w:color w:val="auto"/>
        </w:rPr>
        <w:t xml:space="preserve"> ” has the meaning set forth in Article 6 of the Charter.</w:t>
      </w:r>
    </w:p>
    <w:p>
      <w:pPr>
        <w:spacing w:after="0" w:line="186" w:lineRule="exact"/>
        <w:rPr>
          <w:sz w:val="20"/>
          <w:szCs w:val="20"/>
          <w:color w:val="auto"/>
        </w:rPr>
      </w:pPr>
    </w:p>
    <w:p>
      <w:pPr>
        <w:ind w:left="900" w:right="740" w:firstLine="312"/>
        <w:spacing w:after="0" w:line="281"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Beneficial Ownership</w:t>
      </w:r>
      <w:r>
        <w:rPr>
          <w:rFonts w:ascii="Times New Roman" w:cs="Times New Roman" w:eastAsia="Times New Roman" w:hAnsi="Times New Roman"/>
          <w:sz w:val="13"/>
          <w:szCs w:val="13"/>
          <w:color w:val="auto"/>
        </w:rPr>
        <w:t xml:space="preserve"> ” shall mean ownership of Series B Preferred Stock by a Person who is or would be treated as an owner of such Series B Preferred Stock either actually or constructively through the application of Section 544 of the Code, as modified by Sections 856(h)(1)(B) and 856(h)(3) of the Code. The terms “ </w:t>
      </w:r>
      <w:r>
        <w:rPr>
          <w:rFonts w:ascii="Times New Roman" w:cs="Times New Roman" w:eastAsia="Times New Roman" w:hAnsi="Times New Roman"/>
          <w:sz w:val="13"/>
          <w:szCs w:val="13"/>
          <w:u w:val="single" w:color="auto"/>
          <w:color w:val="auto"/>
        </w:rPr>
        <w:t>Beneficial Owner</w:t>
      </w:r>
      <w:r>
        <w:rPr>
          <w:rFonts w:ascii="Times New Roman" w:cs="Times New Roman" w:eastAsia="Times New Roman" w:hAnsi="Times New Roman"/>
          <w:sz w:val="13"/>
          <w:szCs w:val="13"/>
          <w:color w:val="auto"/>
        </w:rPr>
        <w:t xml:space="preserve"> ,” “ </w:t>
      </w:r>
      <w:r>
        <w:rPr>
          <w:rFonts w:ascii="Times New Roman" w:cs="Times New Roman" w:eastAsia="Times New Roman" w:hAnsi="Times New Roman"/>
          <w:sz w:val="13"/>
          <w:szCs w:val="13"/>
          <w:u w:val="single" w:color="auto"/>
          <w:color w:val="auto"/>
        </w:rPr>
        <w:t>Beneficially Owns</w:t>
      </w:r>
      <w:r>
        <w:rPr>
          <w:rFonts w:ascii="Times New Roman" w:cs="Times New Roman" w:eastAsia="Times New Roman" w:hAnsi="Times New Roman"/>
          <w:sz w:val="13"/>
          <w:szCs w:val="13"/>
          <w:color w:val="auto"/>
        </w:rPr>
        <w:t xml:space="preserve"> ” and “ </w:t>
      </w:r>
      <w:r>
        <w:rPr>
          <w:rFonts w:ascii="Times New Roman" w:cs="Times New Roman" w:eastAsia="Times New Roman" w:hAnsi="Times New Roman"/>
          <w:sz w:val="13"/>
          <w:szCs w:val="13"/>
          <w:u w:val="single" w:color="auto"/>
          <w:color w:val="auto"/>
        </w:rPr>
        <w:t>Beneficially Owned</w:t>
      </w:r>
      <w:r>
        <w:rPr>
          <w:rFonts w:ascii="Times New Roman" w:cs="Times New Roman" w:eastAsia="Times New Roman" w:hAnsi="Times New Roman"/>
          <w:sz w:val="13"/>
          <w:szCs w:val="13"/>
          <w:color w:val="auto"/>
        </w:rPr>
        <w:t xml:space="preserve"> ” shall have the correlative meanings.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599440</wp:posOffset>
            </wp:positionV>
            <wp:extent cx="4436110" cy="152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89">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332740</wp:posOffset>
            </wp:positionV>
            <wp:extent cx="5083810" cy="152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90">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30" w:name="page231"/>
    <w:bookmarkEnd w:id="230"/>
    <w:p>
      <w:pPr>
        <w:ind w:left="12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Capital Stock</w:t>
      </w:r>
      <w:r>
        <w:rPr>
          <w:rFonts w:ascii="Times New Roman" w:cs="Times New Roman" w:eastAsia="Times New Roman" w:hAnsi="Times New Roman"/>
          <w:sz w:val="13"/>
          <w:szCs w:val="13"/>
          <w:color w:val="auto"/>
        </w:rPr>
        <w:t xml:space="preserve"> ” has the meaning set forth in Article 6 of the Charter.</w:t>
      </w:r>
    </w:p>
    <w:p>
      <w:pPr>
        <w:spacing w:after="0" w:line="187" w:lineRule="exact"/>
        <w:rPr>
          <w:sz w:val="20"/>
          <w:szCs w:val="20"/>
          <w:color w:val="auto"/>
        </w:rPr>
      </w:pPr>
    </w:p>
    <w:p>
      <w:pPr>
        <w:ind w:left="900" w:right="620" w:firstLine="312"/>
        <w:spacing w:after="0" w:line="272"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Charitable Beneficiary</w:t>
      </w:r>
      <w:r>
        <w:rPr>
          <w:rFonts w:ascii="Times New Roman" w:cs="Times New Roman" w:eastAsia="Times New Roman" w:hAnsi="Times New Roman"/>
          <w:sz w:val="13"/>
          <w:szCs w:val="13"/>
          <w:color w:val="auto"/>
        </w:rPr>
        <w:t xml:space="preserve"> ” shall mean one or more beneficiaries of a Trust, as determined pursuant to Section 7(c)(vi) of these Articles Supplementary, each of which shall be an organization described in Sections 170(b)(1)(A), 170(c)(2) and 501(c)</w:t>
      </w:r>
    </w:p>
    <w:p>
      <w:pPr>
        <w:spacing w:after="0" w:line="1" w:lineRule="exact"/>
        <w:rPr>
          <w:sz w:val="20"/>
          <w:szCs w:val="20"/>
          <w:color w:val="auto"/>
        </w:rPr>
      </w:pPr>
    </w:p>
    <w:p>
      <w:pPr>
        <w:ind w:left="1100" w:hanging="194"/>
        <w:spacing w:after="0"/>
        <w:tabs>
          <w:tab w:leader="none" w:pos="1100" w:val="left"/>
        </w:tabs>
        <w:numPr>
          <w:ilvl w:val="0"/>
          <w:numId w:val="1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of the Code.</w:t>
      </w:r>
    </w:p>
    <w:p>
      <w:pPr>
        <w:spacing w:after="0" w:line="171" w:lineRule="exact"/>
        <w:rPr>
          <w:rFonts w:ascii="Times New Roman" w:cs="Times New Roman" w:eastAsia="Times New Roman" w:hAnsi="Times New Roman"/>
          <w:sz w:val="13"/>
          <w:szCs w:val="13"/>
          <w:color w:val="auto"/>
        </w:rPr>
      </w:pPr>
    </w:p>
    <w:p>
      <w:pPr>
        <w:ind w:left="900" w:right="800" w:firstLine="312"/>
        <w:spacing w:after="0" w:line="305"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Code</w:t>
      </w:r>
      <w:r>
        <w:rPr>
          <w:rFonts w:ascii="Times New Roman" w:cs="Times New Roman" w:eastAsia="Times New Roman" w:hAnsi="Times New Roman"/>
          <w:sz w:val="13"/>
          <w:szCs w:val="13"/>
          <w:color w:val="auto"/>
        </w:rPr>
        <w:t xml:space="preserve"> ” shall mean the Internal Revenue Code of 1986, as amended. All section references to the Code shall include any successor provisions thereof as may be adopted from time to time.</w:t>
      </w:r>
    </w:p>
    <w:p>
      <w:pPr>
        <w:spacing w:after="0" w:line="124" w:lineRule="exact"/>
        <w:rPr>
          <w:rFonts w:ascii="Times New Roman" w:cs="Times New Roman" w:eastAsia="Times New Roman" w:hAnsi="Times New Roman"/>
          <w:sz w:val="13"/>
          <w:szCs w:val="13"/>
          <w:color w:val="auto"/>
        </w:rPr>
      </w:pPr>
    </w:p>
    <w:p>
      <w:pPr>
        <w:ind w:left="900" w:right="680" w:firstLine="312"/>
        <w:spacing w:after="0" w:line="281"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Constructive Ownership</w:t>
      </w:r>
      <w:r>
        <w:rPr>
          <w:rFonts w:ascii="Times New Roman" w:cs="Times New Roman" w:eastAsia="Times New Roman" w:hAnsi="Times New Roman"/>
          <w:sz w:val="13"/>
          <w:szCs w:val="13"/>
          <w:color w:val="auto"/>
        </w:rPr>
        <w:t xml:space="preserve"> ” shall mean ownership of Series B Preferred Stock by a Person who is or would be treated as an owner of such Series B Preferred Stock either actually or constructively through the application of Section 318 of the Code, as modified by Section 856(d)(5) of the Code. The terms “ </w:t>
      </w:r>
      <w:r>
        <w:rPr>
          <w:rFonts w:ascii="Times New Roman" w:cs="Times New Roman" w:eastAsia="Times New Roman" w:hAnsi="Times New Roman"/>
          <w:sz w:val="13"/>
          <w:szCs w:val="13"/>
          <w:u w:val="single" w:color="auto"/>
          <w:color w:val="auto"/>
        </w:rPr>
        <w:t>Constructive Owner</w:t>
      </w:r>
      <w:r>
        <w:rPr>
          <w:rFonts w:ascii="Times New Roman" w:cs="Times New Roman" w:eastAsia="Times New Roman" w:hAnsi="Times New Roman"/>
          <w:sz w:val="13"/>
          <w:szCs w:val="13"/>
          <w:color w:val="auto"/>
        </w:rPr>
        <w:t xml:space="preserve"> ,” “ </w:t>
      </w:r>
      <w:r>
        <w:rPr>
          <w:rFonts w:ascii="Times New Roman" w:cs="Times New Roman" w:eastAsia="Times New Roman" w:hAnsi="Times New Roman"/>
          <w:sz w:val="13"/>
          <w:szCs w:val="13"/>
          <w:u w:val="single" w:color="auto"/>
          <w:color w:val="auto"/>
        </w:rPr>
        <w:t>Constructively Owns</w:t>
      </w:r>
      <w:r>
        <w:rPr>
          <w:rFonts w:ascii="Times New Roman" w:cs="Times New Roman" w:eastAsia="Times New Roman" w:hAnsi="Times New Roman"/>
          <w:sz w:val="13"/>
          <w:szCs w:val="13"/>
          <w:color w:val="auto"/>
        </w:rPr>
        <w:t xml:space="preserve"> ” and “ </w:t>
      </w:r>
      <w:r>
        <w:rPr>
          <w:rFonts w:ascii="Times New Roman" w:cs="Times New Roman" w:eastAsia="Times New Roman" w:hAnsi="Times New Roman"/>
          <w:sz w:val="13"/>
          <w:szCs w:val="13"/>
          <w:u w:val="single" w:color="auto"/>
          <w:color w:val="auto"/>
        </w:rPr>
        <w:t>Constructively Owned</w:t>
      </w:r>
      <w:r>
        <w:rPr>
          <w:rFonts w:ascii="Times New Roman" w:cs="Times New Roman" w:eastAsia="Times New Roman" w:hAnsi="Times New Roman"/>
          <w:sz w:val="13"/>
          <w:szCs w:val="13"/>
          <w:color w:val="auto"/>
        </w:rPr>
        <w:t xml:space="preserve"> ” shall have the correlative meanings.</w:t>
      </w:r>
    </w:p>
    <w:p>
      <w:pPr>
        <w:spacing w:after="0" w:line="140" w:lineRule="exact"/>
        <w:rPr>
          <w:sz w:val="20"/>
          <w:szCs w:val="20"/>
          <w:color w:val="auto"/>
        </w:rPr>
      </w:pPr>
    </w:p>
    <w:p>
      <w:pPr>
        <w:ind w:left="900" w:right="720" w:firstLine="312"/>
        <w:spacing w:after="0" w:line="281"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Individual</w:t>
      </w:r>
      <w:r>
        <w:rPr>
          <w:rFonts w:ascii="Times New Roman" w:cs="Times New Roman" w:eastAsia="Times New Roman" w:hAnsi="Times New Roman"/>
          <w:sz w:val="13"/>
          <w:szCs w:val="13"/>
          <w:color w:val="auto"/>
        </w:rPr>
        <w:t xml:space="preserve"> ” means an individual, a trust qualified under Section 401(a) or 501(c)(17) of the Code, a portion of a trust permanently set aside for or to be used exclusively for the purposes described in Section 642(c) of the Code, or a private foundation within the meaning of Section 509(a) of the Code, provided that a trust described in Section 401(a) of the Code and exempt from tax under Section 501(a) of the Code shall be excluded from this definition.</w:t>
      </w:r>
    </w:p>
    <w:p>
      <w:pPr>
        <w:spacing w:after="0" w:line="14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IRS</w:t>
      </w:r>
      <w:r>
        <w:rPr>
          <w:rFonts w:ascii="Times New Roman" w:cs="Times New Roman" w:eastAsia="Times New Roman" w:hAnsi="Times New Roman"/>
          <w:sz w:val="13"/>
          <w:szCs w:val="13"/>
          <w:color w:val="auto"/>
        </w:rPr>
        <w:t xml:space="preserve"> ” means the United States Internal Revenue Service.</w:t>
      </w:r>
    </w:p>
    <w:p>
      <w:pPr>
        <w:spacing w:after="0" w:line="186" w:lineRule="exact"/>
        <w:rPr>
          <w:sz w:val="20"/>
          <w:szCs w:val="20"/>
          <w:color w:val="auto"/>
        </w:rPr>
      </w:pPr>
    </w:p>
    <w:p>
      <w:pPr>
        <w:ind w:left="900" w:right="840" w:firstLine="312"/>
        <w:spacing w:after="0" w:line="276"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Market Price</w:t>
      </w:r>
      <w:r>
        <w:rPr>
          <w:rFonts w:ascii="Times New Roman" w:cs="Times New Roman" w:eastAsia="Times New Roman" w:hAnsi="Times New Roman"/>
          <w:sz w:val="13"/>
          <w:szCs w:val="13"/>
          <w:color w:val="auto"/>
        </w:rPr>
        <w:t xml:space="preserve"> ” shall mean the last reported sales price reported on the NYSE of the Series B Preferred Stock on the trading day immediately preceding the relevant date, or if the Series B Preferred Stock is not then traded on the NYSE, the last reported sales price of the Series B Preferred Stock on the trading day immediately preceding the relevant date as reported on any exchange or quotation system over which the Series B Preferred Stock may be traded, or if the Series B Preferred Stock is not then traded over any exchange or quotation system, the market price of the Series B Preferred Stock on the relevant date as determined in good faith by the Board of Directors of the Company.</w:t>
      </w:r>
    </w:p>
    <w:p>
      <w:pPr>
        <w:spacing w:after="0" w:line="14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NYSE</w:t>
      </w:r>
      <w:r>
        <w:rPr>
          <w:rFonts w:ascii="Times New Roman" w:cs="Times New Roman" w:eastAsia="Times New Roman" w:hAnsi="Times New Roman"/>
          <w:sz w:val="13"/>
          <w:szCs w:val="13"/>
          <w:color w:val="auto"/>
        </w:rPr>
        <w:t xml:space="preserve"> ” means the New York Stock Exchange.</w:t>
      </w:r>
    </w:p>
    <w:p>
      <w:pPr>
        <w:spacing w:after="0" w:line="187" w:lineRule="exact"/>
        <w:rPr>
          <w:sz w:val="20"/>
          <w:szCs w:val="20"/>
          <w:color w:val="auto"/>
        </w:rPr>
      </w:pPr>
    </w:p>
    <w:p>
      <w:pPr>
        <w:ind w:left="900" w:right="640" w:firstLine="312"/>
        <w:spacing w:after="0" w:line="287"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Ownership Limit</w:t>
      </w:r>
      <w:r>
        <w:rPr>
          <w:rFonts w:ascii="Times New Roman" w:cs="Times New Roman" w:eastAsia="Times New Roman" w:hAnsi="Times New Roman"/>
          <w:sz w:val="13"/>
          <w:szCs w:val="13"/>
          <w:color w:val="auto"/>
        </w:rPr>
        <w:t xml:space="preserve"> ” shall mean 9.8% (by value or number of shares, whichever is more restrictive) of the outstanding shares of Series B Preferred Stock of the Company. The number and value of shares of outstanding Series B Preferred Stock of the Company shall be determined by the Board of Directors in good faith, which determination shall be conclusive for all purposes hereof.</w:t>
      </w:r>
    </w:p>
    <w:p>
      <w:pPr>
        <w:spacing w:after="0" w:line="136" w:lineRule="exact"/>
        <w:rPr>
          <w:sz w:val="20"/>
          <w:szCs w:val="20"/>
          <w:color w:val="auto"/>
        </w:rPr>
      </w:pPr>
    </w:p>
    <w:p>
      <w:pPr>
        <w:ind w:left="900" w:right="700" w:firstLine="312"/>
        <w:spacing w:after="0" w:line="276"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Person</w:t>
      </w:r>
      <w:r>
        <w:rPr>
          <w:rFonts w:ascii="Times New Roman" w:cs="Times New Roman" w:eastAsia="Times New Roman" w:hAnsi="Times New Roman"/>
          <w:sz w:val="13"/>
          <w:szCs w:val="13"/>
          <w:color w:val="auto"/>
        </w:rPr>
        <w:t xml:space="preserve"> ” shall mean an Individual, corporation, partnership, limited liability company, estate, trust (including a trust qualified under Section 401(a) or 501(c)(17) of the Code), a portion of a trust permanently set aside for or to be used exclusively for the purposes described in Section 642(c) of the Code, association, private foundation within the meaning of Section 509(a) of the Code, joint stock company or other entity; but does not include an underwriter acting in a capacity as such in a public offering of shares of Series B Preferred Stock provided that the ownership of such shares of Series B Preferred Stock by such underwriter would not result in the Company being “closely held” within the meaning of Section 856(h) of the Code, or otherwise result in the Company failing to qualify as a REIT.</w:t>
      </w:r>
    </w:p>
    <w:p>
      <w:pPr>
        <w:spacing w:after="0" w:line="144" w:lineRule="exact"/>
        <w:rPr>
          <w:sz w:val="20"/>
          <w:szCs w:val="20"/>
          <w:color w:val="auto"/>
        </w:rPr>
      </w:pPr>
    </w:p>
    <w:p>
      <w:pPr>
        <w:ind w:left="900" w:right="640" w:firstLine="312"/>
        <w:spacing w:after="0" w:line="281"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Purported Beneficial Transferee</w:t>
      </w:r>
      <w:r>
        <w:rPr>
          <w:rFonts w:ascii="Times New Roman" w:cs="Times New Roman" w:eastAsia="Times New Roman" w:hAnsi="Times New Roman"/>
          <w:sz w:val="13"/>
          <w:szCs w:val="13"/>
          <w:color w:val="auto"/>
        </w:rPr>
        <w:t xml:space="preserve"> ” shall mean, with respect to any purported Transfer (or other event) which results in a transfer to a Trust, as provided in Section 7(b)(ii) of these Articles Supplementary, the Purported Record Transferee, unless the Purported Record Transferee would have acquired or owned shares of Series B Preferred Stock for another Person who is the beneficial transferee or beneficial owner of such shares, in which case the Purported Beneficial Transferee shall be such Person.</w:t>
      </w:r>
    </w:p>
    <w:p>
      <w:pPr>
        <w:spacing w:after="0" w:line="140" w:lineRule="exact"/>
        <w:rPr>
          <w:sz w:val="20"/>
          <w:szCs w:val="20"/>
          <w:color w:val="auto"/>
        </w:rPr>
      </w:pPr>
    </w:p>
    <w:p>
      <w:pPr>
        <w:ind w:left="900" w:right="720" w:firstLine="312"/>
        <w:spacing w:after="0" w:line="287"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Purported Record Transferee</w:t>
      </w:r>
      <w:r>
        <w:rPr>
          <w:rFonts w:ascii="Times New Roman" w:cs="Times New Roman" w:eastAsia="Times New Roman" w:hAnsi="Times New Roman"/>
          <w:sz w:val="13"/>
          <w:szCs w:val="13"/>
          <w:color w:val="auto"/>
        </w:rPr>
        <w:t xml:space="preserve"> ” shall mean, with respect to any purported Transfer (or other event) which results in a transfer to a Trust, as provided in Section 7(b)(ii) of these Articles Supplementary, the record holder of the Series B Preferred Stock if such Transfer had been valid under Section 7(b)(i) of these Articles Supplementary.</w:t>
      </w:r>
    </w:p>
    <w:p>
      <w:pPr>
        <w:spacing w:after="0" w:line="13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REIT</w:t>
      </w:r>
      <w:r>
        <w:rPr>
          <w:rFonts w:ascii="Times New Roman" w:cs="Times New Roman" w:eastAsia="Times New Roman" w:hAnsi="Times New Roman"/>
          <w:sz w:val="13"/>
          <w:szCs w:val="13"/>
          <w:color w:val="auto"/>
        </w:rPr>
        <w:t xml:space="preserve"> ” shall mean a real estate investment trust under Sections 856 through 860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415290</wp:posOffset>
            </wp:positionV>
            <wp:extent cx="4436110" cy="152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91">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354330</wp:posOffset>
            </wp:positionV>
            <wp:extent cx="5083810" cy="152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92">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31" w:name="page232"/>
    <w:bookmarkEnd w:id="231"/>
    <w:p>
      <w:pPr>
        <w:ind w:left="900" w:right="1040" w:firstLine="312"/>
        <w:spacing w:after="0" w:line="305"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Restriction Termination Date</w:t>
      </w:r>
      <w:r>
        <w:rPr>
          <w:rFonts w:ascii="Times New Roman" w:cs="Times New Roman" w:eastAsia="Times New Roman" w:hAnsi="Times New Roman"/>
          <w:sz w:val="13"/>
          <w:szCs w:val="13"/>
          <w:color w:val="auto"/>
        </w:rPr>
        <w:t xml:space="preserve"> ” shall mean the first day after the date hereof on which the Board of Directors of the Company determines that it is no longer in the best interests of the Company to attempt to, or continue to, qualify as a REIT.</w:t>
      </w:r>
    </w:p>
    <w:p>
      <w:pPr>
        <w:spacing w:after="0" w:line="124" w:lineRule="exact"/>
        <w:rPr>
          <w:sz w:val="20"/>
          <w:szCs w:val="20"/>
          <w:color w:val="auto"/>
        </w:rPr>
      </w:pPr>
    </w:p>
    <w:p>
      <w:pPr>
        <w:ind w:left="900" w:right="660" w:firstLine="312"/>
        <w:spacing w:after="0" w:line="275"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Transfer</w:t>
      </w:r>
      <w:r>
        <w:rPr>
          <w:rFonts w:ascii="Times New Roman" w:cs="Times New Roman" w:eastAsia="Times New Roman" w:hAnsi="Times New Roman"/>
          <w:sz w:val="13"/>
          <w:szCs w:val="13"/>
          <w:color w:val="auto"/>
        </w:rPr>
        <w:t xml:space="preserve"> ” shall mean any sale, issuance, transfer, gift, assignment, devise or other disposition of Series B Preferred Stock as well as any other event that causes any Person to Beneficially Own or Constructively Own Series B Preferred Stock, including (i) the granting of any option or entering into any agreement for the sale, transfer or other disposition of Series B Preferred Stock or (ii) the sale, transfer, assignment or other disposition of any securities (or rights convertible into or exchangeable for Series B Preferred Stock), whether voluntary or involuntary, whether such transfer has occurred of record or beneficially or Beneficially or Constructively (including but not limited to transfers of interests in other entities which result in changes in Beneficial or Constructive Ownership of Series B Preferred Stock), and whether such transfer has occurred by operation of law or otherwise.</w:t>
      </w:r>
    </w:p>
    <w:p>
      <w:pPr>
        <w:spacing w:after="0" w:line="14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Trust</w:t>
      </w:r>
      <w:r>
        <w:rPr>
          <w:rFonts w:ascii="Times New Roman" w:cs="Times New Roman" w:eastAsia="Times New Roman" w:hAnsi="Times New Roman"/>
          <w:sz w:val="13"/>
          <w:szCs w:val="13"/>
          <w:color w:val="auto"/>
        </w:rPr>
        <w:t xml:space="preserve"> ” shall mean each of the trusts provided for in Section 7(c) of these Articles Supplementary.</w:t>
      </w:r>
    </w:p>
    <w:p>
      <w:pPr>
        <w:spacing w:after="0" w:line="187" w:lineRule="exact"/>
        <w:rPr>
          <w:sz w:val="20"/>
          <w:szCs w:val="20"/>
          <w:color w:val="auto"/>
        </w:rPr>
      </w:pPr>
    </w:p>
    <w:p>
      <w:pPr>
        <w:ind w:left="900" w:right="1060" w:firstLine="312"/>
        <w:spacing w:after="0" w:line="305"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Trustee</w:t>
      </w:r>
      <w:r>
        <w:rPr>
          <w:rFonts w:ascii="Times New Roman" w:cs="Times New Roman" w:eastAsia="Times New Roman" w:hAnsi="Times New Roman"/>
          <w:sz w:val="13"/>
          <w:szCs w:val="13"/>
          <w:color w:val="auto"/>
        </w:rPr>
        <w:t xml:space="preserve"> ” shall mean any Person unaffiliated with the Company, or a Purported Beneficial Transferee, or a Purported Record Transferee, that is appointed by the Company to serve as trustee of a Trust.</w:t>
      </w:r>
    </w:p>
    <w:p>
      <w:pPr>
        <w:spacing w:after="0" w:line="124" w:lineRule="exact"/>
        <w:rPr>
          <w:sz w:val="20"/>
          <w:szCs w:val="20"/>
          <w:color w:val="auto"/>
        </w:rPr>
      </w:pPr>
    </w:p>
    <w:p>
      <w:pPr>
        <w:ind w:left="1080" w:hanging="174"/>
        <w:spacing w:after="0"/>
        <w:tabs>
          <w:tab w:leader="none" w:pos="1080" w:val="left"/>
        </w:tabs>
        <w:numPr>
          <w:ilvl w:val="0"/>
          <w:numId w:val="1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Restriction on Ownership and Transfers</w:t>
      </w:r>
      <w:r>
        <w:rPr>
          <w:rFonts w:ascii="Times New Roman" w:cs="Times New Roman" w:eastAsia="Times New Roman" w:hAnsi="Times New Roman"/>
          <w:sz w:val="13"/>
          <w:szCs w:val="13"/>
          <w:color w:val="auto"/>
        </w:rPr>
        <w:t xml:space="preserve"> .</w:t>
      </w:r>
    </w:p>
    <w:p>
      <w:pPr>
        <w:spacing w:after="0" w:line="186" w:lineRule="exact"/>
        <w:rPr>
          <w:rFonts w:ascii="Times New Roman" w:cs="Times New Roman" w:eastAsia="Times New Roman" w:hAnsi="Times New Roman"/>
          <w:sz w:val="13"/>
          <w:szCs w:val="13"/>
          <w:color w:val="auto"/>
        </w:rPr>
      </w:pPr>
    </w:p>
    <w:p>
      <w:pPr>
        <w:ind w:left="1380" w:hanging="161"/>
        <w:spacing w:after="0"/>
        <w:tabs>
          <w:tab w:leader="none" w:pos="1380" w:val="left"/>
        </w:tabs>
        <w:numPr>
          <w:ilvl w:val="1"/>
          <w:numId w:val="1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Prior to the Restriction Termination Date, but subject to Section 7(l):</w:t>
      </w:r>
    </w:p>
    <w:p>
      <w:pPr>
        <w:spacing w:after="0" w:line="187" w:lineRule="exact"/>
        <w:rPr>
          <w:sz w:val="20"/>
          <w:szCs w:val="20"/>
          <w:color w:val="auto"/>
        </w:rPr>
      </w:pPr>
    </w:p>
    <w:p>
      <w:pPr>
        <w:ind w:left="1220" w:right="860" w:firstLine="312"/>
        <w:spacing w:after="0" w:line="287" w:lineRule="auto"/>
        <w:rPr>
          <w:sz w:val="20"/>
          <w:szCs w:val="20"/>
          <w:color w:val="auto"/>
        </w:rPr>
      </w:pPr>
      <w:r>
        <w:rPr>
          <w:rFonts w:ascii="Times New Roman" w:cs="Times New Roman" w:eastAsia="Times New Roman" w:hAnsi="Times New Roman"/>
          <w:sz w:val="13"/>
          <w:szCs w:val="13"/>
          <w:color w:val="auto"/>
        </w:rPr>
        <w:t>(A) except as provided in Section 7(i) of these Articles Supplementary, (1) no Person shall Beneficially Own Series B Preferred Stock in excess of the Ownership Limit and (2) no Person shall Beneficially Own shares of Capital Stock in excess of the Aggregate Stock Ownership Limit;</w:t>
      </w:r>
    </w:p>
    <w:p>
      <w:pPr>
        <w:spacing w:after="0" w:line="136" w:lineRule="exact"/>
        <w:rPr>
          <w:sz w:val="20"/>
          <w:szCs w:val="20"/>
          <w:color w:val="auto"/>
        </w:rPr>
      </w:pPr>
    </w:p>
    <w:p>
      <w:pPr>
        <w:ind w:left="1220" w:right="780" w:firstLine="312"/>
        <w:spacing w:after="0" w:line="287" w:lineRule="auto"/>
        <w:rPr>
          <w:sz w:val="20"/>
          <w:szCs w:val="20"/>
          <w:color w:val="auto"/>
        </w:rPr>
      </w:pPr>
      <w:r>
        <w:rPr>
          <w:rFonts w:ascii="Times New Roman" w:cs="Times New Roman" w:eastAsia="Times New Roman" w:hAnsi="Times New Roman"/>
          <w:sz w:val="13"/>
          <w:szCs w:val="13"/>
          <w:color w:val="auto"/>
        </w:rPr>
        <w:t>(B) except as provided in Section 7(i) of these Articles Supplementary, (1) no Person shall Constructively Own Series B Preferred Stock in excess of the Ownership Limit and (2) no Person shall Constructively own shares of Capital Stock in excess of the Aggregate Stock Ownership Limit;</w:t>
      </w:r>
    </w:p>
    <w:p>
      <w:pPr>
        <w:spacing w:after="0" w:line="136" w:lineRule="exact"/>
        <w:rPr>
          <w:sz w:val="20"/>
          <w:szCs w:val="20"/>
          <w:color w:val="auto"/>
        </w:rPr>
      </w:pPr>
    </w:p>
    <w:p>
      <w:pPr>
        <w:ind w:left="1220" w:right="700" w:firstLine="311"/>
        <w:spacing w:after="0" w:line="276" w:lineRule="auto"/>
        <w:tabs>
          <w:tab w:leader="none" w:pos="1736" w:val="left"/>
        </w:tabs>
        <w:numPr>
          <w:ilvl w:val="2"/>
          <w:numId w:val="1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Person shall Beneficially Own or Constructively Own Series B Preferred Stock which, taking into account any other Capital Stock of the Company Beneficially or Constructively Owned by such Person, would result in the Company being “closely held” within the meaning of Section 856(h) of the Code, or otherwise failing to qualify as a REIT (including but not limited to Beneficial or Constructive Ownership that would result in the Company owning (actually or Constructively) an interest in a tenant that is described in Section 856(d)(2)(B) of the Code if the income derived by the Company (either directly or indirectly through one or more subsidiaries) from such tenant would cause the Company to fail to satisfy any of the gross income requirements of Section 856(c) of the Code).</w:t>
      </w:r>
    </w:p>
    <w:p>
      <w:pPr>
        <w:spacing w:after="0" w:line="312" w:lineRule="exact"/>
        <w:rPr>
          <w:rFonts w:ascii="Times New Roman" w:cs="Times New Roman" w:eastAsia="Times New Roman" w:hAnsi="Times New Roman"/>
          <w:sz w:val="13"/>
          <w:szCs w:val="13"/>
          <w:color w:val="auto"/>
        </w:rPr>
      </w:pPr>
    </w:p>
    <w:p>
      <w:pPr>
        <w:ind w:left="600" w:right="680" w:firstLine="607"/>
        <w:spacing w:after="0" w:line="274" w:lineRule="auto"/>
        <w:tabs>
          <w:tab w:leader="none" w:pos="1404" w:val="left"/>
        </w:tabs>
        <w:numPr>
          <w:ilvl w:val="1"/>
          <w:numId w:val="1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prior to the Restriction Termination Date, any Transfer or other event occurs that, if effective, would result in any Person Beneficially or Constructively Owning Series B Preferred Stock in violation of Section 7(b)(i) of these Articles Supplementary, (i) then that number of shares of Series B Preferred Stock that otherwise would cause such Person to violate Section 7(b)(i) of these Articles Supplementary (rounded up to the nearest whole share) shall be automatically transferred to a Trust for the benefit of a Charitable Beneficiary, as described in Section 7(c), effective as of the close of business on the Business Day prior to the date of such Transfer or other event, and such Purported Beneficial Transferee shall thereafter have no rights in such shares or (ii) if, for any reason, the transfer to the Trust described in clause (i) of this sentence is not automatically effective as provided therein to prevent any Person from Beneficially or Constructively Owning Series B Preferred Stock in violation of Section 7(b)(i) of these Articles Supplementary, then the Transfer of that number of shares of Series B Preferred Stock that otherwise would cause any Person to violate Section 7(b)(i) shall be void ab initio, and the Purported Beneficial Transferee shall have no rights in such shares.</w:t>
      </w:r>
    </w:p>
    <w:p>
      <w:pPr>
        <w:spacing w:after="0" w:line="300" w:lineRule="exact"/>
        <w:rPr>
          <w:rFonts w:ascii="Times New Roman" w:cs="Times New Roman" w:eastAsia="Times New Roman" w:hAnsi="Times New Roman"/>
          <w:sz w:val="13"/>
          <w:szCs w:val="13"/>
          <w:color w:val="auto"/>
        </w:rPr>
      </w:pPr>
    </w:p>
    <w:p>
      <w:pPr>
        <w:ind w:left="600" w:right="760" w:firstLine="607"/>
        <w:spacing w:after="0" w:line="287" w:lineRule="auto"/>
        <w:tabs>
          <w:tab w:leader="none" w:pos="1428" w:val="left"/>
        </w:tabs>
        <w:numPr>
          <w:ilvl w:val="1"/>
          <w:numId w:val="1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Section 7(l) and prior to the Restriction Termination Date, any Transfer of Series B Preferred Stock that, if effective, would result in the capital stock of the Company being beneficially owned by fewer than 100 Persons (determined without reference to any rules of attribution) shall be void ab initio, and the intended transferee shall acquire no rights in such Series B Preferred Stock.</w:t>
      </w:r>
    </w:p>
    <w:p>
      <w:pPr>
        <w:spacing w:after="0" w:line="135" w:lineRule="exact"/>
        <w:rPr>
          <w:rFonts w:ascii="Times New Roman" w:cs="Times New Roman" w:eastAsia="Times New Roman" w:hAnsi="Times New Roman"/>
          <w:sz w:val="13"/>
          <w:szCs w:val="13"/>
          <w:color w:val="auto"/>
        </w:rPr>
      </w:pPr>
    </w:p>
    <w:p>
      <w:pPr>
        <w:ind w:left="1080" w:hanging="174"/>
        <w:spacing w:after="0"/>
        <w:tabs>
          <w:tab w:leader="none" w:pos="1080" w:val="left"/>
        </w:tabs>
        <w:numPr>
          <w:ilvl w:val="0"/>
          <w:numId w:val="1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Transfers of Series B Preferred Stock in Trust</w:t>
      </w:r>
      <w:r>
        <w:rPr>
          <w:rFonts w:ascii="Times New Roman" w:cs="Times New Roman" w:eastAsia="Times New Roman" w:hAnsi="Times New Roman"/>
          <w:sz w:val="13"/>
          <w:szCs w:val="13"/>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125730</wp:posOffset>
            </wp:positionV>
            <wp:extent cx="4436110" cy="76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93">
                      <a:extLst>
                        <a:ext uri="{28A0092B-C50C-407E-A947-70E740481C1C}"/>
                      </a:extLst>
                    </a:blip>
                    <a:srcRect/>
                    <a:stretch>
                      <a:fillRect/>
                    </a:stretch>
                  </pic:blipFill>
                  <pic:spPr bwMode="auto">
                    <a:xfrm>
                      <a:off x="0" y="0"/>
                      <a:ext cx="4436110"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567690</wp:posOffset>
            </wp:positionV>
            <wp:extent cx="5083810" cy="152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94">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32" w:name="page233"/>
    <w:bookmarkEnd w:id="232"/>
    <w:p>
      <w:pPr>
        <w:ind w:left="600" w:right="740" w:firstLine="607"/>
        <w:spacing w:after="0" w:line="276" w:lineRule="auto"/>
        <w:tabs>
          <w:tab w:leader="none" w:pos="1368" w:val="left"/>
        </w:tabs>
        <w:numPr>
          <w:ilvl w:val="0"/>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any purported Transfer or other event described in Section 7(b)(ii) of these Articles Supplementary, such Series B Preferred Stock shall be deemed to have been transferred to the Trustee in his capacity as trustee of a Trust for the exclusive benefit of one or more Charitable Beneficiaries. Such transfer to the Trustee shall be deemed to be effective as of the close of business on the Business Day prior to the purported Transfer or other event that results in a transfer to the Trust pursuant to Section 7(b)(ii). The Trustee shall be appointed by the Company and shall be a Person unaffiliated with the Company, any Purported Beneficial Transferee or any Purported Record Transferee. Each Charitable Beneficiary shall be designated by the Company as provided in Section 7(c)(vi) of these Articles Supplementary.</w:t>
      </w:r>
    </w:p>
    <w:p>
      <w:pPr>
        <w:spacing w:after="0" w:line="144" w:lineRule="exact"/>
        <w:rPr>
          <w:rFonts w:ascii="Times New Roman" w:cs="Times New Roman" w:eastAsia="Times New Roman" w:hAnsi="Times New Roman"/>
          <w:sz w:val="13"/>
          <w:szCs w:val="13"/>
          <w:color w:val="auto"/>
        </w:rPr>
      </w:pPr>
    </w:p>
    <w:p>
      <w:pPr>
        <w:ind w:left="600" w:right="820" w:firstLine="607"/>
        <w:spacing w:after="0" w:line="278" w:lineRule="auto"/>
        <w:tabs>
          <w:tab w:leader="none" w:pos="1404" w:val="left"/>
        </w:tabs>
        <w:numPr>
          <w:ilvl w:val="0"/>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Series B Preferred Stock held by the Trustee shall be issued and outstanding Series B Preferred Stock of the Company. The Purported Beneficial Transferee or Purported Record Transferee shall have no rights in the shares of the Series B Preferred Stock held by the Trustee. The Purported Beneficial Transferee or Purported Record Transferee shall not benefit economically from ownership of any shares held in trust by the Trustee, shall have no rights to dividends and shall not possess any rights to vote or other rights attributable to the shares of Series B Preferred Stock held in the Trust.</w:t>
      </w:r>
    </w:p>
    <w:p>
      <w:pPr>
        <w:spacing w:after="0" w:line="143" w:lineRule="exact"/>
        <w:rPr>
          <w:sz w:val="20"/>
          <w:szCs w:val="20"/>
          <w:color w:val="auto"/>
        </w:rPr>
      </w:pPr>
    </w:p>
    <w:p>
      <w:pPr>
        <w:ind w:left="600" w:right="660" w:firstLine="612"/>
        <w:spacing w:after="0" w:line="272" w:lineRule="auto"/>
        <w:rPr>
          <w:sz w:val="20"/>
          <w:szCs w:val="20"/>
          <w:color w:val="auto"/>
        </w:rPr>
      </w:pPr>
      <w:r>
        <w:rPr>
          <w:rFonts w:ascii="Times New Roman" w:cs="Times New Roman" w:eastAsia="Times New Roman" w:hAnsi="Times New Roman"/>
          <w:sz w:val="13"/>
          <w:szCs w:val="13"/>
          <w:color w:val="auto"/>
        </w:rPr>
        <w:t xml:space="preserve">(iii) The Trustee shall have all voting rights and rights to dividends with respect to Series B Preferred Stock held in the Trust, which rights shall be exercised for the exclusive benefit of the Charitable Beneficiary. Any dividend or distribution paid to or on behalf of the Purported Record Transferee or Purported Beneficial Transferee prior to the discovery by the Company that shares of Series B Preferred Stock have been transferred to the Trustee shall be paid to the Trustee upon demand, and any dividend or distribution declared but unpaid shall be paid when due to the Trustee with respect to such Series B Preferred Stock. Any dividends or distributions so paid over to the Trustee shall be held in trust for the Charitable Beneficiary. The Purported Record Transferee and Purported Beneficial Transferee shall have no voting rights with respect to the Series B Preferred Stock held in the Trust and, subject to Maryland law, effective as of the date the Series B Preferred Stock has been transferred to the Trustee, the Trustee shall have the authority (at the Trustee’s sole discretion) (i) to rescind as void any vote cast by a Purported Record Transferee with respect to such Series B Preferred Stock prior to the discovery by the Company that the Series B Preferred Stock has been transferred to the Trustee and (ii) to recast such vote in accordance with the desires of the Trustee acting for the benefit of the Charitable Beneficiary;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xml:space="preserve"> that if the Company has already taken irreversible corporate action, then the Trustee shall not have the authority to rescind and recast such vote. Notwithstanding any other provision of these Articles Supplementary to the contrary, until the Company has received notification that the Series B Preferred Stock has been transferred into a Trust, the Company shall be entitled to rely on its share transfer and other stockholder records for purposes of preparing lists of stockholders entitled to vote at meetings, determining the validity and authority of proxies and otherwise conducting votes of stockholders.</w:t>
      </w:r>
    </w:p>
    <w:p>
      <w:pPr>
        <w:spacing w:after="0" w:line="135" w:lineRule="exact"/>
        <w:rPr>
          <w:sz w:val="20"/>
          <w:szCs w:val="20"/>
          <w:color w:val="auto"/>
        </w:rPr>
      </w:pPr>
    </w:p>
    <w:p>
      <w:pPr>
        <w:ind w:left="600" w:right="640" w:firstLine="607"/>
        <w:spacing w:after="0" w:line="270" w:lineRule="auto"/>
        <w:tabs>
          <w:tab w:leader="none" w:pos="1428" w:val="left"/>
        </w:tabs>
        <w:numPr>
          <w:ilvl w:val="0"/>
          <w:numId w:val="1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Within twenty (20) days of receiving notice from the Company that shares of Series B Preferred Stock have been transferred to the Trust, the Trustee of the Trust shall sell the shares of Series B Preferred Stock held in the Trust to a Person, designated by the Trustee, whose ownership of the shares of Series B Preferred Stock will not violate the ownership limitations set forth in Section 7(b)(i). Upon such sale, the interest of the Charitable Beneficiary in the shares of Series B Preferred Stock sold shall terminate and the Trustee shall distribute the net proceeds of the sale to the Purported Record Transferee and to the Charitable Beneficiary as provided in this Section 7(c)(iv). The Purported Record Transferee shall receive the lesser of (i) the price paid by the Purported Record Transferee for the shares of Series B Preferred Stock in the transaction that resulted in such transfer to the Trust (or, if the event which resulted in the transfer to the Trust did not involve a purchase of such shares of Series B Preferred Stock at Market Price, the Market Price of such shares of Series B Preferred Stock on the day of the event which resulted in the transfer of such shares of Series B Preferred Stock to the Trust) and (ii) the price per share received by the Trustee (net of</w:t>
      </w:r>
    </w:p>
    <w:p>
      <w:pPr>
        <w:spacing w:after="0" w:line="2" w:lineRule="exact"/>
        <w:rPr>
          <w:rFonts w:ascii="Times New Roman" w:cs="Times New Roman" w:eastAsia="Times New Roman" w:hAnsi="Times New Roman"/>
          <w:sz w:val="13"/>
          <w:szCs w:val="13"/>
          <w:color w:val="auto"/>
        </w:rPr>
      </w:pPr>
    </w:p>
    <w:p>
      <w:pPr>
        <w:ind w:left="600" w:right="620"/>
        <w:spacing w:after="0" w:line="274"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commissions and other expenses of sale)from the sale or other disposition of the shares of Series B Preferred Stock held in the Trust. The Trustee may reduce the amount payable to the Purported Record Transferee by the amount of dividends and distributions which have been paid to the Purported Record Transferee and are owed by the Purported Record Transferee to the Trustee pursuant to Section 7(c)(iii). Any net sales proceeds in excess of the amount payable to the Purported Record Transferee shall be immediately paid to the Charitable Beneficiary together with any dividends or other distributions thereon. If, prior to the discovery by the Company that shares of such Series B Preferred Stock have been transferred to the Trustee, such shares of Series B Preferred Stock are sold by a Purported Record Transferee then (i) such shares of Series B Preferred Stock shall be deemed to have been sold on behalf of the Trust and (ii) to the extent that the Purported Record Transferee received an amount for such shares of Series B Preferred Stock that exceeds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106045</wp:posOffset>
            </wp:positionV>
            <wp:extent cx="4436110" cy="152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95">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540385</wp:posOffset>
            </wp:positionV>
            <wp:extent cx="5083810" cy="152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96">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33" w:name="page234"/>
    <w:bookmarkEnd w:id="233"/>
    <w:p>
      <w:pPr>
        <w:ind w:left="600" w:right="820"/>
        <w:spacing w:after="0" w:line="305" w:lineRule="auto"/>
        <w:rPr>
          <w:sz w:val="20"/>
          <w:szCs w:val="20"/>
          <w:color w:val="auto"/>
        </w:rPr>
      </w:pPr>
      <w:r>
        <w:rPr>
          <w:rFonts w:ascii="Times New Roman" w:cs="Times New Roman" w:eastAsia="Times New Roman" w:hAnsi="Times New Roman"/>
          <w:sz w:val="13"/>
          <w:szCs w:val="13"/>
          <w:color w:val="auto"/>
        </w:rPr>
        <w:t>amount that such Purported Record Transferee was entitled to receive pursuant to this Section 7(c)(iv), such excess shall be paid to the Trustee upon demand.</w:t>
      </w:r>
    </w:p>
    <w:p>
      <w:pPr>
        <w:spacing w:after="0" w:line="124" w:lineRule="exact"/>
        <w:rPr>
          <w:sz w:val="20"/>
          <w:szCs w:val="20"/>
          <w:color w:val="auto"/>
        </w:rPr>
      </w:pPr>
    </w:p>
    <w:p>
      <w:pPr>
        <w:ind w:left="600" w:right="620" w:firstLine="607"/>
        <w:spacing w:after="0" w:line="270" w:lineRule="auto"/>
        <w:tabs>
          <w:tab w:leader="none" w:pos="1392" w:val="left"/>
        </w:tabs>
        <w:numPr>
          <w:ilvl w:val="1"/>
          <w:numId w:val="1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Series B Preferred Stock transferred to the Trustee shall be deemed to have been offered for sale to the Company, or its designee, at a price per share equal to the lesser of (i) the price paid by the Purported Record Transferee for the shares of Series B Preferred Stock in the transaction that resulted in such transfer to the Trust (or, if the event which resulted in the transfer to the Trust did not involve a purchase of such shares of Series B Preferred Stock at Market Price, the Market Price of such shares of Series B Preferred Stock on the day of the event which resulted in the transfer of such shares of Series B Preferred Stock to the Trust) and (ii) the Market Price on the date the Company, or its designee, accepts such offer. The Company may reduce the amount payable to the Purported Record Transferee by the amount of dividends and distributions which have been paid to the Purported Record Transferee and are owed by the Purported Record Transferee to the Trustee pursuant to Section</w:t>
      </w:r>
    </w:p>
    <w:p>
      <w:pPr>
        <w:spacing w:after="0" w:line="2" w:lineRule="exact"/>
        <w:rPr>
          <w:rFonts w:ascii="Times New Roman" w:cs="Times New Roman" w:eastAsia="Times New Roman" w:hAnsi="Times New Roman"/>
          <w:sz w:val="13"/>
          <w:szCs w:val="13"/>
          <w:color w:val="auto"/>
        </w:rPr>
      </w:pPr>
    </w:p>
    <w:p>
      <w:pPr>
        <w:ind w:left="600" w:right="680"/>
        <w:spacing w:after="0" w:line="279"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7(c)(iii). The Company shall have the right to accept such offer until the Trustee has sold the shares of Series B Preferred Stock held in the Trust pursuant to Section 7(c)(iv). Upon such a sale to the Company, the interest of the Charitable Beneficiary in the shares of Series B Preferred Stock sold shall terminate and the Trustee shall distribute the net proceeds of the sale to the Purported Record Transferee and any dividends or other distributions held by the Trustee with respect to such Series B Preferred Stock shall thereupon be paid to the Charitable Beneficiary.</w:t>
      </w:r>
    </w:p>
    <w:p>
      <w:pPr>
        <w:spacing w:after="0" w:line="129" w:lineRule="exact"/>
        <w:rPr>
          <w:rFonts w:ascii="Times New Roman" w:cs="Times New Roman" w:eastAsia="Times New Roman" w:hAnsi="Times New Roman"/>
          <w:sz w:val="13"/>
          <w:szCs w:val="13"/>
          <w:color w:val="auto"/>
        </w:rPr>
      </w:pPr>
    </w:p>
    <w:p>
      <w:pPr>
        <w:ind w:left="600" w:right="1100" w:firstLine="607"/>
        <w:spacing w:after="0" w:line="287" w:lineRule="auto"/>
        <w:tabs>
          <w:tab w:leader="none" w:pos="1428" w:val="left"/>
        </w:tabs>
        <w:numPr>
          <w:ilvl w:val="1"/>
          <w:numId w:val="1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written notice to the Trustee, the Company shall designate one or more nonprofit organizations to be the Charitable Beneficiary of the interest in the Trust such that the Series B Preferred Stock held in the Trust would not violate the restrictions set forth in Section 7(b)(i) in the hands of such Charitable Beneficiary.</w:t>
      </w:r>
    </w:p>
    <w:p>
      <w:pPr>
        <w:spacing w:after="0" w:line="135" w:lineRule="exact"/>
        <w:rPr>
          <w:rFonts w:ascii="Times New Roman" w:cs="Times New Roman" w:eastAsia="Times New Roman" w:hAnsi="Times New Roman"/>
          <w:sz w:val="13"/>
          <w:szCs w:val="13"/>
          <w:color w:val="auto"/>
        </w:rPr>
      </w:pPr>
    </w:p>
    <w:p>
      <w:pPr>
        <w:ind w:left="600" w:right="640" w:firstLine="306"/>
        <w:spacing w:after="0" w:line="273" w:lineRule="auto"/>
        <w:tabs>
          <w:tab w:leader="none" w:pos="1092" w:val="left"/>
        </w:tabs>
        <w:numPr>
          <w:ilvl w:val="0"/>
          <w:numId w:val="1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Remedies For Breach</w:t>
      </w:r>
      <w:r>
        <w:rPr>
          <w:rFonts w:ascii="Times New Roman" w:cs="Times New Roman" w:eastAsia="Times New Roman" w:hAnsi="Times New Roman"/>
          <w:sz w:val="13"/>
          <w:szCs w:val="13"/>
          <w:color w:val="auto"/>
        </w:rPr>
        <w:t xml:space="preserve"> . If the Board of Directors or a committee thereof or other designees if permitted by the MGCL shall at any time determine in good faith that a Transfer or other event has taken place in violation of Section 7(b) of these Articles Supplementary or that a Person intends to acquire, has attempted to acquire or may acquire beneficial ownership (determined without reference to any rules of attribution), Beneficial Ownership or Constructive Ownership of any shares of Series B Preferred Stock of the Company in violation of Section 7(b) of these Articles Supplementary, the Board of Directors or the Committee or other designees if permitted by the MGCL shall take such action as it deems advisable to refuse to give effect or to prevent such Transfer, including, but not limited to, causing the Company to redeem shares of Series B Preferred Stock, refusing to give effect to such Transfer on the books of the Company or instituting proceedings to enjoin such Transfer; </w:t>
      </w:r>
      <w:r>
        <w:rPr>
          <w:rFonts w:ascii="Times New Roman" w:cs="Times New Roman" w:eastAsia="Times New Roman" w:hAnsi="Times New Roman"/>
          <w:sz w:val="13"/>
          <w:szCs w:val="13"/>
          <w:i w:val="1"/>
          <w:iCs w:val="1"/>
          <w:color w:val="auto"/>
        </w:rPr>
        <w:t xml:space="preserve">provided, however, </w:t>
      </w:r>
      <w:r>
        <w:rPr>
          <w:rFonts w:ascii="Times New Roman" w:cs="Times New Roman" w:eastAsia="Times New Roman" w:hAnsi="Times New Roman"/>
          <w:sz w:val="13"/>
          <w:szCs w:val="13"/>
          <w:color w:val="auto"/>
        </w:rPr>
        <w:t>that any Transfers (or, in the case of events other than a Transfer, ownership or Constructive Ownership or Beneficial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Ownership) in violation of Section 7(b)(i) of these Articles Supplementary, shall automatically result in the transfer to a Trust as described in Section 7(b)(ii) and any Transfer in violation of Section 7(b)(iii) shall automatically be void ab initio irrespective of any action (or non-action) by the Board of Directors.</w:t>
      </w:r>
    </w:p>
    <w:p>
      <w:pPr>
        <w:spacing w:after="0" w:line="304" w:lineRule="exact"/>
        <w:rPr>
          <w:rFonts w:ascii="Times New Roman" w:cs="Times New Roman" w:eastAsia="Times New Roman" w:hAnsi="Times New Roman"/>
          <w:sz w:val="13"/>
          <w:szCs w:val="13"/>
          <w:color w:val="auto"/>
        </w:rPr>
      </w:pPr>
    </w:p>
    <w:p>
      <w:pPr>
        <w:ind w:left="600" w:right="660" w:firstLine="306"/>
        <w:spacing w:after="0" w:line="278" w:lineRule="auto"/>
        <w:tabs>
          <w:tab w:leader="none" w:pos="1080" w:val="left"/>
        </w:tabs>
        <w:numPr>
          <w:ilvl w:val="0"/>
          <w:numId w:val="1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Notice of Restricted Transfer</w:t>
      </w:r>
      <w:r>
        <w:rPr>
          <w:rFonts w:ascii="Times New Roman" w:cs="Times New Roman" w:eastAsia="Times New Roman" w:hAnsi="Times New Roman"/>
          <w:sz w:val="13"/>
          <w:szCs w:val="13"/>
          <w:color w:val="auto"/>
        </w:rPr>
        <w:t xml:space="preserve"> . Any Person who acquires or attempts to acquire shares of Series B Preferred Stock in violation of Section 7(b) of these Articles Supplementary, or any Person who is a Purported Beneficial Transferee such that an automatic transfer to a Trust results under Section 7(b)(ii) of these Articles Supplementary, shall immediately give written notice to the Company of such event and shall provide to the Company such other information as the Company may request in order to determine the effect, if any of such Transfer or attempted Transfer on the Company’s status as a REIT.</w:t>
      </w:r>
    </w:p>
    <w:p>
      <w:pPr>
        <w:spacing w:after="0" w:line="142" w:lineRule="exact"/>
        <w:rPr>
          <w:rFonts w:ascii="Times New Roman" w:cs="Times New Roman" w:eastAsia="Times New Roman" w:hAnsi="Times New Roman"/>
          <w:sz w:val="13"/>
          <w:szCs w:val="13"/>
          <w:color w:val="auto"/>
        </w:rPr>
      </w:pPr>
    </w:p>
    <w:p>
      <w:pPr>
        <w:ind w:left="600" w:right="620" w:firstLine="306"/>
        <w:spacing w:after="0" w:line="281" w:lineRule="auto"/>
        <w:tabs>
          <w:tab w:leader="none" w:pos="1056" w:val="left"/>
        </w:tabs>
        <w:numPr>
          <w:ilvl w:val="0"/>
          <w:numId w:val="1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Owners Required To Provide Information</w:t>
      </w:r>
      <w:r>
        <w:rPr>
          <w:rFonts w:ascii="Times New Roman" w:cs="Times New Roman" w:eastAsia="Times New Roman" w:hAnsi="Times New Roman"/>
          <w:sz w:val="13"/>
          <w:szCs w:val="13"/>
          <w:color w:val="auto"/>
        </w:rPr>
        <w:t xml:space="preserve"> . Prior to the Restriction Termination Date each Person who is a beneficial owner or Beneficial Owner or Constructive Owner of Series B Preferred Stock and each Person (including the stockholder of record) who is holding Series B Preferred Stock for a beneficial owner or Beneficial Owner or Constructive Owner shall provide to the Company such information that the Company may request, in good faith, in order to determine the Company’s status as a REIT.</w:t>
      </w:r>
    </w:p>
    <w:p>
      <w:pPr>
        <w:spacing w:after="0" w:line="140" w:lineRule="exact"/>
        <w:rPr>
          <w:sz w:val="20"/>
          <w:szCs w:val="20"/>
          <w:color w:val="auto"/>
        </w:rPr>
      </w:pPr>
    </w:p>
    <w:p>
      <w:pPr>
        <w:ind w:left="600" w:right="640" w:firstLine="312"/>
        <w:spacing w:after="0" w:line="287" w:lineRule="auto"/>
        <w:rPr>
          <w:sz w:val="20"/>
          <w:szCs w:val="20"/>
          <w:color w:val="auto"/>
        </w:rPr>
      </w:pPr>
      <w:r>
        <w:rPr>
          <w:rFonts w:ascii="Times New Roman" w:cs="Times New Roman" w:eastAsia="Times New Roman" w:hAnsi="Times New Roman"/>
          <w:sz w:val="13"/>
          <w:szCs w:val="13"/>
          <w:color w:val="auto"/>
        </w:rPr>
        <w:t xml:space="preserve">(g) </w:t>
      </w:r>
      <w:r>
        <w:rPr>
          <w:rFonts w:ascii="Times New Roman" w:cs="Times New Roman" w:eastAsia="Times New Roman" w:hAnsi="Times New Roman"/>
          <w:sz w:val="13"/>
          <w:szCs w:val="13"/>
          <w:u w:val="single" w:color="auto"/>
          <w:color w:val="auto"/>
        </w:rPr>
        <w:t>Remedies Not Limited</w:t>
      </w:r>
      <w:r>
        <w:rPr>
          <w:rFonts w:ascii="Times New Roman" w:cs="Times New Roman" w:eastAsia="Times New Roman" w:hAnsi="Times New Roman"/>
          <w:sz w:val="13"/>
          <w:szCs w:val="13"/>
          <w:color w:val="auto"/>
        </w:rPr>
        <w:t xml:space="preserve"> . Nothing contained in these Articles Supplementary (but subject to Section 7(l) of these Articles Supplementary) shall limit the authority of the Board of Directors to take such other action as it deems necessary or advisable to protect the Company and the interests of its stockholders by preservation of the Company’s status as a REIT.</w:t>
      </w:r>
    </w:p>
    <w:p>
      <w:pPr>
        <w:spacing w:after="0" w:line="136" w:lineRule="exact"/>
        <w:rPr>
          <w:sz w:val="20"/>
          <w:szCs w:val="20"/>
          <w:color w:val="auto"/>
        </w:rPr>
      </w:pPr>
    </w:p>
    <w:p>
      <w:pPr>
        <w:ind w:left="600" w:right="1740" w:firstLine="306"/>
        <w:spacing w:after="0" w:line="305" w:lineRule="auto"/>
        <w:tabs>
          <w:tab w:leader="none" w:pos="1092" w:val="left"/>
        </w:tabs>
        <w:numPr>
          <w:ilvl w:val="0"/>
          <w:numId w:val="1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Ambiguity</w:t>
      </w:r>
      <w:r>
        <w:rPr>
          <w:rFonts w:ascii="Times New Roman" w:cs="Times New Roman" w:eastAsia="Times New Roman" w:hAnsi="Times New Roman"/>
          <w:sz w:val="13"/>
          <w:szCs w:val="13"/>
          <w:color w:val="auto"/>
        </w:rPr>
        <w:t xml:space="preserve"> . In the case of an ambiguity in the application of any of the provisions of this Section 7 of these Articles Supplementary, including any definition contained in Section 7(a), the Board of Directors shall have the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93980</wp:posOffset>
            </wp:positionV>
            <wp:extent cx="4436110" cy="152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97">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535940</wp:posOffset>
            </wp:positionV>
            <wp:extent cx="5083810" cy="152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98">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34" w:name="page235"/>
    <w:bookmarkEnd w:id="234"/>
    <w:p>
      <w:pPr>
        <w:ind w:left="600" w:right="640"/>
        <w:spacing w:after="0" w:line="273" w:lineRule="auto"/>
        <w:rPr>
          <w:sz w:val="20"/>
          <w:szCs w:val="20"/>
          <w:color w:val="auto"/>
        </w:rPr>
      </w:pPr>
      <w:r>
        <w:rPr>
          <w:rFonts w:ascii="Times New Roman" w:cs="Times New Roman" w:eastAsia="Times New Roman" w:hAnsi="Times New Roman"/>
          <w:sz w:val="13"/>
          <w:szCs w:val="13"/>
          <w:color w:val="auto"/>
        </w:rPr>
        <w:t>to determine the application of the provisions of this Section 7 with respect to any situation based on the facts known to it (subject, however, to the provisions of Section 7(l) of these Articles Supplementary). In the event Section 7 requires an action by the Board of Directors and these Articles Supplementary fail to provide specific guidance with respect to such action, the Board of Directors shall have the power to determine the action to be taken so long as such action is not contrary to the provisions of Section 7. Absent a decision to the contrary by the Board of Directors (which the Board of Directors may make in its sole and absolute discretion), if a Person would have (but for the remedies set forth in Section 7(b)) acquired Beneficial or Constructive Ownership of Series B Preferred Stock in violation of Section 7(b)(i), such remedies (as applicable) shall apply first to the shares of Series B Preferred Stock which, but for such remedies, would have been actually owned by such Person, and second to shares of Series B Preferred Stock, which, but for such remedies, would have been Beneficially Owned or Constructively Owned (but not actually owned) by such Person, pro rata among the Persons who actually own such shares of Series B Preferred Stock based upon the relative number of the shares of Series B Preferred Stock held by each such Person.</w:t>
      </w:r>
    </w:p>
    <w:p>
      <w:pPr>
        <w:spacing w:after="0" w:line="136" w:lineRule="exact"/>
        <w:rPr>
          <w:sz w:val="20"/>
          <w:szCs w:val="20"/>
          <w:color w:val="auto"/>
        </w:rPr>
      </w:pPr>
    </w:p>
    <w:p>
      <w:pPr>
        <w:ind w:left="1040" w:hanging="134"/>
        <w:spacing w:after="0"/>
        <w:tabs>
          <w:tab w:leader="none" w:pos="1040" w:val="left"/>
        </w:tabs>
        <w:numPr>
          <w:ilvl w:val="0"/>
          <w:numId w:val="1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Exceptions</w:t>
      </w:r>
      <w:r>
        <w:rPr>
          <w:rFonts w:ascii="Times New Roman" w:cs="Times New Roman" w:eastAsia="Times New Roman" w:hAnsi="Times New Roman"/>
          <w:sz w:val="13"/>
          <w:szCs w:val="13"/>
          <w:color w:val="auto"/>
        </w:rPr>
        <w:t xml:space="preserve"> .</w:t>
      </w:r>
    </w:p>
    <w:p>
      <w:pPr>
        <w:spacing w:after="0" w:line="186" w:lineRule="exact"/>
        <w:rPr>
          <w:rFonts w:ascii="Times New Roman" w:cs="Times New Roman" w:eastAsia="Times New Roman" w:hAnsi="Times New Roman"/>
          <w:sz w:val="13"/>
          <w:szCs w:val="13"/>
          <w:color w:val="auto"/>
        </w:rPr>
      </w:pPr>
    </w:p>
    <w:p>
      <w:pPr>
        <w:ind w:left="600" w:right="660" w:firstLine="607"/>
        <w:spacing w:after="0" w:line="281" w:lineRule="auto"/>
        <w:tabs>
          <w:tab w:leader="none" w:pos="1368" w:val="left"/>
        </w:tabs>
        <w:numPr>
          <w:ilvl w:val="1"/>
          <w:numId w:val="1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Section 7(b)(i)(C), the Board of Directors, in its sole discretion, may exempt (prospectively or retroactively) a Person from the limitation on a Person Beneficially Owning shares of Series B Preferred Stock in violation of Section 7(b)(i)(A) if the Board of Directors determines that such exemption will not cause any Individual’s Beneficial Ownership of shares of Capital Stock to violate the Aggregate Stock Ownership Limit and that such exemption will not cause the Company to fail to qualify as a REIT under the Code.</w:t>
      </w:r>
    </w:p>
    <w:p>
      <w:pPr>
        <w:spacing w:after="0" w:line="140" w:lineRule="exact"/>
        <w:rPr>
          <w:rFonts w:ascii="Times New Roman" w:cs="Times New Roman" w:eastAsia="Times New Roman" w:hAnsi="Times New Roman"/>
          <w:sz w:val="13"/>
          <w:szCs w:val="13"/>
          <w:color w:val="auto"/>
        </w:rPr>
      </w:pPr>
    </w:p>
    <w:p>
      <w:pPr>
        <w:ind w:left="600" w:right="860" w:firstLine="607"/>
        <w:spacing w:after="0" w:line="287" w:lineRule="auto"/>
        <w:tabs>
          <w:tab w:leader="none" w:pos="1404" w:val="left"/>
        </w:tabs>
        <w:numPr>
          <w:ilvl w:val="1"/>
          <w:numId w:val="1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Section 7(b)(i)(C), the Board of Directors in its sole discretion, may exempt (prospectively or retroactively) a Person from the limitation on a Person Constructively Owning Series B Preferred Stock in violation of Section 7(b) (i)(B), if the Board of Directors determines that such ownership would not cause the Company to fail to qualify as a REIT under the Code.</w:t>
      </w:r>
    </w:p>
    <w:p>
      <w:pPr>
        <w:spacing w:after="0" w:line="136" w:lineRule="exact"/>
        <w:rPr>
          <w:sz w:val="20"/>
          <w:szCs w:val="20"/>
          <w:color w:val="auto"/>
        </w:rPr>
      </w:pPr>
    </w:p>
    <w:p>
      <w:pPr>
        <w:ind w:left="600" w:right="720" w:firstLine="612"/>
        <w:spacing w:after="0" w:line="276" w:lineRule="auto"/>
        <w:rPr>
          <w:sz w:val="20"/>
          <w:szCs w:val="20"/>
          <w:color w:val="auto"/>
        </w:rPr>
      </w:pPr>
      <w:r>
        <w:rPr>
          <w:rFonts w:ascii="Times New Roman" w:cs="Times New Roman" w:eastAsia="Times New Roman" w:hAnsi="Times New Roman"/>
          <w:sz w:val="13"/>
          <w:szCs w:val="13"/>
          <w:color w:val="auto"/>
        </w:rPr>
        <w:t xml:space="preserve">(iii) Subject to Section 7(b)(i)(C) and the remainder of this Section 7(i)(iii), the Board of Directors may from time to time increase or decrease the Ownership Limit;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xml:space="preserve"> , that the decreased Ownership Limit will not be effective for any Person whose percentage ownership of Series B Preferred Stock is in excess of such decreased Ownership Limit until such time as such Person’s percentage of Series B Preferred Stock equals or falls below the decreased Ownership Limit, but any further acquisition of Series B Preferred Stock in excess of such percentage ownership of Series B Preferred Stock will be in violation of the Ownership Limit, and, provided further, that the new Ownership Limit would not allow five or fewer Persons to Beneficially Own more than 49% in value of the outstanding capital stock of the Company.</w:t>
      </w:r>
    </w:p>
    <w:p>
      <w:pPr>
        <w:spacing w:after="0" w:line="145" w:lineRule="exact"/>
        <w:rPr>
          <w:sz w:val="20"/>
          <w:szCs w:val="20"/>
          <w:color w:val="auto"/>
        </w:rPr>
      </w:pPr>
    </w:p>
    <w:p>
      <w:pPr>
        <w:ind w:left="600" w:right="700" w:firstLine="607"/>
        <w:spacing w:after="0" w:line="271" w:lineRule="auto"/>
        <w:tabs>
          <w:tab w:leader="none" w:pos="1428" w:val="left"/>
        </w:tabs>
        <w:numPr>
          <w:ilvl w:val="1"/>
          <w:numId w:val="1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granting a person an exemption under Section 7(i)(i) or (ii) above, the Board of Directors may require such Person to make certain representations or undertakings or to agree that any violation or attempted violation of such representations or undertakings (or other action which is contrary to the restrictions contained in Section 7(b) of these Articles Supplementary) will result in such Series B Preferred Stock being transferred to a Trust in accordance with Section 7(b)(ii) of these Articles Supplementary. In granting any exception pursuant to Section 7(i)</w:t>
      </w:r>
    </w:p>
    <w:p>
      <w:pPr>
        <w:jc w:val="both"/>
        <w:ind w:left="600" w:right="860" w:hanging="6"/>
        <w:spacing w:after="0" w:line="284" w:lineRule="auto"/>
        <w:tabs>
          <w:tab w:leader="none" w:pos="757" w:val="left"/>
        </w:tabs>
        <w:numPr>
          <w:ilvl w:val="0"/>
          <w:numId w:val="1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or (ii) of these Articles Supplementary, the Board of Directors may require a ruling from the IRS, or an opinion of counsel, in either case in form and substance satisfactory to the Board of Directors in its sole discretion, as it may deem necessary or advisable in order to determine or ensure the Company’s status as a REIT.</w:t>
      </w:r>
    </w:p>
    <w:p>
      <w:pPr>
        <w:spacing w:after="0" w:line="126" w:lineRule="exact"/>
        <w:rPr>
          <w:sz w:val="20"/>
          <w:szCs w:val="20"/>
          <w:color w:val="auto"/>
        </w:rPr>
      </w:pPr>
    </w:p>
    <w:p>
      <w:pPr>
        <w:ind w:left="600" w:right="1200" w:firstLine="312"/>
        <w:spacing w:after="0" w:line="305" w:lineRule="auto"/>
        <w:rPr>
          <w:sz w:val="20"/>
          <w:szCs w:val="20"/>
          <w:color w:val="auto"/>
        </w:rPr>
      </w:pPr>
      <w:r>
        <w:rPr>
          <w:rFonts w:ascii="Times New Roman" w:cs="Times New Roman" w:eastAsia="Times New Roman" w:hAnsi="Times New Roman"/>
          <w:sz w:val="13"/>
          <w:szCs w:val="13"/>
          <w:color w:val="auto"/>
        </w:rPr>
        <w:t>(j)</w:t>
      </w:r>
      <w:r>
        <w:rPr>
          <w:rFonts w:ascii="Times New Roman" w:cs="Times New Roman" w:eastAsia="Times New Roman" w:hAnsi="Times New Roman"/>
          <w:sz w:val="13"/>
          <w:szCs w:val="13"/>
          <w:u w:val="single" w:color="auto"/>
          <w:color w:val="auto"/>
        </w:rPr>
        <w:t>Legends</w:t>
      </w:r>
      <w:r>
        <w:rPr>
          <w:rFonts w:ascii="Times New Roman" w:cs="Times New Roman" w:eastAsia="Times New Roman" w:hAnsi="Times New Roman"/>
          <w:sz w:val="13"/>
          <w:szCs w:val="13"/>
          <w:color w:val="auto"/>
        </w:rPr>
        <w:t xml:space="preserve"> . Each certificate for Series B Preferred Stock shall bear substantially the following legends in addition to any legends required to comply with federal and state securities laws:</w:t>
      </w:r>
    </w:p>
    <w:p>
      <w:pPr>
        <w:spacing w:after="0" w:line="12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3"/>
          <w:szCs w:val="13"/>
          <w:b w:val="1"/>
          <w:bCs w:val="1"/>
          <w:color w:val="auto"/>
        </w:rPr>
        <w:t>Classes of Stock</w:t>
      </w:r>
    </w:p>
    <w:p>
      <w:pPr>
        <w:spacing w:after="0" w:line="189" w:lineRule="exact"/>
        <w:rPr>
          <w:sz w:val="20"/>
          <w:szCs w:val="20"/>
          <w:color w:val="auto"/>
        </w:rPr>
      </w:pPr>
    </w:p>
    <w:p>
      <w:pPr>
        <w:ind w:left="900" w:right="740"/>
        <w:spacing w:after="0" w:line="276" w:lineRule="auto"/>
        <w:rPr>
          <w:sz w:val="20"/>
          <w:szCs w:val="20"/>
          <w:color w:val="auto"/>
        </w:rPr>
      </w:pPr>
      <w:r>
        <w:rPr>
          <w:rFonts w:ascii="Times New Roman" w:cs="Times New Roman" w:eastAsia="Times New Roman" w:hAnsi="Times New Roman"/>
          <w:sz w:val="13"/>
          <w:szCs w:val="13"/>
          <w:color w:val="auto"/>
        </w:rPr>
        <w:t>“THE COMPANY IS AUTHORIZED TO ISSUE CAPITAL STOCK OF MORE THAN ONE CLASS, CONSISTING OF COMMON STOCK AND ONE OR MORE CLASSES OF PREFERRED STOCK. THE BOARD OF DIRECTORS IS AUTHORIZED TO DETERMINE THE PREFERENCES, LIMITATIONS AND RELATIVE RIGHTS OF ANY CLASS OF THE PREFERRED STOCK BEFORE THE ISSUANCE OF SHARES OF SUCH CLASS OF PREFERRED STOCK. THE COMPANY WILL FURNISH, WITHOUT CHARGE, TO ANY STOCKHOLDER MAKING A WRITTEN REQUEST THEREFOR, A COPY OF THE COMPANY’S CHARTER AND A WRITTEN STATEMENT OF THE DESIGNATIONS, RELATIVE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106680</wp:posOffset>
            </wp:positionV>
            <wp:extent cx="4436110" cy="76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99">
                      <a:extLst>
                        <a:ext uri="{28A0092B-C50C-407E-A947-70E740481C1C}"/>
                      </a:extLst>
                    </a:blip>
                    <a:srcRect/>
                    <a:stretch>
                      <a:fillRect/>
                    </a:stretch>
                  </pic:blipFill>
                  <pic:spPr bwMode="auto">
                    <a:xfrm>
                      <a:off x="0" y="0"/>
                      <a:ext cx="4436110"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541655</wp:posOffset>
            </wp:positionV>
            <wp:extent cx="5083810" cy="152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400">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35" w:name="page236"/>
    <w:bookmarkEnd w:id="235"/>
    <w:p>
      <w:pPr>
        <w:ind w:left="900" w:right="540"/>
        <w:spacing w:after="0" w:line="275" w:lineRule="auto"/>
        <w:rPr>
          <w:sz w:val="20"/>
          <w:szCs w:val="20"/>
          <w:color w:val="auto"/>
        </w:rPr>
      </w:pPr>
      <w:r>
        <w:rPr>
          <w:rFonts w:ascii="Times New Roman" w:cs="Times New Roman" w:eastAsia="Times New Roman" w:hAnsi="Times New Roman"/>
          <w:sz w:val="13"/>
          <w:szCs w:val="13"/>
          <w:color w:val="auto"/>
        </w:rPr>
        <w:t>PREFERENCES, CONVERSION OR OTHER RIGHTS, VOTING POWERS, RESTRICTIONS, LIMITATIONS AS TO DIVIDENDS AND OTHER DISTRIBUTIONS, QUALIFICATIONS AND TERMS AND CONDITIONS OF REDEMPTION OF THE STOCK OF EACH CLASS WHICH THE COMPANY HAS THE AUTHORITY TO ISSUE AND, IF THE COMPANY IS AUTHORIZED TO ISSUE ANY PREFERRED OR SPECIAL CLASS AND SERIES, (i) THE DIFFERENCES IN THE RELATIVE RIGHTS AND PREFERENCES BETWEEN THE SHARES OF EACH SERIES TO THE EXTENT SET, AND (ii) THE AUTHORITY OF THE BOARD OF DIRECTORS TO SET SUCH RIGHTS AND PREFERENCES OF SUBSEQUENT SERIES. REQUESTS FOR SUCH WRITTEN STATEMENT MAY BE DIRECTED TO THE SECRETARY OF THE COMPANY AT ITS PRINCIPAL OFFICE.”</w:t>
      </w:r>
    </w:p>
    <w:p>
      <w:pPr>
        <w:spacing w:after="0" w:line="14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3"/>
          <w:szCs w:val="13"/>
          <w:b w:val="1"/>
          <w:bCs w:val="1"/>
          <w:color w:val="auto"/>
        </w:rPr>
        <w:t>Restriction on Ownership and Transfer</w:t>
      </w:r>
    </w:p>
    <w:p>
      <w:pPr>
        <w:spacing w:after="0" w:line="189" w:lineRule="exact"/>
        <w:rPr>
          <w:sz w:val="20"/>
          <w:szCs w:val="20"/>
          <w:color w:val="auto"/>
        </w:rPr>
      </w:pPr>
    </w:p>
    <w:p>
      <w:pPr>
        <w:ind w:left="900" w:right="620"/>
        <w:spacing w:after="0" w:line="270" w:lineRule="auto"/>
        <w:rPr>
          <w:sz w:val="20"/>
          <w:szCs w:val="20"/>
          <w:color w:val="auto"/>
        </w:rPr>
      </w:pPr>
      <w:r>
        <w:rPr>
          <w:rFonts w:ascii="Times New Roman" w:cs="Times New Roman" w:eastAsia="Times New Roman" w:hAnsi="Times New Roman"/>
          <w:sz w:val="13"/>
          <w:szCs w:val="13"/>
          <w:color w:val="auto"/>
        </w:rPr>
        <w:t>“THE SHARES OF SERIES B PREFERRED STOCK REPRESENTED BY THIS CERTIFICATE ARE SUBJECT TO RESTRICTIONS ON BENEFICIAL AND CONSTRUCTIVE OWNERSHIP AND TRANSFER FOR THE PURPOSE OF THE COMPANY’S MAINTENANCE OF ITS STATUS AS A REAL ESTATE INVESTMENT TRUST UNDER THE INTERNAL REVENUE CODE OF 1986, AS AMENDED (THE “CODE”). SUBJECT TO CERTAIN FURTHER RESTRICTIONS AND EXCEPT AS EXPRESSLY PROVIDED IN THE ARTICLES SUPPLEMENTARY FOR THE SERIES B PREFERRED STOCK, (i) NO PERSON MAY BENEFICIALLY OWN SHARES OF THE COMPANY’S SERIES B PREFERRED STOCK IN EXCESS OF 9.8% (BY VALUE OR BY NUMBER OF SHARES, WHICHEVER IS MORE RESTRICTIVE) OF THE OUTSTANDING SERIES B PREFERRED STOCK OF THE COMPANY; (ii) NO PERSON MAY CONSTRUCTIVELY OWN SHARES OF THE COMPANY’S SERIES B PREFERRED STOCK IN EXCESS OF 9.8% (BY VALUE OR BY NUMBER OF SHARES, WHICHEVER IS MORE RESTRICTIVE) OF THE OUTSTANDING SERIES B PREFERRED STOCK OF THE COMPANY; (iii) NO PERSON MAY BENEFICIALLY OWN SHARES OF THE COMPANY’S CAPITAL STOCK WITH A VALUE IN EXCESS OF 9.8% OF THE VALUE OF THE COMPANY’S OUTSTANDING CAPITAL STOCK; (iv) NO PERSON MAY BENEFICIALLY OR CONSTRUCTIVELY OWN SERIES B PREFERRED STOCK THAT,</w:t>
      </w:r>
    </w:p>
    <w:p>
      <w:pPr>
        <w:spacing w:after="0" w:line="2" w:lineRule="exact"/>
        <w:rPr>
          <w:sz w:val="20"/>
          <w:szCs w:val="20"/>
          <w:color w:val="auto"/>
        </w:rPr>
      </w:pPr>
    </w:p>
    <w:p>
      <w:pPr>
        <w:ind w:left="900" w:right="600"/>
        <w:spacing w:after="0" w:line="271" w:lineRule="auto"/>
        <w:rPr>
          <w:sz w:val="20"/>
          <w:szCs w:val="20"/>
          <w:color w:val="auto"/>
        </w:rPr>
      </w:pPr>
      <w:r>
        <w:rPr>
          <w:rFonts w:ascii="Times New Roman" w:cs="Times New Roman" w:eastAsia="Times New Roman" w:hAnsi="Times New Roman"/>
          <w:sz w:val="13"/>
          <w:szCs w:val="13"/>
          <w:color w:val="auto"/>
        </w:rPr>
        <w:t>TAKING INTO ACCOUNT ANY OTHER CAPITAL STOCK OF THE COMPANY BENEFICIALLY OR CONSTRUCTIVELY OWNED BY SUCH PERSON, WOULD RESULT IN THE COMPANY BEING “CLOSELY HELD” UNDER SECTION 856(h) OF THE CODE OR OTHERWISE CAUSE THE COMPANY TO FAIL TO QUALIFY AS A REIT; AND (v) NO PERSON MAY TRANSFER SERIES B PREFERRED STOCK IF SUCH TRANSFER WOULD RESULT IN THE CAPITAL STOCK OF THE COMPANY BEING OWNED BY FEWER THAN 100 PERSONS. ANY PERSON WHO BENEFICIALLY OR CONSTRUCTIVELY OWNS OR ATTEMPTS TO BENEFICIALLY OR CONSTRUCTIVELY OWN SERIES B PREFERRED STOCK WHICH CAUSES OR WILL CAUSE A PERSON TO BENEFICIALLY OR CONSTRUCTIVELY OWN SERIES B PREFERRED STOCK IN EXCESS OF THE ABOVE LIMITATIONS MUST IMMEDIATELY NOTIFY THE COMPANY IF ANY OF THE RESTRICTIONS ON TRANSFER OR OWNERSHIP ARE VIOLATED, THE SERIES B PREFERRED STOCK REPRESENTED HEREBY IN EXCESS OF SUCH RESTRICTIONS WILL BE AUTOMATICALLY TRANSFERRED TO THE TRUSTEE OF A TRUST FOR THE BENEFIT OF ONE OR MORE CHARITABLE BENEFICIARIES. IN ADDITION, THE COMPANY MAY REDEEM SHARES UPON THE TERMS AND CONDITIONS SPECIFIED BY THE BOARD OF DIRECTORS IN ITS SOLE DISCRETION IF THE BOARD OF DIRECTORS DETERMINES THAT OWNERSHIP OR A TRANSFER OR OTHER EVENT MAY VIOLATE THE RESTRICTIONS DESCRIBED ABOVE. FURTHERMORE, UPON THE OCCURRENCE OF CERTAIN EVENTS, ATTEMPTED TRANSFERS IN VIOLATION OF THE RESTRICTIONS DESCRIBED ABOVE MAY BE VOID AB INITIO. ALL TERMS IN THIS LEGEND WHICH ARE DEFINED IN THE ARTICLES SUPPLEMENTARY FOR THE SERIES B PREFERRED STOCK SHALL HAVE THE MEANINGS ASCRIBED TO THEM IN SUCH ARTICLES SUPPLEMENTARY, AS THE SAME MAY BE AMENDED FROM TIME TO TIME, A COPY OF WHICH, INCLUDING THE RESTRICTIONS ON TRANSFER AND OWNERSHIP, WILL BE FURNISHED TO EACH HOLDER OF SERIES B PREFERRED STOCK ON REQUEST AND WITHOUT CHARGE. REQUESTS FOR SUCH A COPY MAY BE DIRECTED TO THE SECRETARY OF THE COMPANY AT ITS PRINCIPAL OFFICE.”</w:t>
      </w:r>
    </w:p>
    <w:p>
      <w:pPr>
        <w:spacing w:after="0" w:line="137" w:lineRule="exact"/>
        <w:rPr>
          <w:sz w:val="20"/>
          <w:szCs w:val="20"/>
          <w:color w:val="auto"/>
        </w:rPr>
      </w:pPr>
    </w:p>
    <w:p>
      <w:pPr>
        <w:ind w:left="600" w:right="860" w:firstLine="306"/>
        <w:spacing w:after="0" w:line="305" w:lineRule="auto"/>
        <w:tabs>
          <w:tab w:leader="none" w:pos="1080" w:val="left"/>
        </w:tabs>
        <w:numPr>
          <w:ilvl w:val="0"/>
          <w:numId w:val="1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Severability</w:t>
      </w:r>
      <w:r>
        <w:rPr>
          <w:rFonts w:ascii="Times New Roman" w:cs="Times New Roman" w:eastAsia="Times New Roman" w:hAnsi="Times New Roman"/>
          <w:sz w:val="13"/>
          <w:szCs w:val="13"/>
          <w:color w:val="auto"/>
        </w:rPr>
        <w:t xml:space="preserve"> . If any provision of this Section 7 or any application of any such provision is determined to be invalid by any federal or state court having jurisdiction over the issues, the validity of the remaining provisions shall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93980</wp:posOffset>
            </wp:positionV>
            <wp:extent cx="4436110" cy="152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401">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535940</wp:posOffset>
            </wp:positionV>
            <wp:extent cx="5083810" cy="152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402">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36" w:name="page237"/>
    <w:bookmarkEnd w:id="236"/>
    <w:p>
      <w:pPr>
        <w:ind w:left="600"/>
        <w:spacing w:after="0"/>
        <w:rPr>
          <w:sz w:val="20"/>
          <w:szCs w:val="20"/>
          <w:color w:val="auto"/>
        </w:rPr>
      </w:pPr>
      <w:r>
        <w:rPr>
          <w:rFonts w:ascii="Times New Roman" w:cs="Times New Roman" w:eastAsia="Times New Roman" w:hAnsi="Times New Roman"/>
          <w:sz w:val="13"/>
          <w:szCs w:val="13"/>
          <w:color w:val="auto"/>
        </w:rPr>
        <w:t>be affected and other applications of such provision shall be affected only to the extent necessary to comply with the determination of such court.</w:t>
      </w:r>
    </w:p>
    <w:p>
      <w:pPr>
        <w:spacing w:after="0" w:line="187" w:lineRule="exact"/>
        <w:rPr>
          <w:sz w:val="20"/>
          <w:szCs w:val="20"/>
          <w:color w:val="auto"/>
        </w:rPr>
      </w:pPr>
    </w:p>
    <w:p>
      <w:pPr>
        <w:ind w:left="600" w:right="700" w:firstLine="312"/>
        <w:spacing w:after="0" w:line="287" w:lineRule="auto"/>
        <w:rPr>
          <w:sz w:val="20"/>
          <w:szCs w:val="20"/>
          <w:color w:val="auto"/>
        </w:rPr>
      </w:pPr>
      <w:r>
        <w:rPr>
          <w:rFonts w:ascii="Times New Roman" w:cs="Times New Roman" w:eastAsia="Times New Roman" w:hAnsi="Times New Roman"/>
          <w:sz w:val="13"/>
          <w:szCs w:val="13"/>
          <w:color w:val="auto"/>
        </w:rPr>
        <w:t>(l)</w:t>
      </w:r>
      <w:r>
        <w:rPr>
          <w:rFonts w:ascii="Times New Roman" w:cs="Times New Roman" w:eastAsia="Times New Roman" w:hAnsi="Times New Roman"/>
          <w:sz w:val="13"/>
          <w:szCs w:val="13"/>
          <w:u w:val="single" w:color="auto"/>
          <w:color w:val="auto"/>
        </w:rPr>
        <w:t>NYSE</w:t>
      </w:r>
      <w:r>
        <w:rPr>
          <w:rFonts w:ascii="Times New Roman" w:cs="Times New Roman" w:eastAsia="Times New Roman" w:hAnsi="Times New Roman"/>
          <w:sz w:val="13"/>
          <w:szCs w:val="13"/>
          <w:color w:val="auto"/>
        </w:rPr>
        <w:t xml:space="preserve"> . Nothing in this Section 7 shall preclude the settlement of any transaction entered into through the facilities of the NYSE. The shares of Series B Preferred Stock that are the subject of such transaction shall continue to be subject to the provisions of this Section 7 after such settlement.</w:t>
      </w:r>
    </w:p>
    <w:p>
      <w:pPr>
        <w:spacing w:after="0" w:line="136" w:lineRule="exact"/>
        <w:rPr>
          <w:sz w:val="20"/>
          <w:szCs w:val="20"/>
          <w:color w:val="auto"/>
        </w:rPr>
      </w:pPr>
    </w:p>
    <w:p>
      <w:pPr>
        <w:ind w:left="600" w:right="860" w:firstLine="312"/>
        <w:spacing w:after="0" w:line="305" w:lineRule="auto"/>
        <w:rPr>
          <w:sz w:val="20"/>
          <w:szCs w:val="20"/>
          <w:color w:val="auto"/>
        </w:rPr>
      </w:pPr>
      <w:r>
        <w:rPr>
          <w:rFonts w:ascii="Times New Roman" w:cs="Times New Roman" w:eastAsia="Times New Roman" w:hAnsi="Times New Roman"/>
          <w:sz w:val="13"/>
          <w:szCs w:val="13"/>
          <w:color w:val="auto"/>
        </w:rPr>
        <w:t>(m)</w:t>
      </w:r>
      <w:r>
        <w:rPr>
          <w:rFonts w:ascii="Times New Roman" w:cs="Times New Roman" w:eastAsia="Times New Roman" w:hAnsi="Times New Roman"/>
          <w:sz w:val="13"/>
          <w:szCs w:val="13"/>
          <w:u w:val="single" w:color="auto"/>
          <w:color w:val="auto"/>
        </w:rPr>
        <w:t>Applicability of Section 7</w:t>
      </w:r>
      <w:r>
        <w:rPr>
          <w:rFonts w:ascii="Times New Roman" w:cs="Times New Roman" w:eastAsia="Times New Roman" w:hAnsi="Times New Roman"/>
          <w:sz w:val="13"/>
          <w:szCs w:val="13"/>
          <w:color w:val="auto"/>
        </w:rPr>
        <w:t xml:space="preserve"> . The provisions set forth in this Section 7 shall apply to the Series B Preferred Stock notwithstanding any contrary provisions of the Series B Preferred Stock provided for elsewhere in these Articles Supplementary.</w:t>
      </w:r>
    </w:p>
    <w:p>
      <w:pPr>
        <w:spacing w:after="0" w:line="124" w:lineRule="exact"/>
        <w:rPr>
          <w:sz w:val="20"/>
          <w:szCs w:val="20"/>
          <w:color w:val="auto"/>
        </w:rPr>
      </w:pPr>
    </w:p>
    <w:p>
      <w:pPr>
        <w:ind w:left="600" w:right="1060" w:firstLine="312"/>
        <w:spacing w:after="0" w:line="305" w:lineRule="auto"/>
        <w:rPr>
          <w:sz w:val="20"/>
          <w:szCs w:val="20"/>
          <w:color w:val="auto"/>
        </w:rPr>
      </w:pPr>
      <w:r>
        <w:rPr>
          <w:rFonts w:ascii="Times New Roman" w:cs="Times New Roman" w:eastAsia="Times New Roman" w:hAnsi="Times New Roman"/>
          <w:sz w:val="13"/>
          <w:szCs w:val="13"/>
          <w:color w:val="auto"/>
        </w:rPr>
        <w:t xml:space="preserve">Section 8. </w:t>
      </w:r>
      <w:r>
        <w:rPr>
          <w:rFonts w:ascii="Times New Roman" w:cs="Times New Roman" w:eastAsia="Times New Roman" w:hAnsi="Times New Roman"/>
          <w:sz w:val="13"/>
          <w:szCs w:val="13"/>
          <w:u w:val="single" w:color="auto"/>
          <w:color w:val="auto"/>
        </w:rPr>
        <w:t>No Conversion Rights</w:t>
      </w:r>
      <w:r>
        <w:rPr>
          <w:rFonts w:ascii="Times New Roman" w:cs="Times New Roman" w:eastAsia="Times New Roman" w:hAnsi="Times New Roman"/>
          <w:sz w:val="13"/>
          <w:szCs w:val="13"/>
          <w:color w:val="auto"/>
        </w:rPr>
        <w:t xml:space="preserve"> . The shares of Series B Preferred Stock shall not be convertible into or exchangeable for any other property or securities of the Company or any other entity.</w:t>
      </w:r>
    </w:p>
    <w:p>
      <w:pPr>
        <w:spacing w:after="0" w:line="124" w:lineRule="exact"/>
        <w:rPr>
          <w:sz w:val="20"/>
          <w:szCs w:val="20"/>
          <w:color w:val="auto"/>
        </w:rPr>
      </w:pPr>
    </w:p>
    <w:p>
      <w:pPr>
        <w:ind w:left="600" w:right="840" w:firstLine="312"/>
        <w:spacing w:after="0" w:line="287" w:lineRule="auto"/>
        <w:rPr>
          <w:sz w:val="20"/>
          <w:szCs w:val="20"/>
          <w:color w:val="auto"/>
        </w:rPr>
      </w:pPr>
      <w:r>
        <w:rPr>
          <w:rFonts w:ascii="Times New Roman" w:cs="Times New Roman" w:eastAsia="Times New Roman" w:hAnsi="Times New Roman"/>
          <w:sz w:val="13"/>
          <w:szCs w:val="13"/>
          <w:color w:val="auto"/>
        </w:rPr>
        <w:t xml:space="preserve">Section 9. </w:t>
      </w:r>
      <w:r>
        <w:rPr>
          <w:rFonts w:ascii="Times New Roman" w:cs="Times New Roman" w:eastAsia="Times New Roman" w:hAnsi="Times New Roman"/>
          <w:sz w:val="13"/>
          <w:szCs w:val="13"/>
          <w:u w:val="single" w:color="auto"/>
          <w:color w:val="auto"/>
        </w:rPr>
        <w:t>Record Holders</w:t>
      </w:r>
      <w:r>
        <w:rPr>
          <w:rFonts w:ascii="Times New Roman" w:cs="Times New Roman" w:eastAsia="Times New Roman" w:hAnsi="Times New Roman"/>
          <w:sz w:val="13"/>
          <w:szCs w:val="13"/>
          <w:color w:val="auto"/>
        </w:rPr>
        <w:t xml:space="preserve"> . The Company and the Transfer Agent may deem and treat the record holder of any Series B Preferred Stock as the true and lawful owner thereof for all purposes, and neither the Company nor the Transfer Agent shall be affected by any notice to the contrary.</w:t>
      </w:r>
    </w:p>
    <w:p>
      <w:pPr>
        <w:spacing w:after="0" w:line="136" w:lineRule="exact"/>
        <w:rPr>
          <w:sz w:val="20"/>
          <w:szCs w:val="20"/>
          <w:color w:val="auto"/>
        </w:rPr>
      </w:pPr>
    </w:p>
    <w:p>
      <w:pPr>
        <w:ind w:left="600" w:right="720" w:firstLine="312"/>
        <w:spacing w:after="0" w:line="305" w:lineRule="auto"/>
        <w:rPr>
          <w:sz w:val="20"/>
          <w:szCs w:val="20"/>
          <w:color w:val="auto"/>
        </w:rPr>
      </w:pPr>
      <w:r>
        <w:rPr>
          <w:rFonts w:ascii="Times New Roman" w:cs="Times New Roman" w:eastAsia="Times New Roman" w:hAnsi="Times New Roman"/>
          <w:sz w:val="13"/>
          <w:szCs w:val="13"/>
          <w:color w:val="auto"/>
        </w:rPr>
        <w:t xml:space="preserve">Section 10. </w:t>
      </w:r>
      <w:r>
        <w:rPr>
          <w:rFonts w:ascii="Times New Roman" w:cs="Times New Roman" w:eastAsia="Times New Roman" w:hAnsi="Times New Roman"/>
          <w:sz w:val="13"/>
          <w:szCs w:val="13"/>
          <w:u w:val="single" w:color="auto"/>
          <w:color w:val="auto"/>
        </w:rPr>
        <w:t>No Maturity or Sinking Fund</w:t>
      </w:r>
      <w:r>
        <w:rPr>
          <w:rFonts w:ascii="Times New Roman" w:cs="Times New Roman" w:eastAsia="Times New Roman" w:hAnsi="Times New Roman"/>
          <w:sz w:val="13"/>
          <w:szCs w:val="13"/>
          <w:color w:val="auto"/>
        </w:rPr>
        <w:t xml:space="preserve"> . The Series B Preferred Stock has no maturity date, and no sinking fund has been established for the retirement or redemption of Series B Preferred Stock.</w:t>
      </w:r>
    </w:p>
    <w:p>
      <w:pPr>
        <w:spacing w:after="0" w:line="124" w:lineRule="exact"/>
        <w:rPr>
          <w:sz w:val="20"/>
          <w:szCs w:val="20"/>
          <w:color w:val="auto"/>
        </w:rPr>
      </w:pPr>
    </w:p>
    <w:p>
      <w:pPr>
        <w:jc w:val="both"/>
        <w:ind w:left="600" w:right="780" w:firstLine="312"/>
        <w:spacing w:after="0" w:line="287" w:lineRule="auto"/>
        <w:rPr>
          <w:sz w:val="20"/>
          <w:szCs w:val="20"/>
          <w:color w:val="auto"/>
        </w:rPr>
      </w:pPr>
      <w:r>
        <w:rPr>
          <w:rFonts w:ascii="Times New Roman" w:cs="Times New Roman" w:eastAsia="Times New Roman" w:hAnsi="Times New Roman"/>
          <w:sz w:val="13"/>
          <w:szCs w:val="13"/>
          <w:color w:val="auto"/>
        </w:rPr>
        <w:t xml:space="preserve">Section 11. </w:t>
      </w:r>
      <w:r>
        <w:rPr>
          <w:rFonts w:ascii="Times New Roman" w:cs="Times New Roman" w:eastAsia="Times New Roman" w:hAnsi="Times New Roman"/>
          <w:sz w:val="13"/>
          <w:szCs w:val="13"/>
          <w:u w:val="single" w:color="auto"/>
          <w:color w:val="auto"/>
        </w:rPr>
        <w:t>Exclusion of Other Rights</w:t>
      </w:r>
      <w:r>
        <w:rPr>
          <w:rFonts w:ascii="Times New Roman" w:cs="Times New Roman" w:eastAsia="Times New Roman" w:hAnsi="Times New Roman"/>
          <w:sz w:val="13"/>
          <w:szCs w:val="13"/>
          <w:color w:val="auto"/>
        </w:rPr>
        <w:t xml:space="preserve"> . The Series B Preferred Stock shall not have any preferences or other rights, voting powers, restrictions, limitations as to dividends or other distributions, qualifications or terms or conditions of redemption other than expressly set forth in the Charter and these Articles Supplementary.</w:t>
      </w:r>
    </w:p>
    <w:p>
      <w:pPr>
        <w:spacing w:after="0" w:line="136" w:lineRule="exact"/>
        <w:rPr>
          <w:sz w:val="20"/>
          <w:szCs w:val="20"/>
          <w:color w:val="auto"/>
        </w:rPr>
      </w:pPr>
    </w:p>
    <w:p>
      <w:pPr>
        <w:ind w:left="600" w:right="800" w:firstLine="312"/>
        <w:spacing w:after="0" w:line="305" w:lineRule="auto"/>
        <w:rPr>
          <w:sz w:val="20"/>
          <w:szCs w:val="20"/>
          <w:color w:val="auto"/>
        </w:rPr>
      </w:pPr>
      <w:r>
        <w:rPr>
          <w:rFonts w:ascii="Times New Roman" w:cs="Times New Roman" w:eastAsia="Times New Roman" w:hAnsi="Times New Roman"/>
          <w:sz w:val="13"/>
          <w:szCs w:val="13"/>
          <w:color w:val="auto"/>
        </w:rPr>
        <w:t xml:space="preserve">Section 12. </w:t>
      </w:r>
      <w:r>
        <w:rPr>
          <w:rFonts w:ascii="Times New Roman" w:cs="Times New Roman" w:eastAsia="Times New Roman" w:hAnsi="Times New Roman"/>
          <w:sz w:val="13"/>
          <w:szCs w:val="13"/>
          <w:u w:val="single" w:color="auto"/>
          <w:color w:val="auto"/>
        </w:rPr>
        <w:t>Headings of Subdivisions</w:t>
      </w:r>
      <w:r>
        <w:rPr>
          <w:rFonts w:ascii="Times New Roman" w:cs="Times New Roman" w:eastAsia="Times New Roman" w:hAnsi="Times New Roman"/>
          <w:sz w:val="13"/>
          <w:szCs w:val="13"/>
          <w:color w:val="auto"/>
        </w:rPr>
        <w:t xml:space="preserve"> . The headings of the various subdivisions hereof are for convenience of reference only and shall not affect the interpretation of any of the provisions hereof.</w:t>
      </w:r>
    </w:p>
    <w:p>
      <w:pPr>
        <w:spacing w:after="0" w:line="124" w:lineRule="exact"/>
        <w:rPr>
          <w:sz w:val="20"/>
          <w:szCs w:val="20"/>
          <w:color w:val="auto"/>
        </w:rPr>
      </w:pPr>
    </w:p>
    <w:p>
      <w:pPr>
        <w:ind w:left="600" w:right="640" w:firstLine="312"/>
        <w:spacing w:after="0" w:line="274" w:lineRule="auto"/>
        <w:rPr>
          <w:sz w:val="20"/>
          <w:szCs w:val="20"/>
          <w:color w:val="auto"/>
        </w:rPr>
      </w:pPr>
      <w:r>
        <w:rPr>
          <w:rFonts w:ascii="Times New Roman" w:cs="Times New Roman" w:eastAsia="Times New Roman" w:hAnsi="Times New Roman"/>
          <w:sz w:val="13"/>
          <w:szCs w:val="13"/>
          <w:color w:val="auto"/>
        </w:rPr>
        <w:t xml:space="preserve">Section 13. </w:t>
      </w:r>
      <w:r>
        <w:rPr>
          <w:rFonts w:ascii="Times New Roman" w:cs="Times New Roman" w:eastAsia="Times New Roman" w:hAnsi="Times New Roman"/>
          <w:sz w:val="13"/>
          <w:szCs w:val="13"/>
          <w:u w:val="single" w:color="auto"/>
          <w:color w:val="auto"/>
        </w:rPr>
        <w:t>Severability of Provisions</w:t>
      </w:r>
      <w:r>
        <w:rPr>
          <w:rFonts w:ascii="Times New Roman" w:cs="Times New Roman" w:eastAsia="Times New Roman" w:hAnsi="Times New Roman"/>
          <w:sz w:val="13"/>
          <w:szCs w:val="13"/>
          <w:color w:val="auto"/>
        </w:rPr>
        <w:t xml:space="preserve"> . If any preferences or other rights, voting powers, restrictions, limitations as to dividends or other distributions, qualifications or terms or conditions of redemption of the Series B Preferred Stock set forth in the Charter and these Articles Supplementary are invalid, unlawful or incapable of being enforced by reason of any rule of law or public policy, all other preferences or other rights, voting powers, restrictions, limitations as to dividends or other distributions, qualifications or terms or conditions of redemption of Series B Preferred Stock set forth in the Charter which can be given effect without the invalid, unlawful or unenforceable provision thereof shall, nevertheless, remain in full force and effect and no preferences or other rights, voting powers, restrictions, limitations as to dividends or other distributions, qualifications or terms or conditions of redemption of the Series B Preferred Stock herein set forth shall be deemed dependent upon any other provision thereof unless so expressed therein.</w:t>
      </w:r>
    </w:p>
    <w:p>
      <w:pPr>
        <w:spacing w:after="0" w:line="135" w:lineRule="exact"/>
        <w:rPr>
          <w:sz w:val="20"/>
          <w:szCs w:val="20"/>
          <w:color w:val="auto"/>
        </w:rPr>
      </w:pPr>
    </w:p>
    <w:p>
      <w:pPr>
        <w:ind w:left="600" w:right="760" w:firstLine="300"/>
        <w:spacing w:after="0" w:line="287" w:lineRule="auto"/>
        <w:rPr>
          <w:sz w:val="20"/>
          <w:szCs w:val="20"/>
          <w:color w:val="auto"/>
        </w:rPr>
      </w:pPr>
      <w:r>
        <w:rPr>
          <w:rFonts w:ascii="Times New Roman" w:cs="Times New Roman" w:eastAsia="Times New Roman" w:hAnsi="Times New Roman"/>
          <w:sz w:val="13"/>
          <w:szCs w:val="13"/>
          <w:color w:val="auto"/>
        </w:rPr>
        <w:t xml:space="preserve">Section 14. </w:t>
      </w:r>
      <w:r>
        <w:rPr>
          <w:rFonts w:ascii="Times New Roman" w:cs="Times New Roman" w:eastAsia="Times New Roman" w:hAnsi="Times New Roman"/>
          <w:sz w:val="13"/>
          <w:szCs w:val="13"/>
          <w:u w:val="single" w:color="auto"/>
          <w:color w:val="auto"/>
        </w:rPr>
        <w:t>No Preemptive Rights</w:t>
      </w:r>
      <w:r>
        <w:rPr>
          <w:rFonts w:ascii="Times New Roman" w:cs="Times New Roman" w:eastAsia="Times New Roman" w:hAnsi="Times New Roman"/>
          <w:sz w:val="13"/>
          <w:szCs w:val="13"/>
          <w:color w:val="auto"/>
        </w:rPr>
        <w:t xml:space="preserve"> . No holder of Series B Preferred Stock shall be entitled to any preemptive rights to subscribe for or acquire any unissued shares of capital stock of the Company (whether now or hereafter authorized) or securities of the Company convertible into or carrying a right to subscribe to or acquire shares of capital stock of the Company.</w:t>
      </w:r>
    </w:p>
    <w:p>
      <w:pPr>
        <w:spacing w:after="0" w:line="136" w:lineRule="exact"/>
        <w:rPr>
          <w:sz w:val="20"/>
          <w:szCs w:val="20"/>
          <w:color w:val="auto"/>
        </w:rPr>
      </w:pPr>
    </w:p>
    <w:p>
      <w:pPr>
        <w:ind w:left="600" w:right="720" w:firstLine="312"/>
        <w:spacing w:after="0" w:line="305" w:lineRule="auto"/>
        <w:rPr>
          <w:sz w:val="20"/>
          <w:szCs w:val="20"/>
          <w:color w:val="auto"/>
        </w:rPr>
      </w:pPr>
      <w:r>
        <w:rPr>
          <w:rFonts w:ascii="Times New Roman" w:cs="Times New Roman" w:eastAsia="Times New Roman" w:hAnsi="Times New Roman"/>
          <w:sz w:val="13"/>
          <w:szCs w:val="13"/>
          <w:u w:val="single" w:color="auto"/>
          <w:color w:val="auto"/>
        </w:rPr>
        <w:t>FOURTH</w:t>
      </w:r>
      <w:r>
        <w:rPr>
          <w:rFonts w:ascii="Times New Roman" w:cs="Times New Roman" w:eastAsia="Times New Roman" w:hAnsi="Times New Roman"/>
          <w:sz w:val="13"/>
          <w:szCs w:val="13"/>
          <w:color w:val="auto"/>
        </w:rPr>
        <w:t xml:space="preserve"> : The Series B Preferred Stock have been classified and designated by the Board of Directors under the authority contained in the Charter.</w:t>
      </w:r>
    </w:p>
    <w:p>
      <w:pPr>
        <w:spacing w:after="0" w:line="4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u w:val="single" w:color="auto"/>
          <w:color w:val="auto"/>
        </w:rPr>
        <w:t>FIFTH</w:t>
      </w:r>
      <w:r>
        <w:rPr>
          <w:rFonts w:ascii="Times New Roman" w:cs="Times New Roman" w:eastAsia="Times New Roman" w:hAnsi="Times New Roman"/>
          <w:sz w:val="13"/>
          <w:szCs w:val="13"/>
          <w:color w:val="auto"/>
        </w:rPr>
        <w:t xml:space="preserve"> : These Articles Supplementary have been approved by the Board in the manner and by the vote required by law. </w:t>
      </w:r>
      <w:r>
        <w:rPr>
          <w:rFonts w:ascii="Times New Roman" w:cs="Times New Roman" w:eastAsia="Times New Roman" w:hAnsi="Times New Roman"/>
          <w:sz w:val="13"/>
          <w:szCs w:val="13"/>
          <w:u w:val="single" w:color="auto"/>
          <w:color w:val="auto"/>
        </w:rPr>
        <w:t>SIXTH</w:t>
      </w:r>
      <w:r>
        <w:rPr>
          <w:rFonts w:ascii="Times New Roman" w:cs="Times New Roman" w:eastAsia="Times New Roman" w:hAnsi="Times New Roman"/>
          <w:sz w:val="13"/>
          <w:szCs w:val="13"/>
          <w:color w:val="auto"/>
        </w:rPr>
        <w:t xml:space="preserve"> : These</w:t>
      </w:r>
    </w:p>
    <w:p>
      <w:pPr>
        <w:spacing w:after="0" w:line="163" w:lineRule="exact"/>
        <w:rPr>
          <w:sz w:val="20"/>
          <w:szCs w:val="20"/>
          <w:color w:val="auto"/>
        </w:rPr>
      </w:pPr>
    </w:p>
    <w:p>
      <w:pPr>
        <w:ind w:left="600" w:right="2440" w:firstLine="312"/>
        <w:spacing w:after="0" w:line="401" w:lineRule="auto"/>
        <w:rPr>
          <w:sz w:val="20"/>
          <w:szCs w:val="20"/>
          <w:color w:val="auto"/>
        </w:rPr>
      </w:pPr>
      <w:r>
        <w:rPr>
          <w:rFonts w:ascii="Times New Roman" w:cs="Times New Roman" w:eastAsia="Times New Roman" w:hAnsi="Times New Roman"/>
          <w:sz w:val="13"/>
          <w:szCs w:val="13"/>
          <w:color w:val="auto"/>
        </w:rPr>
        <w:t>Articles Supplementary shall be effective at the time the State Department of Assessments and Taxation of Maryland accepts these Articles Supplementary for record.</w:t>
      </w:r>
    </w:p>
    <w:p>
      <w:pPr>
        <w:spacing w:after="0" w:line="41" w:lineRule="exact"/>
        <w:rPr>
          <w:sz w:val="20"/>
          <w:szCs w:val="20"/>
          <w:color w:val="auto"/>
        </w:rPr>
      </w:pPr>
    </w:p>
    <w:p>
      <w:pPr>
        <w:ind w:left="600" w:right="580" w:firstLine="312"/>
        <w:spacing w:after="0" w:line="281" w:lineRule="auto"/>
        <w:rPr>
          <w:sz w:val="20"/>
          <w:szCs w:val="20"/>
          <w:color w:val="auto"/>
        </w:rPr>
      </w:pPr>
      <w:r>
        <w:rPr>
          <w:rFonts w:ascii="Times New Roman" w:cs="Times New Roman" w:eastAsia="Times New Roman" w:hAnsi="Times New Roman"/>
          <w:sz w:val="13"/>
          <w:szCs w:val="13"/>
          <w:u w:val="single" w:color="auto"/>
          <w:color w:val="auto"/>
        </w:rPr>
        <w:t>SEVENTH</w:t>
      </w:r>
      <w:r>
        <w:rPr>
          <w:rFonts w:ascii="Times New Roman" w:cs="Times New Roman" w:eastAsia="Times New Roman" w:hAnsi="Times New Roman"/>
          <w:sz w:val="13"/>
          <w:szCs w:val="13"/>
          <w:color w:val="auto"/>
        </w:rPr>
        <w:t xml:space="preserve"> : The undersigned Chief Executive Officer of the Company acknowledges these Articles Supplementary to be the corporate act of the Company and, as to all matters or facts required to be verified under oath, the undersigned Chief Executive Officer acknowledges that to the best of his knowledge, information and belief, these matters and facts are true in all material respects and that this statement is made under the penalties for perjury.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104140</wp:posOffset>
            </wp:positionV>
            <wp:extent cx="4436110" cy="152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403">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546100</wp:posOffset>
            </wp:positionV>
            <wp:extent cx="5083810" cy="152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404">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37" w:name="page238"/>
    <w:bookmarkEnd w:id="237"/>
    <w:p>
      <w:pPr>
        <w:ind w:left="600" w:right="720" w:firstLine="480"/>
        <w:spacing w:after="0" w:line="305" w:lineRule="auto"/>
        <w:rPr>
          <w:sz w:val="20"/>
          <w:szCs w:val="20"/>
          <w:color w:val="auto"/>
        </w:rPr>
      </w:pPr>
      <w:r>
        <w:rPr>
          <w:rFonts w:ascii="Times New Roman" w:cs="Times New Roman" w:eastAsia="Times New Roman" w:hAnsi="Times New Roman"/>
          <w:sz w:val="13"/>
          <w:szCs w:val="13"/>
          <w:color w:val="auto"/>
        </w:rPr>
        <w:t>IN WITNESS WHEREOF, the Company has caused these Articles Supplementary to be executed under seal in its name and on its behalf by its Chief Executive Officer and attested to by its General Counsel and Assistant Secretary as of the date first written above.</w:t>
      </w:r>
    </w:p>
    <w:p>
      <w:pPr>
        <w:spacing w:after="0" w:line="13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3"/>
          <w:szCs w:val="13"/>
          <w:color w:val="auto"/>
        </w:rPr>
        <w:t>DIGITAL REALTY TRUST, INC. By:/s/ M</w:t>
      </w:r>
    </w:p>
    <w:p>
      <w:pPr>
        <w:spacing w:after="0" w:line="4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1"/>
          <w:szCs w:val="11"/>
          <w:color w:val="auto"/>
        </w:rPr>
        <w:t xml:space="preserve">ICHAEL </w:t>
      </w:r>
      <w:r>
        <w:rPr>
          <w:rFonts w:ascii="Times New Roman" w:cs="Times New Roman" w:eastAsia="Times New Roman" w:hAnsi="Times New Roman"/>
          <w:sz w:val="13"/>
          <w:szCs w:val="13"/>
          <w:color w:val="auto"/>
        </w:rPr>
        <w:t>F. F</w:t>
      </w:r>
      <w:r>
        <w:rPr>
          <w:rFonts w:ascii="Times New Roman" w:cs="Times New Roman" w:eastAsia="Times New Roman" w:hAnsi="Times New Roman"/>
          <w:sz w:val="11"/>
          <w:szCs w:val="11"/>
          <w:color w:val="auto"/>
        </w:rPr>
        <w:t xml:space="preserve"> OUST</w:t>
      </w:r>
    </w:p>
    <w:p>
      <w:pPr>
        <w:spacing w:after="0" w:line="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3"/>
          <w:szCs w:val="13"/>
          <w:color w:val="auto"/>
        </w:rPr>
        <w:t>Michael F. Foust</w:t>
      </w:r>
    </w:p>
    <w:p>
      <w:pPr>
        <w:spacing w:after="0" w:line="1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3"/>
          <w:szCs w:val="13"/>
          <w:color w:val="auto"/>
        </w:rPr>
        <w:t>Chief Executive Officer</w:t>
      </w:r>
    </w:p>
    <w:p>
      <w:pPr>
        <w:spacing w:after="0" w:line="4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[SEAL]</w:t>
      </w:r>
    </w:p>
    <w:p>
      <w:pPr>
        <w:spacing w:after="0" w:line="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ATTEST:</w:t>
      </w:r>
    </w:p>
    <w:p>
      <w:pPr>
        <w:spacing w:after="0" w:line="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 xml:space="preserve">/s/ J </w:t>
      </w:r>
      <w:r>
        <w:rPr>
          <w:rFonts w:ascii="Times New Roman" w:cs="Times New Roman" w:eastAsia="Times New Roman" w:hAnsi="Times New Roman"/>
          <w:sz w:val="10"/>
          <w:szCs w:val="10"/>
          <w:color w:val="auto"/>
        </w:rPr>
        <w:t>OSHUA</w:t>
      </w:r>
      <w:r>
        <w:rPr>
          <w:rFonts w:ascii="Times New Roman" w:cs="Times New Roman" w:eastAsia="Times New Roman" w:hAnsi="Times New Roman"/>
          <w:sz w:val="13"/>
          <w:szCs w:val="13"/>
          <w:color w:val="auto"/>
        </w:rPr>
        <w:t xml:space="preserve"> A. M </w:t>
      </w:r>
      <w:r>
        <w:rPr>
          <w:rFonts w:ascii="Times New Roman" w:cs="Times New Roman" w:eastAsia="Times New Roman" w:hAnsi="Times New Roman"/>
          <w:sz w:val="10"/>
          <w:szCs w:val="10"/>
          <w:color w:val="auto"/>
        </w:rPr>
        <w:t>ILLS</w:t>
      </w:r>
    </w:p>
    <w:p>
      <w:pPr>
        <w:spacing w:after="0" w:line="2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Joshua A. Mills General</w:t>
      </w:r>
    </w:p>
    <w:p>
      <w:pPr>
        <w:spacing w:after="0" w:line="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Counsel and Assistant</w:t>
      </w:r>
    </w:p>
    <w:p>
      <w:pPr>
        <w:spacing w:after="0" w:line="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Secretary</w:t>
      </w:r>
    </w:p>
    <w:p>
      <w:pPr>
        <w:spacing w:after="0" w:line="5"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3"/>
          <w:szCs w:val="13"/>
          <w:color w:val="auto"/>
        </w:rPr>
        <w:t>Signature Page to Articles Supplementary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574040</wp:posOffset>
            </wp:positionV>
            <wp:extent cx="5083810" cy="152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405">
                      <a:extLst>
                        <a:ext uri="{28A0092B-C50C-407E-A947-70E740481C1C}"/>
                      </a:extLst>
                    </a:blip>
                    <a:srcRect/>
                    <a:stretch>
                      <a:fillRect/>
                    </a:stretch>
                  </pic:blipFill>
                  <pic:spPr bwMode="auto">
                    <a:xfrm>
                      <a:off x="0" y="0"/>
                      <a:ext cx="5083810" cy="15240"/>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261620</wp:posOffset>
            </wp:positionV>
            <wp:extent cx="4436110" cy="76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406">
                      <a:extLst>
                        <a:ext uri="{28A0092B-C50C-407E-A947-70E740481C1C}"/>
                      </a:extLst>
                    </a:blip>
                    <a:srcRect/>
                    <a:stretch>
                      <a:fillRect/>
                    </a:stretch>
                  </pic:blipFill>
                  <pic:spPr bwMode="auto">
                    <a:xfrm>
                      <a:off x="0" y="0"/>
                      <a:ext cx="4436110" cy="762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38" w:name="page239"/>
    <w:bookmarkEnd w:id="238"/>
    <w:p>
      <w:pPr>
        <w:jc w:val="center"/>
        <w:ind w:left="2060" w:right="1420"/>
        <w:spacing w:after="0" w:line="288" w:lineRule="auto"/>
        <w:rPr>
          <w:sz w:val="20"/>
          <w:szCs w:val="20"/>
          <w:color w:val="auto"/>
        </w:rPr>
      </w:pPr>
      <w:r>
        <w:rPr>
          <w:rFonts w:ascii="Times New Roman" w:cs="Times New Roman" w:eastAsia="Times New Roman" w:hAnsi="Times New Roman"/>
          <w:sz w:val="13"/>
          <w:szCs w:val="13"/>
          <w:b w:val="1"/>
          <w:bCs w:val="1"/>
          <w:color w:val="auto"/>
        </w:rPr>
        <w:t>DIGITAL REALTY TRUST, INC. ARTICLES SUPPLEMENTARY 8,050,000 SHARES OF 4.375% SERIES C CUMULATIVE CONVERTIBLE PREFERRED STOCK APRIL 9, 2007</w:t>
      </w:r>
    </w:p>
    <w:p>
      <w:pPr>
        <w:spacing w:after="0" w:line="30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Digital Realty Trust, Inc., a Maryland corporation (the “ </w:t>
      </w: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13"/>
          <w:szCs w:val="13"/>
          <w:color w:val="auto"/>
        </w:rPr>
        <w:t xml:space="preserve"> ”), hereby certifies to the State Department of Assessments and</w:t>
      </w:r>
    </w:p>
    <w:p>
      <w:pPr>
        <w:spacing w:after="0" w:line="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 xml:space="preserve">Taxation of Maryland (the “ </w:t>
      </w:r>
      <w:r>
        <w:rPr>
          <w:rFonts w:ascii="Times New Roman" w:cs="Times New Roman" w:eastAsia="Times New Roman" w:hAnsi="Times New Roman"/>
          <w:sz w:val="13"/>
          <w:szCs w:val="13"/>
          <w:b w:val="1"/>
          <w:bCs w:val="1"/>
          <w:color w:val="auto"/>
        </w:rPr>
        <w:t>Department</w:t>
      </w:r>
      <w:r>
        <w:rPr>
          <w:rFonts w:ascii="Times New Roman" w:cs="Times New Roman" w:eastAsia="Times New Roman" w:hAnsi="Times New Roman"/>
          <w:sz w:val="13"/>
          <w:szCs w:val="13"/>
          <w:color w:val="auto"/>
        </w:rPr>
        <w:t xml:space="preserve"> ”) that:</w:t>
      </w:r>
    </w:p>
    <w:p>
      <w:pPr>
        <w:spacing w:after="0" w:line="181" w:lineRule="exact"/>
        <w:rPr>
          <w:sz w:val="20"/>
          <w:szCs w:val="20"/>
          <w:color w:val="auto"/>
        </w:rPr>
      </w:pPr>
    </w:p>
    <w:p>
      <w:pPr>
        <w:ind w:left="600" w:right="700" w:firstLine="312"/>
        <w:spacing w:after="0" w:line="271" w:lineRule="auto"/>
        <w:rPr>
          <w:sz w:val="20"/>
          <w:szCs w:val="20"/>
          <w:color w:val="auto"/>
        </w:rPr>
      </w:pPr>
      <w:r>
        <w:rPr>
          <w:rFonts w:ascii="Times New Roman" w:cs="Times New Roman" w:eastAsia="Times New Roman" w:hAnsi="Times New Roman"/>
          <w:sz w:val="13"/>
          <w:szCs w:val="13"/>
          <w:b w:val="1"/>
          <w:bCs w:val="1"/>
          <w:color w:val="auto"/>
        </w:rPr>
        <w:t xml:space="preserve">FIRST: </w:t>
      </w:r>
      <w:r>
        <w:rPr>
          <w:rFonts w:ascii="Times New Roman" w:cs="Times New Roman" w:eastAsia="Times New Roman" w:hAnsi="Times New Roman"/>
          <w:sz w:val="13"/>
          <w:szCs w:val="13"/>
          <w:color w:val="auto"/>
        </w:rPr>
        <w:t>Pursuant to the authority expressly vested in the Board of Directors of the Company (the “</w:t>
      </w:r>
      <w:r>
        <w:rPr>
          <w:rFonts w:ascii="Times New Roman" w:cs="Times New Roman" w:eastAsia="Times New Roman" w:hAnsi="Times New Roman"/>
          <w:sz w:val="13"/>
          <w:szCs w:val="13"/>
          <w:b w:val="1"/>
          <w:bCs w:val="1"/>
          <w:color w:val="auto"/>
        </w:rPr>
        <w:t xml:space="preserve"> Board of Directors </w:t>
      </w:r>
      <w:r>
        <w:rPr>
          <w:rFonts w:ascii="Times New Roman" w:cs="Times New Roman" w:eastAsia="Times New Roman" w:hAnsi="Times New Roman"/>
          <w:sz w:val="13"/>
          <w:szCs w:val="13"/>
          <w:color w:val="auto"/>
        </w:rPr>
        <w:t>”) by Article IV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the Articles of Amendment and Restatement of the Company filed with the Department on October 26, 2004 (the “ </w:t>
      </w:r>
      <w:r>
        <w:rPr>
          <w:rFonts w:ascii="Times New Roman" w:cs="Times New Roman" w:eastAsia="Times New Roman" w:hAnsi="Times New Roman"/>
          <w:sz w:val="13"/>
          <w:szCs w:val="13"/>
          <w:b w:val="1"/>
          <w:bCs w:val="1"/>
          <w:color w:val="auto"/>
        </w:rPr>
        <w:t>Charter</w:t>
      </w:r>
      <w:r>
        <w:rPr>
          <w:rFonts w:ascii="Times New Roman" w:cs="Times New Roman" w:eastAsia="Times New Roman" w:hAnsi="Times New Roman"/>
          <w:sz w:val="13"/>
          <w:szCs w:val="13"/>
          <w:color w:val="auto"/>
        </w:rPr>
        <w:t xml:space="preserve"> ”) and Section 2-105 of the Maryland General Corporation Law (the “ </w:t>
      </w:r>
      <w:r>
        <w:rPr>
          <w:rFonts w:ascii="Times New Roman" w:cs="Times New Roman" w:eastAsia="Times New Roman" w:hAnsi="Times New Roman"/>
          <w:sz w:val="13"/>
          <w:szCs w:val="13"/>
          <w:b w:val="1"/>
          <w:bCs w:val="1"/>
          <w:color w:val="auto"/>
        </w:rPr>
        <w:t>MGCL</w:t>
      </w:r>
      <w:r>
        <w:rPr>
          <w:rFonts w:ascii="Times New Roman" w:cs="Times New Roman" w:eastAsia="Times New Roman" w:hAnsi="Times New Roman"/>
          <w:sz w:val="13"/>
          <w:szCs w:val="13"/>
          <w:color w:val="auto"/>
        </w:rPr>
        <w:t xml:space="preserve"> ”), the Board of Directors, by resolutions duly adopted on April 2, 2007, has authorized the classification and designation of up to 8,000,000 shares (plus up to an additional 15% to cover any underwriter over-allotment option) of the authorized but unissued preferred stock of the Company, par value</w:t>
      </w:r>
    </w:p>
    <w:p>
      <w:pPr>
        <w:spacing w:after="0" w:line="2" w:lineRule="exact"/>
        <w:rPr>
          <w:sz w:val="20"/>
          <w:szCs w:val="20"/>
          <w:color w:val="auto"/>
        </w:rPr>
      </w:pPr>
    </w:p>
    <w:p>
      <w:pPr>
        <w:ind w:left="600" w:right="620"/>
        <w:spacing w:after="0" w:line="273" w:lineRule="auto"/>
        <w:rPr>
          <w:sz w:val="20"/>
          <w:szCs w:val="20"/>
          <w:color w:val="auto"/>
        </w:rPr>
      </w:pPr>
      <w:r>
        <w:rPr>
          <w:rFonts w:ascii="Times New Roman" w:cs="Times New Roman" w:eastAsia="Times New Roman" w:hAnsi="Times New Roman"/>
          <w:sz w:val="13"/>
          <w:szCs w:val="13"/>
          <w:color w:val="auto"/>
        </w:rPr>
        <w:t xml:space="preserve">$.01 per share (“ </w:t>
      </w:r>
      <w:r>
        <w:rPr>
          <w:rFonts w:ascii="Times New Roman" w:cs="Times New Roman" w:eastAsia="Times New Roman" w:hAnsi="Times New Roman"/>
          <w:sz w:val="13"/>
          <w:szCs w:val="13"/>
          <w:b w:val="1"/>
          <w:bCs w:val="1"/>
          <w:color w:val="auto"/>
        </w:rPr>
        <w:t>Preferred Stock</w:t>
      </w:r>
      <w:r>
        <w:rPr>
          <w:rFonts w:ascii="Times New Roman" w:cs="Times New Roman" w:eastAsia="Times New Roman" w:hAnsi="Times New Roman"/>
          <w:sz w:val="13"/>
          <w:szCs w:val="13"/>
          <w:color w:val="auto"/>
        </w:rPr>
        <w:t xml:space="preserve"> ”), as a separate class of Preferred Stock, the issuance of a maximum of 8,000,000 shares (plus up to an additional 15% to cover any underwriter over-allotment option) of such class of Preferred Stock, and, pursuant to the powers contained in the Bylaws of the Company and the MGCL, appointed a committee (the “ </w:t>
      </w:r>
      <w:r>
        <w:rPr>
          <w:rFonts w:ascii="Times New Roman" w:cs="Times New Roman" w:eastAsia="Times New Roman" w:hAnsi="Times New Roman"/>
          <w:sz w:val="13"/>
          <w:szCs w:val="13"/>
          <w:b w:val="1"/>
          <w:bCs w:val="1"/>
          <w:color w:val="auto"/>
        </w:rPr>
        <w:t>Committee</w:t>
      </w:r>
      <w:r>
        <w:rPr>
          <w:rFonts w:ascii="Times New Roman" w:cs="Times New Roman" w:eastAsia="Times New Roman" w:hAnsi="Times New Roman"/>
          <w:sz w:val="13"/>
          <w:szCs w:val="13"/>
          <w:color w:val="auto"/>
        </w:rPr>
        <w:t xml:space="preserve"> ”) of the Board of Directors and delegated to the Committee, to the fullest extent permitted by the MGCL and the Charter and Bylaws of the Company, among other things, all powers of the Board of Directors with respect to (i) setting the number of shares of the Preferred Stock to be classified and designated, up to a maximum of 8,000,000 shares (plus up to an additional 15% to cover any underwriter over-allotment option) of Preferred Stock, (ii) choosing the cumulative dividend percentage for the Preferred Stock, (iii) selecting the dates on which dividends will be paid on the Preferred Stock, (iv) establishing the price per share for the Preferred Stock, (v) authorizing, approving and filing these Articles Supplementary with the Department, and (vi) authorizing and approving all such other actions as the Committee may deem necessary or desirable in connection with the classification, authorization, issuance, offer, and sale of the Preferred Stock.</w:t>
      </w:r>
    </w:p>
    <w:p>
      <w:pPr>
        <w:spacing w:after="0" w:line="301" w:lineRule="exact"/>
        <w:rPr>
          <w:sz w:val="20"/>
          <w:szCs w:val="20"/>
          <w:color w:val="auto"/>
        </w:rPr>
      </w:pPr>
    </w:p>
    <w:p>
      <w:pPr>
        <w:ind w:left="600" w:right="660" w:firstLine="312"/>
        <w:spacing w:after="0" w:line="279" w:lineRule="auto"/>
        <w:rPr>
          <w:sz w:val="20"/>
          <w:szCs w:val="20"/>
          <w:color w:val="auto"/>
        </w:rPr>
      </w:pPr>
      <w:r>
        <w:rPr>
          <w:rFonts w:ascii="Times New Roman" w:cs="Times New Roman" w:eastAsia="Times New Roman" w:hAnsi="Times New Roman"/>
          <w:sz w:val="13"/>
          <w:szCs w:val="13"/>
          <w:b w:val="1"/>
          <w:bCs w:val="1"/>
          <w:color w:val="auto"/>
        </w:rPr>
        <w:t xml:space="preserve">SECOND: </w:t>
      </w:r>
      <w:r>
        <w:rPr>
          <w:rFonts w:ascii="Times New Roman" w:cs="Times New Roman" w:eastAsia="Times New Roman" w:hAnsi="Times New Roman"/>
          <w:sz w:val="13"/>
          <w:szCs w:val="13"/>
          <w:color w:val="auto"/>
        </w:rPr>
        <w:t>The Committee has unanimously adopted resolutions classifying and designating the Preferred Stock as a separate class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Preferred Stock to be known as the “4.375% Series C Cumulative Convertible Preferred Stock,” setting the preferences, conversion and other rights, voting powers, restrictions, limitations as to dividends and other distributions, transfers, qualifications, terms and conditions of redemption and other terms and conditions of such 4.375% Series C Cumulative Convertible Preferred Stock, and authorizing the issuance of up to 7,000,000 (plus up to an additional 15% to cover any underwriter over-allotment option) shares of 4.375% Series C Cumulative Convertible Preferred Stock.</w:t>
      </w:r>
    </w:p>
    <w:p>
      <w:pPr>
        <w:spacing w:after="0" w:line="307" w:lineRule="exact"/>
        <w:rPr>
          <w:sz w:val="20"/>
          <w:szCs w:val="20"/>
          <w:color w:val="auto"/>
        </w:rPr>
      </w:pPr>
    </w:p>
    <w:p>
      <w:pPr>
        <w:ind w:left="600" w:right="760" w:firstLine="312"/>
        <w:spacing w:after="0" w:line="279" w:lineRule="auto"/>
        <w:rPr>
          <w:sz w:val="20"/>
          <w:szCs w:val="20"/>
          <w:color w:val="auto"/>
        </w:rPr>
      </w:pPr>
      <w:r>
        <w:rPr>
          <w:rFonts w:ascii="Times New Roman" w:cs="Times New Roman" w:eastAsia="Times New Roman" w:hAnsi="Times New Roman"/>
          <w:sz w:val="13"/>
          <w:szCs w:val="13"/>
          <w:b w:val="1"/>
          <w:bCs w:val="1"/>
          <w:color w:val="auto"/>
        </w:rPr>
        <w:t xml:space="preserve">THIRD: </w:t>
      </w:r>
      <w:r>
        <w:rPr>
          <w:rFonts w:ascii="Times New Roman" w:cs="Times New Roman" w:eastAsia="Times New Roman" w:hAnsi="Times New Roman"/>
          <w:sz w:val="13"/>
          <w:szCs w:val="13"/>
          <w:color w:val="auto"/>
        </w:rPr>
        <w:t>The designation, number of shares, preferences, rights, voting powers, restrictions, limitations as to dividends and other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distributions, qualifications, terms and conditions of redemption and other terms and conditions of the separate class of Preferred Stock of the Company designated as 4.375% Series C Cumulative Convertible Preferred Stock are as follows (the “ </w:t>
      </w:r>
      <w:r>
        <w:rPr>
          <w:rFonts w:ascii="Times New Roman" w:cs="Times New Roman" w:eastAsia="Times New Roman" w:hAnsi="Times New Roman"/>
          <w:sz w:val="13"/>
          <w:szCs w:val="13"/>
          <w:b w:val="1"/>
          <w:bCs w:val="1"/>
          <w:color w:val="auto"/>
        </w:rPr>
        <w:t>Series C Terms</w:t>
      </w:r>
      <w:r>
        <w:rPr>
          <w:rFonts w:ascii="Times New Roman" w:cs="Times New Roman" w:eastAsia="Times New Roman" w:hAnsi="Times New Roman"/>
          <w:sz w:val="13"/>
          <w:szCs w:val="13"/>
          <w:color w:val="auto"/>
        </w:rPr>
        <w:t xml:space="preserve"> ”), which upon any restatement of the Charter shall be made a part of or incorporated by reference into the Charter with any necessary or appropriate changes to the enumeration or lettering of Sections or subsections thereof:</w:t>
      </w:r>
    </w:p>
    <w:p>
      <w:pPr>
        <w:spacing w:after="0" w:line="139" w:lineRule="exact"/>
        <w:rPr>
          <w:sz w:val="20"/>
          <w:szCs w:val="20"/>
          <w:color w:val="auto"/>
        </w:rPr>
      </w:pPr>
    </w:p>
    <w:p>
      <w:pPr>
        <w:ind w:left="600" w:right="640" w:firstLine="312"/>
        <w:spacing w:after="0" w:line="308" w:lineRule="auto"/>
        <w:rPr>
          <w:sz w:val="20"/>
          <w:szCs w:val="20"/>
          <w:color w:val="auto"/>
        </w:rPr>
      </w:pPr>
      <w:r>
        <w:rPr>
          <w:rFonts w:ascii="Times New Roman" w:cs="Times New Roman" w:eastAsia="Times New Roman" w:hAnsi="Times New Roman"/>
          <w:sz w:val="13"/>
          <w:szCs w:val="13"/>
          <w:color w:val="auto"/>
        </w:rPr>
        <w:t xml:space="preserve">SECTION 1. </w:t>
      </w:r>
      <w:r>
        <w:rPr>
          <w:rFonts w:ascii="Times New Roman" w:cs="Times New Roman" w:eastAsia="Times New Roman" w:hAnsi="Times New Roman"/>
          <w:sz w:val="13"/>
          <w:szCs w:val="13"/>
          <w:b w:val="1"/>
          <w:bCs w:val="1"/>
          <w:color w:val="auto"/>
        </w:rPr>
        <w:t>Designation and Number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A series of Preferred Stock, designated the “4.375% Series C Cumulative Convertible Preferred Stock” (the “ </w:t>
      </w:r>
      <w:r>
        <w:rPr>
          <w:rFonts w:ascii="Times New Roman" w:cs="Times New Roman" w:eastAsia="Times New Roman" w:hAnsi="Times New Roman"/>
          <w:sz w:val="13"/>
          <w:szCs w:val="13"/>
          <w:b w:val="1"/>
          <w:bCs w:val="1"/>
          <w:color w:val="auto"/>
        </w:rPr>
        <w:t>Series C Preferred Stock</w:t>
      </w:r>
      <w:r>
        <w:rPr>
          <w:rFonts w:ascii="Times New Roman" w:cs="Times New Roman" w:eastAsia="Times New Roman" w:hAnsi="Times New Roman"/>
          <w:sz w:val="13"/>
          <w:szCs w:val="13"/>
          <w:color w:val="auto"/>
        </w:rPr>
        <w:t xml:space="preserve"> ”), is hereby established. The number of shares of Series C Preferred Stock shall be 8,050,000.</w:t>
      </w:r>
    </w:p>
    <w:p>
      <w:pPr>
        <w:spacing w:after="0" w:line="120" w:lineRule="exact"/>
        <w:rPr>
          <w:sz w:val="20"/>
          <w:szCs w:val="20"/>
          <w:color w:val="auto"/>
        </w:rPr>
      </w:pPr>
    </w:p>
    <w:p>
      <w:pPr>
        <w:ind w:left="600" w:right="660" w:firstLine="312"/>
        <w:spacing w:after="0" w:line="279" w:lineRule="auto"/>
        <w:rPr>
          <w:sz w:val="20"/>
          <w:szCs w:val="20"/>
          <w:color w:val="auto"/>
        </w:rPr>
      </w:pPr>
      <w:r>
        <w:rPr>
          <w:rFonts w:ascii="Times New Roman" w:cs="Times New Roman" w:eastAsia="Times New Roman" w:hAnsi="Times New Roman"/>
          <w:sz w:val="13"/>
          <w:szCs w:val="13"/>
          <w:color w:val="auto"/>
        </w:rPr>
        <w:t xml:space="preserve">SECTION 2. </w:t>
      </w:r>
      <w:r>
        <w:rPr>
          <w:rFonts w:ascii="Times New Roman" w:cs="Times New Roman" w:eastAsia="Times New Roman" w:hAnsi="Times New Roman"/>
          <w:sz w:val="13"/>
          <w:szCs w:val="13"/>
          <w:b w:val="1"/>
          <w:bCs w:val="1"/>
          <w:color w:val="auto"/>
        </w:rPr>
        <w:t>Rank</w:t>
      </w:r>
      <w:r>
        <w:rPr>
          <w:rFonts w:ascii="Times New Roman" w:cs="Times New Roman" w:eastAsia="Times New Roman" w:hAnsi="Times New Roman"/>
          <w:sz w:val="13"/>
          <w:szCs w:val="13"/>
          <w:color w:val="auto"/>
        </w:rPr>
        <w:t xml:space="preserve"> . The Series C Preferred Stock will, with respect to dividend rights and rights upon voluntary or involuntary liquidation, dissolution or winding up of the Company, rank: (i) senior to all classes or series of the Company’s common stock, par value $.01 per share (the “ </w:t>
      </w:r>
      <w:r>
        <w:rPr>
          <w:rFonts w:ascii="Times New Roman" w:cs="Times New Roman" w:eastAsia="Times New Roman" w:hAnsi="Times New Roman"/>
          <w:sz w:val="13"/>
          <w:szCs w:val="13"/>
          <w:b w:val="1"/>
          <w:bCs w:val="1"/>
          <w:color w:val="auto"/>
        </w:rPr>
        <w:t xml:space="preserve">Common Stock </w:t>
      </w:r>
      <w:r>
        <w:rPr>
          <w:rFonts w:ascii="Times New Roman" w:cs="Times New Roman" w:eastAsia="Times New Roman" w:hAnsi="Times New Roman"/>
          <w:sz w:val="13"/>
          <w:szCs w:val="13"/>
          <w:color w:val="auto"/>
        </w:rPr>
        <w:t>”), and all classes or series of capital stock of the Company now or hereafter authorized, issued or outstanding expressly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designated as ranking junior to the Series C Preferred Stock as to dividend rights and rights upon voluntary or involuntary liquidation, dissolution or winding up of the Company; (ii) on parity with the Series A Cumulative Redeemable Preferred Stock, par value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104775</wp:posOffset>
            </wp:positionV>
            <wp:extent cx="4436110" cy="152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407">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546735</wp:posOffset>
            </wp:positionV>
            <wp:extent cx="5083810" cy="152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408">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239" w:name="page240"/>
    <w:bookmarkEnd w:id="239"/>
    <w:p>
      <w:pPr>
        <w:ind w:left="600" w:right="1000"/>
        <w:spacing w:after="0" w:line="305" w:lineRule="auto"/>
        <w:rPr>
          <w:sz w:val="20"/>
          <w:szCs w:val="20"/>
          <w:color w:val="auto"/>
        </w:rPr>
      </w:pPr>
      <w:r>
        <w:rPr>
          <w:rFonts w:ascii="Times New Roman" w:cs="Times New Roman" w:eastAsia="Times New Roman" w:hAnsi="Times New Roman"/>
          <w:sz w:val="13"/>
          <w:szCs w:val="13"/>
          <w:color w:val="auto"/>
        </w:rPr>
        <w:t>and the Series B Cumulative Redeemable Preferred Stock, par value $0.01 per share, of the Company and with any class or series of capital stock of the Company expressly designated as ranking on parity</w:t>
      </w:r>
    </w:p>
    <w:p>
      <w:pPr>
        <w:spacing w:after="0" w:line="124" w:lineRule="exact"/>
        <w:rPr>
          <w:sz w:val="20"/>
          <w:szCs w:val="20"/>
          <w:color w:val="auto"/>
        </w:rPr>
      </w:pPr>
    </w:p>
    <w:p>
      <w:pPr>
        <w:ind w:left="600" w:right="720"/>
        <w:spacing w:after="0" w:line="278" w:lineRule="auto"/>
        <w:rPr>
          <w:sz w:val="20"/>
          <w:szCs w:val="20"/>
          <w:color w:val="auto"/>
        </w:rPr>
      </w:pPr>
      <w:r>
        <w:rPr>
          <w:rFonts w:ascii="Times New Roman" w:cs="Times New Roman" w:eastAsia="Times New Roman" w:hAnsi="Times New Roman"/>
          <w:sz w:val="13"/>
          <w:szCs w:val="13"/>
          <w:color w:val="auto"/>
        </w:rPr>
        <w:t xml:space="preserve">with the Series C Preferred Stock as to dividend rights and rights upon voluntary or involuntary liquidation, dissolution or winding up of the Company; and (iii) junior to any class or series of capital stock of the Company expressly designated as ranking senior to the Series C Preferred Stock as to dividend rights and rights upon voluntary or involuntary liquidation, dissolution or winding up of the Company. The term “ </w:t>
      </w:r>
      <w:r>
        <w:rPr>
          <w:rFonts w:ascii="Times New Roman" w:cs="Times New Roman" w:eastAsia="Times New Roman" w:hAnsi="Times New Roman"/>
          <w:sz w:val="13"/>
          <w:szCs w:val="13"/>
          <w:b w:val="1"/>
          <w:bCs w:val="1"/>
          <w:color w:val="auto"/>
        </w:rPr>
        <w:t>capital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 xml:space="preserve">stock </w:t>
      </w:r>
      <w:r>
        <w:rPr>
          <w:rFonts w:ascii="Times New Roman" w:cs="Times New Roman" w:eastAsia="Times New Roman" w:hAnsi="Times New Roman"/>
          <w:sz w:val="13"/>
          <w:szCs w:val="13"/>
          <w:color w:val="auto"/>
        </w:rPr>
        <w:t>” does not include convertible or exchangeable debt securities, which will rank senior to the Series C Preferred Stock prior to conversion 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exchange. The Series C Preferred Stock will rank junior in right of payment to the Company’s other existing and future debt obligations.</w:t>
      </w:r>
    </w:p>
    <w:p>
      <w:pPr>
        <w:spacing w:after="0" w:line="14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SECTION 3. </w:t>
      </w:r>
      <w:r>
        <w:rPr>
          <w:rFonts w:ascii="Times New Roman" w:cs="Times New Roman" w:eastAsia="Times New Roman" w:hAnsi="Times New Roman"/>
          <w:sz w:val="13"/>
          <w:szCs w:val="13"/>
          <w:b w:val="1"/>
          <w:bCs w:val="1"/>
          <w:color w:val="auto"/>
        </w:rPr>
        <w:t>Dividends.</w:t>
      </w:r>
    </w:p>
    <w:p>
      <w:pPr>
        <w:spacing w:after="0" w:line="189" w:lineRule="exact"/>
        <w:rPr>
          <w:sz w:val="20"/>
          <w:szCs w:val="20"/>
          <w:color w:val="auto"/>
        </w:rPr>
      </w:pPr>
    </w:p>
    <w:p>
      <w:pPr>
        <w:ind w:left="600" w:right="620" w:firstLine="306"/>
        <w:spacing w:after="0" w:line="270" w:lineRule="auto"/>
        <w:tabs>
          <w:tab w:leader="none" w:pos="1092" w:val="left"/>
        </w:tabs>
        <w:numPr>
          <w:ilvl w:val="0"/>
          <w:numId w:val="1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Subject to the preferential rights of the holders of any class or series of capital stock of the Company ranking senior to the Series C Preferred Stock as to dividends, the holders of shares of the Series C Preferred Stock shall be entitled to receive, when, as and if authorized by the Board of Directors and declared by the Company, out of funds legally available for the payment of dividends, cumulative cash dividends at the rate of 4.375% per annum of the $25.00 liquidation preference per share of the Series C Preferred Stock (equivalent to the fixed annual amount of $1.09375 per share of the Series C Preferred Stock). Such dividends shall accrue and be cumulative from and including the first date on which any shares of Series C Preferred Stock are issued (the “ </w:t>
      </w:r>
      <w:r>
        <w:rPr>
          <w:rFonts w:ascii="Times New Roman" w:cs="Times New Roman" w:eastAsia="Times New Roman" w:hAnsi="Times New Roman"/>
          <w:sz w:val="13"/>
          <w:szCs w:val="13"/>
          <w:b w:val="1"/>
          <w:bCs w:val="1"/>
          <w:color w:val="auto"/>
        </w:rPr>
        <w:t>Original Issue Date</w:t>
      </w:r>
      <w:r>
        <w:rPr>
          <w:rFonts w:ascii="Times New Roman" w:cs="Times New Roman" w:eastAsia="Times New Roman" w:hAnsi="Times New Roman"/>
          <w:sz w:val="13"/>
          <w:szCs w:val="13"/>
          <w:color w:val="auto"/>
        </w:rPr>
        <w:t xml:space="preserve"> ”) and shall be payable quarterly in arrears on each Dividend Payment Date (as defined below), commencing June 30, 2007;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xml:space="preserve"> , that if any Dividend Payment Date is not a Business Day (as defined below), then the dividend which would otherwise have been payable on such Dividend Payment Date may be paid on the next succeeding Business Day, except that, if such Business Day is in the next succeeding calendar year, such payment shall be made on the immediately preceding Business Day, in each case with the same force and effect as if paid on such Dividend Payment Date, and no interest or additional dividends or other sums shall accrue on the amount so payable from such Dividend Payment Date to such next succeeding Business Day. The amount of any dividend payable on the Series C Preferred Stock for any partial Dividend Period (as defined below) shall be prorated and computed on the basis of a 360-day year consisting of twelve 30-day months.</w:t>
      </w:r>
    </w:p>
    <w:p>
      <w:pPr>
        <w:spacing w:after="0" w:line="1" w:lineRule="exact"/>
        <w:rPr>
          <w:rFonts w:ascii="Times New Roman" w:cs="Times New Roman" w:eastAsia="Times New Roman" w:hAnsi="Times New Roman"/>
          <w:sz w:val="13"/>
          <w:szCs w:val="13"/>
          <w:color w:val="auto"/>
        </w:rPr>
      </w:pPr>
    </w:p>
    <w:p>
      <w:pPr>
        <w:ind w:left="600" w:right="600"/>
        <w:spacing w:after="0" w:line="272"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Dividends will be payable to holders of record as they appear in the stockholder records of the Company at the close of business on the applicable Dividend Record Date (as defined below). Notwithstanding any provision to the contrary contained herein, each outstanding share of Series C Preferred Stock shall be entitled to receive a dividend with respect to any Dividend Record Date equal to the dividend paid with respect to each other share of Series C Preferred Stock that is outstanding on such date. “ </w:t>
      </w:r>
      <w:r>
        <w:rPr>
          <w:rFonts w:ascii="Times New Roman" w:cs="Times New Roman" w:eastAsia="Times New Roman" w:hAnsi="Times New Roman"/>
          <w:sz w:val="13"/>
          <w:szCs w:val="13"/>
          <w:b w:val="1"/>
          <w:bCs w:val="1"/>
          <w:color w:val="auto"/>
        </w:rPr>
        <w:t>Dividend Record Date</w:t>
      </w:r>
      <w:r>
        <w:rPr>
          <w:rFonts w:ascii="Times New Roman" w:cs="Times New Roman" w:eastAsia="Times New Roman" w:hAnsi="Times New Roman"/>
          <w:sz w:val="13"/>
          <w:szCs w:val="13"/>
          <w:color w:val="auto"/>
        </w:rPr>
        <w:t xml:space="preserve"> ” shall mean the date designated by the Board of Directors for the payment of dividends that is not more than 35 or fewer than 10 days prior to the applicable Dividend Payment Date. “ </w:t>
      </w:r>
      <w:r>
        <w:rPr>
          <w:rFonts w:ascii="Times New Roman" w:cs="Times New Roman" w:eastAsia="Times New Roman" w:hAnsi="Times New Roman"/>
          <w:sz w:val="13"/>
          <w:szCs w:val="13"/>
          <w:b w:val="1"/>
          <w:bCs w:val="1"/>
          <w:color w:val="auto"/>
        </w:rPr>
        <w:t>Dividend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 xml:space="preserve">Payment Date </w:t>
      </w:r>
      <w:r>
        <w:rPr>
          <w:rFonts w:ascii="Times New Roman" w:cs="Times New Roman" w:eastAsia="Times New Roman" w:hAnsi="Times New Roman"/>
          <w:sz w:val="13"/>
          <w:szCs w:val="13"/>
          <w:color w:val="auto"/>
        </w:rPr>
        <w:t>” shall mean the last calendar day of each March, June, September and December, commencing on June 30, 2007. “</w:t>
      </w:r>
      <w:r>
        <w:rPr>
          <w:rFonts w:ascii="Times New Roman" w:cs="Times New Roman" w:eastAsia="Times New Roman" w:hAnsi="Times New Roman"/>
          <w:sz w:val="13"/>
          <w:szCs w:val="13"/>
          <w:b w:val="1"/>
          <w:bCs w:val="1"/>
          <w:color w:val="auto"/>
        </w:rPr>
        <w:t xml:space="preserve"> Dividend Period </w:t>
      </w:r>
      <w:r>
        <w:rPr>
          <w:rFonts w:ascii="Times New Roman" w:cs="Times New Roman" w:eastAsia="Times New Roman" w:hAnsi="Times New Roman"/>
          <w:sz w:val="13"/>
          <w:szCs w:val="13"/>
          <w:color w:val="auto"/>
        </w:rPr>
        <w:t>” shall mean the respective periods commencing on and including the first day of January, April, July and October of each year and ending</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on and including the day preceding the first day of the next succeeding Dividend Period (other than the initial Dividend Period, which shall commence on the Original Issue Date and end on and include June 30, 2007, and other than the Dividend Period during which any shares of Series C Preferred Stock shall be redeemed pursuant to Section 5, which shall end on and include the day preceding the call date with respect to the shares of Series C Preferred Stock being redeemed).</w:t>
      </w:r>
    </w:p>
    <w:p>
      <w:pPr>
        <w:spacing w:after="0" w:line="135" w:lineRule="exact"/>
        <w:rPr>
          <w:sz w:val="20"/>
          <w:szCs w:val="20"/>
          <w:color w:val="auto"/>
        </w:rPr>
      </w:pPr>
    </w:p>
    <w:p>
      <w:pPr>
        <w:ind w:left="600" w:right="880" w:firstLine="312"/>
        <w:spacing w:after="0" w:line="308" w:lineRule="auto"/>
        <w:rPr>
          <w:sz w:val="20"/>
          <w:szCs w:val="20"/>
          <w:color w:val="auto"/>
        </w:rPr>
      </w:pPr>
      <w:r>
        <w:rPr>
          <w:rFonts w:ascii="Times New Roman" w:cs="Times New Roman" w:eastAsia="Times New Roman" w:hAnsi="Times New Roman"/>
          <w:sz w:val="13"/>
          <w:szCs w:val="13"/>
          <w:color w:val="auto"/>
        </w:rPr>
        <w:t xml:space="preserve">The term “ </w:t>
      </w:r>
      <w:r>
        <w:rPr>
          <w:rFonts w:ascii="Times New Roman" w:cs="Times New Roman" w:eastAsia="Times New Roman" w:hAnsi="Times New Roman"/>
          <w:sz w:val="13"/>
          <w:szCs w:val="13"/>
          <w:b w:val="1"/>
          <w:bCs w:val="1"/>
          <w:color w:val="auto"/>
        </w:rPr>
        <w:t>Business Day</w:t>
      </w:r>
      <w:r>
        <w:rPr>
          <w:rFonts w:ascii="Times New Roman" w:cs="Times New Roman" w:eastAsia="Times New Roman" w:hAnsi="Times New Roman"/>
          <w:sz w:val="13"/>
          <w:szCs w:val="13"/>
          <w:color w:val="auto"/>
        </w:rPr>
        <w:t xml:space="preserve"> ” shall mean each day, other than a Saturday or a Sunday, which is not a day on which banking institutions in New York, New York are authorized or required by law, regulation or executive order to close.</w:t>
      </w:r>
    </w:p>
    <w:p>
      <w:pPr>
        <w:spacing w:after="0" w:line="122" w:lineRule="exact"/>
        <w:rPr>
          <w:sz w:val="20"/>
          <w:szCs w:val="20"/>
          <w:color w:val="auto"/>
        </w:rPr>
      </w:pPr>
    </w:p>
    <w:p>
      <w:pPr>
        <w:ind w:left="600" w:right="720" w:firstLine="306"/>
        <w:spacing w:after="0" w:line="287" w:lineRule="auto"/>
        <w:tabs>
          <w:tab w:leader="none" w:pos="1092" w:val="left"/>
        </w:tabs>
        <w:numPr>
          <w:ilvl w:val="0"/>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anything contained herein to the contrary, dividends on the Series C Preferred Stock shall accrue whether or not the Company has earnings, whether or not there are funds legally available for the payment of such dividends, and whether or not such dividends are authorized or declared.</w:t>
      </w:r>
    </w:p>
    <w:p>
      <w:pPr>
        <w:spacing w:after="0" w:line="136" w:lineRule="exact"/>
        <w:rPr>
          <w:sz w:val="20"/>
          <w:szCs w:val="20"/>
          <w:color w:val="auto"/>
        </w:rPr>
      </w:pPr>
    </w:p>
    <w:p>
      <w:pPr>
        <w:ind w:left="600" w:right="640" w:firstLine="312"/>
        <w:spacing w:after="0" w:line="276" w:lineRule="auto"/>
        <w:rPr>
          <w:sz w:val="20"/>
          <w:szCs w:val="20"/>
          <w:color w:val="auto"/>
        </w:rPr>
      </w:pPr>
      <w:r>
        <w:rPr>
          <w:rFonts w:ascii="Times New Roman" w:cs="Times New Roman" w:eastAsia="Times New Roman" w:hAnsi="Times New Roman"/>
          <w:sz w:val="13"/>
          <w:szCs w:val="13"/>
          <w:color w:val="auto"/>
        </w:rPr>
        <w:t>(c) Except as provided in Section 3(d) below, no dividends shall be declared or paid or set apart for payment, and no other distribution of cash or other property may be declared or made, directly or indirectly, on or with respect to, any shares of Common Stock or shares of any other class or series of capital stock of the Company ranking, as to dividends, on parity with or junior to the Series C Preferred Stock (other than a dividend paid in shares of Common Stock or in shares of any other class or series of capital stock ranking junior to the Series C Preferred Stock as to dividends and upon liquidation) for any period, nor shall any shares of Common Stock or any other shares of any other class or series of capital stock of the Company ranking, as to dividends or upon liquidation, on parity with or junior to the Series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106680</wp:posOffset>
            </wp:positionV>
            <wp:extent cx="4436110" cy="152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409">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549275</wp:posOffset>
            </wp:positionV>
            <wp:extent cx="5083810" cy="152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410">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40" w:name="page241"/>
    <w:bookmarkEnd w:id="240"/>
    <w:p>
      <w:pPr>
        <w:ind w:left="600" w:right="1160"/>
        <w:spacing w:after="0" w:line="305" w:lineRule="auto"/>
        <w:rPr>
          <w:sz w:val="20"/>
          <w:szCs w:val="20"/>
          <w:color w:val="auto"/>
        </w:rPr>
      </w:pPr>
      <w:r>
        <w:rPr>
          <w:rFonts w:ascii="Times New Roman" w:cs="Times New Roman" w:eastAsia="Times New Roman" w:hAnsi="Times New Roman"/>
          <w:sz w:val="13"/>
          <w:szCs w:val="13"/>
          <w:color w:val="auto"/>
        </w:rPr>
        <w:t>Preferred Stock be redeemed, purchased or otherwise acquired for any consideration, nor shall any funds be paid or made available for a sinking fund for the redemption of such shares,</w:t>
      </w:r>
    </w:p>
    <w:p>
      <w:pPr>
        <w:spacing w:after="0" w:line="124" w:lineRule="exact"/>
        <w:rPr>
          <w:sz w:val="20"/>
          <w:szCs w:val="20"/>
          <w:color w:val="auto"/>
        </w:rPr>
      </w:pPr>
    </w:p>
    <w:p>
      <w:pPr>
        <w:ind w:left="600" w:right="720"/>
        <w:spacing w:after="0" w:line="278" w:lineRule="auto"/>
        <w:rPr>
          <w:sz w:val="20"/>
          <w:szCs w:val="20"/>
          <w:color w:val="auto"/>
        </w:rPr>
      </w:pPr>
      <w:r>
        <w:rPr>
          <w:rFonts w:ascii="Times New Roman" w:cs="Times New Roman" w:eastAsia="Times New Roman" w:hAnsi="Times New Roman"/>
          <w:sz w:val="13"/>
          <w:szCs w:val="13"/>
          <w:color w:val="auto"/>
        </w:rPr>
        <w:t>and no other distribution of cash or other property may be made, directly or indirectly, on or with respect thereto by the Company (except by conversion into or exchange for other shares of any class or series of capital stock of the Company ranking junior to the Series C Preferred Stock as to dividends and upon liquidation, and except for the acquisition of shares made pursuant to the provisions of Article VI of the Charter or Section 7 hereof), unless full cumulative dividends on the Series C Preferred Stock for all past dividend periods shall have been or contemporaneously are (i) declared and paid in cash or (ii) declared and a sum sufficient for the payment thereof in cash is set apart for such payment.</w:t>
      </w:r>
    </w:p>
    <w:p>
      <w:pPr>
        <w:spacing w:after="0" w:line="311" w:lineRule="exact"/>
        <w:rPr>
          <w:sz w:val="20"/>
          <w:szCs w:val="20"/>
          <w:color w:val="auto"/>
        </w:rPr>
      </w:pPr>
    </w:p>
    <w:p>
      <w:pPr>
        <w:ind w:left="600" w:right="640" w:firstLine="306"/>
        <w:spacing w:after="0" w:line="274" w:lineRule="auto"/>
        <w:tabs>
          <w:tab w:leader="none" w:pos="1092" w:val="left"/>
        </w:tabs>
        <w:numPr>
          <w:ilvl w:val="0"/>
          <w:numId w:val="1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When dividends are not paid in full (and a sum sufficient for such full payment is not so set apart) upon the Series C Preferred Stock and the shares of any other class or series of capital stock ranking, as to dividends, on parity with the Series C Preferred Stock, all dividends declared upon the Series C Preferred Stock and each such other class or series of capital stock ranking, as to dividends, on parity with the Series C Preferred Stock shall be declared pro rata so that the amount of dividends declared per share of Series C Preferred Stock and such other class or series of capital stock shall in all cases bear to each other the same ratio that accrued dividends per share on the Series C Preferred Stock and such other class or series of capital stock (which shall not include any accrual in respect of unpaid dividends on such other class or series of capital stock for prior dividend periods if such other class or series of capital stock does not have a cumulative dividend) bear to each other. No interest, or sum of money in lieu of interest, shall be payable in respect of any dividend payment or payments on the Series C Preferred Stock which may be in arrears.</w:t>
      </w:r>
    </w:p>
    <w:p>
      <w:pPr>
        <w:spacing w:after="0" w:line="303" w:lineRule="exact"/>
        <w:rPr>
          <w:rFonts w:ascii="Times New Roman" w:cs="Times New Roman" w:eastAsia="Times New Roman" w:hAnsi="Times New Roman"/>
          <w:sz w:val="13"/>
          <w:szCs w:val="13"/>
          <w:color w:val="auto"/>
        </w:rPr>
      </w:pPr>
    </w:p>
    <w:p>
      <w:pPr>
        <w:jc w:val="both"/>
        <w:ind w:left="600" w:right="680" w:firstLine="306"/>
        <w:spacing w:after="0" w:line="281" w:lineRule="auto"/>
        <w:tabs>
          <w:tab w:leader="none" w:pos="1092" w:val="left"/>
        </w:tabs>
        <w:numPr>
          <w:ilvl w:val="0"/>
          <w:numId w:val="1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Holders of shares of Series C Preferred Stock shall not be entitled to any dividend, whether payable in cash, property or shares of stock, in excess of full cumulative dividends on the Series C Preferred Stock as provided herein. Any dividend payment made on the Series C Preferred Stock shall first be credited against the earliest accrued but unpaid dividends due with respect to such shares which remains payable. Accrued but unpaid distributions on the Series C Preferred Stock will accumulate as of the Dividend Payment Date on which they first become payable.</w:t>
      </w:r>
    </w:p>
    <w:p>
      <w:pPr>
        <w:spacing w:after="0" w:line="13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SECTION 4. </w:t>
      </w:r>
      <w:r>
        <w:rPr>
          <w:rFonts w:ascii="Times New Roman" w:cs="Times New Roman" w:eastAsia="Times New Roman" w:hAnsi="Times New Roman"/>
          <w:sz w:val="13"/>
          <w:szCs w:val="13"/>
          <w:b w:val="1"/>
          <w:bCs w:val="1"/>
          <w:color w:val="auto"/>
        </w:rPr>
        <w:t>Liquidation Preference.</w:t>
      </w:r>
    </w:p>
    <w:p>
      <w:pPr>
        <w:spacing w:after="0" w:line="189" w:lineRule="exact"/>
        <w:rPr>
          <w:sz w:val="20"/>
          <w:szCs w:val="20"/>
          <w:color w:val="auto"/>
        </w:rPr>
      </w:pPr>
    </w:p>
    <w:p>
      <w:pPr>
        <w:ind w:left="600" w:right="680" w:firstLine="306"/>
        <w:spacing w:after="0" w:line="270" w:lineRule="auto"/>
        <w:tabs>
          <w:tab w:leader="none" w:pos="1092" w:val="left"/>
        </w:tabs>
        <w:numPr>
          <w:ilvl w:val="0"/>
          <w:numId w:val="1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any voluntary or involuntary liquidation, dissolution or winding up of the affairs of the Company, before any distribution or payment shall be made to holders of shares of Common Stock or any other class or series of capital stock of the Company ranking, as to rights upon any voluntary or involuntary liquidation, dissolution or winding up of the affairs of the Company, junior to the Series C Preferred Stock, the holders of shares of Series C Preferred Stock shall be entitled to be paid out of the assets of the Company legally available for distribution to its stockholders, after payment of or provision for the debts and other liabilities of the Company, a liquidation preference of $25.00 per share, plus an amount equal to any accrued and unpaid dividends (whether or not authorized or declared) to but excluding the date of payment. In the event that, upon such voluntary or involuntary liquidation, dissolution or winding up, the available assets of the Company are insufficient to pay the full amount of the liquidating distributions on all outstanding shares of Series C Preferred Stock and the corresponding amounts payable on all shares of other classes or series of capital stock of the Company ranking, as to liquidation rights, on parity with the Series C Preferred Stock in the distribution of assets, then the holders of the Series C Preferred Stock and each such other class or series of shares of capital stock ranking, as to voluntary or involuntary liquidation rights, on parity with the Series C Preferred Stock shall share ratably in any such distribution of assets in proportion to the full liquidating distributions to which they would otherwise be respectively entitled. Written notice of any such voluntary or involuntary liquidation, dissolution or winding up of the Company, stating the payment date or dates when, and the place or places where, the amounts distributable in such circumstances shall be payable, shall be given by first class mail, postage pre-paid, not fewer than 30 or more than 60 days prior to the payment date stated therein, to each record holder of shares of Series C Preferred Stock at the respective addresses of such holders as the same shall appear on the stock transfer records of the Company. After payment of the full amount of the liquidating distributions to</w:t>
      </w:r>
    </w:p>
    <w:p>
      <w:pPr>
        <w:spacing w:after="0" w:line="2" w:lineRule="exact"/>
        <w:rPr>
          <w:sz w:val="20"/>
          <w:szCs w:val="20"/>
          <w:color w:val="auto"/>
        </w:rPr>
      </w:pPr>
    </w:p>
    <w:p>
      <w:pPr>
        <w:ind w:left="600" w:right="660"/>
        <w:spacing w:after="0" w:line="279" w:lineRule="auto"/>
        <w:rPr>
          <w:sz w:val="20"/>
          <w:szCs w:val="20"/>
          <w:color w:val="auto"/>
        </w:rPr>
      </w:pPr>
      <w:r>
        <w:rPr>
          <w:rFonts w:ascii="Times New Roman" w:cs="Times New Roman" w:eastAsia="Times New Roman" w:hAnsi="Times New Roman"/>
          <w:sz w:val="13"/>
          <w:szCs w:val="13"/>
          <w:color w:val="auto"/>
        </w:rPr>
        <w:t>which they are entitled, the holders of Series C Preferred Stock will have no right or claim to any of the remaining assets of the Company. The consolidation or merger of the Company with or into any other corporation, trust or entity, or the voluntary sale, lease, transfer or conveyance of all or substantially all of the property or business of the Company, shall not be deemed to constitute a liquidation, dissolution or winding up of the affairs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104775</wp:posOffset>
            </wp:positionV>
            <wp:extent cx="4436110" cy="76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411">
                      <a:extLst>
                        <a:ext uri="{28A0092B-C50C-407E-A947-70E740481C1C}"/>
                      </a:extLst>
                    </a:blip>
                    <a:srcRect/>
                    <a:stretch>
                      <a:fillRect/>
                    </a:stretch>
                  </pic:blipFill>
                  <pic:spPr bwMode="auto">
                    <a:xfrm>
                      <a:off x="0" y="0"/>
                      <a:ext cx="4436110"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531495</wp:posOffset>
            </wp:positionV>
            <wp:extent cx="5083810" cy="152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412">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41" w:name="page242"/>
    <w:bookmarkEnd w:id="241"/>
    <w:p>
      <w:pPr>
        <w:ind w:left="600" w:right="1240" w:firstLine="306"/>
        <w:spacing w:after="0" w:line="305" w:lineRule="auto"/>
        <w:tabs>
          <w:tab w:leader="none" w:pos="1092" w:val="left"/>
        </w:tabs>
        <w:numPr>
          <w:ilvl w:val="0"/>
          <w:numId w:val="1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determining whether a distribution (other than upon voluntary or involuntary liquidation), by dividend, redemption or other acquisition of shares of capital stock of the Company or otherwise, is permitted under</w:t>
      </w:r>
    </w:p>
    <w:p>
      <w:pPr>
        <w:spacing w:after="0" w:line="124" w:lineRule="exact"/>
        <w:rPr>
          <w:sz w:val="20"/>
          <w:szCs w:val="20"/>
          <w:color w:val="auto"/>
        </w:rPr>
      </w:pPr>
    </w:p>
    <w:p>
      <w:pPr>
        <w:ind w:left="600" w:right="840"/>
        <w:spacing w:after="0" w:line="305" w:lineRule="auto"/>
        <w:rPr>
          <w:sz w:val="20"/>
          <w:szCs w:val="20"/>
          <w:color w:val="auto"/>
        </w:rPr>
      </w:pPr>
      <w:r>
        <w:rPr>
          <w:rFonts w:ascii="Times New Roman" w:cs="Times New Roman" w:eastAsia="Times New Roman" w:hAnsi="Times New Roman"/>
          <w:sz w:val="13"/>
          <w:szCs w:val="13"/>
          <w:color w:val="auto"/>
        </w:rPr>
        <w:t>the MGCL, amounts that would be needed, if the Company were to be dissolved at the time of the distribution, to satisfy the preferential rights upon dissolution of holders of shares of Series C Preferred Stock shall not be added to the Company’s total liabilities.</w:t>
      </w:r>
    </w:p>
    <w:p>
      <w:pPr>
        <w:spacing w:after="0" w:line="12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SECTION 5. </w:t>
      </w:r>
      <w:r>
        <w:rPr>
          <w:rFonts w:ascii="Times New Roman" w:cs="Times New Roman" w:eastAsia="Times New Roman" w:hAnsi="Times New Roman"/>
          <w:sz w:val="13"/>
          <w:szCs w:val="13"/>
          <w:b w:val="1"/>
          <w:bCs w:val="1"/>
          <w:color w:val="auto"/>
        </w:rPr>
        <w:t>Redemption.</w:t>
      </w:r>
    </w:p>
    <w:p>
      <w:pPr>
        <w:spacing w:after="0" w:line="189" w:lineRule="exact"/>
        <w:rPr>
          <w:sz w:val="20"/>
          <w:szCs w:val="20"/>
          <w:color w:val="auto"/>
        </w:rPr>
      </w:pPr>
    </w:p>
    <w:p>
      <w:pPr>
        <w:ind w:left="600" w:right="700" w:firstLine="312"/>
        <w:spacing w:after="0" w:line="275" w:lineRule="auto"/>
        <w:rPr>
          <w:sz w:val="20"/>
          <w:szCs w:val="20"/>
          <w:color w:val="auto"/>
        </w:rPr>
      </w:pPr>
      <w:r>
        <w:rPr>
          <w:rFonts w:ascii="Times New Roman" w:cs="Times New Roman" w:eastAsia="Times New Roman" w:hAnsi="Times New Roman"/>
          <w:sz w:val="13"/>
          <w:szCs w:val="13"/>
          <w:color w:val="auto"/>
        </w:rPr>
        <w:t>(a) The Company shall have the right to redeem shares of the Series C Preferred Stock in order to preserve the Company’s status as a REIT for federal tax purposes, in whole or in part, at any time or from time to time, for cash at a redemption price equal to 100% of the liquidation preference of the Series C Preferred Stock to be redeemed plus an amount equal to all accrued and unpaid dividends up to, but not including, the date fixed for redemption, without interest; provided that if the redemption date is on a date that is after a Dividend Record Date and on or prior to the corresponding Dividend Payment Date, the Company shall pay such dividends to the holder of record of such shares of Series C Preferred Stock on the Dividend Record Date, and the redemption price shall be equal to 100% of the liquidation preference of the Series C Preferred Stock to be redeemed.</w:t>
      </w:r>
    </w:p>
    <w:p>
      <w:pPr>
        <w:spacing w:after="0" w:line="145" w:lineRule="exact"/>
        <w:rPr>
          <w:sz w:val="20"/>
          <w:szCs w:val="20"/>
          <w:color w:val="auto"/>
        </w:rPr>
      </w:pPr>
    </w:p>
    <w:p>
      <w:pPr>
        <w:ind w:left="600" w:right="680" w:firstLine="306"/>
        <w:spacing w:after="0" w:line="270" w:lineRule="auto"/>
        <w:tabs>
          <w:tab w:leader="none" w:pos="1092" w:val="left"/>
        </w:tabs>
        <w:numPr>
          <w:ilvl w:val="0"/>
          <w:numId w:val="1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fewer than all of the outstanding shares of Series C Preferred Stock are to be redeemed, the shares of Series C Preferred Stock to be redeemed shall be redeemed pro rata (as nearly as may be practicable without creating fractional shares) by lot or by any other equitable method determined by the Company that will not result in a violation of the Ownership Limit and the Aggregate Stock Ownership Limit (each, as defined in Section 7(a)). If redemption is to be by lot and, as a result, any holder of shares of Series C Preferred Stock would have actual ownership, Beneficial Ownership or Constructive Ownership (each, as defined in Section 7(a)) in excess of the Ownership Limit (as defined in Section 7(a)), the Aggregate Stock Ownership Limit or such other limit as permitted by the Board of Directors or the Committee pursuant to Section 7(i) because such holder’s shares of Series C Preferred Stock were not redeemed, or were only redeemed in part, then, except as otherwise provided in the Charter, the Company shall redeem the requisite number of shares of Series C Preferred Stock of such holder such that no holder will hold an</w:t>
      </w:r>
    </w:p>
    <w:p>
      <w:pPr>
        <w:spacing w:after="0" w:line="3" w:lineRule="exact"/>
        <w:rPr>
          <w:sz w:val="20"/>
          <w:szCs w:val="20"/>
          <w:color w:val="auto"/>
        </w:rPr>
      </w:pPr>
    </w:p>
    <w:p>
      <w:pPr>
        <w:ind w:left="600" w:right="640"/>
        <w:spacing w:after="0" w:line="272" w:lineRule="auto"/>
        <w:rPr>
          <w:sz w:val="20"/>
          <w:szCs w:val="20"/>
          <w:color w:val="auto"/>
        </w:rPr>
      </w:pPr>
      <w:r>
        <w:rPr>
          <w:rFonts w:ascii="Times New Roman" w:cs="Times New Roman" w:eastAsia="Times New Roman" w:hAnsi="Times New Roman"/>
          <w:sz w:val="13"/>
          <w:szCs w:val="13"/>
          <w:color w:val="auto"/>
        </w:rPr>
        <w:t>amount of Series C Preferred Stock in excess of the applicable ownership limit subsequent to such redemption. Holders of Series C Preferred Stock to be redeemed shall surrender such Series C Preferred Stock at the place designated in such notice and shall be entitled to the redemption price of $25.00 per share and any accrued and unpaid dividends payable upon such redemption following such surrender. If (i) notice of redemption of any shares of Series C Preferred Stock has been given, (ii) the funds necessary for such redemption have been set aside by the Company in trust for the benefit of the holders of any shares of Series C Preferred Stock so called for redemption, and (iii) irrevocable instructions have been given to pay the redemption price and all accrued and unpaid dividends, then from and after the redemption date, dividends shall cease to accrue on such shares of Series C Preferred Stock, such shares of Series C Preferred Stock shall no longer be deemed outstanding, and all rights of the holders of such shares shall terminate, except the right to receive the redemption price plus any accrued and unpaid dividends payable upon such redemption, without interest. So long as no dividends are in arrears, nothing herein shall prevent or restrict the Company’s right or ability to purchase, from time to time, either at a public or a private sale, all or any part of the Series C Preferred Stock at such price or prices as the Company may determine, subject to the provisions of applicable law, including the repurchase of shares of Series C Preferred Stock in open-market transactions duly authorized by the Board of Directors.</w:t>
      </w:r>
    </w:p>
    <w:p>
      <w:pPr>
        <w:spacing w:after="0" w:line="136" w:lineRule="exact"/>
        <w:rPr>
          <w:sz w:val="20"/>
          <w:szCs w:val="20"/>
          <w:color w:val="auto"/>
        </w:rPr>
      </w:pPr>
    </w:p>
    <w:p>
      <w:pPr>
        <w:ind w:left="1080" w:hanging="174"/>
        <w:spacing w:after="0"/>
        <w:tabs>
          <w:tab w:leader="none" w:pos="1080" w:val="left"/>
        </w:tabs>
        <w:numPr>
          <w:ilvl w:val="0"/>
          <w:numId w:val="1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[Intentionally Omitted.]</w:t>
      </w:r>
    </w:p>
    <w:p>
      <w:pPr>
        <w:spacing w:after="0" w:line="186" w:lineRule="exact"/>
        <w:rPr>
          <w:rFonts w:ascii="Times New Roman" w:cs="Times New Roman" w:eastAsia="Times New Roman" w:hAnsi="Times New Roman"/>
          <w:sz w:val="13"/>
          <w:szCs w:val="13"/>
          <w:color w:val="auto"/>
        </w:rPr>
      </w:pPr>
    </w:p>
    <w:p>
      <w:pPr>
        <w:ind w:left="1080" w:hanging="174"/>
        <w:spacing w:after="0"/>
        <w:tabs>
          <w:tab w:leader="none" w:pos="1080" w:val="left"/>
        </w:tabs>
        <w:numPr>
          <w:ilvl w:val="0"/>
          <w:numId w:val="1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[Intentionally Omitted.]</w:t>
      </w:r>
    </w:p>
    <w:p>
      <w:pPr>
        <w:spacing w:after="0" w:line="186" w:lineRule="exact"/>
        <w:rPr>
          <w:rFonts w:ascii="Times New Roman" w:cs="Times New Roman" w:eastAsia="Times New Roman" w:hAnsi="Times New Roman"/>
          <w:sz w:val="13"/>
          <w:szCs w:val="13"/>
          <w:color w:val="auto"/>
        </w:rPr>
      </w:pPr>
    </w:p>
    <w:p>
      <w:pPr>
        <w:ind w:left="1080" w:hanging="174"/>
        <w:spacing w:after="0"/>
        <w:tabs>
          <w:tab w:leader="none" w:pos="1080" w:val="left"/>
        </w:tabs>
        <w:numPr>
          <w:ilvl w:val="0"/>
          <w:numId w:val="1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[Intentionally Omitted.]</w:t>
      </w:r>
    </w:p>
    <w:p>
      <w:pPr>
        <w:spacing w:after="0" w:line="186" w:lineRule="exact"/>
        <w:rPr>
          <w:rFonts w:ascii="Times New Roman" w:cs="Times New Roman" w:eastAsia="Times New Roman" w:hAnsi="Times New Roman"/>
          <w:sz w:val="13"/>
          <w:szCs w:val="13"/>
          <w:color w:val="auto"/>
        </w:rPr>
      </w:pPr>
    </w:p>
    <w:p>
      <w:pPr>
        <w:ind w:left="600" w:right="580" w:firstLine="306"/>
        <w:spacing w:after="0" w:line="278" w:lineRule="auto"/>
        <w:tabs>
          <w:tab w:leader="none" w:pos="1068" w:val="left"/>
        </w:tabs>
        <w:numPr>
          <w:ilvl w:val="0"/>
          <w:numId w:val="1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 redemption date falls after a Dividend Record Date and on or prior to the corresponding Dividend Payment Date, each holder of Series C Preferred Stock at the close of business on such Dividend Record Date shall be entitled to the dividend payable on such shares on the corresponding Dividend Payment Date notwithstanding the redemption of such shares on or prior to such Dividend Payment Date, and each holder of Series C Preferred Stock that surrenders its shares on such redemption date will be entitled to the dividends accruing after the end of the Dividend Period to which such Dividend Payment Date relates up to but excluding the redemption date. Except as provided herein,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105410</wp:posOffset>
            </wp:positionV>
            <wp:extent cx="4436110" cy="152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413">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547370</wp:posOffset>
            </wp:positionV>
            <wp:extent cx="5083810" cy="152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414">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42" w:name="page243"/>
    <w:bookmarkEnd w:id="242"/>
    <w:p>
      <w:pPr>
        <w:ind w:left="600" w:right="620"/>
        <w:spacing w:after="0" w:line="305" w:lineRule="auto"/>
        <w:rPr>
          <w:sz w:val="20"/>
          <w:szCs w:val="20"/>
          <w:color w:val="auto"/>
        </w:rPr>
      </w:pPr>
      <w:r>
        <w:rPr>
          <w:rFonts w:ascii="Times New Roman" w:cs="Times New Roman" w:eastAsia="Times New Roman" w:hAnsi="Times New Roman"/>
          <w:sz w:val="13"/>
          <w:szCs w:val="13"/>
          <w:color w:val="auto"/>
        </w:rPr>
        <w:t>shall make no payment or allowance for unpaid dividends, whether or not in arrears, on Series C Preferred Stock for which a notice of redemption has been given.</w:t>
      </w:r>
    </w:p>
    <w:p>
      <w:pPr>
        <w:spacing w:after="0" w:line="124" w:lineRule="exact"/>
        <w:rPr>
          <w:sz w:val="20"/>
          <w:szCs w:val="20"/>
          <w:color w:val="auto"/>
        </w:rPr>
      </w:pPr>
    </w:p>
    <w:p>
      <w:pPr>
        <w:ind w:left="600" w:right="660" w:firstLine="306"/>
        <w:spacing w:after="0" w:line="305" w:lineRule="auto"/>
        <w:tabs>
          <w:tab w:leader="none" w:pos="1092" w:val="left"/>
        </w:tabs>
        <w:numPr>
          <w:ilvl w:val="0"/>
          <w:numId w:val="1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shares of the Series C Preferred Stock redeemed or repurchased pursuant to this Section 5 shall be retired and shall be restored to the status of authorized but unissued shares of Preferred Stock, without designation as to series or class.</w:t>
      </w:r>
    </w:p>
    <w:p>
      <w:pPr>
        <w:spacing w:after="0" w:line="124" w:lineRule="exact"/>
        <w:rPr>
          <w:rFonts w:ascii="Times New Roman" w:cs="Times New Roman" w:eastAsia="Times New Roman" w:hAnsi="Times New Roman"/>
          <w:sz w:val="13"/>
          <w:szCs w:val="13"/>
          <w:color w:val="auto"/>
        </w:rPr>
      </w:pPr>
    </w:p>
    <w:p>
      <w:pPr>
        <w:ind w:left="600" w:right="700" w:firstLine="306"/>
        <w:spacing w:after="0" w:line="287" w:lineRule="auto"/>
        <w:tabs>
          <w:tab w:leader="none" w:pos="1092" w:val="left"/>
        </w:tabs>
        <w:numPr>
          <w:ilvl w:val="0"/>
          <w:numId w:val="1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Series C Preferred Stock shall have no stated maturity and shall not be subject to any sinking fund or mandatory redemption; </w:t>
      </w:r>
      <w:r>
        <w:rPr>
          <w:rFonts w:ascii="Times New Roman" w:cs="Times New Roman" w:eastAsia="Times New Roman" w:hAnsi="Times New Roman"/>
          <w:sz w:val="13"/>
          <w:szCs w:val="13"/>
          <w:i w:val="1"/>
          <w:iCs w:val="1"/>
          <w:color w:val="auto"/>
        </w:rPr>
        <w:t xml:space="preserve">provided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however </w:t>
      </w:r>
      <w:r>
        <w:rPr>
          <w:rFonts w:ascii="Times New Roman" w:cs="Times New Roman" w:eastAsia="Times New Roman" w:hAnsi="Times New Roman"/>
          <w:sz w:val="13"/>
          <w:szCs w:val="13"/>
          <w:color w:val="auto"/>
        </w:rPr>
        <w:t>, that the Series C Preferred Stock owned by a stockholder in excess of the Ownership Limit shall be subject to the provisions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of this Section 5 and Section 7 of these Articles Supplementary.</w:t>
      </w:r>
    </w:p>
    <w:p>
      <w:pPr>
        <w:spacing w:after="0" w:line="13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SECTION 6. </w:t>
      </w:r>
      <w:r>
        <w:rPr>
          <w:rFonts w:ascii="Times New Roman" w:cs="Times New Roman" w:eastAsia="Times New Roman" w:hAnsi="Times New Roman"/>
          <w:sz w:val="13"/>
          <w:szCs w:val="13"/>
          <w:b w:val="1"/>
          <w:bCs w:val="1"/>
          <w:color w:val="auto"/>
        </w:rPr>
        <w:t>Voting Rights.</w:t>
      </w:r>
    </w:p>
    <w:p>
      <w:pPr>
        <w:spacing w:after="0" w:line="189" w:lineRule="exact"/>
        <w:rPr>
          <w:sz w:val="20"/>
          <w:szCs w:val="20"/>
          <w:color w:val="auto"/>
        </w:rPr>
      </w:pPr>
    </w:p>
    <w:p>
      <w:pPr>
        <w:ind w:left="1080" w:hanging="174"/>
        <w:spacing w:after="0"/>
        <w:tabs>
          <w:tab w:leader="none" w:pos="1080" w:val="left"/>
        </w:tabs>
        <w:numPr>
          <w:ilvl w:val="0"/>
          <w:numId w:val="1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Holders of the Series C Preferred Stock shall not have any voting rights, except as set forth in this Section 6.</w:t>
      </w:r>
    </w:p>
    <w:p>
      <w:pPr>
        <w:spacing w:after="0" w:line="186" w:lineRule="exact"/>
        <w:rPr>
          <w:rFonts w:ascii="Times New Roman" w:cs="Times New Roman" w:eastAsia="Times New Roman" w:hAnsi="Times New Roman"/>
          <w:sz w:val="13"/>
          <w:szCs w:val="13"/>
          <w:color w:val="auto"/>
        </w:rPr>
      </w:pPr>
    </w:p>
    <w:p>
      <w:pPr>
        <w:ind w:left="600" w:right="720" w:firstLine="306"/>
        <w:spacing w:after="0" w:line="275" w:lineRule="auto"/>
        <w:tabs>
          <w:tab w:leader="none" w:pos="1092" w:val="left"/>
        </w:tabs>
        <w:numPr>
          <w:ilvl w:val="0"/>
          <w:numId w:val="1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Whenever dividends on any shares of Series C Preferred Stock shall be in arrears for six or more consecutive or non- consecutive quarterly periods (a “ </w:t>
      </w:r>
      <w:r>
        <w:rPr>
          <w:rFonts w:ascii="Times New Roman" w:cs="Times New Roman" w:eastAsia="Times New Roman" w:hAnsi="Times New Roman"/>
          <w:sz w:val="13"/>
          <w:szCs w:val="13"/>
          <w:b w:val="1"/>
          <w:bCs w:val="1"/>
          <w:color w:val="auto"/>
        </w:rPr>
        <w:t>Preferred Dividend Default</w:t>
      </w:r>
      <w:r>
        <w:rPr>
          <w:rFonts w:ascii="Times New Roman" w:cs="Times New Roman" w:eastAsia="Times New Roman" w:hAnsi="Times New Roman"/>
          <w:sz w:val="13"/>
          <w:szCs w:val="13"/>
          <w:color w:val="auto"/>
        </w:rPr>
        <w:t xml:space="preserve"> ”), the holders of such Series C Preferred Stock (voting together as a single class with all other classes or series of preferred stock of the Company upon which like voting rights have been conferred and are exercisable (“ </w:t>
      </w:r>
      <w:r>
        <w:rPr>
          <w:rFonts w:ascii="Times New Roman" w:cs="Times New Roman" w:eastAsia="Times New Roman" w:hAnsi="Times New Roman"/>
          <w:sz w:val="13"/>
          <w:szCs w:val="13"/>
          <w:b w:val="1"/>
          <w:bCs w:val="1"/>
          <w:color w:val="auto"/>
        </w:rPr>
        <w:t>Parity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 xml:space="preserve">Preferred </w:t>
      </w:r>
      <w:r>
        <w:rPr>
          <w:rFonts w:ascii="Times New Roman" w:cs="Times New Roman" w:eastAsia="Times New Roman" w:hAnsi="Times New Roman"/>
          <w:sz w:val="13"/>
          <w:szCs w:val="13"/>
          <w:color w:val="auto"/>
        </w:rPr>
        <w:t>”), including the Series A Cumulative Redeemable Preferred Stock and the Series B Cumulative Redeemable Preferred Stock of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Company) shall be entitled to vote for the election of a total of two additional directors of the Company (the “ </w:t>
      </w:r>
      <w:r>
        <w:rPr>
          <w:rFonts w:ascii="Times New Roman" w:cs="Times New Roman" w:eastAsia="Times New Roman" w:hAnsi="Times New Roman"/>
          <w:sz w:val="13"/>
          <w:szCs w:val="13"/>
          <w:b w:val="1"/>
          <w:bCs w:val="1"/>
          <w:color w:val="auto"/>
        </w:rPr>
        <w:t>Preferred Directors</w:t>
      </w:r>
      <w:r>
        <w:rPr>
          <w:rFonts w:ascii="Times New Roman" w:cs="Times New Roman" w:eastAsia="Times New Roman" w:hAnsi="Times New Roman"/>
          <w:sz w:val="13"/>
          <w:szCs w:val="13"/>
          <w:color w:val="auto"/>
        </w:rPr>
        <w:t xml:space="preserve"> ”) until all dividends accumulated on such Series C Preferred Stock and Parity Preferred for the past dividend periods shall have been fully paid or declared and a sum sufficient for the payment thereof set aside for payment. In such case, the entire Board of Directors will be increased by two directors.</w:t>
      </w:r>
    </w:p>
    <w:p>
      <w:pPr>
        <w:spacing w:after="0" w:line="145" w:lineRule="exact"/>
        <w:rPr>
          <w:rFonts w:ascii="Times New Roman" w:cs="Times New Roman" w:eastAsia="Times New Roman" w:hAnsi="Times New Roman"/>
          <w:sz w:val="13"/>
          <w:szCs w:val="13"/>
          <w:color w:val="auto"/>
        </w:rPr>
      </w:pPr>
    </w:p>
    <w:p>
      <w:pPr>
        <w:ind w:left="600" w:right="640" w:firstLine="306"/>
        <w:spacing w:after="0" w:line="273" w:lineRule="auto"/>
        <w:tabs>
          <w:tab w:leader="none" w:pos="1080" w:val="left"/>
        </w:tabs>
        <w:numPr>
          <w:ilvl w:val="0"/>
          <w:numId w:val="1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Preferred Directors will be elected by a plurality of the votes cast in the election for a one-year term and each Preferred Director will serve until his or her successor is duly elected and qualified or until such Preferred Director’s right to hold the office terminates, whichever occurs earlier, subject to such Preferred Director’s earlier death, disqualification or removal. The election will take place at (i) either (a) a special meeting called in accordance with Section 6(d) below if the request is received more than 90 days before the date fixed for the Company’s next annual or special meeting of stockholders or (b) the next annual or special meeting of stockholders if the request is received within 90 days of the date fixed for the Company’s next annual or special meeting of stockholders, and (ii) at each subsequent annual meeting of stockholders, or special meeting held in place thereof, until all such dividends in arrears on the Series C Preferred Stock and each such class or series of outstanding Parity Preferred have been paid in full. A dividend in respect of Series C Preferred Stock shall be considered timely made if made within two Business Days after the applicable Dividend Payment Date if at the time of such late payment date there shall not be any prior quarterly dividend periods in respect of which full dividends were not timely made at the applicable Dividend Payment Date.</w:t>
      </w:r>
    </w:p>
    <w:p>
      <w:pPr>
        <w:spacing w:after="0" w:line="136" w:lineRule="exact"/>
        <w:rPr>
          <w:rFonts w:ascii="Times New Roman" w:cs="Times New Roman" w:eastAsia="Times New Roman" w:hAnsi="Times New Roman"/>
          <w:sz w:val="13"/>
          <w:szCs w:val="13"/>
          <w:color w:val="auto"/>
        </w:rPr>
      </w:pPr>
    </w:p>
    <w:p>
      <w:pPr>
        <w:ind w:left="600" w:right="600" w:firstLine="306"/>
        <w:spacing w:after="0" w:line="272" w:lineRule="auto"/>
        <w:tabs>
          <w:tab w:leader="none" w:pos="1092" w:val="left"/>
        </w:tabs>
        <w:numPr>
          <w:ilvl w:val="0"/>
          <w:numId w:val="1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any time when such voting rights shall have vested, a proper officer of the Company shall call or cause to be called, upon written request of holders of record of at least 10% of the outstanding shares of Series C Preferred Stock and Parity Preferred, a special meeting of the holders of Series C Preferred Stock and each class or series of Parity Preferred by mailing or causing to be mailed to such holders a notice of such special meeting to be held not fewer than ten or more than 45 days after the date such notice is given. The record date for determining holders of the Series C Preferred Stock and Parity Preferred entitled to notice of and to vote at such special meeting will be the close of business on the third Business Day preceding the day on which such notice is mailed. At any such annual or special meeting, all of the holders of the Series C Preferred Stock and Parity Preferred, by plurality vote, voting together as a single class without regard to class or series will be entitled to elect two directors on the basis of one vote per $25.00 of liquidation preference to which such Series C Preferred Stock and Parity Preferred are entitled by their terms (excluding amounts in respect of accumulated and unpaid dividends) and not cumulatively. The holder or holders of one-third of the Series C Preferred Stock and Parity Preferred voting as a single class then outstanding, present in person or by proxy, will constitute a quorum for the election of the Preferred Directors except as otherwise provided by law. Notice of all meetings at which holders of the Series C Preferred Stock and the Parity Preferred shall be entitled to vote will be given to such holders at their addresses as they appear in the transfer records. At any such meeting or adjournment thereof in the absence of a quorum, subject to the provisions of any applicable law, a majority of the holders of the Series C Preferred Stock and Parity Preferred voting as a single class present in person or by proxy shall have the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109220</wp:posOffset>
            </wp:positionV>
            <wp:extent cx="4436110" cy="152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415">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544195</wp:posOffset>
            </wp:positionV>
            <wp:extent cx="5083810" cy="152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416">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43" w:name="page244"/>
    <w:bookmarkEnd w:id="243"/>
    <w:p>
      <w:pPr>
        <w:ind w:left="600" w:right="860"/>
        <w:spacing w:after="0" w:line="305" w:lineRule="auto"/>
        <w:rPr>
          <w:sz w:val="20"/>
          <w:szCs w:val="20"/>
          <w:color w:val="auto"/>
        </w:rPr>
      </w:pPr>
      <w:r>
        <w:rPr>
          <w:rFonts w:ascii="Times New Roman" w:cs="Times New Roman" w:eastAsia="Times New Roman" w:hAnsi="Times New Roman"/>
          <w:sz w:val="13"/>
          <w:szCs w:val="13"/>
          <w:color w:val="auto"/>
        </w:rPr>
        <w:t>to adjourn the meeting for the election of the Preferred Directors, without notice other than an announcement at the meeting, until a quorum is present. If a</w:t>
      </w:r>
    </w:p>
    <w:p>
      <w:pPr>
        <w:spacing w:after="0" w:line="124" w:lineRule="exact"/>
        <w:rPr>
          <w:sz w:val="20"/>
          <w:szCs w:val="20"/>
          <w:color w:val="auto"/>
        </w:rPr>
      </w:pPr>
    </w:p>
    <w:p>
      <w:pPr>
        <w:ind w:left="600" w:right="700"/>
        <w:spacing w:after="0" w:line="287" w:lineRule="auto"/>
        <w:rPr>
          <w:sz w:val="20"/>
          <w:szCs w:val="20"/>
          <w:color w:val="auto"/>
        </w:rPr>
      </w:pPr>
      <w:r>
        <w:rPr>
          <w:rFonts w:ascii="Times New Roman" w:cs="Times New Roman" w:eastAsia="Times New Roman" w:hAnsi="Times New Roman"/>
          <w:sz w:val="13"/>
          <w:szCs w:val="13"/>
          <w:color w:val="auto"/>
        </w:rPr>
        <w:t>Preferred Dividend Default shall terminate after the notice of a special meeting has been given but before such special meeting has been held, the Company shall, as soon as practicable after such termination, mail or cause to be mailed notice of such termination to holders of the Series C Preferred Stock and the Parity Preferred that would have been entitled to vote at such special meeting.</w:t>
      </w:r>
    </w:p>
    <w:p>
      <w:pPr>
        <w:spacing w:after="0" w:line="136" w:lineRule="exact"/>
        <w:rPr>
          <w:sz w:val="20"/>
          <w:szCs w:val="20"/>
          <w:color w:val="auto"/>
        </w:rPr>
      </w:pPr>
    </w:p>
    <w:p>
      <w:pPr>
        <w:ind w:left="600" w:right="640" w:firstLine="306"/>
        <w:spacing w:after="0" w:line="273" w:lineRule="auto"/>
        <w:tabs>
          <w:tab w:leader="none" w:pos="1080" w:val="left"/>
        </w:tabs>
        <w:numPr>
          <w:ilvl w:val="0"/>
          <w:numId w:val="1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and when all accumulated dividends on such Series C Preferred Stock and all classes or series of Parity Preferred for the past dividend periods shall have been fully paid or declared and a sum sufficient for the payment thereof set aside for payment, the right of the holders of Series C Preferred Stock and the Parity Preferred to elect such additional two directors shall immediately cease (subject to revesting in the event of each and every Preferred Dividend Default), and the term of office of each Preferred Director so elected shall terminate and the entire Board of Directors shall be reduced accordingly. Any Preferred Director may be removed at any time with or without cause by the vote of, and shall not be removed otherwise than by the vote of, the holders of record of a majority of the outstanding Series C Preferred Stock and the Parity Preferred entitled to vote thereon when they have the voting rights set forth in Section 6(b) (voting as a single class). So long as a Preferred Dividend Default shall continue, any vacancy in the office of a Preferred Director may be filled by written consent of the Preferred Director remaining in office, or if none remains in office, by a vote of the holders of record of a majority of the outstanding Series C Preferred Stock when they have the voting rights described above (voting as a single class with all other classes or series of Parity Preferred). Each of the Preferred Directors shall be entitled to one vote on any matter.</w:t>
      </w:r>
    </w:p>
    <w:p>
      <w:pPr>
        <w:spacing w:after="0" w:line="134" w:lineRule="exact"/>
        <w:rPr>
          <w:rFonts w:ascii="Times New Roman" w:cs="Times New Roman" w:eastAsia="Times New Roman" w:hAnsi="Times New Roman"/>
          <w:sz w:val="13"/>
          <w:szCs w:val="13"/>
          <w:color w:val="auto"/>
        </w:rPr>
      </w:pPr>
    </w:p>
    <w:p>
      <w:pPr>
        <w:ind w:left="600" w:right="640" w:firstLine="306"/>
        <w:spacing w:after="0" w:line="271" w:lineRule="auto"/>
        <w:tabs>
          <w:tab w:leader="none" w:pos="1068" w:val="left"/>
        </w:tabs>
        <w:numPr>
          <w:ilvl w:val="0"/>
          <w:numId w:val="1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So long as any shares of Series C Preferred Stock remain outstanding, the affirmative vote or consent of the holders of two-thirds of the shares of Series C Preferred Stock and each other class or series of preferred stock ranking on parity with the Series C Preferred Stock with respect to the payment of dividends and the distribution of assets upon liquidation, dissolution or winding up of the Company upon which like voting rights have been conferred outstanding at the time, given in person or by proxy, either in writing or at a meeting (voting as a single class) will be required to: (i) authorize, create or issue, or increase the authorized or issued amount of, any class or series of capital stock ranking senior to the Series C Preferred Stock with respect to payment of dividends or the distribution of assets upon liquidation, dissolution or winding up of the affairs of the Company or reclassify any authorized shares of capital stock of the Company into such capital stock, or create, authorize or issue any obligation or security convertible into or evidencing the right to purchase any such capital stock; or (ii) amend, alter or repeal the provisions of the Charter or the terms of the Series C Preferred Stock, whether by merger, consolidation, transfer or conveyance of all or substantially all of its assets or otherwise (an “ </w:t>
      </w:r>
      <w:r>
        <w:rPr>
          <w:rFonts w:ascii="Times New Roman" w:cs="Times New Roman" w:eastAsia="Times New Roman" w:hAnsi="Times New Roman"/>
          <w:sz w:val="13"/>
          <w:szCs w:val="13"/>
          <w:b w:val="1"/>
          <w:bCs w:val="1"/>
          <w:color w:val="auto"/>
        </w:rPr>
        <w:t>Event</w:t>
      </w:r>
      <w:r>
        <w:rPr>
          <w:rFonts w:ascii="Times New Roman" w:cs="Times New Roman" w:eastAsia="Times New Roman" w:hAnsi="Times New Roman"/>
          <w:sz w:val="13"/>
          <w:szCs w:val="13"/>
          <w:color w:val="auto"/>
        </w:rPr>
        <w:t xml:space="preserve"> ”), so as to materially and adversely affect any right, preference, privilege or voting power of the Series C Preferred Stock;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xml:space="preserve"> , with respect to the occurrence of any of the Events set forth in (ii) above, so long as the Series C Preferred Stock remains outstanding with the terms thereof materially unchanged, taking into account that, upon the occurrence of an Event, the Company may not be the surviving entity, the occurrence of such Event shall not be deemed to materially and adversely affect such rights, preferences, privileges or voting power of Series C Preferred Stock, and in such case such holders shall not have any voting rights with respect to the occurrence of any of the Events set forth in (ii) above. In addition, if the holders of the Series C Preferred Stock receive the greater of the full trading price of the Series C Preferred Stock on the date of an Event set forth in (ii) above or the $25.00 liquidation preference per share of the Series C Preferred Stock pursuant to the occurrence of any of the Events set forth in (ii) above, then such holders shall not have any voting rights with respect to the Events set forth in (ii) above. Holders of shares of Series C Preferred Stock shall not be entitled to vote with respect to: (a) any increase in the total number of authorized shares of Common Stock or Preferred Stock of the Company, or (b) any increase in the amount of the authorized Series C Preferred Stock or the creation or issuance of any other class or series of capital stock, or (c) any increase in the number of authorized shares of any other class or series of capital stock, in each case referred to in clause (a) , (b) or (c) above ranking on parity with or junior to the Series C Preferred Stock with respect to the payment of dividends and the distribution of assets upon liquidation, dissolution or winding up of the Company. Except as set forth herein, holders of the Series C Preferred Stock shall not have any voting rights with respect to, and the consent of the holders of the Series C Preferred Stock shall not be required for, the taking of any corporate action, including an Event, regardless of the effect that such corporate action or Event may have upon the powers, preferences, voting power or other rights or privileges of the Series C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216535</wp:posOffset>
            </wp:positionV>
            <wp:extent cx="4436110" cy="762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417">
                      <a:extLst>
                        <a:ext uri="{28A0092B-C50C-407E-A947-70E740481C1C}"/>
                      </a:extLst>
                    </a:blip>
                    <a:srcRect/>
                    <a:stretch>
                      <a:fillRect/>
                    </a:stretch>
                  </pic:blipFill>
                  <pic:spPr bwMode="auto">
                    <a:xfrm>
                      <a:off x="0" y="0"/>
                      <a:ext cx="4436110"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643255</wp:posOffset>
            </wp:positionV>
            <wp:extent cx="5083810" cy="152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418">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44" w:name="page245"/>
    <w:bookmarkEnd w:id="244"/>
    <w:p>
      <w:pPr>
        <w:ind w:left="600" w:right="740" w:firstLine="306"/>
        <w:spacing w:after="0" w:line="287" w:lineRule="auto"/>
        <w:tabs>
          <w:tab w:leader="none" w:pos="1092" w:val="left"/>
        </w:tabs>
        <w:numPr>
          <w:ilvl w:val="0"/>
          <w:numId w:val="1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foregoing voting provisions of this Section 6 shall not apply if, at or prior to the time when the act with respect to which such vote would otherwise be required shall be effected, all outstanding shares of Series C Preferred Stock shall have been redeemed or called for redemption upon proper notice and sufficient funds, in cash, shall have been deposited in trust to effect such redemption.</w:t>
      </w:r>
    </w:p>
    <w:p>
      <w:pPr>
        <w:spacing w:after="0" w:line="136" w:lineRule="exact"/>
        <w:rPr>
          <w:sz w:val="20"/>
          <w:szCs w:val="20"/>
          <w:color w:val="auto"/>
        </w:rPr>
      </w:pPr>
    </w:p>
    <w:p>
      <w:pPr>
        <w:ind w:left="600" w:right="780"/>
        <w:spacing w:after="0" w:line="305" w:lineRule="auto"/>
        <w:rPr>
          <w:sz w:val="20"/>
          <w:szCs w:val="20"/>
          <w:color w:val="auto"/>
        </w:rPr>
      </w:pPr>
      <w:r>
        <w:rPr>
          <w:rFonts w:ascii="Times New Roman" w:cs="Times New Roman" w:eastAsia="Times New Roman" w:hAnsi="Times New Roman"/>
          <w:sz w:val="13"/>
          <w:szCs w:val="13"/>
          <w:color w:val="auto"/>
        </w:rPr>
        <w:t>(h) In any matter in which the Series C Preferred Stock may vote (as expressly provided herein), each share of Series C Preferred Stock shall be entitled to one vote per $25.00 of liquidation preference.</w:t>
      </w:r>
    </w:p>
    <w:p>
      <w:pPr>
        <w:spacing w:after="0" w:line="12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SECTION 7. </w:t>
      </w:r>
      <w:r>
        <w:rPr>
          <w:rFonts w:ascii="Times New Roman" w:cs="Times New Roman" w:eastAsia="Times New Roman" w:hAnsi="Times New Roman"/>
          <w:sz w:val="13"/>
          <w:szCs w:val="13"/>
          <w:b w:val="1"/>
          <w:bCs w:val="1"/>
          <w:color w:val="auto"/>
        </w:rPr>
        <w:t>Restrictions on Ownership and Transfer to Preserve Tax Benefit.</w:t>
      </w:r>
    </w:p>
    <w:p>
      <w:pPr>
        <w:spacing w:after="0" w:line="187" w:lineRule="exact"/>
        <w:rPr>
          <w:sz w:val="20"/>
          <w:szCs w:val="20"/>
          <w:color w:val="auto"/>
        </w:rPr>
      </w:pPr>
    </w:p>
    <w:p>
      <w:pPr>
        <w:ind w:left="600" w:right="1100" w:firstLine="306"/>
        <w:spacing w:after="0" w:line="308" w:lineRule="auto"/>
        <w:tabs>
          <w:tab w:leader="none" w:pos="1080" w:val="left"/>
        </w:tabs>
        <w:numPr>
          <w:ilvl w:val="0"/>
          <w:numId w:val="1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Definitions. </w:t>
      </w:r>
      <w:r>
        <w:rPr>
          <w:rFonts w:ascii="Times New Roman" w:cs="Times New Roman" w:eastAsia="Times New Roman" w:hAnsi="Times New Roman"/>
          <w:sz w:val="13"/>
          <w:szCs w:val="13"/>
          <w:color w:val="auto"/>
        </w:rPr>
        <w:t>For the purposes of Section 5 and this Section 7 of these Articles Supplementary, the following terms shall have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following meanings:</w:t>
      </w:r>
    </w:p>
    <w:p>
      <w:pPr>
        <w:spacing w:after="0" w:line="12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Aggregate Stock Ownership Limit</w:t>
      </w:r>
      <w:r>
        <w:rPr>
          <w:rFonts w:ascii="Times New Roman" w:cs="Times New Roman" w:eastAsia="Times New Roman" w:hAnsi="Times New Roman"/>
          <w:sz w:val="13"/>
          <w:szCs w:val="13"/>
          <w:color w:val="auto"/>
        </w:rPr>
        <w:t xml:space="preserve"> ” has the meaning set forth in Article 6 of the Charter.</w:t>
      </w:r>
    </w:p>
    <w:p>
      <w:pPr>
        <w:spacing w:after="0" w:line="186" w:lineRule="exact"/>
        <w:rPr>
          <w:sz w:val="20"/>
          <w:szCs w:val="20"/>
          <w:color w:val="auto"/>
        </w:rPr>
      </w:pPr>
    </w:p>
    <w:p>
      <w:pPr>
        <w:ind w:left="600" w:right="840" w:firstLine="312"/>
        <w:spacing w:after="0" w:line="274"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Beneficial Ownership</w:t>
      </w:r>
      <w:r>
        <w:rPr>
          <w:rFonts w:ascii="Times New Roman" w:cs="Times New Roman" w:eastAsia="Times New Roman" w:hAnsi="Times New Roman"/>
          <w:sz w:val="13"/>
          <w:szCs w:val="13"/>
          <w:color w:val="auto"/>
        </w:rPr>
        <w:t xml:space="preserve"> ” shall mean ownership of Series C Preferred Stock by a Person who is or would be treated as an owner of such Series C Preferred Stock either actually or constructively through the application of Section 544 of the Code, as modified by Sections 856 (h)</w:t>
      </w:r>
    </w:p>
    <w:p>
      <w:pPr>
        <w:ind w:left="600" w:right="1240" w:hanging="6"/>
        <w:spacing w:after="0" w:line="299" w:lineRule="auto"/>
        <w:tabs>
          <w:tab w:leader="none" w:pos="787" w:val="left"/>
        </w:tabs>
        <w:numPr>
          <w:ilvl w:val="0"/>
          <w:numId w:val="1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 and 856 (h)(3) of the Code. The terms “ </w:t>
      </w:r>
      <w:r>
        <w:rPr>
          <w:rFonts w:ascii="Times New Roman" w:cs="Times New Roman" w:eastAsia="Times New Roman" w:hAnsi="Times New Roman"/>
          <w:sz w:val="13"/>
          <w:szCs w:val="13"/>
          <w:b w:val="1"/>
          <w:bCs w:val="1"/>
          <w:color w:val="auto"/>
        </w:rPr>
        <w:t>Beneficial Owner,</w:t>
      </w:r>
      <w:r>
        <w:rPr>
          <w:rFonts w:ascii="Times New Roman" w:cs="Times New Roman" w:eastAsia="Times New Roman" w:hAnsi="Times New Roman"/>
          <w:sz w:val="13"/>
          <w:szCs w:val="13"/>
          <w:color w:val="auto"/>
        </w:rPr>
        <w:t xml:space="preserve"> ” “ </w:t>
      </w:r>
      <w:r>
        <w:rPr>
          <w:rFonts w:ascii="Times New Roman" w:cs="Times New Roman" w:eastAsia="Times New Roman" w:hAnsi="Times New Roman"/>
          <w:sz w:val="13"/>
          <w:szCs w:val="13"/>
          <w:b w:val="1"/>
          <w:bCs w:val="1"/>
          <w:color w:val="auto"/>
        </w:rPr>
        <w:t>Beneficially Owns</w:t>
      </w:r>
      <w:r>
        <w:rPr>
          <w:rFonts w:ascii="Times New Roman" w:cs="Times New Roman" w:eastAsia="Times New Roman" w:hAnsi="Times New Roman"/>
          <w:sz w:val="13"/>
          <w:szCs w:val="13"/>
          <w:color w:val="auto"/>
        </w:rPr>
        <w:t xml:space="preserve"> ” and “ </w:t>
      </w:r>
      <w:r>
        <w:rPr>
          <w:rFonts w:ascii="Times New Roman" w:cs="Times New Roman" w:eastAsia="Times New Roman" w:hAnsi="Times New Roman"/>
          <w:sz w:val="13"/>
          <w:szCs w:val="13"/>
          <w:b w:val="1"/>
          <w:bCs w:val="1"/>
          <w:color w:val="auto"/>
        </w:rPr>
        <w:t>Beneficially Owned</w:t>
      </w:r>
      <w:r>
        <w:rPr>
          <w:rFonts w:ascii="Times New Roman" w:cs="Times New Roman" w:eastAsia="Times New Roman" w:hAnsi="Times New Roman"/>
          <w:sz w:val="13"/>
          <w:szCs w:val="13"/>
          <w:color w:val="auto"/>
        </w:rPr>
        <w:t xml:space="preserve"> ” shall have the correlative meanings.</w:t>
      </w:r>
    </w:p>
    <w:p>
      <w:pPr>
        <w:spacing w:after="0" w:line="126" w:lineRule="exact"/>
        <w:rPr>
          <w:rFonts w:ascii="Times New Roman" w:cs="Times New Roman" w:eastAsia="Times New Roman" w:hAnsi="Times New Roman"/>
          <w:sz w:val="13"/>
          <w:szCs w:val="13"/>
          <w:color w:val="auto"/>
        </w:rPr>
      </w:pPr>
    </w:p>
    <w:p>
      <w:pPr>
        <w:ind w:left="90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Capital Stock</w:t>
      </w:r>
      <w:r>
        <w:rPr>
          <w:rFonts w:ascii="Times New Roman" w:cs="Times New Roman" w:eastAsia="Times New Roman" w:hAnsi="Times New Roman"/>
          <w:sz w:val="13"/>
          <w:szCs w:val="13"/>
          <w:color w:val="auto"/>
        </w:rPr>
        <w:t xml:space="preserve"> ” has the meaning set forth in Article 6 of the Charter.</w:t>
      </w:r>
    </w:p>
    <w:p>
      <w:pPr>
        <w:spacing w:after="0" w:line="186" w:lineRule="exact"/>
        <w:rPr>
          <w:rFonts w:ascii="Times New Roman" w:cs="Times New Roman" w:eastAsia="Times New Roman" w:hAnsi="Times New Roman"/>
          <w:sz w:val="13"/>
          <w:szCs w:val="13"/>
          <w:color w:val="auto"/>
        </w:rPr>
      </w:pPr>
    </w:p>
    <w:p>
      <w:pPr>
        <w:ind w:left="600" w:right="860" w:firstLine="312"/>
        <w:spacing w:after="0" w:line="30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Charitable Beneficiary</w:t>
      </w:r>
      <w:r>
        <w:rPr>
          <w:rFonts w:ascii="Times New Roman" w:cs="Times New Roman" w:eastAsia="Times New Roman" w:hAnsi="Times New Roman"/>
          <w:sz w:val="13"/>
          <w:szCs w:val="13"/>
          <w:color w:val="auto"/>
        </w:rPr>
        <w:t xml:space="preserve"> ” shall mean one or more beneficiaries of a Trust, as determined pursuant to Section 7(c)(vi) of these Articles Supplementary, each of which shall be an organization described in Sections 170(b)(1)(a), 170(c)(2) and 501(c)(3) of the Code.</w:t>
      </w:r>
    </w:p>
    <w:p>
      <w:pPr>
        <w:spacing w:after="0" w:line="120" w:lineRule="exact"/>
        <w:rPr>
          <w:rFonts w:ascii="Times New Roman" w:cs="Times New Roman" w:eastAsia="Times New Roman" w:hAnsi="Times New Roman"/>
          <w:sz w:val="13"/>
          <w:szCs w:val="13"/>
          <w:color w:val="auto"/>
        </w:rPr>
      </w:pPr>
    </w:p>
    <w:p>
      <w:pPr>
        <w:ind w:left="600" w:right="1080" w:firstLine="312"/>
        <w:spacing w:after="0" w:line="30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Code</w:t>
      </w:r>
      <w:r>
        <w:rPr>
          <w:rFonts w:ascii="Times New Roman" w:cs="Times New Roman" w:eastAsia="Times New Roman" w:hAnsi="Times New Roman"/>
          <w:sz w:val="13"/>
          <w:szCs w:val="13"/>
          <w:color w:val="auto"/>
        </w:rPr>
        <w:t xml:space="preserve"> ” shall mean the Internal Revenue Code of 1986, as amended. All Section references to the Code shall include any successor provisions thereof as may be adopted from time to time.</w:t>
      </w:r>
    </w:p>
    <w:p>
      <w:pPr>
        <w:spacing w:after="0" w:line="120" w:lineRule="exact"/>
        <w:rPr>
          <w:rFonts w:ascii="Times New Roman" w:cs="Times New Roman" w:eastAsia="Times New Roman" w:hAnsi="Times New Roman"/>
          <w:sz w:val="13"/>
          <w:szCs w:val="13"/>
          <w:color w:val="auto"/>
        </w:rPr>
      </w:pPr>
    </w:p>
    <w:p>
      <w:pPr>
        <w:ind w:left="90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Common Stock Ownership Limit</w:t>
      </w:r>
      <w:r>
        <w:rPr>
          <w:rFonts w:ascii="Times New Roman" w:cs="Times New Roman" w:eastAsia="Times New Roman" w:hAnsi="Times New Roman"/>
          <w:sz w:val="13"/>
          <w:szCs w:val="13"/>
          <w:color w:val="auto"/>
        </w:rPr>
        <w:t xml:space="preserve"> ” has the meaning set forth in Article 6 of the Charter.</w:t>
      </w:r>
    </w:p>
    <w:p>
      <w:pPr>
        <w:spacing w:after="0" w:line="186" w:lineRule="exact"/>
        <w:rPr>
          <w:rFonts w:ascii="Times New Roman" w:cs="Times New Roman" w:eastAsia="Times New Roman" w:hAnsi="Times New Roman"/>
          <w:sz w:val="13"/>
          <w:szCs w:val="13"/>
          <w:color w:val="auto"/>
        </w:rPr>
      </w:pPr>
    </w:p>
    <w:p>
      <w:pPr>
        <w:jc w:val="both"/>
        <w:ind w:left="600" w:right="680" w:firstLine="312"/>
        <w:spacing w:after="0" w:line="289"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Constructive Ownership</w:t>
      </w:r>
      <w:r>
        <w:rPr>
          <w:rFonts w:ascii="Times New Roman" w:cs="Times New Roman" w:eastAsia="Times New Roman" w:hAnsi="Times New Roman"/>
          <w:sz w:val="13"/>
          <w:szCs w:val="13"/>
          <w:color w:val="auto"/>
        </w:rPr>
        <w:t xml:space="preserve"> ” shall mean ownership of Series C Preferred Stock by a Person who is or would be treated as an owner of such Series C Preferred Stock either actually or constructively through the application of Section 318 of the Code, as modified by Section 856(d)(5) of the Code. The terms “ </w:t>
      </w:r>
      <w:r>
        <w:rPr>
          <w:rFonts w:ascii="Times New Roman" w:cs="Times New Roman" w:eastAsia="Times New Roman" w:hAnsi="Times New Roman"/>
          <w:sz w:val="13"/>
          <w:szCs w:val="13"/>
          <w:b w:val="1"/>
          <w:bCs w:val="1"/>
          <w:color w:val="auto"/>
        </w:rPr>
        <w:t>Constructive Owner,</w:t>
      </w:r>
      <w:r>
        <w:rPr>
          <w:rFonts w:ascii="Times New Roman" w:cs="Times New Roman" w:eastAsia="Times New Roman" w:hAnsi="Times New Roman"/>
          <w:sz w:val="13"/>
          <w:szCs w:val="13"/>
          <w:color w:val="auto"/>
        </w:rPr>
        <w:t xml:space="preserve"> ” “ </w:t>
      </w:r>
      <w:r>
        <w:rPr>
          <w:rFonts w:ascii="Times New Roman" w:cs="Times New Roman" w:eastAsia="Times New Roman" w:hAnsi="Times New Roman"/>
          <w:sz w:val="13"/>
          <w:szCs w:val="13"/>
          <w:b w:val="1"/>
          <w:bCs w:val="1"/>
          <w:color w:val="auto"/>
        </w:rPr>
        <w:t>Constructively Owns</w:t>
      </w:r>
      <w:r>
        <w:rPr>
          <w:rFonts w:ascii="Times New Roman" w:cs="Times New Roman" w:eastAsia="Times New Roman" w:hAnsi="Times New Roman"/>
          <w:sz w:val="13"/>
          <w:szCs w:val="13"/>
          <w:color w:val="auto"/>
        </w:rPr>
        <w:t xml:space="preserve"> ” and “ </w:t>
      </w:r>
      <w:r>
        <w:rPr>
          <w:rFonts w:ascii="Times New Roman" w:cs="Times New Roman" w:eastAsia="Times New Roman" w:hAnsi="Times New Roman"/>
          <w:sz w:val="13"/>
          <w:szCs w:val="13"/>
          <w:b w:val="1"/>
          <w:bCs w:val="1"/>
          <w:color w:val="auto"/>
        </w:rPr>
        <w:t>Constructively Owned</w:t>
      </w:r>
      <w:r>
        <w:rPr>
          <w:rFonts w:ascii="Times New Roman" w:cs="Times New Roman" w:eastAsia="Times New Roman" w:hAnsi="Times New Roman"/>
          <w:sz w:val="13"/>
          <w:szCs w:val="13"/>
          <w:color w:val="auto"/>
        </w:rPr>
        <w:t xml:space="preserve"> ” shall have the correlative meanings.</w:t>
      </w:r>
    </w:p>
    <w:p>
      <w:pPr>
        <w:spacing w:after="0" w:line="132" w:lineRule="exact"/>
        <w:rPr>
          <w:sz w:val="20"/>
          <w:szCs w:val="20"/>
          <w:color w:val="auto"/>
        </w:rPr>
      </w:pPr>
    </w:p>
    <w:p>
      <w:pPr>
        <w:ind w:left="600" w:right="840" w:firstLine="312"/>
        <w:spacing w:after="0" w:line="282"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Individual</w:t>
      </w:r>
      <w:r>
        <w:rPr>
          <w:rFonts w:ascii="Times New Roman" w:cs="Times New Roman" w:eastAsia="Times New Roman" w:hAnsi="Times New Roman"/>
          <w:sz w:val="13"/>
          <w:szCs w:val="13"/>
          <w:color w:val="auto"/>
        </w:rPr>
        <w:t xml:space="preserve"> ” means an individual, a trust qualified under Section 401(a) or 501(c)(17) of the Code, a portion of a trust permanently set aside for or to be used exclusively for the purposes described in Section 642(c) of the Code, or a private foundation within the meaning of Section 509(a) of the Code, provided that a trust described in Section 401(a) of the Code and exempt from tax under Section 501(a) of the Code shall be excluded from this definition.</w:t>
      </w:r>
    </w:p>
    <w:p>
      <w:pPr>
        <w:spacing w:after="0" w:line="13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IRS</w:t>
      </w:r>
      <w:r>
        <w:rPr>
          <w:rFonts w:ascii="Times New Roman" w:cs="Times New Roman" w:eastAsia="Times New Roman" w:hAnsi="Times New Roman"/>
          <w:sz w:val="13"/>
          <w:szCs w:val="13"/>
          <w:color w:val="auto"/>
        </w:rPr>
        <w:t xml:space="preserve"> ” means the United States Internal Revenue Service.</w:t>
      </w:r>
    </w:p>
    <w:p>
      <w:pPr>
        <w:spacing w:after="0" w:line="186" w:lineRule="exact"/>
        <w:rPr>
          <w:sz w:val="20"/>
          <w:szCs w:val="20"/>
          <w:color w:val="auto"/>
        </w:rPr>
      </w:pPr>
    </w:p>
    <w:p>
      <w:pPr>
        <w:ind w:left="600" w:right="640" w:firstLine="312"/>
        <w:spacing w:after="0" w:line="279"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Market Price</w:t>
      </w:r>
      <w:r>
        <w:rPr>
          <w:rFonts w:ascii="Times New Roman" w:cs="Times New Roman" w:eastAsia="Times New Roman" w:hAnsi="Times New Roman"/>
          <w:sz w:val="13"/>
          <w:szCs w:val="13"/>
          <w:color w:val="auto"/>
        </w:rPr>
        <w:t xml:space="preserve"> ” shall mean the last reported sales price reported on the NYSE of the Series C Preferred Stock on the Trading Day immediately preceding the relevant date, or if the Series C Preferred Stock is not then traded on the NYSE, the last reported sales price of the Series C Preferred Stock on the Trading Day immediately preceding the relevant date as reported on any exchange or quotation system over which the Series C Preferred Stock may be traded, or if the Series C Preferred Stock is not then traded over any exchange or quotation system, the market price of the Series C Preferred Stock on the relevant date as determined in good faith by the Board of Directors of the Company.</w:t>
      </w:r>
    </w:p>
    <w:p>
      <w:pPr>
        <w:spacing w:after="0" w:line="13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b w:val="1"/>
          <w:bCs w:val="1"/>
          <w:color w:val="auto"/>
        </w:rPr>
        <w:t xml:space="preserve">“NYSE </w:t>
      </w:r>
      <w:r>
        <w:rPr>
          <w:rFonts w:ascii="Times New Roman" w:cs="Times New Roman" w:eastAsia="Times New Roman" w:hAnsi="Times New Roman"/>
          <w:sz w:val="13"/>
          <w:szCs w:val="13"/>
          <w:color w:val="auto"/>
        </w:rPr>
        <w:t>” means the New York Stock Exchange, Inc.</w:t>
      </w:r>
    </w:p>
    <w:p>
      <w:pPr>
        <w:spacing w:after="0" w:line="187" w:lineRule="exact"/>
        <w:rPr>
          <w:sz w:val="20"/>
          <w:szCs w:val="20"/>
          <w:color w:val="auto"/>
        </w:rPr>
      </w:pPr>
    </w:p>
    <w:p>
      <w:pPr>
        <w:jc w:val="both"/>
        <w:ind w:left="600" w:right="720" w:firstLine="312"/>
        <w:spacing w:after="0" w:line="289"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Ownership Limit</w:t>
      </w:r>
      <w:r>
        <w:rPr>
          <w:rFonts w:ascii="Times New Roman" w:cs="Times New Roman" w:eastAsia="Times New Roman" w:hAnsi="Times New Roman"/>
          <w:sz w:val="13"/>
          <w:szCs w:val="13"/>
          <w:color w:val="auto"/>
        </w:rPr>
        <w:t xml:space="preserve"> ” shall mean 9.8% (by value or number of shares, whichever is more restrictive) of the outstanding shares of Series C Preferred Stock of the Company. The number and value of shares of outstanding Series C Preferred Stock of the Company shall be determined by the Board of Directors in good faith, which determination shall be conclusive for all purposes hereof.</w:t>
      </w:r>
    </w:p>
    <w:p>
      <w:pPr>
        <w:spacing w:after="0" w:line="132" w:lineRule="exact"/>
        <w:rPr>
          <w:sz w:val="20"/>
          <w:szCs w:val="20"/>
          <w:color w:val="auto"/>
        </w:rPr>
      </w:pPr>
    </w:p>
    <w:p>
      <w:pPr>
        <w:ind w:left="600" w:right="980" w:firstLine="312"/>
        <w:spacing w:after="0" w:line="308"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Person</w:t>
      </w:r>
      <w:r>
        <w:rPr>
          <w:rFonts w:ascii="Times New Roman" w:cs="Times New Roman" w:eastAsia="Times New Roman" w:hAnsi="Times New Roman"/>
          <w:sz w:val="13"/>
          <w:szCs w:val="13"/>
          <w:color w:val="auto"/>
        </w:rPr>
        <w:t xml:space="preserve"> ” shall mean an Individual, corporation, partnership, limited liability company, estate, trust (including a trust qualified under Section 401(a) or 501(c)(17) of the Code), association, joint stock company or other entity; but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92710</wp:posOffset>
            </wp:positionV>
            <wp:extent cx="4436110" cy="152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419">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534670</wp:posOffset>
            </wp:positionV>
            <wp:extent cx="5083810" cy="152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420">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45" w:name="page246"/>
    <w:bookmarkEnd w:id="245"/>
    <w:p>
      <w:pPr>
        <w:ind w:left="600" w:right="700"/>
        <w:spacing w:after="0" w:line="287" w:lineRule="auto"/>
        <w:rPr>
          <w:sz w:val="20"/>
          <w:szCs w:val="20"/>
          <w:color w:val="auto"/>
        </w:rPr>
      </w:pPr>
      <w:r>
        <w:rPr>
          <w:rFonts w:ascii="Times New Roman" w:cs="Times New Roman" w:eastAsia="Times New Roman" w:hAnsi="Times New Roman"/>
          <w:sz w:val="13"/>
          <w:szCs w:val="13"/>
          <w:color w:val="auto"/>
        </w:rPr>
        <w:t>does not include an underwriter acting in a capacity as such in a public offering of shares of Series C Preferred Stock provided that the ownership of such shares of Series C Preferred Stock by such underwriter would not result in the Company being “closely held” within the meaning of Section 856(h) of the Code, or otherwise result in the Company failing to qualify as a REIT.</w:t>
      </w:r>
    </w:p>
    <w:p>
      <w:pPr>
        <w:spacing w:after="0" w:line="134" w:lineRule="exact"/>
        <w:rPr>
          <w:sz w:val="20"/>
          <w:szCs w:val="20"/>
          <w:color w:val="auto"/>
        </w:rPr>
      </w:pPr>
    </w:p>
    <w:p>
      <w:pPr>
        <w:jc w:val="both"/>
        <w:ind w:left="600" w:right="760" w:firstLine="312"/>
        <w:spacing w:after="0" w:line="282"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Purported Beneficial Transferee</w:t>
      </w:r>
      <w:r>
        <w:rPr>
          <w:rFonts w:ascii="Times New Roman" w:cs="Times New Roman" w:eastAsia="Times New Roman" w:hAnsi="Times New Roman"/>
          <w:sz w:val="13"/>
          <w:szCs w:val="13"/>
          <w:color w:val="auto"/>
        </w:rPr>
        <w:t xml:space="preserve"> ” shall mean, with respect to any purported Transfer (or other event) which results in a transfer to a Trust, as provided in Section 7(b)(ii) of these Articles Supplementary, the Purported Record Transferee, unless the Purported Record Transferee would have acquired or owned shares of Series C Preferred Stock for another Person who is the beneficial transferee or beneficial owner of such shares, in which case the Purported Beneficial Transferee shall be such Person.</w:t>
      </w:r>
    </w:p>
    <w:p>
      <w:pPr>
        <w:spacing w:after="0" w:line="138" w:lineRule="exact"/>
        <w:rPr>
          <w:sz w:val="20"/>
          <w:szCs w:val="20"/>
          <w:color w:val="auto"/>
        </w:rPr>
      </w:pPr>
    </w:p>
    <w:p>
      <w:pPr>
        <w:jc w:val="both"/>
        <w:ind w:left="600" w:right="900" w:firstLine="312"/>
        <w:spacing w:after="0" w:line="289"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Purported Record Transferee</w:t>
      </w:r>
      <w:r>
        <w:rPr>
          <w:rFonts w:ascii="Times New Roman" w:cs="Times New Roman" w:eastAsia="Times New Roman" w:hAnsi="Times New Roman"/>
          <w:sz w:val="13"/>
          <w:szCs w:val="13"/>
          <w:color w:val="auto"/>
        </w:rPr>
        <w:t xml:space="preserve"> ” shall mean, with respect to any purported Transfer (or other event) which results in a transfer to a Trust, as provided in Section 7(b)(ii) of these Articles Supplementary, the record holder of the Series C Preferred Stock if such Transfer had been valid under Section 7(b)(i) of these Articles Supplementary.</w:t>
      </w:r>
    </w:p>
    <w:p>
      <w:pPr>
        <w:spacing w:after="0" w:line="13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REIT</w:t>
      </w:r>
      <w:r>
        <w:rPr>
          <w:rFonts w:ascii="Times New Roman" w:cs="Times New Roman" w:eastAsia="Times New Roman" w:hAnsi="Times New Roman"/>
          <w:sz w:val="13"/>
          <w:szCs w:val="13"/>
          <w:color w:val="auto"/>
        </w:rPr>
        <w:t xml:space="preserve"> ” shall mean a real estate investment trust under Sections 856 through 860 of the Code.</w:t>
      </w:r>
    </w:p>
    <w:p>
      <w:pPr>
        <w:spacing w:after="0" w:line="186" w:lineRule="exact"/>
        <w:rPr>
          <w:sz w:val="20"/>
          <w:szCs w:val="20"/>
          <w:color w:val="auto"/>
        </w:rPr>
      </w:pPr>
    </w:p>
    <w:p>
      <w:pPr>
        <w:ind w:left="600" w:right="940" w:firstLine="312"/>
        <w:spacing w:after="0" w:line="308"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Restriction Termination Date</w:t>
      </w:r>
      <w:r>
        <w:rPr>
          <w:rFonts w:ascii="Times New Roman" w:cs="Times New Roman" w:eastAsia="Times New Roman" w:hAnsi="Times New Roman"/>
          <w:sz w:val="13"/>
          <w:szCs w:val="13"/>
          <w:color w:val="auto"/>
        </w:rPr>
        <w:t xml:space="preserve"> ” shall mean the first day after the date hereof on which the Board of Directors of the Company determines that it is no longer in the best interests of the Company to attempt to, or continue to, qualify as a REIT.</w:t>
      </w:r>
    </w:p>
    <w:p>
      <w:pPr>
        <w:spacing w:after="0" w:line="120" w:lineRule="exact"/>
        <w:rPr>
          <w:sz w:val="20"/>
          <w:szCs w:val="20"/>
          <w:color w:val="auto"/>
        </w:rPr>
      </w:pPr>
    </w:p>
    <w:p>
      <w:pPr>
        <w:ind w:left="600" w:right="700" w:firstLine="312"/>
        <w:spacing w:after="0" w:line="274"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Transfer</w:t>
      </w:r>
      <w:r>
        <w:rPr>
          <w:rFonts w:ascii="Times New Roman" w:cs="Times New Roman" w:eastAsia="Times New Roman" w:hAnsi="Times New Roman"/>
          <w:sz w:val="13"/>
          <w:szCs w:val="13"/>
          <w:color w:val="auto"/>
        </w:rPr>
        <w:t xml:space="preserve"> ” shall mean any sale, issuance, transfer, gift, assignment, devise or other disposition of Series C Preferred Stock as well as any other event that causes any Person to Beneficially Own or Constructively Own Series C Preferred Stock, including</w:t>
      </w:r>
    </w:p>
    <w:p>
      <w:pPr>
        <w:ind w:left="600" w:right="740" w:hanging="6"/>
        <w:spacing w:after="0" w:line="277" w:lineRule="auto"/>
        <w:tabs>
          <w:tab w:leader="none" w:pos="756" w:val="left"/>
        </w:tabs>
        <w:numPr>
          <w:ilvl w:val="0"/>
          <w:numId w:val="1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granting of any option or entering into any agreement for the sale, transfer or other disposition of Series C Preferred Stock or (ii) the sale, transfer, assignment or other disposition of any securities (or rights) convertible into or exchangeable for Series C Preferred Stock, whether voluntary or involuntary, whether such transfer has occurred of record or beneficially or Beneficially or Constructively (including but not limited to transfers of interests in other entities which result in changes in Beneficial or Constructive Ownership of Series C Preferred Stock), and whether such transfer has occurred by operation of law or otherwise.</w:t>
      </w:r>
    </w:p>
    <w:p>
      <w:pPr>
        <w:spacing w:after="0" w:line="140" w:lineRule="exact"/>
        <w:rPr>
          <w:rFonts w:ascii="Times New Roman" w:cs="Times New Roman" w:eastAsia="Times New Roman" w:hAnsi="Times New Roman"/>
          <w:sz w:val="13"/>
          <w:szCs w:val="13"/>
          <w:color w:val="auto"/>
        </w:rPr>
      </w:pPr>
    </w:p>
    <w:p>
      <w:pPr>
        <w:ind w:left="90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Trust</w:t>
      </w:r>
      <w:r>
        <w:rPr>
          <w:rFonts w:ascii="Times New Roman" w:cs="Times New Roman" w:eastAsia="Times New Roman" w:hAnsi="Times New Roman"/>
          <w:sz w:val="13"/>
          <w:szCs w:val="13"/>
          <w:color w:val="auto"/>
        </w:rPr>
        <w:t xml:space="preserve"> ” shall mean each of the trusts provided for in Section 7(c) of these Articles Supplementary.</w:t>
      </w:r>
    </w:p>
    <w:p>
      <w:pPr>
        <w:spacing w:after="0" w:line="187" w:lineRule="exact"/>
        <w:rPr>
          <w:sz w:val="20"/>
          <w:szCs w:val="20"/>
          <w:color w:val="auto"/>
        </w:rPr>
      </w:pPr>
    </w:p>
    <w:p>
      <w:pPr>
        <w:ind w:left="600" w:right="1340" w:firstLine="312"/>
        <w:spacing w:after="0" w:line="308"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Trustee</w:t>
      </w:r>
      <w:r>
        <w:rPr>
          <w:rFonts w:ascii="Times New Roman" w:cs="Times New Roman" w:eastAsia="Times New Roman" w:hAnsi="Times New Roman"/>
          <w:sz w:val="13"/>
          <w:szCs w:val="13"/>
          <w:color w:val="auto"/>
        </w:rPr>
        <w:t xml:space="preserve"> ” shall mean any Person unaffiliated with the Company, or a Purported Beneficial Transferee, or a Purported Record Transferee, that is appointed by the Company to serve as trustee of a Trust.</w:t>
      </w:r>
    </w:p>
    <w:p>
      <w:pPr>
        <w:spacing w:after="0" w:line="122" w:lineRule="exact"/>
        <w:rPr>
          <w:sz w:val="20"/>
          <w:szCs w:val="20"/>
          <w:color w:val="auto"/>
        </w:rPr>
      </w:pPr>
    </w:p>
    <w:p>
      <w:pPr>
        <w:ind w:left="1080" w:hanging="174"/>
        <w:spacing w:after="0"/>
        <w:tabs>
          <w:tab w:leader="none" w:pos="1080" w:val="left"/>
        </w:tabs>
        <w:numPr>
          <w:ilvl w:val="0"/>
          <w:numId w:val="1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Restriction on Ownership and Transfers.</w:t>
      </w:r>
    </w:p>
    <w:p>
      <w:pPr>
        <w:spacing w:after="0" w:line="186" w:lineRule="exact"/>
        <w:rPr>
          <w:rFonts w:ascii="Times New Roman" w:cs="Times New Roman" w:eastAsia="Times New Roman" w:hAnsi="Times New Roman"/>
          <w:sz w:val="13"/>
          <w:szCs w:val="13"/>
          <w:color w:val="auto"/>
        </w:rPr>
      </w:pPr>
    </w:p>
    <w:p>
      <w:pPr>
        <w:ind w:left="1380" w:hanging="161"/>
        <w:spacing w:after="0"/>
        <w:tabs>
          <w:tab w:leader="none" w:pos="1380" w:val="left"/>
        </w:tabs>
        <w:numPr>
          <w:ilvl w:val="1"/>
          <w:numId w:val="1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Prior to the Restriction Termination Date, but subject to Section 7(l):</w:t>
      </w:r>
    </w:p>
    <w:p>
      <w:pPr>
        <w:spacing w:after="0" w:line="187" w:lineRule="exact"/>
        <w:rPr>
          <w:sz w:val="20"/>
          <w:szCs w:val="20"/>
          <w:color w:val="auto"/>
        </w:rPr>
      </w:pPr>
    </w:p>
    <w:p>
      <w:pPr>
        <w:ind w:left="1220" w:right="860" w:firstLine="312"/>
        <w:spacing w:after="0" w:line="287" w:lineRule="auto"/>
        <w:rPr>
          <w:sz w:val="20"/>
          <w:szCs w:val="20"/>
          <w:color w:val="auto"/>
        </w:rPr>
      </w:pPr>
      <w:r>
        <w:rPr>
          <w:rFonts w:ascii="Times New Roman" w:cs="Times New Roman" w:eastAsia="Times New Roman" w:hAnsi="Times New Roman"/>
          <w:sz w:val="13"/>
          <w:szCs w:val="13"/>
          <w:color w:val="auto"/>
        </w:rPr>
        <w:t>(A) except as provided in Section 7(i) of these Articles Supplementary, (1) no Person shall Beneficially Own Series C Preferred Stock in excess of the Ownership Limit and (2) no Person shall Beneficially Own shares of Capital Stock in excess of the Aggregate Stock Ownership Limit;</w:t>
      </w:r>
    </w:p>
    <w:p>
      <w:pPr>
        <w:spacing w:after="0" w:line="136" w:lineRule="exact"/>
        <w:rPr>
          <w:sz w:val="20"/>
          <w:szCs w:val="20"/>
          <w:color w:val="auto"/>
        </w:rPr>
      </w:pPr>
    </w:p>
    <w:p>
      <w:pPr>
        <w:ind w:left="1220" w:right="780" w:firstLine="312"/>
        <w:spacing w:after="0" w:line="287" w:lineRule="auto"/>
        <w:rPr>
          <w:sz w:val="20"/>
          <w:szCs w:val="20"/>
          <w:color w:val="auto"/>
        </w:rPr>
      </w:pPr>
      <w:r>
        <w:rPr>
          <w:rFonts w:ascii="Times New Roman" w:cs="Times New Roman" w:eastAsia="Times New Roman" w:hAnsi="Times New Roman"/>
          <w:sz w:val="13"/>
          <w:szCs w:val="13"/>
          <w:color w:val="auto"/>
        </w:rPr>
        <w:t>(B) except as provided in Section 7(i) of these Articles Supplementary, (1) no Person shall Constructively Own Series C Preferred Stock in excess of the Ownership Limit and (2) no Person shall Constructively own shares of Capital Stock in excess of the Aggregate Stock Ownership Limit;</w:t>
      </w:r>
    </w:p>
    <w:p>
      <w:pPr>
        <w:spacing w:after="0" w:line="136" w:lineRule="exact"/>
        <w:rPr>
          <w:sz w:val="20"/>
          <w:szCs w:val="20"/>
          <w:color w:val="auto"/>
        </w:rPr>
      </w:pPr>
    </w:p>
    <w:p>
      <w:pPr>
        <w:jc w:val="both"/>
        <w:ind w:left="1220" w:right="900" w:firstLine="312"/>
        <w:spacing w:after="0" w:line="281" w:lineRule="auto"/>
        <w:rPr>
          <w:sz w:val="20"/>
          <w:szCs w:val="20"/>
          <w:color w:val="auto"/>
        </w:rPr>
      </w:pPr>
      <w:r>
        <w:rPr>
          <w:rFonts w:ascii="Times New Roman" w:cs="Times New Roman" w:eastAsia="Times New Roman" w:hAnsi="Times New Roman"/>
          <w:sz w:val="13"/>
          <w:szCs w:val="13"/>
          <w:color w:val="auto"/>
        </w:rPr>
        <w:t>(C) except as provided in Section 7(i) of these Articles Supplementary, no Person shall Beneficially or Constructively Own Series C Preferred Stock which, taking into account the Common Stock of the Company into which it is convertible and any other Common Stock of the Company Beneficially or Constructively owned by such Person, would result in the Person’s ownership of Common Stock in violation of the Common Stock Ownership Limit;</w:t>
      </w:r>
    </w:p>
    <w:p>
      <w:pPr>
        <w:spacing w:after="0" w:line="140" w:lineRule="exact"/>
        <w:rPr>
          <w:sz w:val="20"/>
          <w:szCs w:val="20"/>
          <w:color w:val="auto"/>
        </w:rPr>
      </w:pPr>
    </w:p>
    <w:p>
      <w:pPr>
        <w:ind w:left="1220" w:right="700" w:firstLine="311"/>
        <w:spacing w:after="0" w:line="278" w:lineRule="auto"/>
        <w:tabs>
          <w:tab w:leader="none" w:pos="1736" w:val="left"/>
        </w:tabs>
        <w:numPr>
          <w:ilvl w:val="0"/>
          <w:numId w:val="1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Person shall Beneficially Own or Constructively Own Series C Preferred Stock which, taking into account any other Capital Stock of the Company Beneficially or Constructively Owned by such Person, would result in the Company being “closely held” within the meaning of Section 856(h) of the Code, or otherwise failing to qualify as a REIT (including but not limited to Beneficial or Constructive Ownership that would result in the Company owning (actually or Constructively) an interest in a tenant that is described in Section 856(d)(2)(b) of the Code if the income derived by the Company (either directly or indirectly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105410</wp:posOffset>
            </wp:positionV>
            <wp:extent cx="4436110" cy="152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421">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547370</wp:posOffset>
            </wp:positionV>
            <wp:extent cx="5083810" cy="152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422">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46" w:name="page247"/>
    <w:bookmarkEnd w:id="246"/>
    <w:p>
      <w:pPr>
        <w:ind w:left="1220" w:right="740"/>
        <w:spacing w:after="0" w:line="305" w:lineRule="auto"/>
        <w:rPr>
          <w:sz w:val="20"/>
          <w:szCs w:val="20"/>
          <w:color w:val="auto"/>
        </w:rPr>
      </w:pPr>
      <w:r>
        <w:rPr>
          <w:rFonts w:ascii="Times New Roman" w:cs="Times New Roman" w:eastAsia="Times New Roman" w:hAnsi="Times New Roman"/>
          <w:sz w:val="13"/>
          <w:szCs w:val="13"/>
          <w:color w:val="auto"/>
        </w:rPr>
        <w:t>through one or more subsidiaries) from such tenant would cause the Company to fail to satisfy any of the gross income requirements of Section 856(c) of the Code).</w:t>
      </w:r>
    </w:p>
    <w:p>
      <w:pPr>
        <w:spacing w:after="0" w:line="124" w:lineRule="exact"/>
        <w:rPr>
          <w:sz w:val="20"/>
          <w:szCs w:val="20"/>
          <w:color w:val="auto"/>
        </w:rPr>
      </w:pPr>
    </w:p>
    <w:p>
      <w:pPr>
        <w:ind w:left="900" w:right="680" w:firstLine="319"/>
        <w:spacing w:after="0" w:line="273" w:lineRule="auto"/>
        <w:tabs>
          <w:tab w:leader="none" w:pos="1404" w:val="left"/>
        </w:tabs>
        <w:numPr>
          <w:ilvl w:val="1"/>
          <w:numId w:val="1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prior to the Restriction Termination Date, any Transfer or other event occurs that, if effective, would result in any Person Beneficially or Constructively Owning Series C Preferred Stock in violation of Section 7(b)(i) of these Articles Supplementary, (i) then that number of shares of Series C Preferred Stock that otherwise would cause such Person to violate Section 7(b)(i) of these Articles Supplementary (rounded up to the nearest whole share) shall be automatically transferred to a Trust for the benefit of a Charitable Beneficiary, as described in Section 7(c), effective as of the close of business on the Business Day prior to the date of such Transfer or other event, and such Purported Beneficial Transferee shall thereafter have no rights in such shares or (ii) if, for any reason, the transfer to the Trust described in clause (i) of this sentence is not automatically effective as provided therein to prevent any Person from Beneficially or Constructively Owning Series C Preferred Stock in violation of Section 7(b)(i) of these Articles Supplementary, then the Transfer of that number of shares of Series C Preferred Stock that otherwise would cause any Person to violate Section 7(b)(i) shall be void ab initio, and the Purported Beneficial Transferee shall have no rights in such shares.</w:t>
      </w:r>
    </w:p>
    <w:p>
      <w:pPr>
        <w:spacing w:after="0" w:line="136" w:lineRule="exact"/>
        <w:rPr>
          <w:rFonts w:ascii="Times New Roman" w:cs="Times New Roman" w:eastAsia="Times New Roman" w:hAnsi="Times New Roman"/>
          <w:sz w:val="13"/>
          <w:szCs w:val="13"/>
          <w:color w:val="auto"/>
        </w:rPr>
      </w:pPr>
    </w:p>
    <w:p>
      <w:pPr>
        <w:ind w:left="900" w:right="700" w:firstLine="319"/>
        <w:spacing w:after="0" w:line="287" w:lineRule="auto"/>
        <w:tabs>
          <w:tab w:leader="none" w:pos="1428" w:val="left"/>
        </w:tabs>
        <w:numPr>
          <w:ilvl w:val="1"/>
          <w:numId w:val="1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Section 7(l) and prior to the Restriction Termination Date, any Transfer of Series C Preferred Stock that, if effective, would result in the capital stock of the Company being beneficially owned by fewer than 100 Persons (determined without reference to any rules of attribution) shall be void ab initio, and the intended transferee shall acquire no rights in such Series C Preferred Stock.</w:t>
      </w:r>
    </w:p>
    <w:p>
      <w:pPr>
        <w:spacing w:after="0" w:line="135" w:lineRule="exact"/>
        <w:rPr>
          <w:rFonts w:ascii="Times New Roman" w:cs="Times New Roman" w:eastAsia="Times New Roman" w:hAnsi="Times New Roman"/>
          <w:sz w:val="13"/>
          <w:szCs w:val="13"/>
          <w:color w:val="auto"/>
        </w:rPr>
      </w:pPr>
    </w:p>
    <w:p>
      <w:pPr>
        <w:ind w:left="1080" w:hanging="174"/>
        <w:spacing w:after="0"/>
        <w:tabs>
          <w:tab w:leader="none" w:pos="1080" w:val="left"/>
        </w:tabs>
        <w:numPr>
          <w:ilvl w:val="0"/>
          <w:numId w:val="1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Transfers of Series C Preferred Stock in Trust.</w:t>
      </w:r>
    </w:p>
    <w:p>
      <w:pPr>
        <w:spacing w:after="0" w:line="186" w:lineRule="exact"/>
        <w:rPr>
          <w:rFonts w:ascii="Times New Roman" w:cs="Times New Roman" w:eastAsia="Times New Roman" w:hAnsi="Times New Roman"/>
          <w:sz w:val="13"/>
          <w:szCs w:val="13"/>
          <w:color w:val="auto"/>
        </w:rPr>
      </w:pPr>
    </w:p>
    <w:p>
      <w:pPr>
        <w:ind w:left="900" w:right="640" w:firstLine="319"/>
        <w:spacing w:after="0" w:line="276" w:lineRule="auto"/>
        <w:tabs>
          <w:tab w:leader="none" w:pos="1368" w:val="left"/>
        </w:tabs>
        <w:numPr>
          <w:ilvl w:val="1"/>
          <w:numId w:val="1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any purported Transfer or other event described in Section 7(b)(ii) of these Articles Supplementary, such Series C Preferred Stock shall be deemed to have been transferred to the Trustee in his capacity as trustee of a Trust for the exclusive benefit of one or more Charitable Beneficiaries. Such transfer to the Trustee shall be deemed to be effective as of the close of business on the Business Day prior to the purported Transfer or other event that results in a transfer to the Trust pursuant to Section 7(b)(ii). The Trustee shall be appointed by the Company and shall be a Person unaffiliated with the Company, any Purported Beneficial Transferee or any Purported Record Transferee. Each Charitable Beneficiary shall be designated by the Company as provided in Section 7(c)(vi) of these Articles Supplementary.</w:t>
      </w:r>
    </w:p>
    <w:p>
      <w:pPr>
        <w:spacing w:after="0" w:line="144" w:lineRule="exact"/>
        <w:rPr>
          <w:rFonts w:ascii="Times New Roman" w:cs="Times New Roman" w:eastAsia="Times New Roman" w:hAnsi="Times New Roman"/>
          <w:sz w:val="13"/>
          <w:szCs w:val="13"/>
          <w:color w:val="auto"/>
        </w:rPr>
      </w:pPr>
    </w:p>
    <w:p>
      <w:pPr>
        <w:ind w:left="900" w:right="800" w:firstLine="319"/>
        <w:spacing w:after="0" w:line="278" w:lineRule="auto"/>
        <w:tabs>
          <w:tab w:leader="none" w:pos="1404" w:val="left"/>
        </w:tabs>
        <w:numPr>
          <w:ilvl w:val="1"/>
          <w:numId w:val="1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Series C Preferred Stock held by the Trustee shall be issued and outstanding Series C Preferred Stock of the Company. The Purported Beneficial Transferee or Purported Record Transferee shall have no rights in the shares of the Series C Preferred Stock held by the Trustee. The Purported Beneficial Transferee or Purported Record Transferee shall not benefit economically from ownership of any shares held in trust by the Trustee, shall have no rights to dividends and shall not possess any rights to vote or other rights attributable to the shares of Series C Preferred Stock held in the Trust.</w:t>
      </w:r>
    </w:p>
    <w:p>
      <w:pPr>
        <w:spacing w:after="0" w:line="143" w:lineRule="exact"/>
        <w:rPr>
          <w:sz w:val="20"/>
          <w:szCs w:val="20"/>
          <w:color w:val="auto"/>
        </w:rPr>
      </w:pPr>
    </w:p>
    <w:p>
      <w:pPr>
        <w:ind w:left="900" w:right="680" w:firstLine="312"/>
        <w:spacing w:after="0" w:line="272" w:lineRule="auto"/>
        <w:rPr>
          <w:sz w:val="20"/>
          <w:szCs w:val="20"/>
          <w:color w:val="auto"/>
        </w:rPr>
      </w:pPr>
      <w:r>
        <w:rPr>
          <w:rFonts w:ascii="Times New Roman" w:cs="Times New Roman" w:eastAsia="Times New Roman" w:hAnsi="Times New Roman"/>
          <w:sz w:val="13"/>
          <w:szCs w:val="13"/>
          <w:color w:val="auto"/>
        </w:rPr>
        <w:t>(iii) The Trustee shall have all voting rights and rights to dividends with respect to Series C Preferred Stock held in the Trust, which rights shall be exercised for the exclusive benefit of the Charitable Beneficiary. Any dividend or distribution paid to or on behalf of the Purported Record Transferee or Purported Beneficial Transferee prior to the discovery by the Company that shares of Series C Preferred Stock have been transferred to the Trustee shall be paid to the Trustee upon demand, and any dividend or distribution declared but unpaid shall be paid when due to the Trustee with respect to such Series C Preferred Stock. Any dividends or distributions so paid over to the Trustee shall be held in trust for the Charitable Beneficiary. The Purported Record Transferee and Purported Beneficial Transferee shall have no voting rights with respect to the Series C Preferred Stock held in the Trust and, subject to Maryland law, effective as of the date the Series C Preferred Stock has been transferred to the Trustee, the Trustee shall have the authority (at the Trustee’s sole discretion) (i) to rescind as void any vote cast by a Purported Record Transferee with respect to such Series C Preferred Stock prior to the discovery by the Company that the Series C Preferred Stock has been transferred to the Trustee and (ii) to recast such vote in accordance with the desires of the Trustee acting for the benefit of the Charitable Beneficiary; provided, however, that if the Company has already taken irreversible corporate action, then the Trustee shall not have the authority to rescind and recast such vote. Notwithstanding any other provision of these Articles Supplementary to the contrary, until the Company has received notification that the Series C Preferred Stock has been transferred into a Trust, the Company shall be entitled to rely on its share transfer and other stockholder records for purposes of preparing lists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612775</wp:posOffset>
            </wp:positionV>
            <wp:extent cx="4436110" cy="762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423">
                      <a:extLst>
                        <a:ext uri="{28A0092B-C50C-407E-A947-70E740481C1C}"/>
                      </a:extLst>
                    </a:blip>
                    <a:srcRect/>
                    <a:stretch>
                      <a:fillRect/>
                    </a:stretch>
                  </pic:blipFill>
                  <pic:spPr bwMode="auto">
                    <a:xfrm>
                      <a:off x="0" y="0"/>
                      <a:ext cx="4436110"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338455</wp:posOffset>
            </wp:positionV>
            <wp:extent cx="5083810" cy="152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424">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47" w:name="page248"/>
    <w:bookmarkEnd w:id="247"/>
    <w:p>
      <w:pPr>
        <w:ind w:left="900" w:right="1300"/>
        <w:spacing w:after="0" w:line="305" w:lineRule="auto"/>
        <w:rPr>
          <w:sz w:val="20"/>
          <w:szCs w:val="20"/>
          <w:color w:val="auto"/>
        </w:rPr>
      </w:pPr>
      <w:r>
        <w:rPr>
          <w:rFonts w:ascii="Times New Roman" w:cs="Times New Roman" w:eastAsia="Times New Roman" w:hAnsi="Times New Roman"/>
          <w:sz w:val="13"/>
          <w:szCs w:val="13"/>
          <w:color w:val="auto"/>
        </w:rPr>
        <w:t>of stockholders entitled to vote at meetings, determining the validity and authority of proxies and otherwise conducting votes of stockholders.</w:t>
      </w:r>
    </w:p>
    <w:p>
      <w:pPr>
        <w:spacing w:after="0" w:line="124" w:lineRule="exact"/>
        <w:rPr>
          <w:sz w:val="20"/>
          <w:szCs w:val="20"/>
          <w:color w:val="auto"/>
        </w:rPr>
      </w:pPr>
    </w:p>
    <w:p>
      <w:pPr>
        <w:ind w:left="900" w:right="600" w:firstLine="319"/>
        <w:spacing w:after="0" w:line="271" w:lineRule="auto"/>
        <w:tabs>
          <w:tab w:leader="none" w:pos="1428" w:val="left"/>
        </w:tabs>
        <w:numPr>
          <w:ilvl w:val="2"/>
          <w:numId w:val="1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Within twenty (20) days of receiving notice from the Company that shares of Series C Preferred Stock have been transferred to the Trust, the Trustee of the Trust shall sell the shares of Series C Preferred Stock held in the Trust to a Person, designated by the Trustee, whose ownership of the shares of Series C Preferred Stock will not violate the ownership limitations set forth in Section 7(b)(i). Upon such sale, the interest of the Charitable Beneficiary in the shares of Series C Preferred Stock sold shall terminate and the Trustee shall distribute the net proceeds of the sale to the Purported Record Transferee and to the Charitable Beneficiary as provided in this Section 7(c)(iv). The Purported Record Transferee shall receive the lesser of (i) the price paid by the Purported Record Transferee for the shares of Series C Preferred Stock in the transaction that resulted in such transfer to the Trust (or, if the event which resulted in the transfer to the Trust did not involve a purchase of such shares of Series C Preferred Stock at Market Price, the Market Price of such shares of Series C Preferred Stock on the day of the event which resulted in the transfer of such shares of Series C Preferred Stock to the Trust) and (ii) the price per share received by the Trustee (net of any commissions and other expenses of sale) from the sale or other disposition of the shares of Series C Preferred Stock held in the Trust. The Trustee may reduce the amount payable to the Purported Record Transferee by the amount of dividends and distributions which have been paid to the Purported Record Transferee and are owed by the Purported Record Transferee to the Trustee pursuant to Section 7(c)(iii). Any net sales proceeds in excess of the amount payable to the Purported Record Transferee shall be immediately paid to the Charitable Beneficiary together with any dividends or other distributions thereon. If, prior to the discovery by the Company that shares of such Series C Preferred Stock have been transferred to the Trustee, such shares of Series C Preferred Stock are sold by a Purported Record Transferee then (i) such shares of Series C Preferred Stock shall be deemed to have been sold on behalf of the Trust and (ii) to the extent that the Purported Record Transferee received an amount for such shares of Series C Preferred Stock that exceeds the amount that such Purported Record Transferee was entitled to receive pursuant to this Section 7(c)(iv), such excess shall be paid to the Trustee upon demand.</w:t>
      </w:r>
    </w:p>
    <w:p>
      <w:pPr>
        <w:spacing w:after="0" w:line="142" w:lineRule="exact"/>
        <w:rPr>
          <w:rFonts w:ascii="Times New Roman" w:cs="Times New Roman" w:eastAsia="Times New Roman" w:hAnsi="Times New Roman"/>
          <w:sz w:val="13"/>
          <w:szCs w:val="13"/>
          <w:color w:val="auto"/>
        </w:rPr>
      </w:pPr>
    </w:p>
    <w:p>
      <w:pPr>
        <w:ind w:left="900" w:right="600" w:firstLine="319"/>
        <w:spacing w:after="0" w:line="273" w:lineRule="auto"/>
        <w:tabs>
          <w:tab w:leader="none" w:pos="1392" w:val="left"/>
        </w:tabs>
        <w:numPr>
          <w:ilvl w:val="2"/>
          <w:numId w:val="1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Series C Preferred Stock transferred to the Trustee shall be deemed to have been offered for sale to the Company, or its designee, at a price per share equal to the lesser of (i) the price paid by the Purported Record Transferee for the shares of Series C Preferred Stock in the transaction that resulted in such transfer to the Trust (or, if the event which resulted in the transfer to the Trust did not involve a purchase of such shares of Series C Preferred Stock at Market Price, the Market Price of such shares of Series C Preferred Stock on the day of the event which resulted in the transfer of such shares of Series C Preferred Stock to the Trust) and (ii) the Market Price on the date the Company, or its designee, accepts such offer. The Company may reduce the amount payable to the Purported Record Transferee by the amount of dividends and distributions which have been paid to the Purported Record Transferee and are owed by the Purported Record Transferee to the Trustee pursuant to Section 7(c)(iii). The Company shall have the right to accept such offer until the Trustee has sold the shares of Series C Preferred Stock held in the Trust pursuant to Section 7(c)(iv). Upon such a sale to the Company, the interest of the Charitable Beneficiary in the shares of Series C Preferred Stock sold shall terminate and the Trustee shall distribute the net proceeds of the sale to the Purported Record Transferee and any dividends or other distributions held by the Trustee with respect to such Series C Preferred Stock shall thereupon be paid to the Charitable Beneficiary.</w:t>
      </w:r>
    </w:p>
    <w:p>
      <w:pPr>
        <w:spacing w:after="0" w:line="132" w:lineRule="exact"/>
        <w:rPr>
          <w:rFonts w:ascii="Times New Roman" w:cs="Times New Roman" w:eastAsia="Times New Roman" w:hAnsi="Times New Roman"/>
          <w:sz w:val="13"/>
          <w:szCs w:val="13"/>
          <w:color w:val="auto"/>
        </w:rPr>
      </w:pPr>
    </w:p>
    <w:p>
      <w:pPr>
        <w:ind w:left="900" w:right="760" w:firstLine="319"/>
        <w:spacing w:after="0" w:line="287" w:lineRule="auto"/>
        <w:tabs>
          <w:tab w:leader="none" w:pos="1428" w:val="left"/>
        </w:tabs>
        <w:numPr>
          <w:ilvl w:val="2"/>
          <w:numId w:val="1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written notice to the Trustee, the Company shall designate one or more nonprofit organizations to be the Charitable Beneficiary of the interest in the Trust such that the Series C Preferred Stock held in the Trust would not violate the restrictions set forth in Section 7(b)(i) in the hands of such Charitable Beneficiary.</w:t>
      </w:r>
    </w:p>
    <w:p>
      <w:pPr>
        <w:spacing w:after="0" w:line="133" w:lineRule="exact"/>
        <w:rPr>
          <w:rFonts w:ascii="Times New Roman" w:cs="Times New Roman" w:eastAsia="Times New Roman" w:hAnsi="Times New Roman"/>
          <w:sz w:val="13"/>
          <w:szCs w:val="13"/>
          <w:color w:val="auto"/>
        </w:rPr>
      </w:pPr>
    </w:p>
    <w:p>
      <w:pPr>
        <w:ind w:left="600" w:right="640" w:firstLine="306"/>
        <w:spacing w:after="0" w:line="271" w:lineRule="auto"/>
        <w:tabs>
          <w:tab w:leader="none" w:pos="1092" w:val="left"/>
        </w:tabs>
        <w:numPr>
          <w:ilvl w:val="1"/>
          <w:numId w:val="1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Remedies For Breach. </w:t>
      </w:r>
      <w:r>
        <w:rPr>
          <w:rFonts w:ascii="Times New Roman" w:cs="Times New Roman" w:eastAsia="Times New Roman" w:hAnsi="Times New Roman"/>
          <w:sz w:val="13"/>
          <w:szCs w:val="13"/>
          <w:color w:val="auto"/>
        </w:rPr>
        <w:t>If the Board of Directors or a committee thereof or other designees if permitted by the MGCL shall at any time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determine in good faith that a Transfer or other event has taken place in violation of Section 7(b) of these Articles Supplementary or that a Person intends to acquire, has attempted to acquire or may acquire beneficial ownership (determined without reference to any rules of attribution), Beneficial Ownership or Constructive Ownership of any shares of Series C Preferred Stock of the Company in violation of Section 7(b) of these Articles Supplementary, the Board of Directors or the Committee or other designees if permitted by the MGCL shall take such action as it deems advisable to refuse to give effect or to prevent such Transfer, including, but not limited to, causing the Company to redeem shares of Series C Preferred Stock, refusing to give effect to such Transfer on the books of the Company or instituting proceedings to enjoin such Transfer; </w:t>
      </w:r>
      <w:r>
        <w:rPr>
          <w:rFonts w:ascii="Times New Roman" w:cs="Times New Roman" w:eastAsia="Times New Roman" w:hAnsi="Times New Roman"/>
          <w:sz w:val="13"/>
          <w:szCs w:val="13"/>
          <w:i w:val="1"/>
          <w:iCs w:val="1"/>
          <w:color w:val="auto"/>
        </w:rPr>
        <w:t>provided</w:t>
      </w:r>
    </w:p>
    <w:p>
      <w:pPr>
        <w:ind w:left="660" w:hanging="66"/>
        <w:spacing w:after="0"/>
        <w:tabs>
          <w:tab w:leader="none" w:pos="660" w:val="left"/>
        </w:tabs>
        <w:numPr>
          <w:ilvl w:val="0"/>
          <w:numId w:val="1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however </w:t>
      </w:r>
      <w:r>
        <w:rPr>
          <w:rFonts w:ascii="Times New Roman" w:cs="Times New Roman" w:eastAsia="Times New Roman" w:hAnsi="Times New Roman"/>
          <w:sz w:val="13"/>
          <w:szCs w:val="13"/>
          <w:color w:val="auto"/>
        </w:rPr>
        <w:t>, that any Transfers (or,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641985</wp:posOffset>
            </wp:positionV>
            <wp:extent cx="4436110" cy="762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425">
                      <a:extLst>
                        <a:ext uri="{28A0092B-C50C-407E-A947-70E740481C1C}"/>
                      </a:extLst>
                    </a:blip>
                    <a:srcRect/>
                    <a:stretch>
                      <a:fillRect/>
                    </a:stretch>
                  </pic:blipFill>
                  <pic:spPr bwMode="auto">
                    <a:xfrm>
                      <a:off x="0" y="0"/>
                      <a:ext cx="4436110"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360045</wp:posOffset>
            </wp:positionV>
            <wp:extent cx="5083810" cy="152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426">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48" w:name="page249"/>
    <w:bookmarkEnd w:id="248"/>
    <w:p>
      <w:pPr>
        <w:ind w:left="600" w:right="620"/>
        <w:spacing w:after="0" w:line="287" w:lineRule="auto"/>
        <w:rPr>
          <w:sz w:val="20"/>
          <w:szCs w:val="20"/>
          <w:color w:val="auto"/>
        </w:rPr>
      </w:pPr>
      <w:r>
        <w:rPr>
          <w:rFonts w:ascii="Times New Roman" w:cs="Times New Roman" w:eastAsia="Times New Roman" w:hAnsi="Times New Roman"/>
          <w:sz w:val="13"/>
          <w:szCs w:val="13"/>
          <w:color w:val="auto"/>
        </w:rPr>
        <w:t>case of events other than a Transfer, ownership or Constructive Ownership or Beneficial Ownership) in violation of Section 7(b)(i) of these Articles Supplementary, shall automatically result in the transfer to a Trust as described in Section 7(b)(ii) and any Transfer in violation of Section 7(b)(iii) shall automatically be void ab initio irrespective of any action (or non-action) by the Board of Directors.</w:t>
      </w:r>
    </w:p>
    <w:p>
      <w:pPr>
        <w:spacing w:after="0" w:line="134" w:lineRule="exact"/>
        <w:rPr>
          <w:sz w:val="20"/>
          <w:szCs w:val="20"/>
          <w:color w:val="auto"/>
        </w:rPr>
      </w:pPr>
    </w:p>
    <w:p>
      <w:pPr>
        <w:ind w:left="600" w:right="600" w:firstLine="306"/>
        <w:spacing w:after="0" w:line="279" w:lineRule="auto"/>
        <w:tabs>
          <w:tab w:leader="none" w:pos="1080" w:val="left"/>
        </w:tabs>
        <w:numPr>
          <w:ilvl w:val="0"/>
          <w:numId w:val="1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Notice of Restricted Transfer. </w:t>
      </w:r>
      <w:r>
        <w:rPr>
          <w:rFonts w:ascii="Times New Roman" w:cs="Times New Roman" w:eastAsia="Times New Roman" w:hAnsi="Times New Roman"/>
          <w:sz w:val="13"/>
          <w:szCs w:val="13"/>
          <w:color w:val="auto"/>
        </w:rPr>
        <w:t>Any Person who acquires or attempts to acquire shares of Series C Preferred Stock in violation of Section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7(b) of these Articles Supplementary, or any Person who is a Purported Beneficial Transferee such that an automatic transfer to a Trust results under Section 7(b)(ii) of these Articles Supplementary, shall immediately give written notice to the Company of such event and shall provide to the Company such other information as the Company may request in order to determine the effect, if any of such Transfer or attempted Transfer on the Company’s status as a REIT.</w:t>
      </w:r>
    </w:p>
    <w:p>
      <w:pPr>
        <w:spacing w:after="0" w:line="139" w:lineRule="exact"/>
        <w:rPr>
          <w:rFonts w:ascii="Times New Roman" w:cs="Times New Roman" w:eastAsia="Times New Roman" w:hAnsi="Times New Roman"/>
          <w:sz w:val="13"/>
          <w:szCs w:val="13"/>
          <w:color w:val="auto"/>
        </w:rPr>
      </w:pPr>
    </w:p>
    <w:p>
      <w:pPr>
        <w:ind w:left="600" w:right="700" w:firstLine="306"/>
        <w:spacing w:after="0" w:line="282" w:lineRule="auto"/>
        <w:tabs>
          <w:tab w:leader="none" w:pos="1056" w:val="left"/>
        </w:tabs>
        <w:numPr>
          <w:ilvl w:val="0"/>
          <w:numId w:val="1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Owners Required To Provide Information. </w:t>
      </w:r>
      <w:r>
        <w:rPr>
          <w:rFonts w:ascii="Times New Roman" w:cs="Times New Roman" w:eastAsia="Times New Roman" w:hAnsi="Times New Roman"/>
          <w:sz w:val="13"/>
          <w:szCs w:val="13"/>
          <w:color w:val="auto"/>
        </w:rPr>
        <w:t>Prior to the Restriction Termination Date each Person who is a beneficial owner 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Beneficial Owner or Constructive Owner of Series C Preferred Stock and each Person (including the stockholder of record) who is holding Series C Preferred Stock for a beneficial owner or Beneficial Owner or Constructive Owner shall provide to the Company such information that the Company may request, in good faith, in order to determine the Company’s status as a REIT.</w:t>
      </w:r>
    </w:p>
    <w:p>
      <w:pPr>
        <w:spacing w:after="0" w:line="138" w:lineRule="exact"/>
        <w:rPr>
          <w:sz w:val="20"/>
          <w:szCs w:val="20"/>
          <w:color w:val="auto"/>
        </w:rPr>
      </w:pPr>
    </w:p>
    <w:p>
      <w:pPr>
        <w:ind w:left="600" w:right="600" w:firstLine="312"/>
        <w:spacing w:after="0" w:line="289" w:lineRule="auto"/>
        <w:rPr>
          <w:sz w:val="20"/>
          <w:szCs w:val="20"/>
          <w:color w:val="auto"/>
        </w:rPr>
      </w:pPr>
      <w:r>
        <w:rPr>
          <w:rFonts w:ascii="Times New Roman" w:cs="Times New Roman" w:eastAsia="Times New Roman" w:hAnsi="Times New Roman"/>
          <w:sz w:val="13"/>
          <w:szCs w:val="13"/>
          <w:color w:val="auto"/>
        </w:rPr>
        <w:t xml:space="preserve">(g) </w:t>
      </w:r>
      <w:r>
        <w:rPr>
          <w:rFonts w:ascii="Times New Roman" w:cs="Times New Roman" w:eastAsia="Times New Roman" w:hAnsi="Times New Roman"/>
          <w:sz w:val="13"/>
          <w:szCs w:val="13"/>
          <w:b w:val="1"/>
          <w:bCs w:val="1"/>
          <w:color w:val="auto"/>
        </w:rPr>
        <w:t>Remedies Not Limited.</w:t>
      </w:r>
      <w:r>
        <w:rPr>
          <w:rFonts w:ascii="Times New Roman" w:cs="Times New Roman" w:eastAsia="Times New Roman" w:hAnsi="Times New Roman"/>
          <w:sz w:val="13"/>
          <w:szCs w:val="13"/>
          <w:color w:val="auto"/>
        </w:rPr>
        <w:t xml:space="preserve"> Nothing contained in these Articles Supplementary (but subject to Section 7(l) of these Articles Supplementary) shall limit the authority of the Board of Directors to take such other action as it deems necessary or advisable to protect the Company and the interests of its stockholders by preservation of the Company’s status as a REIT.</w:t>
      </w:r>
    </w:p>
    <w:p>
      <w:pPr>
        <w:spacing w:after="0" w:line="132" w:lineRule="exact"/>
        <w:rPr>
          <w:sz w:val="20"/>
          <w:szCs w:val="20"/>
          <w:color w:val="auto"/>
        </w:rPr>
      </w:pPr>
    </w:p>
    <w:p>
      <w:pPr>
        <w:ind w:left="600" w:right="620" w:firstLine="306"/>
        <w:spacing w:after="0" w:line="273" w:lineRule="auto"/>
        <w:tabs>
          <w:tab w:leader="none" w:pos="1092" w:val="left"/>
        </w:tabs>
        <w:numPr>
          <w:ilvl w:val="0"/>
          <w:numId w:val="1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Ambiguity </w:t>
      </w:r>
      <w:r>
        <w:rPr>
          <w:rFonts w:ascii="Times New Roman" w:cs="Times New Roman" w:eastAsia="Times New Roman" w:hAnsi="Times New Roman"/>
          <w:sz w:val="13"/>
          <w:szCs w:val="13"/>
          <w:color w:val="auto"/>
        </w:rPr>
        <w:t>. In the case of an ambiguity in the application of any of the provisions of this Section 7 of these Articles Supplementary,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including any definition contained in Section 7(a), the Board of Directors shall have the power to determine the application of the provisions of this Section 7 with respect to any situation based on the facts known to it (subject, however, to the provisions of Section 7(l) of these Articles Supplementary). In the event Section 7 requires an action by the Board of Directors and these Articles Supplementary fail to provide specific guidance with respect to such action, the Board of Directors shall have the power to determine the action to be taken so long as such action is not contrary to the provisions of Section 7. Absent a decision to the contrary by the Board of Directors (which the Board of Directors may make in its sole and absolute discretion), if a Person would have (but for the remedies set forth in Section 7(b)) acquired Beneficial or Constructive Ownership of Series C Preferred Stock in violation of Section 7(b)(i), such remedies (as applicable) shall apply first to the shares of Series C Preferred Stock which, but for such remedies, would have been actually owned by such Person, and second to shares of Series C Preferred Stock, which, but for such remedies, would have been Beneficially Owned or Constructively Owned (but not actually owned) by such Person, pro rata among the Persons who actually own such shares of Series C Preferred Stock based upon the relative number of the shares of Series C Preferred Stock held by each such Person.</w:t>
      </w:r>
    </w:p>
    <w:p>
      <w:pPr>
        <w:spacing w:after="0" w:line="134" w:lineRule="exact"/>
        <w:rPr>
          <w:rFonts w:ascii="Times New Roman" w:cs="Times New Roman" w:eastAsia="Times New Roman" w:hAnsi="Times New Roman"/>
          <w:sz w:val="13"/>
          <w:szCs w:val="13"/>
          <w:color w:val="auto"/>
        </w:rPr>
      </w:pPr>
    </w:p>
    <w:p>
      <w:pPr>
        <w:ind w:left="1060" w:hanging="154"/>
        <w:spacing w:after="0"/>
        <w:tabs>
          <w:tab w:leader="none" w:pos="1060" w:val="left"/>
        </w:tabs>
        <w:numPr>
          <w:ilvl w:val="0"/>
          <w:numId w:val="1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Exceptions.</w:t>
      </w:r>
    </w:p>
    <w:p>
      <w:pPr>
        <w:spacing w:after="0" w:line="186" w:lineRule="exact"/>
        <w:rPr>
          <w:rFonts w:ascii="Times New Roman" w:cs="Times New Roman" w:eastAsia="Times New Roman" w:hAnsi="Times New Roman"/>
          <w:sz w:val="13"/>
          <w:szCs w:val="13"/>
          <w:color w:val="auto"/>
        </w:rPr>
      </w:pPr>
    </w:p>
    <w:p>
      <w:pPr>
        <w:ind w:left="900" w:right="780" w:firstLine="319"/>
        <w:spacing w:after="0" w:line="272" w:lineRule="auto"/>
        <w:tabs>
          <w:tab w:leader="none" w:pos="1368" w:val="left"/>
        </w:tabs>
        <w:numPr>
          <w:ilvl w:val="1"/>
          <w:numId w:val="1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Section 7(b)(i)(D), the Board of Directors, in its sole discretion, may exempt (prospectively or retroactively) a Person from the limitation on a Person Beneficially Owning shares of Series C Preferred Stock in violation of Section 7(b)(i)(A) or Section 7(b)(i)</w:t>
      </w:r>
    </w:p>
    <w:p>
      <w:pPr>
        <w:jc w:val="both"/>
        <w:ind w:left="900" w:right="960"/>
        <w:spacing w:after="0" w:line="284"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 if the Board of Directors determines that such exemption will not cause any Individual’s Beneficial Ownership of shares of Capital Stock to violate the Aggregate Stock Ownership Limit and that such exemption will not cause the Company to fail to qualify as a REIT under the Code.</w:t>
      </w:r>
    </w:p>
    <w:p>
      <w:pPr>
        <w:spacing w:after="0" w:line="137" w:lineRule="exact"/>
        <w:rPr>
          <w:rFonts w:ascii="Times New Roman" w:cs="Times New Roman" w:eastAsia="Times New Roman" w:hAnsi="Times New Roman"/>
          <w:sz w:val="13"/>
          <w:szCs w:val="13"/>
          <w:color w:val="auto"/>
        </w:rPr>
      </w:pPr>
    </w:p>
    <w:p>
      <w:pPr>
        <w:ind w:left="900" w:right="740" w:firstLine="319"/>
        <w:spacing w:after="0" w:line="287" w:lineRule="auto"/>
        <w:tabs>
          <w:tab w:leader="none" w:pos="1404" w:val="left"/>
        </w:tabs>
        <w:numPr>
          <w:ilvl w:val="1"/>
          <w:numId w:val="1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Section 7(b)(i)(D), the Board of Directors, in its sole discretion, may exempt (prospectively or retroactively) a Person from the limitation on a Person Constructively Owning shares of Series C Preferred Stock in violation of Section 7(b)(i)(B) or Section 7(b) (i)(C) if the Board of Directors determines that such ownership would not cause the Company to fail to qualify as a REIT under the Code.</w:t>
      </w:r>
    </w:p>
    <w:p>
      <w:pPr>
        <w:spacing w:after="0" w:line="136" w:lineRule="exact"/>
        <w:rPr>
          <w:sz w:val="20"/>
          <w:szCs w:val="20"/>
          <w:color w:val="auto"/>
        </w:rPr>
      </w:pPr>
    </w:p>
    <w:p>
      <w:pPr>
        <w:ind w:left="600" w:right="840" w:firstLine="312"/>
        <w:spacing w:after="0" w:line="278" w:lineRule="auto"/>
        <w:rPr>
          <w:sz w:val="20"/>
          <w:szCs w:val="20"/>
          <w:color w:val="auto"/>
        </w:rPr>
      </w:pPr>
      <w:r>
        <w:rPr>
          <w:rFonts w:ascii="Times New Roman" w:cs="Times New Roman" w:eastAsia="Times New Roman" w:hAnsi="Times New Roman"/>
          <w:sz w:val="13"/>
          <w:szCs w:val="13"/>
          <w:color w:val="auto"/>
        </w:rPr>
        <w:t>(iii) Subject to Section 7(b)(i)(D) and the remainder of this Section 7(i)(iii), the Board of Directors may from time to time increase or decrease the Ownership Limit; provided, however, that the decreased Ownership Limit will not be effective for any Person whose percentage ownership of Series C Preferred Stock is in excess of such decreased Ownership Limit until such time as such Person’s percentage of Series C Preferred Stock equals or falls below the decreased Ownership Limit, but any further acquisition of Series C Preferred Stock in excess of such percentage ownership of Series C Preferred Stock will be in violation of the Ownership Limit, and, provided further, that the new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105410</wp:posOffset>
            </wp:positionV>
            <wp:extent cx="4436110" cy="152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427">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547370</wp:posOffset>
            </wp:positionV>
            <wp:extent cx="5083810" cy="152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428">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49" w:name="page250"/>
    <w:bookmarkEnd w:id="249"/>
    <w:p>
      <w:pPr>
        <w:ind w:left="600" w:right="1020"/>
        <w:spacing w:after="0" w:line="305" w:lineRule="auto"/>
        <w:rPr>
          <w:sz w:val="20"/>
          <w:szCs w:val="20"/>
          <w:color w:val="auto"/>
        </w:rPr>
      </w:pPr>
      <w:r>
        <w:rPr>
          <w:rFonts w:ascii="Times New Roman" w:cs="Times New Roman" w:eastAsia="Times New Roman" w:hAnsi="Times New Roman"/>
          <w:sz w:val="13"/>
          <w:szCs w:val="13"/>
          <w:color w:val="auto"/>
        </w:rPr>
        <w:t>Ownership Limit would not allow five or fewer Persons to Beneficially Own more than 49% in value of the outstanding capital stock of the Company.</w:t>
      </w:r>
    </w:p>
    <w:p>
      <w:pPr>
        <w:spacing w:after="0" w:line="124" w:lineRule="exact"/>
        <w:rPr>
          <w:sz w:val="20"/>
          <w:szCs w:val="20"/>
          <w:color w:val="auto"/>
        </w:rPr>
      </w:pPr>
    </w:p>
    <w:p>
      <w:pPr>
        <w:ind w:left="900" w:right="660" w:firstLine="319"/>
        <w:spacing w:after="0" w:line="275" w:lineRule="auto"/>
        <w:tabs>
          <w:tab w:leader="none" w:pos="1428" w:val="left"/>
        </w:tabs>
        <w:numPr>
          <w:ilvl w:val="0"/>
          <w:numId w:val="1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granting a person an exemption under Section 7(i)(i) or (ii) above, the Board of Directors may require such Person to make certain representations or undertakings or to agree that any violation or attempted violation of such representations or undertakings (or other action which is contrary to the restrictions contained in Section 7(b) of these Articles Supplementary) will result in such Series C Preferred Stock being transferred to a Trust in accordance with Section 7(b)(ii) of these Articles Supplementary. In granting any exception pursuant to Section 7(i)(i) or (ii) of these Articles Supplementary, the Board of Directors may require a ruling from the IRS, or an opinion of counsel, in either case in form and substance satisfactory to the Board of Directors in its sole discretion, as it may deem necessary or advisable in order to determine or ensure the Company’s status as a REIT.</w:t>
      </w:r>
    </w:p>
    <w:p>
      <w:pPr>
        <w:spacing w:after="0" w:line="143" w:lineRule="exact"/>
        <w:rPr>
          <w:sz w:val="20"/>
          <w:szCs w:val="20"/>
          <w:color w:val="auto"/>
        </w:rPr>
      </w:pPr>
    </w:p>
    <w:p>
      <w:pPr>
        <w:ind w:left="600" w:right="1200" w:firstLine="312"/>
        <w:spacing w:after="0" w:line="308" w:lineRule="auto"/>
        <w:rPr>
          <w:sz w:val="20"/>
          <w:szCs w:val="20"/>
          <w:color w:val="auto"/>
        </w:rPr>
      </w:pPr>
      <w:r>
        <w:rPr>
          <w:rFonts w:ascii="Times New Roman" w:cs="Times New Roman" w:eastAsia="Times New Roman" w:hAnsi="Times New Roman"/>
          <w:sz w:val="13"/>
          <w:szCs w:val="13"/>
          <w:color w:val="auto"/>
        </w:rPr>
        <w:t>(j)</w:t>
      </w:r>
      <w:r>
        <w:rPr>
          <w:rFonts w:ascii="Times New Roman" w:cs="Times New Roman" w:eastAsia="Times New Roman" w:hAnsi="Times New Roman"/>
          <w:sz w:val="13"/>
          <w:szCs w:val="13"/>
          <w:b w:val="1"/>
          <w:bCs w:val="1"/>
          <w:color w:val="auto"/>
        </w:rPr>
        <w:t>Legends.</w:t>
      </w:r>
      <w:r>
        <w:rPr>
          <w:rFonts w:ascii="Times New Roman" w:cs="Times New Roman" w:eastAsia="Times New Roman" w:hAnsi="Times New Roman"/>
          <w:sz w:val="13"/>
          <w:szCs w:val="13"/>
          <w:color w:val="auto"/>
        </w:rPr>
        <w:t xml:space="preserve"> Each certificate for Series C Preferred Stock shall bear substantially the following legends in addition to any legends required to comply with federal and state securities laws:</w:t>
      </w:r>
    </w:p>
    <w:p>
      <w:pPr>
        <w:spacing w:after="0" w:line="1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3"/>
          <w:szCs w:val="13"/>
          <w:b w:val="1"/>
          <w:bCs w:val="1"/>
          <w:color w:val="auto"/>
        </w:rPr>
        <w:t>Classes of Stock</w:t>
      </w:r>
    </w:p>
    <w:p>
      <w:pPr>
        <w:spacing w:after="0" w:line="189" w:lineRule="exact"/>
        <w:rPr>
          <w:sz w:val="20"/>
          <w:szCs w:val="20"/>
          <w:color w:val="auto"/>
        </w:rPr>
      </w:pPr>
    </w:p>
    <w:p>
      <w:pPr>
        <w:ind w:left="900" w:right="720"/>
        <w:spacing w:after="0" w:line="272" w:lineRule="auto"/>
        <w:rPr>
          <w:sz w:val="20"/>
          <w:szCs w:val="20"/>
          <w:color w:val="auto"/>
        </w:rPr>
      </w:pPr>
      <w:r>
        <w:rPr>
          <w:rFonts w:ascii="Times New Roman" w:cs="Times New Roman" w:eastAsia="Times New Roman" w:hAnsi="Times New Roman"/>
          <w:sz w:val="13"/>
          <w:szCs w:val="13"/>
          <w:color w:val="auto"/>
        </w:rPr>
        <w:t>“THE COMPANY IS AUTHORIZED TO ISSUE CAPITAL STOCK OF MORE THAN ONE CLASS, CONSISTING OF COMMON STOCK AND ONE OR MORE CLASSES OF PREFERRED STOCK. THE BOARD OF DIRECTORS IS AUTHORIZED TO DETERMINE THE PREFERENCES, LIMITATIONS AND RELATIVE RIGHTS OF ANY CLASS OF THE PREFERRED STOCK BEFORE THE ISSUANCE OF SHARES OF SUCH CLASS OF PREFERRED STOCK. THE COMPANY WILL FURNISH, WITHOUT CHARGE, TO ANY STOCKHOLDER MAKING A WRITTEN REQUEST THEREFOR, A COPY OF THE COMPANY’S CHARTER AND A WRITTEN STATEMENT OF THE DESIGNATIONS, RELATIVE RIGHTS, PREFERENCES, CONVERSION OR OTHER RIGHTS, VOTING POWERS, RESTRICTIONS, LIMITATIONS AS TO DIVIDENDS AND OTHER DISTRIBUTIONS, QUALIFICATIONS AND TERMS AND CONDITIONS OF REDEMPTION OF THE STOCK OF EACH CLASS WHICH THE COMPANY HAS THE AUTHORITY TO ISSUE AND, IF THE COMPANY IS AUTHORIZED TO ISSUE ANY PREFERRED OR SPECIAL CLASS AND SERIES, (i) THE DIFFERENCES IN THE RELATIVE RIGHTS AND PREFERENCES BETWEEN THE SHARES OF EACH SERIES TO THE EXTENT SET, AND (ii) THE AUTHORITY OF THE BOARD OF DIRECTORS TO SET SUCH RIGHTS AND PREFERENCES OF SUBSEQUENT SERIES. REQUESTS FOR SUCH WRITTEN STATEMENT MAY BE DIRECTED TO THE SECRETARY OF THE COMPANY AT ITS PRINCIPAL OFFICE.”</w:t>
      </w:r>
    </w:p>
    <w:p>
      <w:pPr>
        <w:spacing w:after="0" w:line="1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3"/>
          <w:szCs w:val="13"/>
          <w:b w:val="1"/>
          <w:bCs w:val="1"/>
          <w:color w:val="auto"/>
        </w:rPr>
        <w:t>Restriction on Ownership and Transfer</w:t>
      </w:r>
    </w:p>
    <w:p>
      <w:pPr>
        <w:spacing w:after="0" w:line="189" w:lineRule="exact"/>
        <w:rPr>
          <w:sz w:val="20"/>
          <w:szCs w:val="20"/>
          <w:color w:val="auto"/>
        </w:rPr>
      </w:pPr>
    </w:p>
    <w:p>
      <w:pPr>
        <w:ind w:left="900" w:right="620"/>
        <w:spacing w:after="0" w:line="272" w:lineRule="auto"/>
        <w:rPr>
          <w:sz w:val="20"/>
          <w:szCs w:val="20"/>
          <w:color w:val="auto"/>
        </w:rPr>
      </w:pPr>
      <w:r>
        <w:rPr>
          <w:rFonts w:ascii="Times New Roman" w:cs="Times New Roman" w:eastAsia="Times New Roman" w:hAnsi="Times New Roman"/>
          <w:sz w:val="13"/>
          <w:szCs w:val="13"/>
          <w:color w:val="auto"/>
        </w:rPr>
        <w:t>“THE SHARES OF 4.375% SERIES C CUMULATIVE CONVERTIBLE PREFERRED STOCK (“SERIES C PREFERRED STOCK”) REPRESENTED BY THIS CERTIFICATE ARE SUBJECT TO RESTRICTIONS ON BENEFICIAL AND CONSTRUCTIVE OWNERSHIP AND TRANSFER FOR THE PURPOSE OF THE COMPANY’S MAINTENANCE OF ITS STATUS AS A REAL ESTATE INVESTMENT TRUST UNDER THE INTERNAL REVENUE CODE OF 1986, AS AMENDED (THE “CODE”). SUBJECT TO CERTAIN FURTHER RESTRICTIONS AND EXCEPT AS EXPRESSLY PROVIDED IN THE ARTICLES SUPPLEMENTARY FOR THE SERIES C PREFERRED STOCK, (i) NO PERSON MAY BENEFICIALLY OR CONSTRUCTIVELY OWN SHARES OF THE COMPANY’S SERIES C PREFERRED STOCK IN EXCESS OF 9.8% (BY VALUE OR BY NUMBER OF SHARES, WHICHEVER IS MORE RESTRICTIVE) OF THE OUTSTANDING SERIES C PREFERRED STOCK OF THE COMPANY; (ii) NO PERSON MAY BENEFICIALLY OR CONSTRUCTIVELY OWN SHARES OF THE COMPANY’S CAPITAL STOCK WITH A VALUE IN EXCESS OF 9.8% OF THE VALUE OF THE COMPANY’S OUTSTANDING CAPITAL STOCK; (iii) NO PERSON MAY BENEFICIALLY OR CONSTRUCTIVELY OWN SERIES C PREFERRED STOCK THAT, TAKING INTO ACCOUNT THE COMPANY COMMON STOCK INTO WHICH IT IS CONVERTIBLE AND ANY OTHER COMMON STOCK OF THE COMPANY BENEFICIALLY OR CONSTRUCTIVELY OWNED BY SUCH PERSON, WOULD RESULT IN SUCH PERSON’S OWNERSHIP OF COMMON STOCK IN EXCESS OF 9.8% (BY VALUE OR BY NUMBER OF SHARES, WHICHEVER IS MORE RESTRICTIVE) OF THE OUTSTANDING COMMON STOCK OF THE COMPANY; (iv) NO PERSON MAY BENEFICIALLY OR CONSTRUCTIVELY OWN SERIES C PREFERRED STOCK THAT, TAKING INTO ACCOUNT ANY OTHER CAPITAL STOCK OF THE COMPANY BENEFICIALLY OR CONSTRUCTIVELY OWNED BY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214630</wp:posOffset>
            </wp:positionV>
            <wp:extent cx="4436110" cy="762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429">
                      <a:extLst>
                        <a:ext uri="{28A0092B-C50C-407E-A947-70E740481C1C}"/>
                      </a:extLst>
                    </a:blip>
                    <a:srcRect/>
                    <a:stretch>
                      <a:fillRect/>
                    </a:stretch>
                  </pic:blipFill>
                  <pic:spPr bwMode="auto">
                    <a:xfrm>
                      <a:off x="0" y="0"/>
                      <a:ext cx="4436110"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641350</wp:posOffset>
            </wp:positionV>
            <wp:extent cx="5083810" cy="152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430">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50" w:name="page251"/>
    <w:bookmarkEnd w:id="250"/>
    <w:p>
      <w:pPr>
        <w:ind w:left="900" w:right="620"/>
        <w:spacing w:after="0" w:line="271" w:lineRule="auto"/>
        <w:rPr>
          <w:sz w:val="20"/>
          <w:szCs w:val="20"/>
          <w:color w:val="auto"/>
        </w:rPr>
      </w:pPr>
      <w:r>
        <w:rPr>
          <w:rFonts w:ascii="Times New Roman" w:cs="Times New Roman" w:eastAsia="Times New Roman" w:hAnsi="Times New Roman"/>
          <w:sz w:val="13"/>
          <w:szCs w:val="13"/>
          <w:color w:val="auto"/>
        </w:rPr>
        <w:t>PERSON, WOULD RESULT IN THE COMPANY BEING “CLOSELY HELD” UNDER SECTION 856(h) OF THE CODE OR OTHERWISE CAUSE THE COMPANY TO FAIL TO QUALIFY AS A REIT; AND (v) NO PERSON MAY TRANSFER SERIES C PREFERRED STOCK IF SUCH TRANSFER WOULD RESULT IN THE CAPITAL STOCK OF THE COMPANY BEING OWNED BY FEWER THAN 100 PERSONS. ANY PERSON WHO BENEFICIALLY OR CONSTRUCTIVELY OWNS OR ATTEMPTS TO BENEFICIALLY OR CONSTRUCTIVELY OWN SERIES C PREFERRED STOCK WHICH CAUSES OR WILL CAUSE A PERSON TO BENEFICIALLY OR CONSTRUCTIVELY OWN SERIES C PREFERRED STOCK IN EXCESS OF THE ABOVE LIMITATIONS MUST IMMEDIATELY NOTIFY THE COMPANY. IF ANY OF THE RESTRICTIONS ON TRANSFER OR OWNERSHIP ARE VIOLATED, THE SERIES C PREFERRED STOCK REPRESENTED HEREBY IN EXCESS OF SUCH RESTRICTIONS WILL BE AUTOMATICALLY TRANSFERRED TO THE TRUSTEE OF A TRUST FOR THE BENEFIT OF ONE OR MORE CHARITABLE BENEFICIARIES. IN ADDITION, THE COMPANY MAY REDEEM SHARES UPON THE TERMS AND CONDITIONS SPECIFIED BY THE BOARD OF DIRECTORS IN ITS SOLE DISCRETION IF THE BOARD OF DIRECTORS DETERMINES THAT OWNERSHIP OR A TRANSFER OR OTHER EVENT MAY VIOLATE THE RESTRICTIONS DESCRIBED ABOVE. FURTHERMORE, UPON THE OCCURRENCE OF CERTAIN EVENTS, ATTEMPTED TRANSFERS IN VIOLATION OF THE RESTRICTIONS DESCRIBED ABOVE MAY BE VOID AB INITIO. ALL TERMS IN THIS LEGEND WHICH ARE DEFINED IN THE ARTICLES SUPPLEMENTARY FOR THE SERIES C PREFERRED STOCK SHALL HAVE THE MEANINGS ASCRIBED TO THEM IN SUCH ARTICLES SUPPLEMENTARY, AS THE SAME MAY BE AMENDED FROM TIME TO TIME, A COPY OF WHICH, INCLUDING THE RESTRICTIONS ON TRANSFER AND OWNERSHIP, WILL BE FURNISHED TO EACH HOLDER OF SERIES C PREFERRED STOCK ON REQUEST AND WITHOUT CHARGE. REQUESTS FOR SUCH A COPY MAY BE DIRECTED TO THE SECRETARY OF THE COMPANY AT ITS PRINCIPAL OFFICE.”</w:t>
      </w:r>
    </w:p>
    <w:p>
      <w:pPr>
        <w:spacing w:after="0" w:line="140" w:lineRule="exact"/>
        <w:rPr>
          <w:sz w:val="20"/>
          <w:szCs w:val="20"/>
          <w:color w:val="auto"/>
        </w:rPr>
      </w:pPr>
    </w:p>
    <w:p>
      <w:pPr>
        <w:ind w:left="600" w:right="860" w:firstLine="306"/>
        <w:spacing w:after="0" w:line="289" w:lineRule="auto"/>
        <w:tabs>
          <w:tab w:leader="none" w:pos="1080" w:val="left"/>
        </w:tabs>
        <w:numPr>
          <w:ilvl w:val="0"/>
          <w:numId w:val="1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Severability. </w:t>
      </w:r>
      <w:r>
        <w:rPr>
          <w:rFonts w:ascii="Times New Roman" w:cs="Times New Roman" w:eastAsia="Times New Roman" w:hAnsi="Times New Roman"/>
          <w:sz w:val="13"/>
          <w:szCs w:val="13"/>
          <w:color w:val="auto"/>
        </w:rPr>
        <w:t>If any provision of this Section 7 or any application of any such provision is determined to be invalid by any federal 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state court having jurisdiction over the issues, the validity of the remaining provisions shall not be affected and other applications of such provision shall be affected only to the extent necessary to comply with the determination of such court.</w:t>
      </w:r>
    </w:p>
    <w:p>
      <w:pPr>
        <w:spacing w:after="0" w:line="132" w:lineRule="exact"/>
        <w:rPr>
          <w:rFonts w:ascii="Times New Roman" w:cs="Times New Roman" w:eastAsia="Times New Roman" w:hAnsi="Times New Roman"/>
          <w:sz w:val="13"/>
          <w:szCs w:val="13"/>
          <w:color w:val="auto"/>
        </w:rPr>
      </w:pPr>
    </w:p>
    <w:p>
      <w:pPr>
        <w:ind w:left="600" w:right="700" w:firstLine="306"/>
        <w:spacing w:after="0" w:line="289" w:lineRule="auto"/>
        <w:tabs>
          <w:tab w:leader="none" w:pos="1044" w:val="left"/>
        </w:tabs>
        <w:numPr>
          <w:ilvl w:val="0"/>
          <w:numId w:val="1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NYSE. </w:t>
      </w:r>
      <w:r>
        <w:rPr>
          <w:rFonts w:ascii="Times New Roman" w:cs="Times New Roman" w:eastAsia="Times New Roman" w:hAnsi="Times New Roman"/>
          <w:sz w:val="13"/>
          <w:szCs w:val="13"/>
          <w:color w:val="auto"/>
        </w:rPr>
        <w:t>Nothing in this Section 7 shall preclude the settlement of any transaction entered into through the facilities of the NYSE.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shares of Series C Preferred Stock that are the subject of such transaction shall continue to be subject to the provisions of this Section 7 after such settlement.</w:t>
      </w:r>
    </w:p>
    <w:p>
      <w:pPr>
        <w:spacing w:after="0" w:line="132" w:lineRule="exact"/>
        <w:rPr>
          <w:sz w:val="20"/>
          <w:szCs w:val="20"/>
          <w:color w:val="auto"/>
        </w:rPr>
      </w:pPr>
    </w:p>
    <w:p>
      <w:pPr>
        <w:ind w:left="600" w:right="860" w:firstLine="312"/>
        <w:spacing w:after="0" w:line="308" w:lineRule="auto"/>
        <w:rPr>
          <w:sz w:val="20"/>
          <w:szCs w:val="20"/>
          <w:color w:val="auto"/>
        </w:rPr>
      </w:pPr>
      <w:r>
        <w:rPr>
          <w:rFonts w:ascii="Times New Roman" w:cs="Times New Roman" w:eastAsia="Times New Roman" w:hAnsi="Times New Roman"/>
          <w:sz w:val="13"/>
          <w:szCs w:val="13"/>
          <w:color w:val="auto"/>
        </w:rPr>
        <w:t>(m)</w:t>
      </w:r>
      <w:r>
        <w:rPr>
          <w:rFonts w:ascii="Times New Roman" w:cs="Times New Roman" w:eastAsia="Times New Roman" w:hAnsi="Times New Roman"/>
          <w:sz w:val="13"/>
          <w:szCs w:val="13"/>
          <w:b w:val="1"/>
          <w:bCs w:val="1"/>
          <w:color w:val="auto"/>
        </w:rPr>
        <w:t>Applicability of Section 7.</w:t>
      </w:r>
      <w:r>
        <w:rPr>
          <w:rFonts w:ascii="Times New Roman" w:cs="Times New Roman" w:eastAsia="Times New Roman" w:hAnsi="Times New Roman"/>
          <w:sz w:val="13"/>
          <w:szCs w:val="13"/>
          <w:color w:val="auto"/>
        </w:rPr>
        <w:t xml:space="preserve"> The provisions set forth in this Section 7 shall apply to the Series C Preferred Stock notwithstanding any contrary provisions of the Series C Preferred Stock provided for elsewhere in these Articles Supplementary.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92710</wp:posOffset>
            </wp:positionV>
            <wp:extent cx="4436110" cy="152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431">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534670</wp:posOffset>
            </wp:positionV>
            <wp:extent cx="5083810" cy="152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432">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51" w:name="page252"/>
    <w:bookmarkEnd w:id="251"/>
    <w:p>
      <w:pPr>
        <w:ind w:left="900"/>
        <w:spacing w:after="0"/>
        <w:rPr>
          <w:sz w:val="20"/>
          <w:szCs w:val="20"/>
          <w:color w:val="auto"/>
        </w:rPr>
      </w:pPr>
      <w:r>
        <w:rPr>
          <w:rFonts w:ascii="Times New Roman" w:cs="Times New Roman" w:eastAsia="Times New Roman" w:hAnsi="Times New Roman"/>
          <w:sz w:val="13"/>
          <w:szCs w:val="13"/>
          <w:color w:val="auto"/>
        </w:rPr>
        <w:t xml:space="preserve">SECTION 8. </w:t>
      </w:r>
      <w:r>
        <w:rPr>
          <w:rFonts w:ascii="Times New Roman" w:cs="Times New Roman" w:eastAsia="Times New Roman" w:hAnsi="Times New Roman"/>
          <w:sz w:val="13"/>
          <w:szCs w:val="13"/>
          <w:b w:val="1"/>
          <w:bCs w:val="1"/>
          <w:color w:val="auto"/>
        </w:rPr>
        <w:t>Conversion Rights.</w:t>
      </w:r>
    </w:p>
    <w:p>
      <w:pPr>
        <w:spacing w:after="0" w:line="187" w:lineRule="exact"/>
        <w:rPr>
          <w:sz w:val="20"/>
          <w:szCs w:val="20"/>
          <w:color w:val="auto"/>
        </w:rPr>
      </w:pPr>
    </w:p>
    <w:p>
      <w:pPr>
        <w:ind w:left="600" w:right="1320" w:firstLine="306"/>
        <w:spacing w:after="0" w:line="308" w:lineRule="auto"/>
        <w:tabs>
          <w:tab w:leader="none" w:pos="1080" w:val="left"/>
        </w:tabs>
        <w:numPr>
          <w:ilvl w:val="0"/>
          <w:numId w:val="1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Definitions. </w:t>
      </w:r>
      <w:r>
        <w:rPr>
          <w:rFonts w:ascii="Times New Roman" w:cs="Times New Roman" w:eastAsia="Times New Roman" w:hAnsi="Times New Roman"/>
          <w:sz w:val="13"/>
          <w:szCs w:val="13"/>
          <w:color w:val="auto"/>
        </w:rPr>
        <w:t>For the purposes of this Section 8 of these Articles Supplementary, the following terms shall have the following</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meanings:</w:t>
      </w:r>
    </w:p>
    <w:p>
      <w:pPr>
        <w:spacing w:after="0" w:line="120" w:lineRule="exact"/>
        <w:rPr>
          <w:sz w:val="20"/>
          <w:szCs w:val="20"/>
          <w:color w:val="auto"/>
        </w:rPr>
      </w:pPr>
    </w:p>
    <w:p>
      <w:pPr>
        <w:ind w:left="600" w:right="660" w:firstLine="312"/>
        <w:spacing w:after="0" w:line="275"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Closing Sale Price</w:t>
      </w:r>
      <w:r>
        <w:rPr>
          <w:rFonts w:ascii="Times New Roman" w:cs="Times New Roman" w:eastAsia="Times New Roman" w:hAnsi="Times New Roman"/>
          <w:sz w:val="13"/>
          <w:szCs w:val="13"/>
          <w:color w:val="auto"/>
        </w:rPr>
        <w:t xml:space="preserve"> ” per share of Common Stock on any date means the closing sale price per share (or, if no closing sale price is reported, the average of the bid and asked prices or, if more than one in either case, the average of the average bid and the average asked prices) on such date as reported by the NYSE or, if the Common Stock is not reported by the NYSE, in composite transactions for the principal other U.S. national or regional securities exchange on which the Common Stock is traded. If the Common Stock is not listed for trading on a U.S. national or regional securities exchange on the relevant date, the “Closing Sale Price” will be the last quoted bid price for the Common Stock in the over-the-counter market on the relevant date as reported by the National Quotation Bureau Incorporated or similar organization. If the Common Stock is not so quoted, the “Closing Sale Price” will be the average of the mid-point of the last bid and asked prices for the Common Stock on the relevant date from each of at least three independent nationally recognized investment banking firms selected by the Company for this purpose.</w:t>
      </w:r>
    </w:p>
    <w:p>
      <w:pPr>
        <w:spacing w:after="0" w:line="13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b w:val="1"/>
          <w:bCs w:val="1"/>
          <w:color w:val="auto"/>
        </w:rPr>
        <w:t xml:space="preserve">“Conversion Date” </w:t>
      </w:r>
      <w:r>
        <w:rPr>
          <w:rFonts w:ascii="Times New Roman" w:cs="Times New Roman" w:eastAsia="Times New Roman" w:hAnsi="Times New Roman"/>
          <w:sz w:val="13"/>
          <w:szCs w:val="13"/>
          <w:color w:val="auto"/>
        </w:rPr>
        <w:t>has the meaning set forth in Section 8(b)(ii) of these Articles Supplementary.</w:t>
      </w:r>
    </w:p>
    <w:p>
      <w:pPr>
        <w:spacing w:after="0" w:line="187" w:lineRule="exact"/>
        <w:rPr>
          <w:sz w:val="20"/>
          <w:szCs w:val="20"/>
          <w:color w:val="auto"/>
        </w:rPr>
      </w:pPr>
    </w:p>
    <w:p>
      <w:pPr>
        <w:ind w:left="600" w:right="880" w:firstLine="312"/>
        <w:spacing w:after="0" w:line="308" w:lineRule="auto"/>
        <w:rPr>
          <w:sz w:val="20"/>
          <w:szCs w:val="20"/>
          <w:color w:val="auto"/>
        </w:rPr>
      </w:pPr>
      <w:r>
        <w:rPr>
          <w:rFonts w:ascii="Times New Roman" w:cs="Times New Roman" w:eastAsia="Times New Roman" w:hAnsi="Times New Roman"/>
          <w:sz w:val="13"/>
          <w:szCs w:val="13"/>
          <w:b w:val="1"/>
          <w:bCs w:val="1"/>
          <w:color w:val="auto"/>
        </w:rPr>
        <w:t xml:space="preserve">“Conversion Option” </w:t>
      </w:r>
      <w:r>
        <w:rPr>
          <w:rFonts w:ascii="Times New Roman" w:cs="Times New Roman" w:eastAsia="Times New Roman" w:hAnsi="Times New Roman"/>
          <w:sz w:val="13"/>
          <w:szCs w:val="13"/>
          <w:color w:val="auto"/>
        </w:rPr>
        <w:t>means the Company’s option to convert some or all of the Series C Preferred Stock into that number of shares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Common Stock that are issuable at the then-applicable conversion rate as described in Section 8(c) of these Articles Supplementary.</w:t>
      </w:r>
    </w:p>
    <w:p>
      <w:pPr>
        <w:spacing w:after="0" w:line="120" w:lineRule="exact"/>
        <w:rPr>
          <w:sz w:val="20"/>
          <w:szCs w:val="20"/>
          <w:color w:val="auto"/>
        </w:rPr>
      </w:pPr>
    </w:p>
    <w:p>
      <w:pPr>
        <w:ind w:left="600" w:right="1120" w:firstLine="312"/>
        <w:spacing w:after="0" w:line="308" w:lineRule="auto"/>
        <w:rPr>
          <w:sz w:val="20"/>
          <w:szCs w:val="20"/>
          <w:color w:val="auto"/>
        </w:rPr>
      </w:pPr>
      <w:r>
        <w:rPr>
          <w:rFonts w:ascii="Times New Roman" w:cs="Times New Roman" w:eastAsia="Times New Roman" w:hAnsi="Times New Roman"/>
          <w:sz w:val="13"/>
          <w:szCs w:val="13"/>
          <w:b w:val="1"/>
          <w:bCs w:val="1"/>
          <w:color w:val="auto"/>
        </w:rPr>
        <w:t xml:space="preserve">“Conversion Price” </w:t>
      </w:r>
      <w:r>
        <w:rPr>
          <w:rFonts w:ascii="Times New Roman" w:cs="Times New Roman" w:eastAsia="Times New Roman" w:hAnsi="Times New Roman"/>
          <w:sz w:val="13"/>
          <w:szCs w:val="13"/>
          <w:color w:val="auto"/>
        </w:rPr>
        <w:t>per share of Series C Preferred Stock as of any date means the liquidation preference of such share of Series C</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Preferred Stock divided by the then applicable Conversion Rate.</w:t>
      </w:r>
    </w:p>
    <w:p>
      <w:pPr>
        <w:spacing w:after="0" w:line="120" w:lineRule="exact"/>
        <w:rPr>
          <w:sz w:val="20"/>
          <w:szCs w:val="20"/>
          <w:color w:val="auto"/>
        </w:rPr>
      </w:pPr>
    </w:p>
    <w:p>
      <w:pPr>
        <w:ind w:left="600" w:right="920" w:firstLine="312"/>
        <w:spacing w:after="0" w:line="308" w:lineRule="auto"/>
        <w:rPr>
          <w:sz w:val="20"/>
          <w:szCs w:val="20"/>
          <w:color w:val="auto"/>
        </w:rPr>
      </w:pPr>
      <w:r>
        <w:rPr>
          <w:rFonts w:ascii="Times New Roman" w:cs="Times New Roman" w:eastAsia="Times New Roman" w:hAnsi="Times New Roman"/>
          <w:sz w:val="13"/>
          <w:szCs w:val="13"/>
          <w:b w:val="1"/>
          <w:bCs w:val="1"/>
          <w:color w:val="auto"/>
        </w:rPr>
        <w:t xml:space="preserve">“Conversion Rate” </w:t>
      </w:r>
      <w:r>
        <w:rPr>
          <w:rFonts w:ascii="Times New Roman" w:cs="Times New Roman" w:eastAsia="Times New Roman" w:hAnsi="Times New Roman"/>
          <w:sz w:val="13"/>
          <w:szCs w:val="13"/>
          <w:color w:val="auto"/>
        </w:rPr>
        <w:t>means initially 0.5164 shares of Common Stock per $25.00 liquidation preference, subject to adjustment in certain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events as set forth in this Section 8 of these Articles Supplementary.</w:t>
      </w:r>
    </w:p>
    <w:p>
      <w:pPr>
        <w:spacing w:after="0" w:line="12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b w:val="1"/>
          <w:bCs w:val="1"/>
          <w:color w:val="auto"/>
        </w:rPr>
        <w:t xml:space="preserve">“DTC” </w:t>
      </w:r>
      <w:r>
        <w:rPr>
          <w:rFonts w:ascii="Times New Roman" w:cs="Times New Roman" w:eastAsia="Times New Roman" w:hAnsi="Times New Roman"/>
          <w:sz w:val="13"/>
          <w:szCs w:val="13"/>
          <w:color w:val="auto"/>
        </w:rPr>
        <w:t>means The Depository Trust Company or any successor entity.</w:t>
      </w:r>
    </w:p>
    <w:p>
      <w:pPr>
        <w:spacing w:after="0" w:line="18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b w:val="1"/>
          <w:bCs w:val="1"/>
          <w:color w:val="auto"/>
        </w:rPr>
        <w:t xml:space="preserve">“Fundamental Change” </w:t>
      </w:r>
      <w:r>
        <w:rPr>
          <w:rFonts w:ascii="Times New Roman" w:cs="Times New Roman" w:eastAsia="Times New Roman" w:hAnsi="Times New Roman"/>
          <w:sz w:val="13"/>
          <w:szCs w:val="13"/>
          <w:color w:val="auto"/>
        </w:rPr>
        <w:t>shall be deemed to have occurred at such time as:</w:t>
      </w:r>
    </w:p>
    <w:p>
      <w:pPr>
        <w:spacing w:after="0" w:line="189" w:lineRule="exact"/>
        <w:rPr>
          <w:sz w:val="20"/>
          <w:szCs w:val="20"/>
          <w:color w:val="auto"/>
        </w:rPr>
      </w:pPr>
    </w:p>
    <w:p>
      <w:pPr>
        <w:ind w:left="1220" w:right="740" w:firstLine="311"/>
        <w:spacing w:after="0" w:line="276" w:lineRule="auto"/>
        <w:tabs>
          <w:tab w:leader="none" w:pos="1688" w:val="left"/>
        </w:tabs>
        <w:numPr>
          <w:ilvl w:val="0"/>
          <w:numId w:val="1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consummation of any transaction or event (whether by means of a share exchange or tender offer applicable to Common Stock, a liquidation, consolidation, recapitalization, reclassification, combination or merger of the Company or a sale, lease or other transfer of all or substantially all of its consolidated assets) or a series of related transactions or events pursuant to which all of the outstanding shares of Common Stock are exchanged for, converted into or constitutes solely the right to receive cash, securities or other property more than 10% of which consists of cash, securities or other property that are not, or upon issuance will not be, traded on a national securities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106680</wp:posOffset>
            </wp:positionV>
            <wp:extent cx="4436110" cy="152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433">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549275</wp:posOffset>
            </wp:positionV>
            <wp:extent cx="5083810" cy="152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434">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252" w:name="page253"/>
    <w:bookmarkEnd w:id="252"/>
    <w:p>
      <w:pPr>
        <w:ind w:left="1220" w:right="740" w:firstLine="311"/>
        <w:spacing w:after="0" w:line="275" w:lineRule="auto"/>
        <w:tabs>
          <w:tab w:leader="none" w:pos="1724" w:val="left"/>
        </w:tabs>
        <w:numPr>
          <w:ilvl w:val="0"/>
          <w:numId w:val="1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any “person” or “group” (as such terms are used for purposes of Sections 13(d) and 14(d) of the Securities Exchange Act of 1934, as amended, whether or not applicable), other than the Company, the Company’s operating partnership subsidiary, Digital Realty Trust, L.P. (the “ </w:t>
      </w:r>
      <w:r>
        <w:rPr>
          <w:rFonts w:ascii="Times New Roman" w:cs="Times New Roman" w:eastAsia="Times New Roman" w:hAnsi="Times New Roman"/>
          <w:sz w:val="13"/>
          <w:szCs w:val="13"/>
          <w:b w:val="1"/>
          <w:bCs w:val="1"/>
          <w:color w:val="auto"/>
        </w:rPr>
        <w:t>Operating Partnership</w:t>
      </w:r>
      <w:r>
        <w:rPr>
          <w:rFonts w:ascii="Times New Roman" w:cs="Times New Roman" w:eastAsia="Times New Roman" w:hAnsi="Times New Roman"/>
          <w:sz w:val="13"/>
          <w:szCs w:val="13"/>
          <w:color w:val="auto"/>
        </w:rPr>
        <w:t xml:space="preserve"> ”) or any of the Company’s or the Operating Partnership’s majority-owned subsidiaries or any employee benefit plan of the Company, the Operating Partnership or such subsidiary, is or becomes the “beneficial owner,” directly or indirectly, of more than 50% of the total voting power in the aggregate of all classes of the Company’s capital stock of then outstanding entitled to vote generally in elections of directors (for the avoidance of doubt the ownership of limited partnership units of the Operating Partnership shall not be deemed to constitute beneficial ownership of the Company’s capital stock); or</w:t>
      </w:r>
    </w:p>
    <w:p>
      <w:pPr>
        <w:spacing w:after="0" w:line="313" w:lineRule="exact"/>
        <w:rPr>
          <w:rFonts w:ascii="Times New Roman" w:cs="Times New Roman" w:eastAsia="Times New Roman" w:hAnsi="Times New Roman"/>
          <w:sz w:val="13"/>
          <w:szCs w:val="13"/>
          <w:color w:val="auto"/>
        </w:rPr>
      </w:pPr>
    </w:p>
    <w:p>
      <w:pPr>
        <w:ind w:left="1220" w:right="660" w:firstLine="311"/>
        <w:spacing w:after="0" w:line="278" w:lineRule="auto"/>
        <w:tabs>
          <w:tab w:leader="none" w:pos="1760" w:val="left"/>
        </w:tabs>
        <w:numPr>
          <w:ilvl w:val="0"/>
          <w:numId w:val="1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any period of 12 consecutive months after the date of original issuance of the Series C Preferred Stock, persons who at the beginning of such 12 month period constituted the Company’s board of directors, together with any new persons whose election was approved by a vote of a majority of the persons then still comprising the Company’s board of directors who were either members of the board of directors at the beginning of such period or whose election, designation or nomination for election was previously so approved, cease for any reason to constitute a majority of the Company’s board of directors.</w:t>
      </w:r>
    </w:p>
    <w:p>
      <w:pPr>
        <w:spacing w:after="0" w:line="14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b w:val="1"/>
          <w:bCs w:val="1"/>
          <w:color w:val="auto"/>
        </w:rPr>
        <w:t xml:space="preserve">“Fundamental Change Conversion Right” </w:t>
      </w:r>
      <w:r>
        <w:rPr>
          <w:rFonts w:ascii="Times New Roman" w:cs="Times New Roman" w:eastAsia="Times New Roman" w:hAnsi="Times New Roman"/>
          <w:sz w:val="13"/>
          <w:szCs w:val="13"/>
          <w:color w:val="auto"/>
        </w:rPr>
        <w:t>has the meaning set forth in Section 8(l)(i) of these Articles Supplementary.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127000</wp:posOffset>
            </wp:positionV>
            <wp:extent cx="4436110" cy="762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435">
                      <a:extLst>
                        <a:ext uri="{28A0092B-C50C-407E-A947-70E740481C1C}"/>
                      </a:extLst>
                    </a:blip>
                    <a:srcRect/>
                    <a:stretch>
                      <a:fillRect/>
                    </a:stretch>
                  </pic:blipFill>
                  <pic:spPr bwMode="auto">
                    <a:xfrm>
                      <a:off x="0" y="0"/>
                      <a:ext cx="4436110"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568960</wp:posOffset>
            </wp:positionV>
            <wp:extent cx="5083810" cy="152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436">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53" w:name="page254"/>
    <w:bookmarkEnd w:id="253"/>
    <w:p>
      <w:pPr>
        <w:ind w:left="600" w:right="740" w:firstLine="312"/>
        <w:spacing w:after="0" w:line="271" w:lineRule="auto"/>
        <w:rPr>
          <w:sz w:val="20"/>
          <w:szCs w:val="20"/>
          <w:color w:val="auto"/>
        </w:rPr>
      </w:pPr>
      <w:r>
        <w:rPr>
          <w:rFonts w:ascii="Times New Roman" w:cs="Times New Roman" w:eastAsia="Times New Roman" w:hAnsi="Times New Roman"/>
          <w:sz w:val="13"/>
          <w:szCs w:val="13"/>
          <w:b w:val="1"/>
          <w:bCs w:val="1"/>
          <w:color w:val="auto"/>
        </w:rPr>
        <w:t xml:space="preserve">“Market Price” </w:t>
      </w:r>
      <w:r>
        <w:rPr>
          <w:rFonts w:ascii="Times New Roman" w:cs="Times New Roman" w:eastAsia="Times New Roman" w:hAnsi="Times New Roman"/>
          <w:sz w:val="13"/>
          <w:szCs w:val="13"/>
          <w:color w:val="auto"/>
        </w:rPr>
        <w:t>means, with respect to any Fundamental Change Conversion Date, the average of the Closing Sale Prices of the Common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Stock for the ten consecutive Trading Days ending on the third Trading Day prior to the Fundamental Change Conversion Date, appropriately adjusted to take into account the occurrence, during the period commencing on the first Trading Day of such ten Trading Day period and ending on the Fundamental Change Conversion Date of any event requiring an adjustment of the Conversion Rate as described under Section 8(h); provided that in no event shall the market price be less than</w:t>
      </w:r>
    </w:p>
    <w:p>
      <w:pPr>
        <w:spacing w:after="0" w:line="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$0.01, subject to adjustment for share splits and combinations, reclassifications and similar events.</w:t>
      </w:r>
    </w:p>
    <w:p>
      <w:pPr>
        <w:spacing w:after="0" w:line="16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b w:val="1"/>
          <w:bCs w:val="1"/>
          <w:color w:val="auto"/>
        </w:rPr>
        <w:t xml:space="preserve">“NYSE </w:t>
      </w:r>
      <w:r>
        <w:rPr>
          <w:rFonts w:ascii="Times New Roman" w:cs="Times New Roman" w:eastAsia="Times New Roman" w:hAnsi="Times New Roman"/>
          <w:sz w:val="13"/>
          <w:szCs w:val="13"/>
          <w:color w:val="auto"/>
        </w:rPr>
        <w:t>” means the New York Stock Exchange, Inc.</w:t>
      </w:r>
    </w:p>
    <w:p>
      <w:pPr>
        <w:spacing w:after="0" w:line="18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b w:val="1"/>
          <w:bCs w:val="1"/>
          <w:color w:val="auto"/>
        </w:rPr>
        <w:t xml:space="preserve">“SEC” </w:t>
      </w:r>
      <w:r>
        <w:rPr>
          <w:rFonts w:ascii="Times New Roman" w:cs="Times New Roman" w:eastAsia="Times New Roman" w:hAnsi="Times New Roman"/>
          <w:sz w:val="13"/>
          <w:szCs w:val="13"/>
          <w:color w:val="auto"/>
        </w:rPr>
        <w:t>means the U.S. Securities and Exchange Commission.</w:t>
      </w:r>
    </w:p>
    <w:p>
      <w:pPr>
        <w:spacing w:after="0" w:line="187" w:lineRule="exact"/>
        <w:rPr>
          <w:sz w:val="20"/>
          <w:szCs w:val="20"/>
          <w:color w:val="auto"/>
        </w:rPr>
      </w:pPr>
    </w:p>
    <w:p>
      <w:pPr>
        <w:ind w:left="600" w:right="580" w:firstLine="312"/>
        <w:spacing w:after="0" w:line="282"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Trading Day</w:t>
      </w:r>
      <w:r>
        <w:rPr>
          <w:rFonts w:ascii="Times New Roman" w:cs="Times New Roman" w:eastAsia="Times New Roman" w:hAnsi="Times New Roman"/>
          <w:sz w:val="13"/>
          <w:szCs w:val="13"/>
          <w:color w:val="auto"/>
        </w:rPr>
        <w:t xml:space="preserve"> ” means a day during which trading in securities generally occurs on the NYSE or, if the Common Stock is not quoted on the NYSE, then a day during which trading in securities generally occurs on the principal U.S. securities exchange on which the Common Stock is listed or, if the Common Stock is not listed on a U.S. national or regional securities exchange, then on the principal other market on which the Common Stock is then traded or quoted.</w:t>
      </w:r>
    </w:p>
    <w:p>
      <w:pPr>
        <w:spacing w:after="0" w:line="138" w:lineRule="exact"/>
        <w:rPr>
          <w:sz w:val="20"/>
          <w:szCs w:val="20"/>
          <w:color w:val="auto"/>
        </w:rPr>
      </w:pPr>
    </w:p>
    <w:p>
      <w:pPr>
        <w:ind w:left="1080" w:hanging="174"/>
        <w:spacing w:after="0"/>
        <w:tabs>
          <w:tab w:leader="none" w:pos="1080" w:val="left"/>
        </w:tabs>
        <w:numPr>
          <w:ilvl w:val="0"/>
          <w:numId w:val="1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Conversion at Holder’s Option </w:t>
      </w:r>
      <w:r>
        <w:rPr>
          <w:rFonts w:ascii="Times New Roman" w:cs="Times New Roman" w:eastAsia="Times New Roman" w:hAnsi="Times New Roman"/>
          <w:sz w:val="13"/>
          <w:szCs w:val="13"/>
          <w:color w:val="auto"/>
        </w:rPr>
        <w:t>.</w:t>
      </w:r>
    </w:p>
    <w:p>
      <w:pPr>
        <w:spacing w:after="0" w:line="189" w:lineRule="exact"/>
        <w:rPr>
          <w:sz w:val="20"/>
          <w:szCs w:val="20"/>
          <w:color w:val="auto"/>
        </w:rPr>
      </w:pPr>
    </w:p>
    <w:p>
      <w:pPr>
        <w:ind w:left="900" w:right="740" w:firstLine="312"/>
        <w:spacing w:after="0" w:line="305" w:lineRule="auto"/>
        <w:rPr>
          <w:sz w:val="20"/>
          <w:szCs w:val="20"/>
          <w:color w:val="auto"/>
        </w:rPr>
      </w:pPr>
      <w:r>
        <w:rPr>
          <w:rFonts w:ascii="Times New Roman" w:cs="Times New Roman" w:eastAsia="Times New Roman" w:hAnsi="Times New Roman"/>
          <w:sz w:val="13"/>
          <w:szCs w:val="13"/>
          <w:color w:val="auto"/>
        </w:rPr>
        <w:t>(i) Holders of shares of Series C Preferred Stock, at their option, may, at any time and from time to time, convert some or all of their outstanding shares of Series C Preferred Stock into Common Stock at the then applicable Conversion Rate.</w:t>
      </w:r>
    </w:p>
    <w:p>
      <w:pPr>
        <w:spacing w:after="0" w:line="124" w:lineRule="exact"/>
        <w:rPr>
          <w:sz w:val="20"/>
          <w:szCs w:val="20"/>
          <w:color w:val="auto"/>
        </w:rPr>
      </w:pPr>
    </w:p>
    <w:p>
      <w:pPr>
        <w:ind w:left="900" w:right="700" w:firstLine="319"/>
        <w:spacing w:after="0" w:line="278" w:lineRule="auto"/>
        <w:tabs>
          <w:tab w:leader="none" w:pos="1404" w:val="left"/>
        </w:tabs>
        <w:numPr>
          <w:ilvl w:val="0"/>
          <w:numId w:val="1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Company shall not issue fractional shares of Common Stock upon the conversion of shares of Series C Preferred Stock. Instead, the Company shall pay the cash value of such fractional shares based upon the Closing Sale Price of its Common Stock on the Trading Day (as defined in this Section 8) immediately prior to (A) the date on which the certificate or certificates representing the shares of Series C Preferred Stock to be converted are surrendered, accompanied by a written notice of conversion and any required transfer taxes (the “ </w:t>
      </w:r>
      <w:r>
        <w:rPr>
          <w:rFonts w:ascii="Times New Roman" w:cs="Times New Roman" w:eastAsia="Times New Roman" w:hAnsi="Times New Roman"/>
          <w:sz w:val="13"/>
          <w:szCs w:val="13"/>
          <w:b w:val="1"/>
          <w:bCs w:val="1"/>
          <w:color w:val="auto"/>
        </w:rPr>
        <w:t>Conversion Date</w:t>
      </w:r>
      <w:r>
        <w:rPr>
          <w:rFonts w:ascii="Times New Roman" w:cs="Times New Roman" w:eastAsia="Times New Roman" w:hAnsi="Times New Roman"/>
          <w:sz w:val="13"/>
          <w:szCs w:val="13"/>
          <w:color w:val="auto"/>
        </w:rPr>
        <w:t xml:space="preserve"> ”), or (B) the effective date for the Company’s Conversion Option, as the case may be.</w:t>
      </w:r>
    </w:p>
    <w:p>
      <w:pPr>
        <w:spacing w:after="0" w:line="142" w:lineRule="exact"/>
        <w:rPr>
          <w:rFonts w:ascii="Times New Roman" w:cs="Times New Roman" w:eastAsia="Times New Roman" w:hAnsi="Times New Roman"/>
          <w:sz w:val="13"/>
          <w:szCs w:val="13"/>
          <w:color w:val="auto"/>
        </w:rPr>
      </w:pPr>
    </w:p>
    <w:p>
      <w:pPr>
        <w:jc w:val="both"/>
        <w:ind w:left="900" w:right="820" w:firstLine="319"/>
        <w:spacing w:after="0" w:line="281" w:lineRule="auto"/>
        <w:tabs>
          <w:tab w:leader="none" w:pos="1440" w:val="left"/>
        </w:tabs>
        <w:numPr>
          <w:ilvl w:val="0"/>
          <w:numId w:val="1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holder of shares of Series C Preferred Stock is not entitled to any rights of a common stockholder of the Company until such holder of shares of Series C Preferred Stock has converted its shares of Series C Preferred Stock or unless the Company has exercised its Conversion Option, and only to the extent the shares of Series C Preferred Stock are deemed to have been converted into shares of Common Stock under these Articles Supplementary.</w:t>
      </w:r>
    </w:p>
    <w:p>
      <w:pPr>
        <w:spacing w:after="0" w:line="140" w:lineRule="exact"/>
        <w:rPr>
          <w:rFonts w:ascii="Times New Roman" w:cs="Times New Roman" w:eastAsia="Times New Roman" w:hAnsi="Times New Roman"/>
          <w:sz w:val="13"/>
          <w:szCs w:val="13"/>
          <w:color w:val="auto"/>
        </w:rPr>
      </w:pPr>
    </w:p>
    <w:p>
      <w:pPr>
        <w:ind w:left="900" w:right="780" w:firstLine="319"/>
        <w:spacing w:after="0" w:line="287" w:lineRule="auto"/>
        <w:tabs>
          <w:tab w:leader="none" w:pos="1428" w:val="left"/>
        </w:tabs>
        <w:numPr>
          <w:ilvl w:val="0"/>
          <w:numId w:val="1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anything herein to the contrary, holders of shares of Series C Preferred Stock may not convert their outstanding shares of Series C Preferred Stock into Common Stock if such conversion would cause the holder to violate the Aggregate Stock Ownership Limit or Common Stock Ownership Limit or otherwise result in the Company failing to qualify as a REIT.</w:t>
      </w:r>
    </w:p>
    <w:p>
      <w:pPr>
        <w:spacing w:after="0" w:line="133" w:lineRule="exact"/>
        <w:rPr>
          <w:rFonts w:ascii="Times New Roman" w:cs="Times New Roman" w:eastAsia="Times New Roman" w:hAnsi="Times New Roman"/>
          <w:sz w:val="13"/>
          <w:szCs w:val="13"/>
          <w:color w:val="auto"/>
        </w:rPr>
      </w:pPr>
    </w:p>
    <w:p>
      <w:pPr>
        <w:ind w:left="900" w:right="620" w:firstLine="319"/>
        <w:spacing w:after="0" w:line="273" w:lineRule="auto"/>
        <w:tabs>
          <w:tab w:leader="none" w:pos="1392" w:val="left"/>
        </w:tabs>
        <w:numPr>
          <w:ilvl w:val="0"/>
          <w:numId w:val="1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Conversion Procedures </w:t>
      </w:r>
      <w:r>
        <w:rPr>
          <w:rFonts w:ascii="Times New Roman" w:cs="Times New Roman" w:eastAsia="Times New Roman" w:hAnsi="Times New Roman"/>
          <w:sz w:val="13"/>
          <w:szCs w:val="13"/>
          <w:color w:val="auto"/>
        </w:rPr>
        <w:t>. Holders of shares of Series C Preferred Stock may convert some or all of their shares by surrendering to</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Company at its principal office or at the office of its transfer agent, as may be designated by the Board of Directors, the certificate or certificates for the shares of Series C Preferred Stock to be converted, accompanied by a written notice stating that the holder of shares of Series C Preferred Stock elects to convert all or a specified whole number of those shares in accordance with the provisions described in this Section 8 and specifying the name or names in which the holder of shares of Series C Preferred Stock wishes the certificate or certificates for the shares of Common Stock to be issued. If the notice specifies a name or names other than the name of the holder of shares of Series C Preferred Stock, the notice shall be accompanied by payment of all transfer taxes payable upon the issuance of shares of Common Stock in that name or names. Other than such transfer taxes, the Company shall pay any documentary, stamp or similar issue or transfer taxes that may be payable in respect of any issuance or delivery of shares of Common Stock upon conversion of shares of Series C Preferred Stock. The date on which the Company has received all of the surrendered certificate or certificates, the notice relating to the conversion and payment of all required transfer taxes, if any, or the demonstration to the Company’s satisfaction that those taxes have been paid, shall be deemed the Conversion Date with respect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215900</wp:posOffset>
            </wp:positionV>
            <wp:extent cx="4436110" cy="152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437">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650240</wp:posOffset>
            </wp:positionV>
            <wp:extent cx="5083810" cy="152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438">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254" w:name="page255"/>
    <w:bookmarkEnd w:id="254"/>
    <w:p>
      <w:pPr>
        <w:ind w:left="900" w:right="640"/>
        <w:spacing w:after="0" w:line="274" w:lineRule="auto"/>
        <w:rPr>
          <w:sz w:val="20"/>
          <w:szCs w:val="20"/>
          <w:color w:val="auto"/>
        </w:rPr>
      </w:pPr>
      <w:r>
        <w:rPr>
          <w:rFonts w:ascii="Times New Roman" w:cs="Times New Roman" w:eastAsia="Times New Roman" w:hAnsi="Times New Roman"/>
          <w:sz w:val="13"/>
          <w:szCs w:val="13"/>
          <w:color w:val="auto"/>
        </w:rPr>
        <w:t>to a share of Series C Preferred Stock. As promptly as practicable after the Conversion Date with respect to any shares of Series C Preferred Stock, the Company shall deliver or cause to be delivered (A) certificates representing the number of validly issued, fully paid and non-assessable shares of Common Stock to which the holders of shares of such Series C Preferred Stock, or the transferee of the holder of such shares of Series C Preferred Stock, shall be entitled and (B) if less than the full number of shares of Series C Preferred Stock evidenced by the surrendered certificate or certificates is being converted, a new certificate or certificates, of like tenor, for the number of shares evidenced by the surrendered certificate or certificates, less the number of shares being converted. This conversion shall be deemed to have been made at the close of business on the Conversion Date so that the rights of the holder of shares of Series C Preferred Stock as to the shares being converted shall cease except for the right to receive the conversion value, and, if applicable, the person entitled to receive shares of Common Stock shall be treated for all purposes as having become the record holder of those shares of Common Stock at that time on that date.</w:t>
      </w:r>
    </w:p>
    <w:p>
      <w:pPr>
        <w:spacing w:after="0" w:line="301" w:lineRule="exact"/>
        <w:rPr>
          <w:sz w:val="20"/>
          <w:szCs w:val="20"/>
          <w:color w:val="auto"/>
        </w:rPr>
      </w:pPr>
    </w:p>
    <w:p>
      <w:pPr>
        <w:ind w:left="900" w:right="580" w:firstLine="319"/>
        <w:spacing w:after="0" w:line="287" w:lineRule="auto"/>
        <w:tabs>
          <w:tab w:leader="none" w:pos="1428" w:val="left"/>
        </w:tabs>
        <w:numPr>
          <w:ilvl w:val="0"/>
          <w:numId w:val="1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lieu of the foregoing procedures, if the Series C Preferred Stock is held in global certificate form, the holder of shares of Series C Preferred Stock must comply with the procedures of DTC to convert its beneficial interest in respect of the Series C Preferred Stock evidenced by a global stock certificate of the Series C Preferred Stock.</w:t>
      </w:r>
    </w:p>
    <w:p>
      <w:pPr>
        <w:spacing w:after="0" w:line="135" w:lineRule="exact"/>
        <w:rPr>
          <w:rFonts w:ascii="Times New Roman" w:cs="Times New Roman" w:eastAsia="Times New Roman" w:hAnsi="Times New Roman"/>
          <w:sz w:val="13"/>
          <w:szCs w:val="13"/>
          <w:color w:val="auto"/>
        </w:rPr>
      </w:pPr>
    </w:p>
    <w:p>
      <w:pPr>
        <w:ind w:left="1480" w:hanging="261"/>
        <w:spacing w:after="0"/>
        <w:tabs>
          <w:tab w:leader="none" w:pos="1480" w:val="left"/>
        </w:tabs>
        <w:numPr>
          <w:ilvl w:val="0"/>
          <w:numId w:val="1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any shares of Series C Preferred Stock are to be converted pursuant to the Company’s Conversion Option, the right of a</w:t>
      </w:r>
    </w:p>
    <w:p>
      <w:pPr>
        <w:spacing w:after="0" w:line="22" w:lineRule="exact"/>
        <w:rPr>
          <w:sz w:val="20"/>
          <w:szCs w:val="20"/>
          <w:color w:val="auto"/>
        </w:rPr>
      </w:pPr>
    </w:p>
    <w:p>
      <w:pPr>
        <w:ind w:left="900" w:right="1140"/>
        <w:spacing w:after="0" w:line="284" w:lineRule="auto"/>
        <w:rPr>
          <w:sz w:val="20"/>
          <w:szCs w:val="20"/>
          <w:color w:val="auto"/>
        </w:rPr>
      </w:pPr>
      <w:r>
        <w:rPr>
          <w:rFonts w:ascii="Times New Roman" w:cs="Times New Roman" w:eastAsia="Times New Roman" w:hAnsi="Times New Roman"/>
          <w:sz w:val="13"/>
          <w:szCs w:val="13"/>
          <w:color w:val="auto"/>
        </w:rPr>
        <w:t>holder of such to voluntarily convert those shares of Series C Preferred Stock shall terminate if the Company has not received the conversion notice of such holder of such shares of Series C Preferred Stock by 5:00 p.m., New York City time, on the business day immediately preceding the date fixed for conversion pursuant to the Company’s Conversion Option.</w:t>
      </w:r>
    </w:p>
    <w:p>
      <w:pPr>
        <w:spacing w:after="0" w:line="138" w:lineRule="exact"/>
        <w:rPr>
          <w:sz w:val="20"/>
          <w:szCs w:val="20"/>
          <w:color w:val="auto"/>
        </w:rPr>
      </w:pPr>
    </w:p>
    <w:p>
      <w:pPr>
        <w:ind w:left="900" w:right="800" w:firstLine="312"/>
        <w:spacing w:after="0" w:line="287" w:lineRule="auto"/>
        <w:rPr>
          <w:sz w:val="20"/>
          <w:szCs w:val="20"/>
          <w:color w:val="auto"/>
        </w:rPr>
      </w:pPr>
      <w:r>
        <w:rPr>
          <w:rFonts w:ascii="Times New Roman" w:cs="Times New Roman" w:eastAsia="Times New Roman" w:hAnsi="Times New Roman"/>
          <w:sz w:val="13"/>
          <w:szCs w:val="13"/>
          <w:color w:val="auto"/>
        </w:rPr>
        <w:t>(viii) If more than one share of Series C Preferred Stock is surrendered for conversion by the same holder at the same time, the number of whole shares of Common Stock issuable upon conversion of those shares of Series C Preferred Stock shall be computed on the basis of the total number of shares of Series C Preferred Stock so surrendered.</w:t>
      </w:r>
    </w:p>
    <w:p>
      <w:pPr>
        <w:spacing w:after="0" w:line="134" w:lineRule="exact"/>
        <w:rPr>
          <w:sz w:val="20"/>
          <w:szCs w:val="20"/>
          <w:color w:val="auto"/>
        </w:rPr>
      </w:pPr>
    </w:p>
    <w:p>
      <w:pPr>
        <w:ind w:left="1080" w:hanging="174"/>
        <w:spacing w:after="0"/>
        <w:tabs>
          <w:tab w:leader="none" w:pos="1080" w:val="left"/>
        </w:tabs>
        <w:numPr>
          <w:ilvl w:val="0"/>
          <w:numId w:val="1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Company Conversion Option </w:t>
      </w:r>
      <w:r>
        <w:rPr>
          <w:rFonts w:ascii="Times New Roman" w:cs="Times New Roman" w:eastAsia="Times New Roman" w:hAnsi="Times New Roman"/>
          <w:sz w:val="13"/>
          <w:szCs w:val="13"/>
          <w:color w:val="auto"/>
        </w:rPr>
        <w:t>.</w:t>
      </w:r>
    </w:p>
    <w:p>
      <w:pPr>
        <w:spacing w:after="0" w:line="188" w:lineRule="exact"/>
        <w:rPr>
          <w:rFonts w:ascii="Times New Roman" w:cs="Times New Roman" w:eastAsia="Times New Roman" w:hAnsi="Times New Roman"/>
          <w:sz w:val="13"/>
          <w:szCs w:val="13"/>
          <w:color w:val="auto"/>
        </w:rPr>
      </w:pPr>
    </w:p>
    <w:p>
      <w:pPr>
        <w:ind w:left="900" w:right="680" w:firstLine="319"/>
        <w:spacing w:after="0" w:line="276" w:lineRule="auto"/>
        <w:tabs>
          <w:tab w:leader="none" w:pos="1356" w:val="left"/>
        </w:tabs>
        <w:numPr>
          <w:ilvl w:val="1"/>
          <w:numId w:val="1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or after April 10, 2012, the Company may exercise its Conversion Option, as described below, but only if (A) the Closing Sale Price of the Common Stock equals or exceeds 130% of the then-applicable Conversion Price per share of the Series C Preferred Stock for at least 20 Trading Days in a period of 30 consecutive Trading Days (including the last Trading Day of such period) ending on the Trading Day immediately prior to the Company’s issuance of a press release announcing the exercise of its Conversion Option as described below in paragraph (iii); and (B) on or prior to the Effective Date of the exercise of its Conversion Option, the Company has either declared and paid, or declared and set apart for payment, any unpaid dividends that are in arrears on the Series C Preferred Stock.</w:t>
      </w:r>
    </w:p>
    <w:p>
      <w:pPr>
        <w:spacing w:after="0" w:line="144" w:lineRule="exact"/>
        <w:rPr>
          <w:rFonts w:ascii="Times New Roman" w:cs="Times New Roman" w:eastAsia="Times New Roman" w:hAnsi="Times New Roman"/>
          <w:sz w:val="13"/>
          <w:szCs w:val="13"/>
          <w:color w:val="auto"/>
        </w:rPr>
      </w:pPr>
    </w:p>
    <w:p>
      <w:pPr>
        <w:ind w:left="900" w:right="620" w:firstLine="319"/>
        <w:spacing w:after="0" w:line="276" w:lineRule="auto"/>
        <w:tabs>
          <w:tab w:leader="none" w:pos="1404" w:val="left"/>
        </w:tabs>
        <w:numPr>
          <w:ilvl w:val="1"/>
          <w:numId w:val="1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Company converts less than all of the outstanding shares of Series C Preferred Stock, the Company’s transfer agent shall select the shares by lot, on a pro rata basis or in accordance with any other method the transfer agent considers fair and appropriate. The Company may convert the Series C Preferred Stock only in a whole number of shares of Series C Preferred Stock. If a portion of a holder’s Series C Preferred Stock is selected for partial conversion by the Company and the holder converts a portion of such Series C Preferred Stock, the number of shares of Series C Preferred Stock subject to conversion by the Company shall be reduced by the number of shares that the holder converted.</w:t>
      </w:r>
    </w:p>
    <w:p>
      <w:pPr>
        <w:spacing w:after="0" w:line="144" w:lineRule="exact"/>
        <w:rPr>
          <w:rFonts w:ascii="Times New Roman" w:cs="Times New Roman" w:eastAsia="Times New Roman" w:hAnsi="Times New Roman"/>
          <w:sz w:val="13"/>
          <w:szCs w:val="13"/>
          <w:color w:val="auto"/>
        </w:rPr>
      </w:pPr>
    </w:p>
    <w:p>
      <w:pPr>
        <w:ind w:left="900" w:right="700" w:firstLine="319"/>
        <w:spacing w:after="0" w:line="275" w:lineRule="auto"/>
        <w:tabs>
          <w:tab w:leader="none" w:pos="1440" w:val="left"/>
        </w:tabs>
        <w:numPr>
          <w:ilvl w:val="1"/>
          <w:numId w:val="1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exercise its Conversion Option described above, the Company shall issue a press release for publication on the Dow Jones &amp; Company, Inc., Business Wire or Bloomberg Business News (or, if such organizations are not in existence at the time of issuance of such press release, such other news or press organization as is reasonably calculated to broadly disseminate the relevant information to the public) prior to the opening of business on the first Trading Day following any date on which the conditions described in Section 8(c)(i) are met, announcing such conversion. The Company shall also give notice by mail or by publication (with subsequent prompt notice by mail) to holders of shares of Series C Preferred Stock (not more than four Trading Days after the date of the press release) and, if required by the rules and regulations of the SEC, the Company shall file a Current Report on Form 8-K (or make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107315</wp:posOffset>
            </wp:positionV>
            <wp:extent cx="4436110" cy="152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439">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549275</wp:posOffset>
            </wp:positionV>
            <wp:extent cx="5083810" cy="152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440">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55" w:name="page256"/>
    <w:bookmarkEnd w:id="255"/>
    <w:p>
      <w:pPr>
        <w:ind w:left="900" w:right="700"/>
        <w:spacing w:after="0" w:line="287" w:lineRule="auto"/>
        <w:rPr>
          <w:sz w:val="20"/>
          <w:szCs w:val="20"/>
          <w:color w:val="auto"/>
        </w:rPr>
      </w:pPr>
      <w:r>
        <w:rPr>
          <w:rFonts w:ascii="Times New Roman" w:cs="Times New Roman" w:eastAsia="Times New Roman" w:hAnsi="Times New Roman"/>
          <w:sz w:val="13"/>
          <w:szCs w:val="13"/>
          <w:color w:val="auto"/>
        </w:rPr>
        <w:t>other filing on an appropriate form as may be permitted by the rules and regulations of the SEC), of the exercise of the Company’s Conversion Option announcing its intention to convert Series C Preferred Stock. The Effective Date for the Company’s Conversion Option shall be the date that is five Trading Days after the date on which the Company issues such press release.</w:t>
      </w:r>
    </w:p>
    <w:p>
      <w:pPr>
        <w:spacing w:after="0" w:line="136" w:lineRule="exact"/>
        <w:rPr>
          <w:sz w:val="20"/>
          <w:szCs w:val="20"/>
          <w:color w:val="auto"/>
        </w:rPr>
      </w:pPr>
    </w:p>
    <w:p>
      <w:pPr>
        <w:ind w:left="900" w:right="660" w:firstLine="319"/>
        <w:spacing w:after="0" w:line="276" w:lineRule="auto"/>
        <w:tabs>
          <w:tab w:leader="none" w:pos="1428" w:val="left"/>
        </w:tabs>
        <w:numPr>
          <w:ilvl w:val="1"/>
          <w:numId w:val="1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addition to any information required by applicable law or regulation, the press release and notice of the exercise of the Company’s Conversion Option referred to in paragraph (iii) above shall state, as appropriate: (A) the Effective Date for its Conversion Option; (B) the number of shares of Common Stock to be issued upon conversion of each share of Series C Preferred Stock; (C) the number of shares of Series C Preferred Stock to be converted; and (D) that dividends on the shares of Series C Preferred Stock to be converted shall cease to accrue on the Effective Date for the Company’s Conversion Option (and no dividends on such converted shares shall be payable except as provided in these Articles Supplementary).</w:t>
      </w:r>
    </w:p>
    <w:p>
      <w:pPr>
        <w:spacing w:after="0" w:line="142" w:lineRule="exact"/>
        <w:rPr>
          <w:rFonts w:ascii="Times New Roman" w:cs="Times New Roman" w:eastAsia="Times New Roman" w:hAnsi="Times New Roman"/>
          <w:sz w:val="13"/>
          <w:szCs w:val="13"/>
          <w:color w:val="auto"/>
        </w:rPr>
      </w:pPr>
    </w:p>
    <w:p>
      <w:pPr>
        <w:ind w:left="600" w:right="720" w:firstLine="306"/>
        <w:spacing w:after="0" w:line="282" w:lineRule="auto"/>
        <w:tabs>
          <w:tab w:leader="none" w:pos="1092" w:val="left"/>
        </w:tabs>
        <w:numPr>
          <w:ilvl w:val="0"/>
          <w:numId w:val="1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Reservation of Shares </w:t>
      </w:r>
      <w:r>
        <w:rPr>
          <w:rFonts w:ascii="Times New Roman" w:cs="Times New Roman" w:eastAsia="Times New Roman" w:hAnsi="Times New Roman"/>
          <w:sz w:val="13"/>
          <w:szCs w:val="13"/>
          <w:color w:val="auto"/>
        </w:rPr>
        <w:t>. The Company shall at all times reserve and keep available, free from preemptive rights out of the Company’s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authorized but unissued shares of capital stock, for issuance upon the conversion of shares of Series C Preferred Stock, a number of the Company’s authorized but unissued shares of Common Stock that shall from time to time be sufficient to permit the conversion of all outstanding shares of Series C Preferred Stock.</w:t>
      </w:r>
    </w:p>
    <w:p>
      <w:pPr>
        <w:spacing w:after="0" w:line="137" w:lineRule="exact"/>
        <w:rPr>
          <w:rFonts w:ascii="Times New Roman" w:cs="Times New Roman" w:eastAsia="Times New Roman" w:hAnsi="Times New Roman"/>
          <w:sz w:val="13"/>
          <w:szCs w:val="13"/>
          <w:color w:val="auto"/>
        </w:rPr>
      </w:pPr>
    </w:p>
    <w:p>
      <w:pPr>
        <w:jc w:val="both"/>
        <w:ind w:left="600" w:right="660" w:firstLine="306"/>
        <w:spacing w:after="0" w:line="282" w:lineRule="auto"/>
        <w:tabs>
          <w:tab w:leader="none" w:pos="1080" w:val="left"/>
        </w:tabs>
        <w:numPr>
          <w:ilvl w:val="0"/>
          <w:numId w:val="1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Compliance with Laws; Validity, etc., of Common Stock </w:t>
      </w:r>
      <w:r>
        <w:rPr>
          <w:rFonts w:ascii="Times New Roman" w:cs="Times New Roman" w:eastAsia="Times New Roman" w:hAnsi="Times New Roman"/>
          <w:sz w:val="13"/>
          <w:szCs w:val="13"/>
          <w:color w:val="auto"/>
        </w:rPr>
        <w:t>. Before the delivery of any securities upon conversion of shares of Series C</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Preferred Stock, the Company shall comply with all applicable federal and state laws and regulations. All shares of Common Stock delivered upon conversion of shares of Series C Preferred Stock shall, upon delivery, be duly and validly issued, fully paid and non-assessable, free of all liens and charges and not subject to any preemptive rights.</w:t>
      </w:r>
    </w:p>
    <w:p>
      <w:pPr>
        <w:spacing w:after="0" w:line="137" w:lineRule="exact"/>
        <w:rPr>
          <w:rFonts w:ascii="Times New Roman" w:cs="Times New Roman" w:eastAsia="Times New Roman" w:hAnsi="Times New Roman"/>
          <w:sz w:val="13"/>
          <w:szCs w:val="13"/>
          <w:color w:val="auto"/>
        </w:rPr>
      </w:pPr>
    </w:p>
    <w:p>
      <w:pPr>
        <w:ind w:left="1060" w:hanging="154"/>
        <w:spacing w:after="0"/>
        <w:tabs>
          <w:tab w:leader="none" w:pos="1060" w:val="left"/>
        </w:tabs>
        <w:numPr>
          <w:ilvl w:val="0"/>
          <w:numId w:val="1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Payment of Dividends Upon Conversion; Optional Conversion </w:t>
      </w:r>
      <w:r>
        <w:rPr>
          <w:rFonts w:ascii="Times New Roman" w:cs="Times New Roman" w:eastAsia="Times New Roman" w:hAnsi="Times New Roman"/>
          <w:sz w:val="13"/>
          <w:szCs w:val="13"/>
          <w:color w:val="auto"/>
        </w:rPr>
        <w:t>.</w:t>
      </w:r>
    </w:p>
    <w:p>
      <w:pPr>
        <w:spacing w:after="0" w:line="188" w:lineRule="exact"/>
        <w:rPr>
          <w:rFonts w:ascii="Times New Roman" w:cs="Times New Roman" w:eastAsia="Times New Roman" w:hAnsi="Times New Roman"/>
          <w:sz w:val="13"/>
          <w:szCs w:val="13"/>
          <w:color w:val="auto"/>
        </w:rPr>
      </w:pPr>
    </w:p>
    <w:p>
      <w:pPr>
        <w:ind w:left="900" w:right="700" w:firstLine="319"/>
        <w:spacing w:after="0" w:line="276" w:lineRule="auto"/>
        <w:tabs>
          <w:tab w:leader="none" w:pos="1368" w:val="left"/>
        </w:tabs>
        <w:numPr>
          <w:ilvl w:val="1"/>
          <w:numId w:val="1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 holder of shares of Series C Preferred Stock exercises its conversion rights, upon delivery of the shares of Series C Preferred Stock for conversion, those shares of Series C Preferred Stock shall cease to cumulate dividends as of the end of the Conversion Date, and the holder of shares of Series C Preferred Stock shall not receive any cash payment in an amount equal to accrued and unpaid dividends on the shares of Series C Preferred Stock, except in those limited circumstances discussed below in this Section 8(f). Except as provided below in this Section 8(f), the Company shall make no payment for accrued and unpaid dividends, whether or not in arrears, on shares of Series C Preferred Stock converted at the election of holders of such shares.</w:t>
      </w:r>
    </w:p>
    <w:p>
      <w:pPr>
        <w:spacing w:after="0" w:line="144" w:lineRule="exact"/>
        <w:rPr>
          <w:rFonts w:ascii="Times New Roman" w:cs="Times New Roman" w:eastAsia="Times New Roman" w:hAnsi="Times New Roman"/>
          <w:sz w:val="13"/>
          <w:szCs w:val="13"/>
          <w:color w:val="auto"/>
        </w:rPr>
      </w:pPr>
    </w:p>
    <w:p>
      <w:pPr>
        <w:jc w:val="both"/>
        <w:ind w:left="900" w:right="640" w:firstLine="319"/>
        <w:spacing w:after="0" w:line="287" w:lineRule="auto"/>
        <w:tabs>
          <w:tab w:leader="none" w:pos="1404" w:val="left"/>
        </w:tabs>
        <w:numPr>
          <w:ilvl w:val="1"/>
          <w:numId w:val="1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Company receives a conversion notice before the close of business on a Dividend Record Date, the holder of shares of Series C Preferred Stock shall not be entitled to receive any portion of the dividend payable on such shares of converted stock on the corresponding Dividend Payment Date.</w:t>
      </w:r>
    </w:p>
    <w:p>
      <w:pPr>
        <w:spacing w:after="0" w:line="135" w:lineRule="exact"/>
        <w:rPr>
          <w:rFonts w:ascii="Times New Roman" w:cs="Times New Roman" w:eastAsia="Times New Roman" w:hAnsi="Times New Roman"/>
          <w:sz w:val="13"/>
          <w:szCs w:val="13"/>
          <w:color w:val="auto"/>
        </w:rPr>
      </w:pPr>
    </w:p>
    <w:p>
      <w:pPr>
        <w:ind w:left="900" w:right="640" w:firstLine="319"/>
        <w:spacing w:after="0" w:line="274" w:lineRule="auto"/>
        <w:tabs>
          <w:tab w:leader="none" w:pos="1440" w:val="left"/>
        </w:tabs>
        <w:numPr>
          <w:ilvl w:val="1"/>
          <w:numId w:val="1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Company receives a conversion notice after the Dividend Record Date but prior to the corresponding Dividend Payment Date, the holder of shares of Series C Preferred Stock on the Dividend Record Date will receive on that Dividend Payment Date accrued dividends on those shares of Series C Preferred Stock, notwithstanding the conversion of those shares of Series C Preferred Stock prior to that Dividend Payment Date, because that holder of shares of Series C Preferred Stock will have been the holder of record of shares of Series C Preferred Stock on the corresponding Dividend Record Date. At the time that such holder of shares of Series C Preferred Stock surrenders shares of Series C Preferred Stock for conversion, however, it shall pay to the Company an amount equal to the dividend that has accrued and that will be paid on the related Dividend Payment Date; provided that no such payment need be made if the Company has specified a Fundamental Change Repurchase Date relating to a Fundamental Change that is after a Dividend Record Date and on or prior to the Dividend Payment Date to which that Dividend Record Date relates.</w:t>
      </w:r>
    </w:p>
    <w:p>
      <w:pPr>
        <w:spacing w:after="0" w:line="132" w:lineRule="exact"/>
        <w:rPr>
          <w:rFonts w:ascii="Times New Roman" w:cs="Times New Roman" w:eastAsia="Times New Roman" w:hAnsi="Times New Roman"/>
          <w:sz w:val="13"/>
          <w:szCs w:val="13"/>
          <w:color w:val="auto"/>
        </w:rPr>
      </w:pPr>
    </w:p>
    <w:p>
      <w:pPr>
        <w:jc w:val="both"/>
        <w:ind w:left="900" w:right="840" w:firstLine="319"/>
        <w:spacing w:after="0" w:line="287" w:lineRule="auto"/>
        <w:tabs>
          <w:tab w:leader="none" w:pos="1428" w:val="left"/>
        </w:tabs>
        <w:numPr>
          <w:ilvl w:val="1"/>
          <w:numId w:val="1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holder of shares of Series C Preferred Stock is a holder of shares of Series C Preferred Stock on a Dividend Record Date and converts such shares of Series C Preferred Stock into shares of Common Stock on or after the corresponding Dividend Payment Date such holder of shares of Series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101600</wp:posOffset>
            </wp:positionV>
            <wp:extent cx="4436110" cy="762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441">
                      <a:extLst>
                        <a:ext uri="{28A0092B-C50C-407E-A947-70E740481C1C}"/>
                      </a:extLst>
                    </a:blip>
                    <a:srcRect/>
                    <a:stretch>
                      <a:fillRect/>
                    </a:stretch>
                  </pic:blipFill>
                  <pic:spPr bwMode="auto">
                    <a:xfrm>
                      <a:off x="0" y="0"/>
                      <a:ext cx="4436110"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535940</wp:posOffset>
            </wp:positionV>
            <wp:extent cx="5083810" cy="152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442">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56" w:name="page257"/>
    <w:bookmarkEnd w:id="256"/>
    <w:p>
      <w:pPr>
        <w:ind w:left="900" w:right="660"/>
        <w:spacing w:after="0" w:line="287" w:lineRule="auto"/>
        <w:rPr>
          <w:sz w:val="20"/>
          <w:szCs w:val="20"/>
          <w:color w:val="auto"/>
        </w:rPr>
      </w:pPr>
      <w:r>
        <w:rPr>
          <w:rFonts w:ascii="Times New Roman" w:cs="Times New Roman" w:eastAsia="Times New Roman" w:hAnsi="Times New Roman"/>
          <w:sz w:val="13"/>
          <w:szCs w:val="13"/>
          <w:color w:val="auto"/>
        </w:rPr>
        <w:t>Preferred Stock shall be entitled to receive the dividend payable on such shares of Series C Preferred Stock on such corresponding Dividend Payment Date, and the holder of shares of Series C Preferred Stock shall not need to include payment of the amount of such dividend upon surrender for conversion of shares of Series C Preferred Stock.</w:t>
      </w:r>
    </w:p>
    <w:p>
      <w:pPr>
        <w:spacing w:after="0" w:line="134" w:lineRule="exact"/>
        <w:rPr>
          <w:sz w:val="20"/>
          <w:szCs w:val="20"/>
          <w:color w:val="auto"/>
        </w:rPr>
      </w:pPr>
    </w:p>
    <w:p>
      <w:pPr>
        <w:ind w:left="1080" w:hanging="174"/>
        <w:spacing w:after="0"/>
        <w:tabs>
          <w:tab w:leader="none" w:pos="1080" w:val="left"/>
        </w:tabs>
        <w:numPr>
          <w:ilvl w:val="0"/>
          <w:numId w:val="1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Payment of Dividends Upon Conversion; Company Conversion Option.</w:t>
      </w:r>
    </w:p>
    <w:p>
      <w:pPr>
        <w:spacing w:after="0" w:line="188" w:lineRule="exact"/>
        <w:rPr>
          <w:rFonts w:ascii="Times New Roman" w:cs="Times New Roman" w:eastAsia="Times New Roman" w:hAnsi="Times New Roman"/>
          <w:sz w:val="13"/>
          <w:szCs w:val="13"/>
          <w:color w:val="auto"/>
        </w:rPr>
      </w:pPr>
    </w:p>
    <w:p>
      <w:pPr>
        <w:ind w:left="900" w:right="720" w:firstLine="319"/>
        <w:spacing w:after="0" w:line="287" w:lineRule="auto"/>
        <w:tabs>
          <w:tab w:leader="none" w:pos="1368" w:val="left"/>
        </w:tabs>
        <w:numPr>
          <w:ilvl w:val="1"/>
          <w:numId w:val="1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Company converts shares of Series C Preferred Stock pursuant to its Conversion Option, on or prior to the Effective Date of the Conversion Option, the Company must first declare and pay, or declare and set apart for payment, any unpaid dividends that are in arrears on Series C Preferred Stock.</w:t>
      </w:r>
    </w:p>
    <w:p>
      <w:pPr>
        <w:spacing w:after="0" w:line="135" w:lineRule="exact"/>
        <w:rPr>
          <w:rFonts w:ascii="Times New Roman" w:cs="Times New Roman" w:eastAsia="Times New Roman" w:hAnsi="Times New Roman"/>
          <w:sz w:val="13"/>
          <w:szCs w:val="13"/>
          <w:color w:val="auto"/>
        </w:rPr>
      </w:pPr>
    </w:p>
    <w:p>
      <w:pPr>
        <w:jc w:val="both"/>
        <w:ind w:left="900" w:right="700" w:firstLine="319"/>
        <w:spacing w:after="0" w:line="271" w:lineRule="auto"/>
        <w:tabs>
          <w:tab w:leader="none" w:pos="1404" w:val="left"/>
        </w:tabs>
        <w:numPr>
          <w:ilvl w:val="1"/>
          <w:numId w:val="1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Company exercises its Conversion Option and the Effective Date is after the close of business on a Dividend Payment Date and prior to the close of business on the next Dividend Record Date, the holder of shares of Series C Preferred Stock shall not be entitled to receive any portion of the dividend payable for such period on such converted shares on the corresponding Dividend Payment Date.</w:t>
      </w:r>
    </w:p>
    <w:p>
      <w:pPr>
        <w:spacing w:after="0" w:line="1" w:lineRule="exact"/>
        <w:rPr>
          <w:rFonts w:ascii="Times New Roman" w:cs="Times New Roman" w:eastAsia="Times New Roman" w:hAnsi="Times New Roman"/>
          <w:sz w:val="13"/>
          <w:szCs w:val="13"/>
          <w:color w:val="auto"/>
        </w:rPr>
      </w:pPr>
    </w:p>
    <w:p>
      <w:pPr>
        <w:ind w:left="900" w:right="620"/>
        <w:spacing w:after="0" w:line="284"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Accordingly, if the Company converts shares of Series C Preferred Stock and the effective date is after the close of business on a Dividend Payment Date and prior to the close of business on the next Dividend Record Date, holders of shares of Series C Preferred Stock shall forego the right to receive any dividends accruing from such Dividend Payment Date to the Effective Date.</w:t>
      </w:r>
    </w:p>
    <w:p>
      <w:pPr>
        <w:spacing w:after="0" w:line="137" w:lineRule="exact"/>
        <w:rPr>
          <w:rFonts w:ascii="Times New Roman" w:cs="Times New Roman" w:eastAsia="Times New Roman" w:hAnsi="Times New Roman"/>
          <w:sz w:val="13"/>
          <w:szCs w:val="13"/>
          <w:color w:val="auto"/>
        </w:rPr>
      </w:pPr>
    </w:p>
    <w:p>
      <w:pPr>
        <w:ind w:left="900" w:right="800" w:firstLine="319"/>
        <w:spacing w:after="0" w:line="281" w:lineRule="auto"/>
        <w:tabs>
          <w:tab w:leader="none" w:pos="1440" w:val="left"/>
        </w:tabs>
        <w:numPr>
          <w:ilvl w:val="1"/>
          <w:numId w:val="1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Company exercises its Conversion Option and the Effective Date is on or after the close of business on any Dividend Record Date and prior to the close of business on the corresponding Dividend Payment Date, all dividends payable for such period with respect to the shares of Series C Preferred Stock called for a conversion on such date, shall be payable on such Dividend Payment Date to the holder of such shares of Series C Preferred Stock on such Dividend Record Date.</w:t>
      </w:r>
    </w:p>
    <w:p>
      <w:pPr>
        <w:spacing w:after="0" w:line="138" w:lineRule="exact"/>
        <w:rPr>
          <w:rFonts w:ascii="Times New Roman" w:cs="Times New Roman" w:eastAsia="Times New Roman" w:hAnsi="Times New Roman"/>
          <w:sz w:val="13"/>
          <w:szCs w:val="13"/>
          <w:color w:val="auto"/>
        </w:rPr>
      </w:pPr>
    </w:p>
    <w:p>
      <w:pPr>
        <w:ind w:left="1080" w:hanging="174"/>
        <w:spacing w:after="0"/>
        <w:tabs>
          <w:tab w:leader="none" w:pos="1080" w:val="left"/>
        </w:tabs>
        <w:numPr>
          <w:ilvl w:val="0"/>
          <w:numId w:val="1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Conversion Rate Adjustments </w:t>
      </w:r>
      <w:r>
        <w:rPr>
          <w:rFonts w:ascii="Times New Roman" w:cs="Times New Roman" w:eastAsia="Times New Roman" w:hAnsi="Times New Roman"/>
          <w:sz w:val="13"/>
          <w:szCs w:val="13"/>
          <w:color w:val="auto"/>
        </w:rPr>
        <w:t>. The Company shall adjust the conversion rate from time to time as follows:</w:t>
      </w:r>
    </w:p>
    <w:p>
      <w:pPr>
        <w:spacing w:after="0" w:line="188" w:lineRule="exact"/>
        <w:rPr>
          <w:rFonts w:ascii="Times New Roman" w:cs="Times New Roman" w:eastAsia="Times New Roman" w:hAnsi="Times New Roman"/>
          <w:sz w:val="13"/>
          <w:szCs w:val="13"/>
          <w:color w:val="auto"/>
        </w:rPr>
      </w:pPr>
    </w:p>
    <w:p>
      <w:pPr>
        <w:ind w:left="900" w:right="640" w:firstLine="319"/>
        <w:spacing w:after="0" w:line="305" w:lineRule="auto"/>
        <w:tabs>
          <w:tab w:leader="none" w:pos="1368" w:val="left"/>
        </w:tabs>
        <w:numPr>
          <w:ilvl w:val="1"/>
          <w:numId w:val="1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Company issues shares of Common Stock as a dividend or distribution on shares of Common Stock to all holders of Common Stock, or if the Company effects a share split or share combination, the conversion rate shall be adjusted based on the following formula:</w:t>
      </w:r>
    </w:p>
    <w:p>
      <w:pPr>
        <w:spacing w:after="0" w:line="12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CR </w:t>
      </w:r>
      <w:r>
        <w:rPr>
          <w:rFonts w:ascii="Times New Roman" w:cs="Times New Roman" w:eastAsia="Times New Roman" w:hAnsi="Times New Roman"/>
          <w:sz w:val="8"/>
          <w:szCs w:val="8"/>
          <w:color w:val="auto"/>
        </w:rPr>
        <w:t>1</w:t>
      </w:r>
      <w:r>
        <w:rPr>
          <w:rFonts w:ascii="Times New Roman" w:cs="Times New Roman" w:eastAsia="Times New Roman" w:hAnsi="Times New Roman"/>
          <w:sz w:val="13"/>
          <w:szCs w:val="13"/>
          <w:color w:val="auto"/>
        </w:rPr>
        <w:t xml:space="preserve"> = CR </w:t>
      </w:r>
      <w:r>
        <w:rPr>
          <w:rFonts w:ascii="Times New Roman" w:cs="Times New Roman" w:eastAsia="Times New Roman" w:hAnsi="Times New Roman"/>
          <w:sz w:val="8"/>
          <w:szCs w:val="8"/>
          <w:color w:val="auto"/>
        </w:rPr>
        <w:t>0</w:t>
      </w:r>
      <w:r>
        <w:rPr>
          <w:rFonts w:ascii="Times New Roman" w:cs="Times New Roman" w:eastAsia="Times New Roman" w:hAnsi="Times New Roman"/>
          <w:sz w:val="13"/>
          <w:szCs w:val="13"/>
          <w:color w:val="auto"/>
        </w:rPr>
        <w:t xml:space="preserve"> x OS </w:t>
      </w:r>
      <w:r>
        <w:rPr>
          <w:rFonts w:ascii="Times New Roman" w:cs="Times New Roman" w:eastAsia="Times New Roman" w:hAnsi="Times New Roman"/>
          <w:sz w:val="8"/>
          <w:szCs w:val="8"/>
          <w:color w:val="auto"/>
        </w:rPr>
        <w:t>1</w:t>
      </w:r>
      <w:r>
        <w:rPr>
          <w:rFonts w:ascii="Times New Roman" w:cs="Times New Roman" w:eastAsia="Times New Roman" w:hAnsi="Times New Roman"/>
          <w:sz w:val="13"/>
          <w:szCs w:val="13"/>
          <w:color w:val="auto"/>
        </w:rPr>
        <w:t xml:space="preserve"> /OS </w:t>
      </w:r>
      <w:r>
        <w:rPr>
          <w:rFonts w:ascii="Times New Roman" w:cs="Times New Roman" w:eastAsia="Times New Roman" w:hAnsi="Times New Roman"/>
          <w:sz w:val="8"/>
          <w:szCs w:val="8"/>
          <w:color w:val="auto"/>
        </w:rPr>
        <w:t>0</w:t>
      </w:r>
    </w:p>
    <w:p>
      <w:pPr>
        <w:spacing w:after="0" w:line="1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where</w:t>
      </w:r>
    </w:p>
    <w:p>
      <w:pPr>
        <w:spacing w:after="0" w:line="187" w:lineRule="exact"/>
        <w:rPr>
          <w:sz w:val="20"/>
          <w:szCs w:val="20"/>
          <w:color w:val="auto"/>
        </w:rPr>
      </w:pPr>
    </w:p>
    <w:p>
      <w:pPr>
        <w:ind w:left="900" w:right="1000"/>
        <w:spacing w:after="0" w:line="305" w:lineRule="auto"/>
        <w:rPr>
          <w:sz w:val="20"/>
          <w:szCs w:val="20"/>
          <w:color w:val="auto"/>
        </w:rPr>
      </w:pPr>
      <w:r>
        <w:rPr>
          <w:rFonts w:ascii="Times New Roman" w:cs="Times New Roman" w:eastAsia="Times New Roman" w:hAnsi="Times New Roman"/>
          <w:sz w:val="13"/>
          <w:szCs w:val="13"/>
          <w:color w:val="auto"/>
        </w:rPr>
        <w:t xml:space="preserve">CR </w:t>
      </w:r>
      <w:r>
        <w:rPr>
          <w:rFonts w:ascii="Times New Roman" w:cs="Times New Roman" w:eastAsia="Times New Roman" w:hAnsi="Times New Roman"/>
          <w:sz w:val="8"/>
          <w:szCs w:val="8"/>
          <w:color w:val="auto"/>
        </w:rPr>
        <w:t>0</w:t>
      </w:r>
      <w:r>
        <w:rPr>
          <w:rFonts w:ascii="Times New Roman" w:cs="Times New Roman" w:eastAsia="Times New Roman" w:hAnsi="Times New Roman"/>
          <w:sz w:val="13"/>
          <w:szCs w:val="13"/>
          <w:color w:val="auto"/>
        </w:rPr>
        <w:t xml:space="preserve"> = the conversion rate in effect immediately prior to the ex-dividend date for such dividend or distribution, or the effective date of such share split or share combination;</w:t>
      </w:r>
    </w:p>
    <w:p>
      <w:pPr>
        <w:spacing w:after="0" w:line="124" w:lineRule="exact"/>
        <w:rPr>
          <w:sz w:val="20"/>
          <w:szCs w:val="20"/>
          <w:color w:val="auto"/>
        </w:rPr>
      </w:pPr>
    </w:p>
    <w:p>
      <w:pPr>
        <w:ind w:left="900" w:right="660"/>
        <w:spacing w:after="0" w:line="305" w:lineRule="auto"/>
        <w:rPr>
          <w:sz w:val="20"/>
          <w:szCs w:val="20"/>
          <w:color w:val="auto"/>
        </w:rPr>
      </w:pPr>
      <w:r>
        <w:rPr>
          <w:rFonts w:ascii="Times New Roman" w:cs="Times New Roman" w:eastAsia="Times New Roman" w:hAnsi="Times New Roman"/>
          <w:sz w:val="13"/>
          <w:szCs w:val="13"/>
          <w:color w:val="auto"/>
        </w:rPr>
        <w:t xml:space="preserve">CR </w:t>
      </w:r>
      <w:r>
        <w:rPr>
          <w:rFonts w:ascii="Times New Roman" w:cs="Times New Roman" w:eastAsia="Times New Roman" w:hAnsi="Times New Roman"/>
          <w:sz w:val="8"/>
          <w:szCs w:val="8"/>
          <w:color w:val="auto"/>
        </w:rPr>
        <w:t>1</w:t>
      </w:r>
      <w:r>
        <w:rPr>
          <w:rFonts w:ascii="Times New Roman" w:cs="Times New Roman" w:eastAsia="Times New Roman" w:hAnsi="Times New Roman"/>
          <w:sz w:val="13"/>
          <w:szCs w:val="13"/>
          <w:color w:val="auto"/>
        </w:rPr>
        <w:t xml:space="preserve"> = the new conversion rate in effect immediately on and after the ex-dividend date for such dividend or distribution, or the effective date of such share split or share combination;</w:t>
      </w:r>
    </w:p>
    <w:p>
      <w:pPr>
        <w:spacing w:after="0" w:line="124" w:lineRule="exact"/>
        <w:rPr>
          <w:sz w:val="20"/>
          <w:szCs w:val="20"/>
          <w:color w:val="auto"/>
        </w:rPr>
      </w:pPr>
    </w:p>
    <w:p>
      <w:pPr>
        <w:ind w:left="900" w:right="920"/>
        <w:spacing w:after="0" w:line="305" w:lineRule="auto"/>
        <w:rPr>
          <w:sz w:val="20"/>
          <w:szCs w:val="20"/>
          <w:color w:val="auto"/>
        </w:rPr>
      </w:pPr>
      <w:r>
        <w:rPr>
          <w:rFonts w:ascii="Times New Roman" w:cs="Times New Roman" w:eastAsia="Times New Roman" w:hAnsi="Times New Roman"/>
          <w:sz w:val="13"/>
          <w:szCs w:val="13"/>
          <w:color w:val="auto"/>
        </w:rPr>
        <w:t xml:space="preserve">OS </w:t>
      </w:r>
      <w:r>
        <w:rPr>
          <w:rFonts w:ascii="Times New Roman" w:cs="Times New Roman" w:eastAsia="Times New Roman" w:hAnsi="Times New Roman"/>
          <w:sz w:val="8"/>
          <w:szCs w:val="8"/>
          <w:color w:val="auto"/>
        </w:rPr>
        <w:t>1</w:t>
      </w:r>
      <w:r>
        <w:rPr>
          <w:rFonts w:ascii="Times New Roman" w:cs="Times New Roman" w:eastAsia="Times New Roman" w:hAnsi="Times New Roman"/>
          <w:sz w:val="13"/>
          <w:szCs w:val="13"/>
          <w:color w:val="auto"/>
        </w:rPr>
        <w:t xml:space="preserve"> = the number of shares of Common Stock outstanding immediately after such dividend or distribution, or the effective date of such share split or share combination; and</w:t>
      </w:r>
    </w:p>
    <w:p>
      <w:pPr>
        <w:spacing w:after="0" w:line="124" w:lineRule="exact"/>
        <w:rPr>
          <w:sz w:val="20"/>
          <w:szCs w:val="20"/>
          <w:color w:val="auto"/>
        </w:rPr>
      </w:pPr>
    </w:p>
    <w:p>
      <w:pPr>
        <w:ind w:left="900" w:right="760"/>
        <w:spacing w:after="0" w:line="305" w:lineRule="auto"/>
        <w:rPr>
          <w:sz w:val="20"/>
          <w:szCs w:val="20"/>
          <w:color w:val="auto"/>
        </w:rPr>
      </w:pPr>
      <w:r>
        <w:rPr>
          <w:rFonts w:ascii="Times New Roman" w:cs="Times New Roman" w:eastAsia="Times New Roman" w:hAnsi="Times New Roman"/>
          <w:sz w:val="13"/>
          <w:szCs w:val="13"/>
          <w:color w:val="auto"/>
        </w:rPr>
        <w:t xml:space="preserve">OS </w:t>
      </w:r>
      <w:r>
        <w:rPr>
          <w:rFonts w:ascii="Times New Roman" w:cs="Times New Roman" w:eastAsia="Times New Roman" w:hAnsi="Times New Roman"/>
          <w:sz w:val="8"/>
          <w:szCs w:val="8"/>
          <w:color w:val="auto"/>
        </w:rPr>
        <w:t>0</w:t>
      </w:r>
      <w:r>
        <w:rPr>
          <w:rFonts w:ascii="Times New Roman" w:cs="Times New Roman" w:eastAsia="Times New Roman" w:hAnsi="Times New Roman"/>
          <w:sz w:val="13"/>
          <w:szCs w:val="13"/>
          <w:color w:val="auto"/>
        </w:rPr>
        <w:t xml:space="preserve"> = the number of shares of Common Stock outstanding immediately prior to such dividend or distribution, or the effective date of such share split or share combination.</w:t>
      </w:r>
    </w:p>
    <w:p>
      <w:pPr>
        <w:spacing w:after="0" w:line="124" w:lineRule="exact"/>
        <w:rPr>
          <w:sz w:val="20"/>
          <w:szCs w:val="20"/>
          <w:color w:val="auto"/>
        </w:rPr>
      </w:pPr>
    </w:p>
    <w:p>
      <w:pPr>
        <w:ind w:left="600" w:right="780" w:firstLine="312"/>
        <w:spacing w:after="0" w:line="281" w:lineRule="auto"/>
        <w:rPr>
          <w:sz w:val="20"/>
          <w:szCs w:val="20"/>
          <w:color w:val="auto"/>
        </w:rPr>
      </w:pPr>
      <w:r>
        <w:rPr>
          <w:rFonts w:ascii="Times New Roman" w:cs="Times New Roman" w:eastAsia="Times New Roman" w:hAnsi="Times New Roman"/>
          <w:sz w:val="13"/>
          <w:szCs w:val="13"/>
          <w:color w:val="auto"/>
        </w:rPr>
        <w:t>Any adjustment made pursuant to this paragraph (i) shall become effective at the open of business on (x) the ex-dividend date for such dividend or other distribution or (y) the date on which such split or combination becomes effective, as applicable. If any dividend or distribution described in this paragraph (i) is declared but not so paid or made, the new conversion rate shall be readjusted to the conversion rate that would then be in effect if such dividend or distribution had not been declared.</w:t>
      </w:r>
    </w:p>
    <w:p>
      <w:pPr>
        <w:spacing w:after="0" w:line="140" w:lineRule="exact"/>
        <w:rPr>
          <w:sz w:val="20"/>
          <w:szCs w:val="20"/>
          <w:color w:val="auto"/>
        </w:rPr>
      </w:pPr>
    </w:p>
    <w:p>
      <w:pPr>
        <w:ind w:left="900" w:right="1320" w:firstLine="312"/>
        <w:spacing w:after="0" w:line="305" w:lineRule="auto"/>
        <w:rPr>
          <w:sz w:val="20"/>
          <w:szCs w:val="20"/>
          <w:color w:val="auto"/>
        </w:rPr>
      </w:pPr>
      <w:r>
        <w:rPr>
          <w:rFonts w:ascii="Times New Roman" w:cs="Times New Roman" w:eastAsia="Times New Roman" w:hAnsi="Times New Roman"/>
          <w:sz w:val="13"/>
          <w:szCs w:val="13"/>
          <w:color w:val="auto"/>
        </w:rPr>
        <w:t>(ii) If the Company distributes to all holders of Common Stock any rights, warrants or options entitling them, for a period expiring not more than 45 days after the date of issuance of such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93980</wp:posOffset>
            </wp:positionV>
            <wp:extent cx="4436110" cy="152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43">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535940</wp:posOffset>
            </wp:positionV>
            <wp:extent cx="5083810" cy="152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44">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57" w:name="page258"/>
    <w:bookmarkEnd w:id="257"/>
    <w:p>
      <w:pPr>
        <w:ind w:left="900" w:right="620"/>
        <w:spacing w:after="0" w:line="287" w:lineRule="auto"/>
        <w:rPr>
          <w:sz w:val="20"/>
          <w:szCs w:val="20"/>
          <w:color w:val="auto"/>
        </w:rPr>
      </w:pPr>
      <w:r>
        <w:rPr>
          <w:rFonts w:ascii="Times New Roman" w:cs="Times New Roman" w:eastAsia="Times New Roman" w:hAnsi="Times New Roman"/>
          <w:sz w:val="13"/>
          <w:szCs w:val="13"/>
          <w:color w:val="auto"/>
        </w:rPr>
        <w:t>warrants or options, to subscribe for or purchase shares of Common Stock at a price per share that is less than the Closing Sale Price per share of Common Stock on the business day immediately preceding the time of announcement of such distribution, the Company shall adjust the conversion rate based on the following formula:</w:t>
      </w:r>
    </w:p>
    <w:p>
      <w:pPr>
        <w:spacing w:after="0" w:line="13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CR </w:t>
      </w:r>
      <w:r>
        <w:rPr>
          <w:rFonts w:ascii="Times New Roman" w:cs="Times New Roman" w:eastAsia="Times New Roman" w:hAnsi="Times New Roman"/>
          <w:sz w:val="8"/>
          <w:szCs w:val="8"/>
          <w:color w:val="auto"/>
        </w:rPr>
        <w:t>1</w:t>
      </w:r>
      <w:r>
        <w:rPr>
          <w:rFonts w:ascii="Times New Roman" w:cs="Times New Roman" w:eastAsia="Times New Roman" w:hAnsi="Times New Roman"/>
          <w:sz w:val="13"/>
          <w:szCs w:val="13"/>
          <w:color w:val="auto"/>
        </w:rPr>
        <w:t xml:space="preserve"> = CR </w:t>
      </w:r>
      <w:r>
        <w:rPr>
          <w:rFonts w:ascii="Times New Roman" w:cs="Times New Roman" w:eastAsia="Times New Roman" w:hAnsi="Times New Roman"/>
          <w:sz w:val="8"/>
          <w:szCs w:val="8"/>
          <w:color w:val="auto"/>
        </w:rPr>
        <w:t>0</w:t>
      </w:r>
      <w:r>
        <w:rPr>
          <w:rFonts w:ascii="Times New Roman" w:cs="Times New Roman" w:eastAsia="Times New Roman" w:hAnsi="Times New Roman"/>
          <w:sz w:val="13"/>
          <w:szCs w:val="13"/>
          <w:color w:val="auto"/>
        </w:rPr>
        <w:t xml:space="preserve"> x (OS </w:t>
      </w:r>
      <w:r>
        <w:rPr>
          <w:rFonts w:ascii="Times New Roman" w:cs="Times New Roman" w:eastAsia="Times New Roman" w:hAnsi="Times New Roman"/>
          <w:sz w:val="8"/>
          <w:szCs w:val="8"/>
          <w:color w:val="auto"/>
        </w:rPr>
        <w:t>0</w:t>
      </w:r>
      <w:r>
        <w:rPr>
          <w:rFonts w:ascii="Times New Roman" w:cs="Times New Roman" w:eastAsia="Times New Roman" w:hAnsi="Times New Roman"/>
          <w:sz w:val="13"/>
          <w:szCs w:val="13"/>
          <w:color w:val="auto"/>
        </w:rPr>
        <w:t xml:space="preserve"> +X)/(OS </w:t>
      </w:r>
      <w:r>
        <w:rPr>
          <w:rFonts w:ascii="Times New Roman" w:cs="Times New Roman" w:eastAsia="Times New Roman" w:hAnsi="Times New Roman"/>
          <w:sz w:val="8"/>
          <w:szCs w:val="8"/>
          <w:color w:val="auto"/>
        </w:rPr>
        <w:t>0</w:t>
      </w:r>
      <w:r>
        <w:rPr>
          <w:rFonts w:ascii="Times New Roman" w:cs="Times New Roman" w:eastAsia="Times New Roman" w:hAnsi="Times New Roman"/>
          <w:sz w:val="13"/>
          <w:szCs w:val="13"/>
          <w:color w:val="auto"/>
        </w:rPr>
        <w:t xml:space="preserve"> +Y)</w:t>
      </w:r>
    </w:p>
    <w:p>
      <w:pPr>
        <w:spacing w:after="0" w:line="1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where</w:t>
      </w:r>
    </w:p>
    <w:p>
      <w:pPr>
        <w:spacing w:after="0" w:line="18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CR </w:t>
      </w:r>
      <w:r>
        <w:rPr>
          <w:rFonts w:ascii="Times New Roman" w:cs="Times New Roman" w:eastAsia="Times New Roman" w:hAnsi="Times New Roman"/>
          <w:sz w:val="8"/>
          <w:szCs w:val="8"/>
          <w:color w:val="auto"/>
        </w:rPr>
        <w:t>0</w:t>
      </w:r>
      <w:r>
        <w:rPr>
          <w:rFonts w:ascii="Times New Roman" w:cs="Times New Roman" w:eastAsia="Times New Roman" w:hAnsi="Times New Roman"/>
          <w:sz w:val="13"/>
          <w:szCs w:val="13"/>
          <w:color w:val="auto"/>
        </w:rPr>
        <w:t xml:space="preserve"> = the conversion rate in effect immediately prior to the ex-dividend date for such distribution;</w:t>
      </w:r>
    </w:p>
    <w:p>
      <w:pPr>
        <w:spacing w:after="0" w:line="18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CR </w:t>
      </w:r>
      <w:r>
        <w:rPr>
          <w:rFonts w:ascii="Times New Roman" w:cs="Times New Roman" w:eastAsia="Times New Roman" w:hAnsi="Times New Roman"/>
          <w:sz w:val="8"/>
          <w:szCs w:val="8"/>
          <w:color w:val="auto"/>
        </w:rPr>
        <w:t>1</w:t>
      </w:r>
      <w:r>
        <w:rPr>
          <w:rFonts w:ascii="Times New Roman" w:cs="Times New Roman" w:eastAsia="Times New Roman" w:hAnsi="Times New Roman"/>
          <w:sz w:val="13"/>
          <w:szCs w:val="13"/>
          <w:color w:val="auto"/>
        </w:rPr>
        <w:t xml:space="preserve"> = the new conversion rate in effect immediately on and after the ex-dividend date for such distribution;</w:t>
      </w:r>
    </w:p>
    <w:p>
      <w:pPr>
        <w:spacing w:after="0" w:line="2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OS </w:t>
      </w:r>
      <w:r>
        <w:rPr>
          <w:rFonts w:ascii="Times New Roman" w:cs="Times New Roman" w:eastAsia="Times New Roman" w:hAnsi="Times New Roman"/>
          <w:sz w:val="8"/>
          <w:szCs w:val="8"/>
          <w:color w:val="auto"/>
        </w:rPr>
        <w:t>0</w:t>
      </w:r>
      <w:r>
        <w:rPr>
          <w:rFonts w:ascii="Times New Roman" w:cs="Times New Roman" w:eastAsia="Times New Roman" w:hAnsi="Times New Roman"/>
          <w:sz w:val="13"/>
          <w:szCs w:val="13"/>
          <w:color w:val="auto"/>
        </w:rPr>
        <w:t xml:space="preserve"> = the number of shares of Common Stock outstanding immediately prior to the ex-dividend date for such distribution; X = the</w:t>
      </w:r>
    </w:p>
    <w:p>
      <w:pPr>
        <w:spacing w:after="0" w:line="18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aggregate number of shares of Common Stock issuable pursuant to such rights, warrants or options; and</w:t>
      </w:r>
    </w:p>
    <w:p>
      <w:pPr>
        <w:spacing w:after="0" w:line="103" w:lineRule="exact"/>
        <w:rPr>
          <w:sz w:val="20"/>
          <w:szCs w:val="20"/>
          <w:color w:val="auto"/>
        </w:rPr>
      </w:pPr>
    </w:p>
    <w:p>
      <w:pPr>
        <w:ind w:left="900" w:right="900"/>
        <w:spacing w:after="0" w:line="287" w:lineRule="auto"/>
        <w:rPr>
          <w:sz w:val="20"/>
          <w:szCs w:val="20"/>
          <w:color w:val="auto"/>
        </w:rPr>
      </w:pPr>
      <w:r>
        <w:rPr>
          <w:rFonts w:ascii="Times New Roman" w:cs="Times New Roman" w:eastAsia="Times New Roman" w:hAnsi="Times New Roman"/>
          <w:sz w:val="13"/>
          <w:szCs w:val="13"/>
          <w:color w:val="auto"/>
        </w:rPr>
        <w:t>Y = the number of shares of Common Stock equal to the quotient of (A) the aggregate price payable to exercise such rights, warrants or options and (B) the average of the Closing Sale Price per share of Common Stock for the 10 consecutive Trading Days ending on the business day immediately preceding the date of announcement for the issuance of such rights, warrants or options.</w:t>
      </w:r>
    </w:p>
    <w:p>
      <w:pPr>
        <w:spacing w:after="0" w:line="136" w:lineRule="exact"/>
        <w:rPr>
          <w:sz w:val="20"/>
          <w:szCs w:val="20"/>
          <w:color w:val="auto"/>
        </w:rPr>
      </w:pPr>
    </w:p>
    <w:p>
      <w:pPr>
        <w:ind w:left="600" w:right="640" w:firstLine="312"/>
        <w:spacing w:after="0" w:line="270" w:lineRule="auto"/>
        <w:rPr>
          <w:sz w:val="20"/>
          <w:szCs w:val="20"/>
          <w:color w:val="auto"/>
        </w:rPr>
      </w:pPr>
      <w:r>
        <w:rPr>
          <w:rFonts w:ascii="Times New Roman" w:cs="Times New Roman" w:eastAsia="Times New Roman" w:hAnsi="Times New Roman"/>
          <w:sz w:val="13"/>
          <w:szCs w:val="13"/>
          <w:color w:val="auto"/>
        </w:rPr>
        <w:t>For purposes of this paragraph (ii), in determining whether any rights, warrants or options entitle the holders of shares of Common Stock to subscribe for or purchase shares of Common Stock at less than the applicable Closing Sale Price per share of Common Stock, and in determining the aggregate exercise or conversion price payable for such shares of Common Stock, there shall be taken into account any consideration the Company receives for such rights, warrants or options and any amount payable on exercise or conversion thereof, with the value of such consideration, if other than cash, to be determined by the Company’s board of directors. If any right, warrant or option described in this paragraph</w:t>
      </w:r>
    </w:p>
    <w:p>
      <w:pPr>
        <w:spacing w:after="0" w:line="3" w:lineRule="exact"/>
        <w:rPr>
          <w:sz w:val="20"/>
          <w:szCs w:val="20"/>
          <w:color w:val="auto"/>
        </w:rPr>
      </w:pPr>
    </w:p>
    <w:p>
      <w:pPr>
        <w:ind w:left="600" w:right="660" w:hanging="6"/>
        <w:spacing w:after="0" w:line="299" w:lineRule="auto"/>
        <w:tabs>
          <w:tab w:leader="none" w:pos="792" w:val="left"/>
        </w:tabs>
        <w:numPr>
          <w:ilvl w:val="0"/>
          <w:numId w:val="1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 not exercised or converted prior to the expiration of the exercisability or convertibility thereof, the Company shall adjust the new conversion rate to the conversion rate that would then be in effect if such right, warrant or option had not been so issued.</w:t>
      </w:r>
    </w:p>
    <w:p>
      <w:pPr>
        <w:spacing w:after="0" w:line="128" w:lineRule="exact"/>
        <w:rPr>
          <w:sz w:val="20"/>
          <w:szCs w:val="20"/>
          <w:color w:val="auto"/>
        </w:rPr>
      </w:pPr>
    </w:p>
    <w:p>
      <w:pPr>
        <w:ind w:left="900" w:right="1080" w:firstLine="319"/>
        <w:spacing w:after="0" w:line="272" w:lineRule="auto"/>
        <w:tabs>
          <w:tab w:leader="none" w:pos="1440" w:val="left"/>
        </w:tabs>
        <w:numPr>
          <w:ilvl w:val="0"/>
          <w:numId w:val="1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Company distributes shares of its capital stock, evidence of indebtedness or other assets or property to all holders of Common Stock, excluding (A) dividends, distributions, rights, warrants or options referred to in paragraph (i) or</w:t>
      </w:r>
    </w:p>
    <w:p>
      <w:pPr>
        <w:spacing w:after="0" w:line="1" w:lineRule="exact"/>
        <w:rPr>
          <w:sz w:val="20"/>
          <w:szCs w:val="20"/>
          <w:color w:val="auto"/>
        </w:rPr>
      </w:pPr>
    </w:p>
    <w:p>
      <w:pPr>
        <w:ind w:left="900"/>
        <w:spacing w:after="0"/>
        <w:tabs>
          <w:tab w:leader="none" w:pos="7620" w:val="left"/>
        </w:tabs>
        <w:rPr>
          <w:sz w:val="20"/>
          <w:szCs w:val="20"/>
          <w:color w:val="auto"/>
        </w:rPr>
      </w:pPr>
      <w:r>
        <w:rPr>
          <w:rFonts w:ascii="Times New Roman" w:cs="Times New Roman" w:eastAsia="Times New Roman" w:hAnsi="Times New Roman"/>
          <w:sz w:val="13"/>
          <w:szCs w:val="13"/>
          <w:color w:val="auto"/>
        </w:rPr>
        <w:t>(ii) above; (B) dividends or distributions paid exclusively in cash; and (C) spin-offs, as described below in this paragraph (iii)</w:t>
        <w:tab/>
        <w:t>then the</w:t>
      </w:r>
    </w:p>
    <w:p>
      <w:pPr>
        <w:spacing w:after="0" w:line="1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Company shall adjust the conversion rate based on the following formula:</w:t>
      </w:r>
    </w:p>
    <w:p>
      <w:pPr>
        <w:spacing w:after="0" w:line="18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CR </w:t>
      </w:r>
      <w:r>
        <w:rPr>
          <w:rFonts w:ascii="Times New Roman" w:cs="Times New Roman" w:eastAsia="Times New Roman" w:hAnsi="Times New Roman"/>
          <w:sz w:val="8"/>
          <w:szCs w:val="8"/>
          <w:color w:val="auto"/>
        </w:rPr>
        <w:t>1</w:t>
      </w:r>
      <w:r>
        <w:rPr>
          <w:rFonts w:ascii="Times New Roman" w:cs="Times New Roman" w:eastAsia="Times New Roman" w:hAnsi="Times New Roman"/>
          <w:sz w:val="13"/>
          <w:szCs w:val="13"/>
          <w:color w:val="auto"/>
        </w:rPr>
        <w:t xml:space="preserve"> = CR </w:t>
      </w:r>
      <w:r>
        <w:rPr>
          <w:rFonts w:ascii="Times New Roman" w:cs="Times New Roman" w:eastAsia="Times New Roman" w:hAnsi="Times New Roman"/>
          <w:sz w:val="8"/>
          <w:szCs w:val="8"/>
          <w:color w:val="auto"/>
        </w:rPr>
        <w:t>0</w:t>
      </w:r>
      <w:r>
        <w:rPr>
          <w:rFonts w:ascii="Times New Roman" w:cs="Times New Roman" w:eastAsia="Times New Roman" w:hAnsi="Times New Roman"/>
          <w:sz w:val="13"/>
          <w:szCs w:val="13"/>
          <w:color w:val="auto"/>
        </w:rPr>
        <w:t xml:space="preserve"> x SP </w:t>
      </w:r>
      <w:r>
        <w:rPr>
          <w:rFonts w:ascii="Times New Roman" w:cs="Times New Roman" w:eastAsia="Times New Roman" w:hAnsi="Times New Roman"/>
          <w:sz w:val="8"/>
          <w:szCs w:val="8"/>
          <w:color w:val="auto"/>
        </w:rPr>
        <w:t>0</w:t>
      </w:r>
      <w:r>
        <w:rPr>
          <w:rFonts w:ascii="Times New Roman" w:cs="Times New Roman" w:eastAsia="Times New Roman" w:hAnsi="Times New Roman"/>
          <w:sz w:val="13"/>
          <w:szCs w:val="13"/>
          <w:color w:val="auto"/>
        </w:rPr>
        <w:t xml:space="preserve"> /(SP </w:t>
      </w:r>
      <w:r>
        <w:rPr>
          <w:rFonts w:ascii="Times New Roman" w:cs="Times New Roman" w:eastAsia="Times New Roman" w:hAnsi="Times New Roman"/>
          <w:sz w:val="8"/>
          <w:szCs w:val="8"/>
          <w:color w:val="auto"/>
        </w:rPr>
        <w:t>0</w:t>
      </w:r>
      <w:r>
        <w:rPr>
          <w:rFonts w:ascii="Times New Roman" w:cs="Times New Roman" w:eastAsia="Times New Roman" w:hAnsi="Times New Roman"/>
          <w:sz w:val="13"/>
          <w:szCs w:val="13"/>
          <w:color w:val="auto"/>
        </w:rPr>
        <w:t xml:space="preserve"> – FMV)</w:t>
      </w:r>
    </w:p>
    <w:p>
      <w:pPr>
        <w:spacing w:after="0" w:line="1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where</w:t>
      </w:r>
    </w:p>
    <w:p>
      <w:pPr>
        <w:spacing w:after="0" w:line="18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CR </w:t>
      </w:r>
      <w:r>
        <w:rPr>
          <w:rFonts w:ascii="Times New Roman" w:cs="Times New Roman" w:eastAsia="Times New Roman" w:hAnsi="Times New Roman"/>
          <w:sz w:val="8"/>
          <w:szCs w:val="8"/>
          <w:color w:val="auto"/>
        </w:rPr>
        <w:t>0</w:t>
      </w:r>
      <w:r>
        <w:rPr>
          <w:rFonts w:ascii="Times New Roman" w:cs="Times New Roman" w:eastAsia="Times New Roman" w:hAnsi="Times New Roman"/>
          <w:sz w:val="13"/>
          <w:szCs w:val="13"/>
          <w:color w:val="auto"/>
        </w:rPr>
        <w:t xml:space="preserve"> = the conversion rate in effect immediately prior to the ex-dividend date for such distribution;</w:t>
      </w:r>
    </w:p>
    <w:p>
      <w:pPr>
        <w:spacing w:after="0" w:line="18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CR </w:t>
      </w:r>
      <w:r>
        <w:rPr>
          <w:rFonts w:ascii="Times New Roman" w:cs="Times New Roman" w:eastAsia="Times New Roman" w:hAnsi="Times New Roman"/>
          <w:sz w:val="8"/>
          <w:szCs w:val="8"/>
          <w:color w:val="auto"/>
        </w:rPr>
        <w:t>1</w:t>
      </w:r>
      <w:r>
        <w:rPr>
          <w:rFonts w:ascii="Times New Roman" w:cs="Times New Roman" w:eastAsia="Times New Roman" w:hAnsi="Times New Roman"/>
          <w:sz w:val="13"/>
          <w:szCs w:val="13"/>
          <w:color w:val="auto"/>
        </w:rPr>
        <w:t xml:space="preserve"> = the new conversion rate in effect immediately on and after the ex-dividend date for such distribution;</w:t>
      </w:r>
    </w:p>
    <w:p>
      <w:pPr>
        <w:spacing w:after="0" w:line="187" w:lineRule="exact"/>
        <w:rPr>
          <w:sz w:val="20"/>
          <w:szCs w:val="20"/>
          <w:color w:val="auto"/>
        </w:rPr>
      </w:pPr>
    </w:p>
    <w:p>
      <w:pPr>
        <w:ind w:left="900" w:right="820"/>
        <w:spacing w:after="0" w:line="305" w:lineRule="auto"/>
        <w:rPr>
          <w:sz w:val="20"/>
          <w:szCs w:val="20"/>
          <w:color w:val="auto"/>
        </w:rPr>
      </w:pPr>
      <w:r>
        <w:rPr>
          <w:rFonts w:ascii="Times New Roman" w:cs="Times New Roman" w:eastAsia="Times New Roman" w:hAnsi="Times New Roman"/>
          <w:sz w:val="13"/>
          <w:szCs w:val="13"/>
          <w:color w:val="auto"/>
        </w:rPr>
        <w:t xml:space="preserve">SP </w:t>
      </w:r>
      <w:r>
        <w:rPr>
          <w:rFonts w:ascii="Times New Roman" w:cs="Times New Roman" w:eastAsia="Times New Roman" w:hAnsi="Times New Roman"/>
          <w:sz w:val="8"/>
          <w:szCs w:val="8"/>
          <w:color w:val="auto"/>
        </w:rPr>
        <w:t>0</w:t>
      </w:r>
      <w:r>
        <w:rPr>
          <w:rFonts w:ascii="Times New Roman" w:cs="Times New Roman" w:eastAsia="Times New Roman" w:hAnsi="Times New Roman"/>
          <w:sz w:val="13"/>
          <w:szCs w:val="13"/>
          <w:color w:val="auto"/>
        </w:rPr>
        <w:t xml:space="preserve"> = the average of the Closing Sale Price per share of Common Stock for the 10 consecutive Trading Days ending on the business day immediately preceding the ex-dividend date for such distribution; and</w:t>
      </w:r>
    </w:p>
    <w:p>
      <w:pPr>
        <w:spacing w:after="0" w:line="124" w:lineRule="exact"/>
        <w:rPr>
          <w:sz w:val="20"/>
          <w:szCs w:val="20"/>
          <w:color w:val="auto"/>
        </w:rPr>
      </w:pPr>
    </w:p>
    <w:p>
      <w:pPr>
        <w:jc w:val="both"/>
        <w:ind w:left="900" w:right="720"/>
        <w:spacing w:after="0" w:line="287" w:lineRule="auto"/>
        <w:rPr>
          <w:sz w:val="20"/>
          <w:szCs w:val="20"/>
          <w:color w:val="auto"/>
        </w:rPr>
      </w:pPr>
      <w:r>
        <w:rPr>
          <w:rFonts w:ascii="Times New Roman" w:cs="Times New Roman" w:eastAsia="Times New Roman" w:hAnsi="Times New Roman"/>
          <w:sz w:val="13"/>
          <w:szCs w:val="13"/>
          <w:color w:val="auto"/>
        </w:rPr>
        <w:t>FMV = the fair market value (as determined in good faith by the Company’s board of directors) of the shares of capital stock, evidences of indebtedness, assets or property distributed with respect to each outstanding share of Common Stock on the earlier of the record date or the ex-dividend date for such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101600</wp:posOffset>
            </wp:positionV>
            <wp:extent cx="4436110" cy="152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45">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543560</wp:posOffset>
            </wp:positionV>
            <wp:extent cx="5083810" cy="152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46">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58" w:name="page259"/>
    <w:bookmarkEnd w:id="258"/>
    <w:p>
      <w:pPr>
        <w:ind w:left="600" w:right="660"/>
        <w:spacing w:after="0" w:line="274" w:lineRule="auto"/>
        <w:rPr>
          <w:sz w:val="20"/>
          <w:szCs w:val="20"/>
          <w:color w:val="auto"/>
        </w:rPr>
      </w:pPr>
      <w:r>
        <w:rPr>
          <w:rFonts w:ascii="Times New Roman" w:cs="Times New Roman" w:eastAsia="Times New Roman" w:hAnsi="Times New Roman"/>
          <w:sz w:val="13"/>
          <w:szCs w:val="13"/>
          <w:color w:val="auto"/>
        </w:rPr>
        <w:t xml:space="preserve">provided that if “FMV” with respect to any distribution of shares of capital stock, evidences of indebtedness or other assets or property of the Company is equal to or greater than “SP </w:t>
      </w:r>
      <w:r>
        <w:rPr>
          <w:rFonts w:ascii="Times New Roman" w:cs="Times New Roman" w:eastAsia="Times New Roman" w:hAnsi="Times New Roman"/>
          <w:sz w:val="8"/>
          <w:szCs w:val="8"/>
          <w:color w:val="auto"/>
        </w:rPr>
        <w:t>0</w:t>
      </w:r>
      <w:r>
        <w:rPr>
          <w:rFonts w:ascii="Times New Roman" w:cs="Times New Roman" w:eastAsia="Times New Roman" w:hAnsi="Times New Roman"/>
          <w:sz w:val="13"/>
          <w:szCs w:val="13"/>
          <w:color w:val="auto"/>
        </w:rPr>
        <w:t xml:space="preserve"> ” with respect to such distribution, then in lieu of the foregoing adjustment, adequate provision shall be made so that each holder of Series C Preferred Stock shall have the right to receive on the date such shares of capital stock, evidences of indebtedness or other assets or property of the Company are distributed to holders of Common Stock, for each share of Series C Preferred Stock, the amount of shares of capital stock, evidences of indebtedness or other assets or property of the Company such holder of Series C Preferred Stock would have received had such holder of Series C Preferred Stock owned a number of shares of Common Stock equal to a fraction the numerator of which is the product of the conversion rate in effect on the ex-dividend date for such distribution, and the aggregate liquidation preference of Series C Preferred Stock held by such holder and the denominator of which is twenty-five ($25.00).</w:t>
      </w:r>
    </w:p>
    <w:p>
      <w:pPr>
        <w:spacing w:after="0" w:line="135" w:lineRule="exact"/>
        <w:rPr>
          <w:sz w:val="20"/>
          <w:szCs w:val="20"/>
          <w:color w:val="auto"/>
        </w:rPr>
      </w:pPr>
    </w:p>
    <w:p>
      <w:pPr>
        <w:ind w:left="600" w:right="700" w:firstLine="312"/>
        <w:spacing w:after="0" w:line="305" w:lineRule="auto"/>
        <w:rPr>
          <w:sz w:val="20"/>
          <w:szCs w:val="20"/>
          <w:color w:val="auto"/>
        </w:rPr>
      </w:pPr>
      <w:r>
        <w:rPr>
          <w:rFonts w:ascii="Times New Roman" w:cs="Times New Roman" w:eastAsia="Times New Roman" w:hAnsi="Times New Roman"/>
          <w:sz w:val="13"/>
          <w:szCs w:val="13"/>
          <w:color w:val="auto"/>
        </w:rPr>
        <w:t>An adjustment to the conversion rate made pursuant to the immediately preceding paragraph shall become effective on the ex-dividend date for such distribution.</w:t>
      </w:r>
    </w:p>
    <w:p>
      <w:pPr>
        <w:spacing w:after="0" w:line="124" w:lineRule="exact"/>
        <w:rPr>
          <w:sz w:val="20"/>
          <w:szCs w:val="20"/>
          <w:color w:val="auto"/>
        </w:rPr>
      </w:pPr>
    </w:p>
    <w:p>
      <w:pPr>
        <w:ind w:left="600" w:right="620" w:firstLine="312"/>
        <w:spacing w:after="0" w:line="287" w:lineRule="auto"/>
        <w:rPr>
          <w:sz w:val="20"/>
          <w:szCs w:val="20"/>
          <w:color w:val="auto"/>
        </w:rPr>
      </w:pPr>
      <w:r>
        <w:rPr>
          <w:rFonts w:ascii="Times New Roman" w:cs="Times New Roman" w:eastAsia="Times New Roman" w:hAnsi="Times New Roman"/>
          <w:sz w:val="13"/>
          <w:szCs w:val="13"/>
          <w:color w:val="auto"/>
        </w:rPr>
        <w:t xml:space="preserve">If the Company distributes to all holders of Common Stock capital stock of any class or series, or similar equity interest, of or relating to one of the Company’s subsidiaries or other business unit (a “ </w:t>
      </w:r>
      <w:r>
        <w:rPr>
          <w:rFonts w:ascii="Times New Roman" w:cs="Times New Roman" w:eastAsia="Times New Roman" w:hAnsi="Times New Roman"/>
          <w:sz w:val="13"/>
          <w:szCs w:val="13"/>
          <w:b w:val="1"/>
          <w:bCs w:val="1"/>
          <w:color w:val="auto"/>
        </w:rPr>
        <w:t>spin-off</w:t>
      </w:r>
      <w:r>
        <w:rPr>
          <w:rFonts w:ascii="Times New Roman" w:cs="Times New Roman" w:eastAsia="Times New Roman" w:hAnsi="Times New Roman"/>
          <w:sz w:val="13"/>
          <w:szCs w:val="13"/>
          <w:color w:val="auto"/>
        </w:rPr>
        <w:t xml:space="preserve"> ”) the conversion rate in effect immediately before the 10th Trading Day from and including the effective date of the spin-off shall be adjusted based on the following formula:</w:t>
      </w:r>
    </w:p>
    <w:p>
      <w:pPr>
        <w:spacing w:after="0" w:line="13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CR </w:t>
      </w:r>
      <w:r>
        <w:rPr>
          <w:rFonts w:ascii="Times New Roman" w:cs="Times New Roman" w:eastAsia="Times New Roman" w:hAnsi="Times New Roman"/>
          <w:sz w:val="8"/>
          <w:szCs w:val="8"/>
          <w:color w:val="auto"/>
        </w:rPr>
        <w:t>1</w:t>
      </w:r>
      <w:r>
        <w:rPr>
          <w:rFonts w:ascii="Times New Roman" w:cs="Times New Roman" w:eastAsia="Times New Roman" w:hAnsi="Times New Roman"/>
          <w:sz w:val="13"/>
          <w:szCs w:val="13"/>
          <w:color w:val="auto"/>
        </w:rPr>
        <w:t xml:space="preserve"> = CR </w:t>
      </w:r>
      <w:r>
        <w:rPr>
          <w:rFonts w:ascii="Times New Roman" w:cs="Times New Roman" w:eastAsia="Times New Roman" w:hAnsi="Times New Roman"/>
          <w:sz w:val="8"/>
          <w:szCs w:val="8"/>
          <w:color w:val="auto"/>
        </w:rPr>
        <w:t>0</w:t>
      </w:r>
      <w:r>
        <w:rPr>
          <w:rFonts w:ascii="Times New Roman" w:cs="Times New Roman" w:eastAsia="Times New Roman" w:hAnsi="Times New Roman"/>
          <w:sz w:val="13"/>
          <w:szCs w:val="13"/>
          <w:color w:val="auto"/>
        </w:rPr>
        <w:t xml:space="preserve"> x (FMV </w:t>
      </w:r>
      <w:r>
        <w:rPr>
          <w:rFonts w:ascii="Times New Roman" w:cs="Times New Roman" w:eastAsia="Times New Roman" w:hAnsi="Times New Roman"/>
          <w:sz w:val="8"/>
          <w:szCs w:val="8"/>
          <w:color w:val="auto"/>
        </w:rPr>
        <w:t>0</w:t>
      </w:r>
      <w:r>
        <w:rPr>
          <w:rFonts w:ascii="Times New Roman" w:cs="Times New Roman" w:eastAsia="Times New Roman" w:hAnsi="Times New Roman"/>
          <w:sz w:val="13"/>
          <w:szCs w:val="13"/>
          <w:color w:val="auto"/>
        </w:rPr>
        <w:t xml:space="preserve"> +MP </w:t>
      </w:r>
      <w:r>
        <w:rPr>
          <w:rFonts w:ascii="Times New Roman" w:cs="Times New Roman" w:eastAsia="Times New Roman" w:hAnsi="Times New Roman"/>
          <w:sz w:val="8"/>
          <w:szCs w:val="8"/>
          <w:color w:val="auto"/>
        </w:rPr>
        <w:t>0</w:t>
      </w:r>
      <w:r>
        <w:rPr>
          <w:rFonts w:ascii="Times New Roman" w:cs="Times New Roman" w:eastAsia="Times New Roman" w:hAnsi="Times New Roman"/>
          <w:sz w:val="13"/>
          <w:szCs w:val="13"/>
          <w:color w:val="auto"/>
        </w:rPr>
        <w:t xml:space="preserve"> )/ MP </w:t>
      </w:r>
      <w:r>
        <w:rPr>
          <w:rFonts w:ascii="Times New Roman" w:cs="Times New Roman" w:eastAsia="Times New Roman" w:hAnsi="Times New Roman"/>
          <w:sz w:val="8"/>
          <w:szCs w:val="8"/>
          <w:color w:val="auto"/>
        </w:rPr>
        <w:t>0</w:t>
      </w:r>
    </w:p>
    <w:p>
      <w:pPr>
        <w:spacing w:after="0" w:line="1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where</w:t>
      </w:r>
    </w:p>
    <w:p>
      <w:pPr>
        <w:spacing w:after="0" w:line="187" w:lineRule="exact"/>
        <w:rPr>
          <w:sz w:val="20"/>
          <w:szCs w:val="20"/>
          <w:color w:val="auto"/>
        </w:rPr>
      </w:pPr>
    </w:p>
    <w:p>
      <w:pPr>
        <w:ind w:left="900" w:right="780"/>
        <w:spacing w:after="0" w:line="305" w:lineRule="auto"/>
        <w:rPr>
          <w:sz w:val="20"/>
          <w:szCs w:val="20"/>
          <w:color w:val="auto"/>
        </w:rPr>
      </w:pPr>
      <w:r>
        <w:rPr>
          <w:rFonts w:ascii="Times New Roman" w:cs="Times New Roman" w:eastAsia="Times New Roman" w:hAnsi="Times New Roman"/>
          <w:sz w:val="13"/>
          <w:szCs w:val="13"/>
          <w:color w:val="auto"/>
        </w:rPr>
        <w:t xml:space="preserve">CR </w:t>
      </w:r>
      <w:r>
        <w:rPr>
          <w:rFonts w:ascii="Times New Roman" w:cs="Times New Roman" w:eastAsia="Times New Roman" w:hAnsi="Times New Roman"/>
          <w:sz w:val="8"/>
          <w:szCs w:val="8"/>
          <w:color w:val="auto"/>
        </w:rPr>
        <w:t>0</w:t>
      </w:r>
      <w:r>
        <w:rPr>
          <w:rFonts w:ascii="Times New Roman" w:cs="Times New Roman" w:eastAsia="Times New Roman" w:hAnsi="Times New Roman"/>
          <w:sz w:val="13"/>
          <w:szCs w:val="13"/>
          <w:color w:val="auto"/>
        </w:rPr>
        <w:t xml:space="preserve"> = the conversion rate in effect immediately prior to the 10th Trading Day immediately following, and including, the effective date of the spin-off;</w:t>
      </w:r>
    </w:p>
    <w:p>
      <w:pPr>
        <w:spacing w:after="0" w:line="124" w:lineRule="exact"/>
        <w:rPr>
          <w:sz w:val="20"/>
          <w:szCs w:val="20"/>
          <w:color w:val="auto"/>
        </w:rPr>
      </w:pPr>
    </w:p>
    <w:p>
      <w:pPr>
        <w:ind w:left="900" w:right="680"/>
        <w:spacing w:after="0" w:line="305" w:lineRule="auto"/>
        <w:rPr>
          <w:sz w:val="20"/>
          <w:szCs w:val="20"/>
          <w:color w:val="auto"/>
        </w:rPr>
      </w:pPr>
      <w:r>
        <w:rPr>
          <w:rFonts w:ascii="Times New Roman" w:cs="Times New Roman" w:eastAsia="Times New Roman" w:hAnsi="Times New Roman"/>
          <w:sz w:val="13"/>
          <w:szCs w:val="13"/>
          <w:color w:val="auto"/>
        </w:rPr>
        <w:t xml:space="preserve">CR </w:t>
      </w:r>
      <w:r>
        <w:rPr>
          <w:rFonts w:ascii="Times New Roman" w:cs="Times New Roman" w:eastAsia="Times New Roman" w:hAnsi="Times New Roman"/>
          <w:sz w:val="8"/>
          <w:szCs w:val="8"/>
          <w:color w:val="auto"/>
        </w:rPr>
        <w:t>1</w:t>
      </w:r>
      <w:r>
        <w:rPr>
          <w:rFonts w:ascii="Times New Roman" w:cs="Times New Roman" w:eastAsia="Times New Roman" w:hAnsi="Times New Roman"/>
          <w:sz w:val="13"/>
          <w:szCs w:val="13"/>
          <w:color w:val="auto"/>
        </w:rPr>
        <w:t xml:space="preserve"> = the new conversion rate in effect immediately on and after the 10th Trading Day immediately following, and including, the effective date of the spin-off;</w:t>
      </w:r>
    </w:p>
    <w:p>
      <w:pPr>
        <w:spacing w:after="0" w:line="124" w:lineRule="exact"/>
        <w:rPr>
          <w:sz w:val="20"/>
          <w:szCs w:val="20"/>
          <w:color w:val="auto"/>
        </w:rPr>
      </w:pPr>
    </w:p>
    <w:p>
      <w:pPr>
        <w:ind w:left="900" w:right="900"/>
        <w:spacing w:after="0" w:line="305" w:lineRule="auto"/>
        <w:rPr>
          <w:sz w:val="20"/>
          <w:szCs w:val="20"/>
          <w:color w:val="auto"/>
        </w:rPr>
      </w:pPr>
      <w:r>
        <w:rPr>
          <w:rFonts w:ascii="Times New Roman" w:cs="Times New Roman" w:eastAsia="Times New Roman" w:hAnsi="Times New Roman"/>
          <w:sz w:val="13"/>
          <w:szCs w:val="13"/>
          <w:color w:val="auto"/>
        </w:rPr>
        <w:t xml:space="preserve">FMV </w:t>
      </w:r>
      <w:r>
        <w:rPr>
          <w:rFonts w:ascii="Times New Roman" w:cs="Times New Roman" w:eastAsia="Times New Roman" w:hAnsi="Times New Roman"/>
          <w:sz w:val="8"/>
          <w:szCs w:val="8"/>
          <w:color w:val="auto"/>
        </w:rPr>
        <w:t>0</w:t>
      </w:r>
      <w:r>
        <w:rPr>
          <w:rFonts w:ascii="Times New Roman" w:cs="Times New Roman" w:eastAsia="Times New Roman" w:hAnsi="Times New Roman"/>
          <w:sz w:val="13"/>
          <w:szCs w:val="13"/>
          <w:color w:val="auto"/>
        </w:rPr>
        <w:t xml:space="preserve"> = the average of the Closing Sale Prices per share of the capital stock or similar equity interest distributed to holders of Common Stock applicable to one share of Common Stock over the first 10 consecutive Trading Days after the effective date of the spin-off; and</w:t>
      </w:r>
    </w:p>
    <w:p>
      <w:pPr>
        <w:spacing w:after="0" w:line="124" w:lineRule="exact"/>
        <w:rPr>
          <w:sz w:val="20"/>
          <w:szCs w:val="20"/>
          <w:color w:val="auto"/>
        </w:rPr>
      </w:pPr>
    </w:p>
    <w:p>
      <w:pPr>
        <w:ind w:left="900" w:right="900"/>
        <w:spacing w:after="0" w:line="305" w:lineRule="auto"/>
        <w:rPr>
          <w:sz w:val="20"/>
          <w:szCs w:val="20"/>
          <w:color w:val="auto"/>
        </w:rPr>
      </w:pPr>
      <w:r>
        <w:rPr>
          <w:rFonts w:ascii="Times New Roman" w:cs="Times New Roman" w:eastAsia="Times New Roman" w:hAnsi="Times New Roman"/>
          <w:sz w:val="13"/>
          <w:szCs w:val="13"/>
          <w:color w:val="auto"/>
        </w:rPr>
        <w:t xml:space="preserve">MP </w:t>
      </w:r>
      <w:r>
        <w:rPr>
          <w:rFonts w:ascii="Times New Roman" w:cs="Times New Roman" w:eastAsia="Times New Roman" w:hAnsi="Times New Roman"/>
          <w:sz w:val="8"/>
          <w:szCs w:val="8"/>
          <w:color w:val="auto"/>
        </w:rPr>
        <w:t>0</w:t>
      </w:r>
      <w:r>
        <w:rPr>
          <w:rFonts w:ascii="Times New Roman" w:cs="Times New Roman" w:eastAsia="Times New Roman" w:hAnsi="Times New Roman"/>
          <w:sz w:val="13"/>
          <w:szCs w:val="13"/>
          <w:color w:val="auto"/>
        </w:rPr>
        <w:t xml:space="preserve"> = the average of the Closing Sale Prices per share of Common Stock over the first 10 consecutive Trading Days after the effective date of the spin-off.</w:t>
      </w:r>
    </w:p>
    <w:p>
      <w:pPr>
        <w:spacing w:after="0" w:line="124" w:lineRule="exact"/>
        <w:rPr>
          <w:sz w:val="20"/>
          <w:szCs w:val="20"/>
          <w:color w:val="auto"/>
        </w:rPr>
      </w:pPr>
    </w:p>
    <w:p>
      <w:pPr>
        <w:ind w:left="600" w:right="700" w:firstLine="312"/>
        <w:spacing w:after="0" w:line="281" w:lineRule="auto"/>
        <w:rPr>
          <w:sz w:val="20"/>
          <w:szCs w:val="20"/>
          <w:color w:val="auto"/>
        </w:rPr>
      </w:pPr>
      <w:r>
        <w:rPr>
          <w:rFonts w:ascii="Times New Roman" w:cs="Times New Roman" w:eastAsia="Times New Roman" w:hAnsi="Times New Roman"/>
          <w:sz w:val="13"/>
          <w:szCs w:val="13"/>
          <w:color w:val="auto"/>
        </w:rPr>
        <w:t>An adjustment to the conversion rate made pursuant to the immediately preceding paragraph shall occur on the 10th Trading Day from and including the effective date of the spin-off; provided that in respect of any conversion within the 10 Trading Days following the effective date of any spin-off, references within this paragraph (iii) to 10 Trading Days shall be deemed replaced with such lesser number of Trading Days as have elapsed between the effective date of such spin-off and the Conversion Date in determining the applicable conversion rate.</w:t>
      </w:r>
    </w:p>
    <w:p>
      <w:pPr>
        <w:spacing w:after="0" w:line="140" w:lineRule="exact"/>
        <w:rPr>
          <w:sz w:val="20"/>
          <w:szCs w:val="20"/>
          <w:color w:val="auto"/>
        </w:rPr>
      </w:pPr>
    </w:p>
    <w:p>
      <w:pPr>
        <w:ind w:left="600" w:right="840" w:firstLine="312"/>
        <w:spacing w:after="0" w:line="305" w:lineRule="auto"/>
        <w:rPr>
          <w:sz w:val="20"/>
          <w:szCs w:val="20"/>
          <w:color w:val="auto"/>
        </w:rPr>
      </w:pPr>
      <w:r>
        <w:rPr>
          <w:rFonts w:ascii="Times New Roman" w:cs="Times New Roman" w:eastAsia="Times New Roman" w:hAnsi="Times New Roman"/>
          <w:sz w:val="13"/>
          <w:szCs w:val="13"/>
          <w:color w:val="auto"/>
        </w:rPr>
        <w:t>If any such dividend or distribution described in this paragraph (iii) is declared but not paid or made, the new conversion rate shall be re-adjusted to be the conversion rate that would then be in effect if such dividend or distribution had not been declared.</w:t>
      </w:r>
    </w:p>
    <w:p>
      <w:pPr>
        <w:spacing w:after="0" w:line="124" w:lineRule="exact"/>
        <w:rPr>
          <w:sz w:val="20"/>
          <w:szCs w:val="20"/>
          <w:color w:val="auto"/>
        </w:rPr>
      </w:pPr>
    </w:p>
    <w:p>
      <w:pPr>
        <w:ind w:left="900" w:right="640" w:firstLine="319"/>
        <w:spacing w:after="0" w:line="278" w:lineRule="auto"/>
        <w:tabs>
          <w:tab w:leader="none" w:pos="1428" w:val="left"/>
        </w:tabs>
        <w:numPr>
          <w:ilvl w:val="0"/>
          <w:numId w:val="1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the Company makes any cash dividend or distribution to all holders of outstanding shares of Common Stock (excluding any dividend or distribution in connection with the Company’s liquidation, dissolution or winding up) during any of its quarterly fiscal periods in an aggregate amount that, together with other cash dividends or distributions made during such quarterly fiscal period, exceeds the product of $0.28625 (subject to adjustment) (the “ </w:t>
      </w:r>
      <w:r>
        <w:rPr>
          <w:rFonts w:ascii="Times New Roman" w:cs="Times New Roman" w:eastAsia="Times New Roman" w:hAnsi="Times New Roman"/>
          <w:sz w:val="13"/>
          <w:szCs w:val="13"/>
          <w:b w:val="1"/>
          <w:bCs w:val="1"/>
          <w:color w:val="auto"/>
        </w:rPr>
        <w:t>reference dividend</w:t>
      </w:r>
      <w:r>
        <w:rPr>
          <w:rFonts w:ascii="Times New Roman" w:cs="Times New Roman" w:eastAsia="Times New Roman" w:hAnsi="Times New Roman"/>
          <w:sz w:val="13"/>
          <w:szCs w:val="13"/>
          <w:color w:val="auto"/>
        </w:rPr>
        <w:t xml:space="preserve"> ”), multiplied by the number of shares of Common Stock outstanding on the record date for such distribution, the conversion rate shall be adjusted based on the following formula:</w:t>
      </w:r>
    </w:p>
    <w:p>
      <w:pPr>
        <w:spacing w:after="0" w:line="14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CR </w:t>
      </w:r>
      <w:r>
        <w:rPr>
          <w:rFonts w:ascii="Times New Roman" w:cs="Times New Roman" w:eastAsia="Times New Roman" w:hAnsi="Times New Roman"/>
          <w:sz w:val="8"/>
          <w:szCs w:val="8"/>
          <w:color w:val="auto"/>
        </w:rPr>
        <w:t>1</w:t>
      </w:r>
      <w:r>
        <w:rPr>
          <w:rFonts w:ascii="Times New Roman" w:cs="Times New Roman" w:eastAsia="Times New Roman" w:hAnsi="Times New Roman"/>
          <w:sz w:val="13"/>
          <w:szCs w:val="13"/>
          <w:color w:val="auto"/>
        </w:rPr>
        <w:t xml:space="preserve"> = CR </w:t>
      </w:r>
      <w:r>
        <w:rPr>
          <w:rFonts w:ascii="Times New Roman" w:cs="Times New Roman" w:eastAsia="Times New Roman" w:hAnsi="Times New Roman"/>
          <w:sz w:val="8"/>
          <w:szCs w:val="8"/>
          <w:color w:val="auto"/>
        </w:rPr>
        <w:t>0</w:t>
      </w:r>
      <w:r>
        <w:rPr>
          <w:rFonts w:ascii="Times New Roman" w:cs="Times New Roman" w:eastAsia="Times New Roman" w:hAnsi="Times New Roman"/>
          <w:sz w:val="13"/>
          <w:szCs w:val="13"/>
          <w:color w:val="auto"/>
        </w:rPr>
        <w:t xml:space="preserve"> x SP </w:t>
      </w:r>
      <w:r>
        <w:rPr>
          <w:rFonts w:ascii="Times New Roman" w:cs="Times New Roman" w:eastAsia="Times New Roman" w:hAnsi="Times New Roman"/>
          <w:sz w:val="8"/>
          <w:szCs w:val="8"/>
          <w:color w:val="auto"/>
        </w:rPr>
        <w:t>0</w:t>
      </w:r>
      <w:r>
        <w:rPr>
          <w:rFonts w:ascii="Times New Roman" w:cs="Times New Roman" w:eastAsia="Times New Roman" w:hAnsi="Times New Roman"/>
          <w:sz w:val="13"/>
          <w:szCs w:val="13"/>
          <w:color w:val="auto"/>
        </w:rPr>
        <w:t xml:space="preserve"> /(SP </w:t>
      </w:r>
      <w:r>
        <w:rPr>
          <w:rFonts w:ascii="Times New Roman" w:cs="Times New Roman" w:eastAsia="Times New Roman" w:hAnsi="Times New Roman"/>
          <w:sz w:val="8"/>
          <w:szCs w:val="8"/>
          <w:color w:val="auto"/>
        </w:rPr>
        <w:t>0</w:t>
      </w:r>
      <w:r>
        <w:rPr>
          <w:rFonts w:ascii="Times New Roman" w:cs="Times New Roman" w:eastAsia="Times New Roman" w:hAnsi="Times New Roman"/>
          <w:sz w:val="13"/>
          <w:szCs w:val="13"/>
          <w:color w:val="auto"/>
        </w:rPr>
        <w:t xml:space="preserve"> –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636270</wp:posOffset>
            </wp:positionV>
            <wp:extent cx="4436110" cy="762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47">
                      <a:extLst>
                        <a:ext uri="{28A0092B-C50C-407E-A947-70E740481C1C}"/>
                      </a:extLst>
                    </a:blip>
                    <a:srcRect/>
                    <a:stretch>
                      <a:fillRect/>
                    </a:stretch>
                  </pic:blipFill>
                  <pic:spPr bwMode="auto">
                    <a:xfrm>
                      <a:off x="0" y="0"/>
                      <a:ext cx="4436110"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354330</wp:posOffset>
            </wp:positionV>
            <wp:extent cx="5083810" cy="152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48">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59" w:name="page260"/>
    <w:bookmarkEnd w:id="259"/>
    <w:p>
      <w:pPr>
        <w:ind w:left="600"/>
        <w:spacing w:after="0"/>
        <w:rPr>
          <w:sz w:val="20"/>
          <w:szCs w:val="20"/>
          <w:color w:val="auto"/>
        </w:rPr>
      </w:pPr>
      <w:r>
        <w:rPr>
          <w:rFonts w:ascii="Times New Roman" w:cs="Times New Roman" w:eastAsia="Times New Roman" w:hAnsi="Times New Roman"/>
          <w:sz w:val="13"/>
          <w:szCs w:val="13"/>
          <w:color w:val="auto"/>
        </w:rPr>
        <w:t>where</w:t>
      </w:r>
    </w:p>
    <w:p>
      <w:pPr>
        <w:spacing w:after="0" w:line="2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CR </w:t>
      </w:r>
      <w:r>
        <w:rPr>
          <w:rFonts w:ascii="Times New Roman" w:cs="Times New Roman" w:eastAsia="Times New Roman" w:hAnsi="Times New Roman"/>
          <w:sz w:val="8"/>
          <w:szCs w:val="8"/>
          <w:color w:val="auto"/>
        </w:rPr>
        <w:t>0</w:t>
      </w:r>
      <w:r>
        <w:rPr>
          <w:rFonts w:ascii="Times New Roman" w:cs="Times New Roman" w:eastAsia="Times New Roman" w:hAnsi="Times New Roman"/>
          <w:sz w:val="13"/>
          <w:szCs w:val="13"/>
          <w:color w:val="auto"/>
        </w:rPr>
        <w:t xml:space="preserve"> = the conversion rate in effect immediately prior to the ex-dividend date for such distribution; CR </w:t>
      </w:r>
      <w:r>
        <w:rPr>
          <w:rFonts w:ascii="Times New Roman" w:cs="Times New Roman" w:eastAsia="Times New Roman" w:hAnsi="Times New Roman"/>
          <w:sz w:val="8"/>
          <w:szCs w:val="8"/>
          <w:color w:val="auto"/>
        </w:rPr>
        <w:t>1</w:t>
      </w:r>
      <w:r>
        <w:rPr>
          <w:rFonts w:ascii="Times New Roman" w:cs="Times New Roman" w:eastAsia="Times New Roman" w:hAnsi="Times New Roman"/>
          <w:sz w:val="13"/>
          <w:szCs w:val="13"/>
          <w:color w:val="auto"/>
        </w:rPr>
        <w:t xml:space="preserve"> = the new</w:t>
      </w:r>
    </w:p>
    <w:p>
      <w:pPr>
        <w:spacing w:after="0" w:line="18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conversion rate in effect immediately after the ex-dividend date for such distribution;</w:t>
      </w:r>
    </w:p>
    <w:p>
      <w:pPr>
        <w:spacing w:after="0" w:line="103" w:lineRule="exact"/>
        <w:rPr>
          <w:sz w:val="20"/>
          <w:szCs w:val="20"/>
          <w:color w:val="auto"/>
        </w:rPr>
      </w:pPr>
    </w:p>
    <w:p>
      <w:pPr>
        <w:ind w:left="900" w:right="820"/>
        <w:spacing w:after="0" w:line="305" w:lineRule="auto"/>
        <w:rPr>
          <w:sz w:val="20"/>
          <w:szCs w:val="20"/>
          <w:color w:val="auto"/>
        </w:rPr>
      </w:pPr>
      <w:r>
        <w:rPr>
          <w:rFonts w:ascii="Times New Roman" w:cs="Times New Roman" w:eastAsia="Times New Roman" w:hAnsi="Times New Roman"/>
          <w:sz w:val="13"/>
          <w:szCs w:val="13"/>
          <w:color w:val="auto"/>
        </w:rPr>
        <w:t xml:space="preserve">SP </w:t>
      </w:r>
      <w:r>
        <w:rPr>
          <w:rFonts w:ascii="Times New Roman" w:cs="Times New Roman" w:eastAsia="Times New Roman" w:hAnsi="Times New Roman"/>
          <w:sz w:val="8"/>
          <w:szCs w:val="8"/>
          <w:color w:val="auto"/>
        </w:rPr>
        <w:t>0</w:t>
      </w:r>
      <w:r>
        <w:rPr>
          <w:rFonts w:ascii="Times New Roman" w:cs="Times New Roman" w:eastAsia="Times New Roman" w:hAnsi="Times New Roman"/>
          <w:sz w:val="13"/>
          <w:szCs w:val="13"/>
          <w:color w:val="auto"/>
        </w:rPr>
        <w:t xml:space="preserve"> = the average of the Closing Sale Price per share of Common Stock for the 10 consecutive Trading Days ending on the business day immediately preceding the earlier of the record date or the day prior to the ex-dividend date for such distribution; and</w:t>
      </w:r>
    </w:p>
    <w:p>
      <w:pPr>
        <w:spacing w:after="0" w:line="12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C = the amount in cash per share that the Company distributes to holders of Common Stock that exceeds the reference dividend;</w:t>
      </w:r>
    </w:p>
    <w:p>
      <w:pPr>
        <w:spacing w:after="0" w:line="187" w:lineRule="exact"/>
        <w:rPr>
          <w:sz w:val="20"/>
          <w:szCs w:val="20"/>
          <w:color w:val="auto"/>
        </w:rPr>
      </w:pPr>
    </w:p>
    <w:p>
      <w:pPr>
        <w:ind w:left="600" w:right="640"/>
        <w:spacing w:after="0" w:line="275" w:lineRule="auto"/>
        <w:rPr>
          <w:sz w:val="20"/>
          <w:szCs w:val="20"/>
          <w:color w:val="auto"/>
        </w:rPr>
      </w:pPr>
      <w:r>
        <w:rPr>
          <w:rFonts w:ascii="Times New Roman" w:cs="Times New Roman" w:eastAsia="Times New Roman" w:hAnsi="Times New Roman"/>
          <w:sz w:val="13"/>
          <w:szCs w:val="13"/>
          <w:color w:val="auto"/>
        </w:rPr>
        <w:t xml:space="preserve">provided that if “C” with respect to any such cash dividend or distribution is equal to or greater than “SP </w:t>
      </w:r>
      <w:r>
        <w:rPr>
          <w:rFonts w:ascii="Times New Roman" w:cs="Times New Roman" w:eastAsia="Times New Roman" w:hAnsi="Times New Roman"/>
          <w:sz w:val="8"/>
          <w:szCs w:val="8"/>
          <w:color w:val="auto"/>
        </w:rPr>
        <w:t>0</w:t>
      </w:r>
      <w:r>
        <w:rPr>
          <w:rFonts w:ascii="Times New Roman" w:cs="Times New Roman" w:eastAsia="Times New Roman" w:hAnsi="Times New Roman"/>
          <w:sz w:val="13"/>
          <w:szCs w:val="13"/>
          <w:color w:val="auto"/>
        </w:rPr>
        <w:t xml:space="preserve"> ” with respect to any such cash dividend or distribution, then in lieu of the foregoing adjustment, adequate provision shall be made so that each holder of Series C Preferred Stock shall have the right to receive on the date such cash is distributed to holders of Common Stock, for each share of Series C Preferred Stock, the amount of cash such holder of Series C Preferred Stock would have received had such holder of Series C Preferred Stock owned a number of shares of Common Stock equal to a fraction the numerator of which is the product of the conversion rate in effect on the ex-dividend date for such dividend or distribution, and the aggregate principal amount of Series C Preferred Stock held by such holder and the denominator of which is twenty-five ($25.00).</w:t>
      </w:r>
    </w:p>
    <w:p>
      <w:pPr>
        <w:spacing w:after="0" w:line="145" w:lineRule="exact"/>
        <w:rPr>
          <w:sz w:val="20"/>
          <w:szCs w:val="20"/>
          <w:color w:val="auto"/>
        </w:rPr>
      </w:pPr>
    </w:p>
    <w:p>
      <w:pPr>
        <w:ind w:left="600" w:right="720" w:firstLine="312"/>
        <w:spacing w:after="0" w:line="287" w:lineRule="auto"/>
        <w:rPr>
          <w:sz w:val="20"/>
          <w:szCs w:val="20"/>
          <w:color w:val="auto"/>
        </w:rPr>
      </w:pPr>
      <w:r>
        <w:rPr>
          <w:rFonts w:ascii="Times New Roman" w:cs="Times New Roman" w:eastAsia="Times New Roman" w:hAnsi="Times New Roman"/>
          <w:sz w:val="13"/>
          <w:szCs w:val="13"/>
          <w:color w:val="auto"/>
        </w:rPr>
        <w:t>An adjustment to the conversion rate made pursuant to this paragraph (iv) shall become effective on the ex-dividend date for such dividend or distribution. If any dividend or distribution described in this paragraph (iv) is declared but not so paid or made, the new conversion rate shall be re-adjusted to the conversion rate that would then be in effect if such dividend or distribution had not been declared.</w:t>
      </w:r>
    </w:p>
    <w:p>
      <w:pPr>
        <w:spacing w:after="0" w:line="136" w:lineRule="exact"/>
        <w:rPr>
          <w:sz w:val="20"/>
          <w:szCs w:val="20"/>
          <w:color w:val="auto"/>
        </w:rPr>
      </w:pPr>
    </w:p>
    <w:p>
      <w:pPr>
        <w:ind w:left="600" w:right="540" w:firstLine="312"/>
        <w:spacing w:after="0" w:line="305" w:lineRule="auto"/>
        <w:rPr>
          <w:sz w:val="20"/>
          <w:szCs w:val="20"/>
          <w:color w:val="auto"/>
        </w:rPr>
      </w:pPr>
      <w:r>
        <w:rPr>
          <w:rFonts w:ascii="Times New Roman" w:cs="Times New Roman" w:eastAsia="Times New Roman" w:hAnsi="Times New Roman"/>
          <w:sz w:val="13"/>
          <w:szCs w:val="13"/>
          <w:color w:val="auto"/>
        </w:rPr>
        <w:t>The reference dividend amount is subject to adjustment in a manner inversely proportional to adjustments to the conversion rate; provided that no adjustment shall be made to the reference dividend amount for any adjustment made to the conversion rate under this paragraph (iv).</w:t>
      </w:r>
    </w:p>
    <w:p>
      <w:pPr>
        <w:spacing w:after="0" w:line="124" w:lineRule="exact"/>
        <w:rPr>
          <w:sz w:val="20"/>
          <w:szCs w:val="20"/>
          <w:color w:val="auto"/>
        </w:rPr>
      </w:pPr>
    </w:p>
    <w:p>
      <w:pPr>
        <w:ind w:left="600" w:right="900" w:firstLine="312"/>
        <w:spacing w:after="0" w:line="305" w:lineRule="auto"/>
        <w:rPr>
          <w:sz w:val="20"/>
          <w:szCs w:val="20"/>
          <w:color w:val="auto"/>
        </w:rPr>
      </w:pPr>
      <w:r>
        <w:rPr>
          <w:rFonts w:ascii="Times New Roman" w:cs="Times New Roman" w:eastAsia="Times New Roman" w:hAnsi="Times New Roman"/>
          <w:sz w:val="13"/>
          <w:szCs w:val="13"/>
          <w:color w:val="auto"/>
        </w:rPr>
        <w:t>Notwithstanding the foregoing, if an adjustment is required to be made under this paragraph (iv) as a result of a distribution that is not a quarterly dividend, the reference dividend amount shall be deemed to be zero.</w:t>
      </w:r>
    </w:p>
    <w:p>
      <w:pPr>
        <w:spacing w:after="0" w:line="124" w:lineRule="exact"/>
        <w:rPr>
          <w:sz w:val="20"/>
          <w:szCs w:val="20"/>
          <w:color w:val="auto"/>
        </w:rPr>
      </w:pPr>
    </w:p>
    <w:p>
      <w:pPr>
        <w:ind w:left="900" w:right="860" w:firstLine="319"/>
        <w:spacing w:after="0" w:line="281" w:lineRule="auto"/>
        <w:tabs>
          <w:tab w:leader="none" w:pos="1392" w:val="left"/>
        </w:tabs>
        <w:numPr>
          <w:ilvl w:val="0"/>
          <w:numId w:val="1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Company or any of its subsidiaries makes a payment in respect of a tender offer or exchange offer for shares of Common Stock to the extent that the cash and value of any other consideration included in the payment per share of Common Stock exceeds the Closing Sale Price per share of Common Stock on the Trading Day next succeeding the last date on which tenders or exchanges may be made pursuant to such tender offer or exchange offer, the conversion rate shall be adjusted based on the following formula:</w:t>
      </w:r>
    </w:p>
    <w:p>
      <w:pPr>
        <w:spacing w:after="0" w:line="14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CR </w:t>
      </w:r>
      <w:r>
        <w:rPr>
          <w:rFonts w:ascii="Times New Roman" w:cs="Times New Roman" w:eastAsia="Times New Roman" w:hAnsi="Times New Roman"/>
          <w:sz w:val="8"/>
          <w:szCs w:val="8"/>
          <w:color w:val="auto"/>
        </w:rPr>
        <w:t>1</w:t>
      </w:r>
      <w:r>
        <w:rPr>
          <w:rFonts w:ascii="Times New Roman" w:cs="Times New Roman" w:eastAsia="Times New Roman" w:hAnsi="Times New Roman"/>
          <w:sz w:val="13"/>
          <w:szCs w:val="13"/>
          <w:color w:val="auto"/>
        </w:rPr>
        <w:t xml:space="preserve"> = CR </w:t>
      </w:r>
      <w:r>
        <w:rPr>
          <w:rFonts w:ascii="Times New Roman" w:cs="Times New Roman" w:eastAsia="Times New Roman" w:hAnsi="Times New Roman"/>
          <w:sz w:val="8"/>
          <w:szCs w:val="8"/>
          <w:color w:val="auto"/>
        </w:rPr>
        <w:t>0</w:t>
      </w:r>
      <w:r>
        <w:rPr>
          <w:rFonts w:ascii="Times New Roman" w:cs="Times New Roman" w:eastAsia="Times New Roman" w:hAnsi="Times New Roman"/>
          <w:sz w:val="13"/>
          <w:szCs w:val="13"/>
          <w:color w:val="auto"/>
        </w:rPr>
        <w:t xml:space="preserve"> × (AC + (SP </w:t>
      </w:r>
      <w:r>
        <w:rPr>
          <w:rFonts w:ascii="Times New Roman" w:cs="Times New Roman" w:eastAsia="Times New Roman" w:hAnsi="Times New Roman"/>
          <w:sz w:val="8"/>
          <w:szCs w:val="8"/>
          <w:color w:val="auto"/>
        </w:rPr>
        <w:t>1</w:t>
      </w:r>
      <w:r>
        <w:rPr>
          <w:rFonts w:ascii="Times New Roman" w:cs="Times New Roman" w:eastAsia="Times New Roman" w:hAnsi="Times New Roman"/>
          <w:sz w:val="13"/>
          <w:szCs w:val="13"/>
          <w:color w:val="auto"/>
        </w:rPr>
        <w:t xml:space="preserve"> × OS </w:t>
      </w:r>
      <w:r>
        <w:rPr>
          <w:rFonts w:ascii="Times New Roman" w:cs="Times New Roman" w:eastAsia="Times New Roman" w:hAnsi="Times New Roman"/>
          <w:sz w:val="8"/>
          <w:szCs w:val="8"/>
          <w:color w:val="auto"/>
        </w:rPr>
        <w:t>1</w:t>
      </w:r>
      <w:r>
        <w:rPr>
          <w:rFonts w:ascii="Times New Roman" w:cs="Times New Roman" w:eastAsia="Times New Roman" w:hAnsi="Times New Roman"/>
          <w:sz w:val="13"/>
          <w:szCs w:val="13"/>
          <w:color w:val="auto"/>
        </w:rPr>
        <w:t xml:space="preserve"> ))/(SP </w:t>
      </w:r>
      <w:r>
        <w:rPr>
          <w:rFonts w:ascii="Times New Roman" w:cs="Times New Roman" w:eastAsia="Times New Roman" w:hAnsi="Times New Roman"/>
          <w:sz w:val="8"/>
          <w:szCs w:val="8"/>
          <w:color w:val="auto"/>
        </w:rPr>
        <w:t>1</w:t>
      </w:r>
      <w:r>
        <w:rPr>
          <w:rFonts w:ascii="Times New Roman" w:cs="Times New Roman" w:eastAsia="Times New Roman" w:hAnsi="Times New Roman"/>
          <w:sz w:val="13"/>
          <w:szCs w:val="13"/>
          <w:color w:val="auto"/>
        </w:rPr>
        <w:t xml:space="preserve"> × OS </w:t>
      </w:r>
      <w:r>
        <w:rPr>
          <w:rFonts w:ascii="Times New Roman" w:cs="Times New Roman" w:eastAsia="Times New Roman" w:hAnsi="Times New Roman"/>
          <w:sz w:val="8"/>
          <w:szCs w:val="8"/>
          <w:color w:val="auto"/>
        </w:rPr>
        <w:t>0</w:t>
      </w:r>
      <w:r>
        <w:rPr>
          <w:rFonts w:ascii="Times New Roman" w:cs="Times New Roman" w:eastAsia="Times New Roman" w:hAnsi="Times New Roman"/>
          <w:sz w:val="13"/>
          <w:szCs w:val="13"/>
          <w:color w:val="auto"/>
        </w:rPr>
        <w:t xml:space="preserve"> )</w:t>
      </w:r>
    </w:p>
    <w:p>
      <w:pPr>
        <w:spacing w:after="0" w:line="1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where</w:t>
      </w:r>
    </w:p>
    <w:p>
      <w:pPr>
        <w:spacing w:after="0" w:line="18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CR </w:t>
      </w:r>
      <w:r>
        <w:rPr>
          <w:rFonts w:ascii="Times New Roman" w:cs="Times New Roman" w:eastAsia="Times New Roman" w:hAnsi="Times New Roman"/>
          <w:sz w:val="8"/>
          <w:szCs w:val="8"/>
          <w:color w:val="auto"/>
        </w:rPr>
        <w:t>0</w:t>
      </w:r>
      <w:r>
        <w:rPr>
          <w:rFonts w:ascii="Times New Roman" w:cs="Times New Roman" w:eastAsia="Times New Roman" w:hAnsi="Times New Roman"/>
          <w:sz w:val="13"/>
          <w:szCs w:val="13"/>
          <w:color w:val="auto"/>
        </w:rPr>
        <w:t xml:space="preserve"> = the conversion rate in effect on the day immediately following the date such tender or exchange offer expires;</w:t>
      </w:r>
    </w:p>
    <w:p>
      <w:pPr>
        <w:spacing w:after="0" w:line="18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CR </w:t>
      </w:r>
      <w:r>
        <w:rPr>
          <w:rFonts w:ascii="Times New Roman" w:cs="Times New Roman" w:eastAsia="Times New Roman" w:hAnsi="Times New Roman"/>
          <w:sz w:val="8"/>
          <w:szCs w:val="8"/>
          <w:color w:val="auto"/>
        </w:rPr>
        <w:t>1</w:t>
      </w:r>
      <w:r>
        <w:rPr>
          <w:rFonts w:ascii="Times New Roman" w:cs="Times New Roman" w:eastAsia="Times New Roman" w:hAnsi="Times New Roman"/>
          <w:sz w:val="13"/>
          <w:szCs w:val="13"/>
          <w:color w:val="auto"/>
        </w:rPr>
        <w:t xml:space="preserve"> = the conversion rate in effect on the second day immediately following the date such tender or exchange offer expires;</w:t>
      </w:r>
    </w:p>
    <w:p>
      <w:pPr>
        <w:spacing w:after="0" w:line="187" w:lineRule="exact"/>
        <w:rPr>
          <w:sz w:val="20"/>
          <w:szCs w:val="20"/>
          <w:color w:val="auto"/>
        </w:rPr>
      </w:pPr>
    </w:p>
    <w:p>
      <w:pPr>
        <w:ind w:left="900" w:right="760"/>
        <w:spacing w:after="0" w:line="305" w:lineRule="auto"/>
        <w:rPr>
          <w:sz w:val="20"/>
          <w:szCs w:val="20"/>
          <w:color w:val="auto"/>
        </w:rPr>
      </w:pPr>
      <w:r>
        <w:rPr>
          <w:rFonts w:ascii="Times New Roman" w:cs="Times New Roman" w:eastAsia="Times New Roman" w:hAnsi="Times New Roman"/>
          <w:sz w:val="13"/>
          <w:szCs w:val="13"/>
          <w:color w:val="auto"/>
        </w:rPr>
        <w:t>AC = the aggregate value of all cash and any other consideration (as determined by the Company’s board of directors) paid or payable for shares of Common Stock purchased in such tender or exchange offer;</w:t>
      </w:r>
    </w:p>
    <w:p>
      <w:pPr>
        <w:spacing w:after="0" w:line="12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OS </w:t>
      </w:r>
      <w:r>
        <w:rPr>
          <w:rFonts w:ascii="Times New Roman" w:cs="Times New Roman" w:eastAsia="Times New Roman" w:hAnsi="Times New Roman"/>
          <w:sz w:val="8"/>
          <w:szCs w:val="8"/>
          <w:color w:val="auto"/>
        </w:rPr>
        <w:t>0</w:t>
      </w:r>
      <w:r>
        <w:rPr>
          <w:rFonts w:ascii="Times New Roman" w:cs="Times New Roman" w:eastAsia="Times New Roman" w:hAnsi="Times New Roman"/>
          <w:sz w:val="13"/>
          <w:szCs w:val="13"/>
          <w:color w:val="auto"/>
        </w:rPr>
        <w:t xml:space="preserve"> = the number of shares of Common Stock outstanding immediately prior to the date such tender or exchange offer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735330</wp:posOffset>
            </wp:positionV>
            <wp:extent cx="4436110" cy="762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49">
                      <a:extLst>
                        <a:ext uri="{28A0092B-C50C-407E-A947-70E740481C1C}"/>
                      </a:extLst>
                    </a:blip>
                    <a:srcRect/>
                    <a:stretch>
                      <a:fillRect/>
                    </a:stretch>
                  </pic:blipFill>
                  <pic:spPr bwMode="auto">
                    <a:xfrm>
                      <a:off x="0" y="0"/>
                      <a:ext cx="4436110"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361950</wp:posOffset>
            </wp:positionV>
            <wp:extent cx="5083810" cy="152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50">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60" w:name="page261"/>
    <w:bookmarkEnd w:id="260"/>
    <w:p>
      <w:pPr>
        <w:ind w:left="900" w:right="820"/>
        <w:spacing w:after="0" w:line="305" w:lineRule="auto"/>
        <w:rPr>
          <w:sz w:val="20"/>
          <w:szCs w:val="20"/>
          <w:color w:val="auto"/>
        </w:rPr>
      </w:pPr>
      <w:r>
        <w:rPr>
          <w:rFonts w:ascii="Times New Roman" w:cs="Times New Roman" w:eastAsia="Times New Roman" w:hAnsi="Times New Roman"/>
          <w:sz w:val="13"/>
          <w:szCs w:val="13"/>
          <w:color w:val="auto"/>
        </w:rPr>
        <w:t xml:space="preserve">OS </w:t>
      </w:r>
      <w:r>
        <w:rPr>
          <w:rFonts w:ascii="Times New Roman" w:cs="Times New Roman" w:eastAsia="Times New Roman" w:hAnsi="Times New Roman"/>
          <w:sz w:val="8"/>
          <w:szCs w:val="8"/>
          <w:color w:val="auto"/>
        </w:rPr>
        <w:t>1</w:t>
      </w:r>
      <w:r>
        <w:rPr>
          <w:rFonts w:ascii="Times New Roman" w:cs="Times New Roman" w:eastAsia="Times New Roman" w:hAnsi="Times New Roman"/>
          <w:sz w:val="13"/>
          <w:szCs w:val="13"/>
          <w:color w:val="auto"/>
        </w:rPr>
        <w:t xml:space="preserve"> = the number of shares of Common Stock outstanding immediately after the date such tender or exchange offer expires (after giving effect to the purchase or exchange of shares pursuant to such tender or exchange offer); and</w:t>
      </w:r>
    </w:p>
    <w:p>
      <w:pPr>
        <w:spacing w:after="0" w:line="124" w:lineRule="exact"/>
        <w:rPr>
          <w:sz w:val="20"/>
          <w:szCs w:val="20"/>
          <w:color w:val="auto"/>
        </w:rPr>
      </w:pPr>
    </w:p>
    <w:p>
      <w:pPr>
        <w:ind w:left="900" w:right="660"/>
        <w:spacing w:after="0" w:line="305" w:lineRule="auto"/>
        <w:rPr>
          <w:sz w:val="20"/>
          <w:szCs w:val="20"/>
          <w:color w:val="auto"/>
        </w:rPr>
      </w:pPr>
      <w:r>
        <w:rPr>
          <w:rFonts w:ascii="Times New Roman" w:cs="Times New Roman" w:eastAsia="Times New Roman" w:hAnsi="Times New Roman"/>
          <w:sz w:val="13"/>
          <w:szCs w:val="13"/>
          <w:color w:val="auto"/>
        </w:rPr>
        <w:t xml:space="preserve">SP </w:t>
      </w:r>
      <w:r>
        <w:rPr>
          <w:rFonts w:ascii="Times New Roman" w:cs="Times New Roman" w:eastAsia="Times New Roman" w:hAnsi="Times New Roman"/>
          <w:sz w:val="8"/>
          <w:szCs w:val="8"/>
          <w:color w:val="auto"/>
        </w:rPr>
        <w:t>1</w:t>
      </w:r>
      <w:r>
        <w:rPr>
          <w:rFonts w:ascii="Times New Roman" w:cs="Times New Roman" w:eastAsia="Times New Roman" w:hAnsi="Times New Roman"/>
          <w:sz w:val="13"/>
          <w:szCs w:val="13"/>
          <w:color w:val="auto"/>
        </w:rPr>
        <w:t xml:space="preserve"> = the Closing Sale Price per share of Common Stock for the Trading Day immediately following the date such tender or exchange offer expires.</w:t>
      </w:r>
    </w:p>
    <w:p>
      <w:pPr>
        <w:spacing w:after="0" w:line="124" w:lineRule="exact"/>
        <w:rPr>
          <w:sz w:val="20"/>
          <w:szCs w:val="20"/>
          <w:color w:val="auto"/>
        </w:rPr>
      </w:pPr>
    </w:p>
    <w:p>
      <w:pPr>
        <w:ind w:left="600" w:right="840" w:firstLine="312"/>
        <w:spacing w:after="0" w:line="305" w:lineRule="auto"/>
        <w:rPr>
          <w:sz w:val="20"/>
          <w:szCs w:val="20"/>
          <w:color w:val="auto"/>
        </w:rPr>
      </w:pPr>
      <w:r>
        <w:rPr>
          <w:rFonts w:ascii="Times New Roman" w:cs="Times New Roman" w:eastAsia="Times New Roman" w:hAnsi="Times New Roman"/>
          <w:sz w:val="13"/>
          <w:szCs w:val="13"/>
          <w:color w:val="auto"/>
        </w:rPr>
        <w:t>If the application of the foregoing formula would result in a decrease in the conversion rate, no adjustment to the conversion rate shall be made.</w:t>
      </w:r>
    </w:p>
    <w:p>
      <w:pPr>
        <w:spacing w:after="0" w:line="124" w:lineRule="exact"/>
        <w:rPr>
          <w:sz w:val="20"/>
          <w:szCs w:val="20"/>
          <w:color w:val="auto"/>
        </w:rPr>
      </w:pPr>
    </w:p>
    <w:p>
      <w:pPr>
        <w:ind w:left="600" w:right="680" w:firstLine="312"/>
        <w:spacing w:after="0" w:line="278" w:lineRule="auto"/>
        <w:rPr>
          <w:sz w:val="20"/>
          <w:szCs w:val="20"/>
          <w:color w:val="auto"/>
        </w:rPr>
      </w:pPr>
      <w:r>
        <w:rPr>
          <w:rFonts w:ascii="Times New Roman" w:cs="Times New Roman" w:eastAsia="Times New Roman" w:hAnsi="Times New Roman"/>
          <w:sz w:val="13"/>
          <w:szCs w:val="13"/>
          <w:color w:val="auto"/>
        </w:rPr>
        <w:t>Any adjustment to the conversion rate made pursuant to this paragraph (v) shall become effective on the second day immediately following the date such tender offer or exchange offer expires. If the Company or one of its subsidiaries is obligated to purchase shares of Common Stock pursuant to any such tender or exchange offer but is permanently prevented by applicable law from effecting any such purchase or all such purchases are rescinded, the Company shall re-adjust the new conversion rate to be the conversion rate that would be in effect if such tender or exchange offer had not been made.</w:t>
      </w:r>
    </w:p>
    <w:p>
      <w:pPr>
        <w:spacing w:after="0" w:line="143" w:lineRule="exact"/>
        <w:rPr>
          <w:sz w:val="20"/>
          <w:szCs w:val="20"/>
          <w:color w:val="auto"/>
        </w:rPr>
      </w:pPr>
    </w:p>
    <w:p>
      <w:pPr>
        <w:ind w:left="900" w:right="600" w:firstLine="319"/>
        <w:spacing w:after="0" w:line="273" w:lineRule="auto"/>
        <w:tabs>
          <w:tab w:leader="none" w:pos="1428" w:val="left"/>
        </w:tabs>
        <w:numPr>
          <w:ilvl w:val="0"/>
          <w:numId w:val="1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Company has in effect a rights plan while any shares of Series C Preferred Stock remain outstanding, holders of shares of Series C Preferred Stock shall receive, upon a conversion of such shares in respect of which the Company has elected to deliver shares of Common Stock, in addition to such shares of Common Stock, rights under the Company’s stockholder rights agreement unless, prior to conversion, the rights have expired, terminated or been redeemed or unless the rights have separated from Common Stock. If the rights provided for in any rights plan that the Company’s board of directors may adopt have separated from the Common Stock in accordance with the provisions of the applicable stockholder rights agreement so that holders of shares of Series C Preferred Stock would not be entitled to receive any rights in respect of Common Stock that the Company elects to deliver upon conversion of shares of Series C Preferred Stock, the Company shall adjust the conversion rate at the time of separation as if the Company had distributed to all holders of the Company’s capital stock, evidences of indebtedness or other assets or property pursuant to paragraph (iii) above, subject to readjustment upon the subsequent expiration, termination or redemption of the rights.</w:t>
      </w:r>
    </w:p>
    <w:p>
      <w:pPr>
        <w:spacing w:after="0" w:line="136" w:lineRule="exact"/>
        <w:rPr>
          <w:rFonts w:ascii="Times New Roman" w:cs="Times New Roman" w:eastAsia="Times New Roman" w:hAnsi="Times New Roman"/>
          <w:sz w:val="13"/>
          <w:szCs w:val="13"/>
          <w:color w:val="auto"/>
        </w:rPr>
      </w:pPr>
    </w:p>
    <w:p>
      <w:pPr>
        <w:ind w:left="900" w:right="720" w:firstLine="319"/>
        <w:spacing w:after="0" w:line="281" w:lineRule="auto"/>
        <w:tabs>
          <w:tab w:leader="none" w:pos="1476" w:val="left"/>
        </w:tabs>
        <w:numPr>
          <w:ilvl w:val="0"/>
          <w:numId w:val="1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the foregoing, in the event of an adjustment to the conversion rate pursuant to paragraphs (iv) and (v) above, in no event shall the conversion rate exceed 0.6197 shares of Common Stock per $25.00 liquidation preference, subject to adjustment pursuant to paragraphs (i), (ii) and (iii) above. In no event shall the Conversion Price be reduced below $0.01, subject to adjustment for share splits and combinations and similar events.</w:t>
      </w:r>
    </w:p>
    <w:p>
      <w:pPr>
        <w:spacing w:after="0" w:line="140" w:lineRule="exact"/>
        <w:rPr>
          <w:rFonts w:ascii="Times New Roman" w:cs="Times New Roman" w:eastAsia="Times New Roman" w:hAnsi="Times New Roman"/>
          <w:sz w:val="13"/>
          <w:szCs w:val="13"/>
          <w:color w:val="auto"/>
        </w:rPr>
      </w:pPr>
    </w:p>
    <w:p>
      <w:pPr>
        <w:ind w:left="900" w:right="880" w:firstLine="319"/>
        <w:spacing w:after="0" w:line="305" w:lineRule="auto"/>
        <w:tabs>
          <w:tab w:leader="none" w:pos="1500" w:val="left"/>
        </w:tabs>
        <w:numPr>
          <w:ilvl w:val="0"/>
          <w:numId w:val="1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not make any adjustment to the conversion rate if holders of shares of Series C Preferred Stock are permitted to participate, on an as-converted basis, in the transactions described in paragraphs (i) through (vi) above.</w:t>
      </w:r>
    </w:p>
    <w:p>
      <w:pPr>
        <w:spacing w:after="0" w:line="124" w:lineRule="exact"/>
        <w:rPr>
          <w:rFonts w:ascii="Times New Roman" w:cs="Times New Roman" w:eastAsia="Times New Roman" w:hAnsi="Times New Roman"/>
          <w:sz w:val="13"/>
          <w:szCs w:val="13"/>
          <w:color w:val="auto"/>
        </w:rPr>
      </w:pPr>
    </w:p>
    <w:p>
      <w:pPr>
        <w:ind w:left="900" w:right="820" w:firstLine="319"/>
        <w:spacing w:after="0" w:line="273" w:lineRule="auto"/>
        <w:tabs>
          <w:tab w:leader="none" w:pos="1428" w:val="left"/>
        </w:tabs>
        <w:numPr>
          <w:ilvl w:val="0"/>
          <w:numId w:val="1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conversion rate shall not be adjusted except as specifically set forth in this Section 8 to these Articles Supplementary. Without limiting the foregoing, the conversion rate shall not be adjusted for (A) the issuance of any shares of Common Stock pursuant to any present or future plan providing for the reinvestment of dividends or interest payable on the Company’s securities or those of the Operating Partnership and the investment of additional optional amounts in shares of Common Stock under any plan; (B) the issuance of any shares of Common Stock or options or rights to purchase such shares pursuant to any of the Company’s present or future employee, director, trustee or consultant benefit plan, employee agreement or arrangement or program or those of the Operating Partnership; (C) the issuance of any shares of Common Stock pursuant to any option, warrant, right, or exercisable, exchangeable or convertible security outstanding as of the date shares of Series C Preferred Stock were first issued; (D) a change in the par value of Common Stock; (E) accumulated and unpaid dividends or distributions; and (F) the issuance of limited partnership units by the Operating Partnership and the issuance of shares of Common Stock or the payment of cash upon redemption thereof.</w:t>
      </w:r>
    </w:p>
    <w:p>
      <w:pPr>
        <w:spacing w:after="0" w:line="136" w:lineRule="exact"/>
        <w:rPr>
          <w:rFonts w:ascii="Times New Roman" w:cs="Times New Roman" w:eastAsia="Times New Roman" w:hAnsi="Times New Roman"/>
          <w:sz w:val="13"/>
          <w:szCs w:val="13"/>
          <w:color w:val="auto"/>
        </w:rPr>
      </w:pPr>
    </w:p>
    <w:p>
      <w:pPr>
        <w:jc w:val="both"/>
        <w:ind w:left="900" w:right="640" w:firstLine="319"/>
        <w:spacing w:after="0" w:line="287" w:lineRule="auto"/>
        <w:tabs>
          <w:tab w:leader="none" w:pos="1392" w:val="left"/>
        </w:tabs>
        <w:numPr>
          <w:ilvl w:val="0"/>
          <w:numId w:val="1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adjustment in the conversion rate shall be required unless the adjustment would require an increase or decrease of at least 1% of the conversion rate. If the adjustment is not made because the adjustment does not change the conversion rate by at least 1%, then the adjustment that is not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101600</wp:posOffset>
            </wp:positionV>
            <wp:extent cx="4436110" cy="762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51">
                      <a:extLst>
                        <a:ext uri="{28A0092B-C50C-407E-A947-70E740481C1C}"/>
                      </a:extLst>
                    </a:blip>
                    <a:srcRect/>
                    <a:stretch>
                      <a:fillRect/>
                    </a:stretch>
                  </pic:blipFill>
                  <pic:spPr bwMode="auto">
                    <a:xfrm>
                      <a:off x="0" y="0"/>
                      <a:ext cx="4436110"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535940</wp:posOffset>
            </wp:positionV>
            <wp:extent cx="5083810" cy="152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52">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61" w:name="page262"/>
    <w:bookmarkEnd w:id="261"/>
    <w:p>
      <w:pPr>
        <w:ind w:left="900" w:right="760"/>
        <w:spacing w:after="0" w:line="287" w:lineRule="auto"/>
        <w:rPr>
          <w:sz w:val="20"/>
          <w:szCs w:val="20"/>
          <w:color w:val="auto"/>
        </w:rPr>
      </w:pPr>
      <w:r>
        <w:rPr>
          <w:rFonts w:ascii="Times New Roman" w:cs="Times New Roman" w:eastAsia="Times New Roman" w:hAnsi="Times New Roman"/>
          <w:sz w:val="13"/>
          <w:szCs w:val="13"/>
          <w:color w:val="auto"/>
        </w:rPr>
        <w:t>shall be carried forward and taken into account in any future adjustment. All required calculations shall be made to the nearest cent or 1/1000th of a share, as the case may be. Notwithstanding the foregoing, if the shares of Series C Preferred Stock are called for redemption, all adjustments not previously made shall be made on the applicable redemption date.</w:t>
      </w:r>
    </w:p>
    <w:p>
      <w:pPr>
        <w:spacing w:after="0" w:line="136" w:lineRule="exact"/>
        <w:rPr>
          <w:sz w:val="20"/>
          <w:szCs w:val="20"/>
          <w:color w:val="auto"/>
        </w:rPr>
      </w:pPr>
    </w:p>
    <w:p>
      <w:pPr>
        <w:jc w:val="both"/>
        <w:ind w:left="900" w:right="600" w:firstLine="312"/>
        <w:spacing w:after="0" w:line="287" w:lineRule="auto"/>
        <w:rPr>
          <w:sz w:val="20"/>
          <w:szCs w:val="20"/>
          <w:color w:val="auto"/>
        </w:rPr>
      </w:pPr>
      <w:r>
        <w:rPr>
          <w:rFonts w:ascii="Times New Roman" w:cs="Times New Roman" w:eastAsia="Times New Roman" w:hAnsi="Times New Roman"/>
          <w:sz w:val="13"/>
          <w:szCs w:val="13"/>
          <w:color w:val="auto"/>
        </w:rPr>
        <w:t>(xi) Except as described in this Section 8 of these Articles Supplementary, the Company shall not adjust the conversion rate for any issuance of shares of Common Stock or any securities convertible into or exchangeable or exercisable for shares of Common Stock or rights to purchase shares of Common Stock or such convertible, exchangeable or exercisable securities.</w:t>
      </w:r>
    </w:p>
    <w:p>
      <w:pPr>
        <w:spacing w:after="0" w:line="134" w:lineRule="exact"/>
        <w:rPr>
          <w:sz w:val="20"/>
          <w:szCs w:val="20"/>
          <w:color w:val="auto"/>
        </w:rPr>
      </w:pPr>
    </w:p>
    <w:p>
      <w:pPr>
        <w:ind w:left="1040" w:hanging="134"/>
        <w:spacing w:after="0"/>
        <w:tabs>
          <w:tab w:leader="none" w:pos="1040" w:val="left"/>
        </w:tabs>
        <w:numPr>
          <w:ilvl w:val="0"/>
          <w:numId w:val="1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Effect of Business Combinations </w:t>
      </w:r>
      <w:r>
        <w:rPr>
          <w:rFonts w:ascii="Times New Roman" w:cs="Times New Roman" w:eastAsia="Times New Roman" w:hAnsi="Times New Roman"/>
          <w:sz w:val="13"/>
          <w:szCs w:val="13"/>
          <w:color w:val="auto"/>
        </w:rPr>
        <w:t>. In the case of the following events (each a “</w:t>
      </w:r>
      <w:r>
        <w:rPr>
          <w:rFonts w:ascii="Times New Roman" w:cs="Times New Roman" w:eastAsia="Times New Roman" w:hAnsi="Times New Roman"/>
          <w:sz w:val="13"/>
          <w:szCs w:val="13"/>
          <w:b w:val="1"/>
          <w:bCs w:val="1"/>
          <w:color w:val="auto"/>
        </w:rPr>
        <w:t xml:space="preserve"> business combination </w:t>
      </w:r>
      <w:r>
        <w:rPr>
          <w:rFonts w:ascii="Times New Roman" w:cs="Times New Roman" w:eastAsia="Times New Roman" w:hAnsi="Times New Roman"/>
          <w:sz w:val="13"/>
          <w:szCs w:val="13"/>
          <w:color w:val="auto"/>
        </w:rPr>
        <w:t>”):</w:t>
      </w:r>
    </w:p>
    <w:p>
      <w:pPr>
        <w:spacing w:after="0" w:line="188" w:lineRule="exact"/>
        <w:rPr>
          <w:rFonts w:ascii="Times New Roman" w:cs="Times New Roman" w:eastAsia="Times New Roman" w:hAnsi="Times New Roman"/>
          <w:sz w:val="13"/>
          <w:szCs w:val="13"/>
          <w:color w:val="auto"/>
        </w:rPr>
      </w:pPr>
    </w:p>
    <w:p>
      <w:pPr>
        <w:ind w:left="900" w:right="1440" w:firstLine="319"/>
        <w:spacing w:after="0" w:line="305" w:lineRule="auto"/>
        <w:tabs>
          <w:tab w:leader="none" w:pos="1368" w:val="left"/>
        </w:tabs>
        <w:numPr>
          <w:ilvl w:val="1"/>
          <w:numId w:val="1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recapitalization, reclassification or change of Common Stock (other than changes resulting from a subdivision or combination);</w:t>
      </w:r>
    </w:p>
    <w:p>
      <w:pPr>
        <w:spacing w:after="0" w:line="124" w:lineRule="exact"/>
        <w:rPr>
          <w:rFonts w:ascii="Times New Roman" w:cs="Times New Roman" w:eastAsia="Times New Roman" w:hAnsi="Times New Roman"/>
          <w:sz w:val="13"/>
          <w:szCs w:val="13"/>
          <w:color w:val="auto"/>
        </w:rPr>
      </w:pPr>
    </w:p>
    <w:p>
      <w:pPr>
        <w:ind w:left="1420" w:hanging="201"/>
        <w:spacing w:after="0"/>
        <w:tabs>
          <w:tab w:leader="none" w:pos="1420" w:val="left"/>
        </w:tabs>
        <w:numPr>
          <w:ilvl w:val="1"/>
          <w:numId w:val="1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consolidation, merger or combination involving the Company;</w:t>
      </w:r>
    </w:p>
    <w:p>
      <w:pPr>
        <w:spacing w:after="0" w:line="186" w:lineRule="exact"/>
        <w:rPr>
          <w:rFonts w:ascii="Times New Roman" w:cs="Times New Roman" w:eastAsia="Times New Roman" w:hAnsi="Times New Roman"/>
          <w:sz w:val="13"/>
          <w:szCs w:val="13"/>
          <w:color w:val="auto"/>
        </w:rPr>
      </w:pPr>
    </w:p>
    <w:p>
      <w:pPr>
        <w:ind w:left="900" w:right="780" w:firstLine="319"/>
        <w:spacing w:after="0" w:line="305" w:lineRule="auto"/>
        <w:tabs>
          <w:tab w:leader="none" w:pos="1440" w:val="left"/>
        </w:tabs>
        <w:numPr>
          <w:ilvl w:val="1"/>
          <w:numId w:val="1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sale, conveyance or lease to another corporation of all or substantially all of the Company’s property and assets (other than to one or more of the Company’s subsidiaries); or</w:t>
      </w:r>
    </w:p>
    <w:p>
      <w:pPr>
        <w:spacing w:after="0" w:line="124" w:lineRule="exact"/>
        <w:rPr>
          <w:rFonts w:ascii="Times New Roman" w:cs="Times New Roman" w:eastAsia="Times New Roman" w:hAnsi="Times New Roman"/>
          <w:sz w:val="13"/>
          <w:szCs w:val="13"/>
          <w:color w:val="auto"/>
        </w:rPr>
      </w:pPr>
    </w:p>
    <w:p>
      <w:pPr>
        <w:ind w:left="1440" w:hanging="221"/>
        <w:spacing w:after="0"/>
        <w:tabs>
          <w:tab w:leader="none" w:pos="1440" w:val="left"/>
        </w:tabs>
        <w:numPr>
          <w:ilvl w:val="1"/>
          <w:numId w:val="1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statutory share exchange,</w:t>
      </w:r>
    </w:p>
    <w:p>
      <w:pPr>
        <w:spacing w:after="0" w:line="187" w:lineRule="exact"/>
        <w:rPr>
          <w:sz w:val="20"/>
          <w:szCs w:val="20"/>
          <w:color w:val="auto"/>
        </w:rPr>
      </w:pPr>
    </w:p>
    <w:p>
      <w:pPr>
        <w:ind w:left="600" w:right="600"/>
        <w:spacing w:after="0" w:line="272" w:lineRule="auto"/>
        <w:rPr>
          <w:sz w:val="20"/>
          <w:szCs w:val="20"/>
          <w:color w:val="auto"/>
        </w:rPr>
      </w:pPr>
      <w:r>
        <w:rPr>
          <w:rFonts w:ascii="Times New Roman" w:cs="Times New Roman" w:eastAsia="Times New Roman" w:hAnsi="Times New Roman"/>
          <w:sz w:val="13"/>
          <w:szCs w:val="13"/>
          <w:color w:val="auto"/>
        </w:rPr>
        <w:t>in each case, as a result of which holders of Common Stock are entitled to receive stock, other securities, other property or assets (including cash or any combination thereof) with respect to or in exchange for Common Stock, a holder of shares of Series C Preferred Stock shall be entitled thereafter to convert such shares of Series C Preferred Stock into the kind and amount of stock, other securities or other property or assets (including cash or any combination thereof) which the holder of shares of Series C Preferred Stock would have owned or been entitled to receive upon such business combination as if such holder of shares of Series C Preferred Stock held a number of shares of Common Stock equal to the conversion rate in effect on the effective date for such business combination, multiplied by the number of shares of Series C Preferred Stock held by such holder of shares of Series C Preferred Stock. If such business combination also constitutes a Fundamental Change, a holder of shares of Series C Preferred Stock converting such shares shall not receive a make-whole premium pursuant to Section 8(k) hereof if such holder does not convert its shares of Series C Preferred Stock “in connection with” (as described in Section 8(k)(i)) the relevant Fundamental Change. In the event that holders of Common Stock have the opportunity to elect the form of consideration to be received in such business combination, the Company shall make adequate provision whereby the holders of shares of Series C Preferred Stock shall have a reasonable opportunity to determine the form of consideration into which all of the shares of Series C Preferred Stock, treated as a single class, shall be convertible from and after the effective date of such business combination. Such determination shall be based on the weighted average of elections made by the holders of shares of Series C Preferred Stock who participate in such determination, shall be subject to any limitations to which all holders of Common Stock are subject, such as pro rata reductions applicable to any portion of the consideration payable in such business combination, and shall be conducted in such a manner as to be completed by the date which is the earliest of (1) the deadline for elections to be made by holders of Common Stock and (2) two business days prior to the anticipated effective date of the business combination.</w:t>
      </w:r>
    </w:p>
    <w:p>
      <w:pPr>
        <w:spacing w:after="0" w:line="133" w:lineRule="exact"/>
        <w:rPr>
          <w:sz w:val="20"/>
          <w:szCs w:val="20"/>
          <w:color w:val="auto"/>
        </w:rPr>
      </w:pPr>
    </w:p>
    <w:p>
      <w:pPr>
        <w:ind w:left="600" w:right="540" w:firstLine="312"/>
        <w:spacing w:after="0" w:line="275" w:lineRule="auto"/>
        <w:rPr>
          <w:sz w:val="20"/>
          <w:szCs w:val="20"/>
          <w:color w:val="auto"/>
        </w:rPr>
      </w:pPr>
      <w:r>
        <w:rPr>
          <w:rFonts w:ascii="Times New Roman" w:cs="Times New Roman" w:eastAsia="Times New Roman" w:hAnsi="Times New Roman"/>
          <w:sz w:val="13"/>
          <w:szCs w:val="13"/>
          <w:color w:val="auto"/>
        </w:rPr>
        <w:t>The Company shall provide notice of the opportunity to determine the form of such consideration, as well as notice of the determination made by the holders of shares of Series C Preferred Stock (and the weighted average of elections), by posting such notice with DTC and providing a copy of such notice to the Company’s transfer agent. If the effective date of a business combination is delayed beyond the initially anticipated effective date, the holders of shares of Series C Preferred Stock shall be given the opportunity to make subsequent similar determinations in regard to such delayed effective date. The Company may not become a party to any such transaction unless its terms are consistent with the preceding. None of the foregoing provisions shall affect the right of a holder of shares of Series C Preferred Stock to convert such holder’s shares of Series C Preferred Stock into shares of Common Stock prior to the effective date of such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412115</wp:posOffset>
            </wp:positionV>
            <wp:extent cx="4436110" cy="152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53">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335915</wp:posOffset>
            </wp:positionV>
            <wp:extent cx="5083810" cy="1524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54">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62" w:name="page263"/>
    <w:bookmarkEnd w:id="262"/>
    <w:p>
      <w:pPr>
        <w:ind w:left="600" w:right="620" w:firstLine="306"/>
        <w:spacing w:after="0" w:line="277" w:lineRule="auto"/>
        <w:tabs>
          <w:tab w:leader="none" w:pos="1044" w:val="left"/>
        </w:tabs>
        <w:numPr>
          <w:ilvl w:val="0"/>
          <w:numId w:val="1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Optional Increase to Conversion Rate </w:t>
      </w:r>
      <w:r>
        <w:rPr>
          <w:rFonts w:ascii="Times New Roman" w:cs="Times New Roman" w:eastAsia="Times New Roman" w:hAnsi="Times New Roman"/>
          <w:sz w:val="13"/>
          <w:szCs w:val="13"/>
          <w:color w:val="auto"/>
        </w:rPr>
        <w:t>. To the extent permitted by law, the Company may, from time to time, increase the conversion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rate for a period of at least 20 days if the Company’s board of directors determines that such an increase would be in the Company’s best interests. Any such determination by the Company’s board of directors shall be conclusive. In addition, the Company may increase the conversion rate if the Company’s board of directors deems it advisable to avoid or diminish any income tax to holders of Common Stock resulting from any distribution of Common Stock or similar event. The Company shall give holders of shares of Series C Preferred Stock at least 15 business days’ notice of any increase in the conversion rate.</w:t>
      </w:r>
    </w:p>
    <w:p>
      <w:pPr>
        <w:spacing w:after="0" w:line="141" w:lineRule="exact"/>
        <w:rPr>
          <w:rFonts w:ascii="Times New Roman" w:cs="Times New Roman" w:eastAsia="Times New Roman" w:hAnsi="Times New Roman"/>
          <w:sz w:val="13"/>
          <w:szCs w:val="13"/>
          <w:color w:val="auto"/>
        </w:rPr>
      </w:pPr>
    </w:p>
    <w:p>
      <w:pPr>
        <w:ind w:left="600" w:right="820" w:firstLine="306"/>
        <w:spacing w:after="0" w:line="308" w:lineRule="auto"/>
        <w:tabs>
          <w:tab w:leader="none" w:pos="1080" w:val="left"/>
        </w:tabs>
        <w:numPr>
          <w:ilvl w:val="0"/>
          <w:numId w:val="1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Adjustment to Conversion Rate upon Certain Fundamental Changes </w:t>
      </w:r>
      <w:r>
        <w:rPr>
          <w:rFonts w:ascii="Times New Roman" w:cs="Times New Roman" w:eastAsia="Times New Roman" w:hAnsi="Times New Roman"/>
          <w:sz w:val="13"/>
          <w:szCs w:val="13"/>
          <w:color w:val="auto"/>
        </w:rPr>
        <w:t>. The Company shall adjust the conversion rate from time to</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time as follows:</w:t>
      </w:r>
    </w:p>
    <w:p>
      <w:pPr>
        <w:spacing w:after="0" w:line="122" w:lineRule="exact"/>
        <w:rPr>
          <w:sz w:val="20"/>
          <w:szCs w:val="20"/>
          <w:color w:val="auto"/>
        </w:rPr>
      </w:pPr>
    </w:p>
    <w:p>
      <w:pPr>
        <w:ind w:left="900" w:right="840" w:firstLine="312"/>
        <w:spacing w:after="0" w:line="278" w:lineRule="auto"/>
        <w:rPr>
          <w:sz w:val="20"/>
          <w:szCs w:val="20"/>
          <w:color w:val="auto"/>
        </w:rPr>
      </w:pPr>
      <w:r>
        <w:rPr>
          <w:rFonts w:ascii="Times New Roman" w:cs="Times New Roman" w:eastAsia="Times New Roman" w:hAnsi="Times New Roman"/>
          <w:sz w:val="13"/>
          <w:szCs w:val="13"/>
          <w:color w:val="auto"/>
        </w:rPr>
        <w:t>(i) If, on or prior to April 10, 2014, a Fundamental Change takes place and a holder converts the Series C Preferred Stock in connection with such Fundamental Change, the Company shall increase, as described below, the conversion rate applicable to shares that are surrendered for conversion. A conversion of the Series C Preferred Stock shall be deemed for these purposes to be “in connection with” a Fundamental Change if the Conversion Date occurs from and including the effective date of such Fundamental Change to, and including, the Fundamental Change Conversion Date (as defined in Section 8(l)(vii)) for that Fundamental Change.</w:t>
      </w:r>
    </w:p>
    <w:p>
      <w:pPr>
        <w:spacing w:after="0" w:line="143" w:lineRule="exact"/>
        <w:rPr>
          <w:sz w:val="20"/>
          <w:szCs w:val="20"/>
          <w:color w:val="auto"/>
        </w:rPr>
      </w:pPr>
    </w:p>
    <w:p>
      <w:pPr>
        <w:ind w:left="900" w:right="760" w:firstLine="319"/>
        <w:spacing w:after="0" w:line="278" w:lineRule="auto"/>
        <w:tabs>
          <w:tab w:leader="none" w:pos="1404" w:val="left"/>
        </w:tabs>
        <w:numPr>
          <w:ilvl w:val="0"/>
          <w:numId w:val="1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also give notice by mail or by publication (with subsequent prompt notice by mail) to holders of Series C Preferred Stock of the anticipated effective date of any proposed Fundamental Change which shall occur on or prior to April 10, 2014. The Company shall make this mailing or publication at least 15 days before the anticipated effective date of the Fundamental Change. In addition, no later than the third business day after the completion of such Fundamental Change, the Company shall make an additional notice announcing such completion.</w:t>
      </w:r>
    </w:p>
    <w:p>
      <w:pPr>
        <w:spacing w:after="0" w:line="143" w:lineRule="exact"/>
        <w:rPr>
          <w:sz w:val="20"/>
          <w:szCs w:val="20"/>
          <w:color w:val="auto"/>
        </w:rPr>
      </w:pPr>
    </w:p>
    <w:p>
      <w:pPr>
        <w:ind w:left="900" w:right="620" w:firstLine="312"/>
        <w:spacing w:after="0" w:line="273" w:lineRule="auto"/>
        <w:rPr>
          <w:sz w:val="20"/>
          <w:szCs w:val="20"/>
          <w:color w:val="auto"/>
        </w:rPr>
      </w:pPr>
      <w:r>
        <w:rPr>
          <w:rFonts w:ascii="Times New Roman" w:cs="Times New Roman" w:eastAsia="Times New Roman" w:hAnsi="Times New Roman"/>
          <w:sz w:val="13"/>
          <w:szCs w:val="13"/>
          <w:color w:val="auto"/>
        </w:rPr>
        <w:t xml:space="preserve">(iii) If a holder elects to convert in connection with a Fundamental Change on or prior to April 10, 2014, the Company shall increase the Conversion Rate by reference to the table below, based on the date when the Fundamental Change becomes effective (the “ </w:t>
      </w:r>
      <w:r>
        <w:rPr>
          <w:rFonts w:ascii="Times New Roman" w:cs="Times New Roman" w:eastAsia="Times New Roman" w:hAnsi="Times New Roman"/>
          <w:sz w:val="13"/>
          <w:szCs w:val="13"/>
          <w:b w:val="1"/>
          <w:bCs w:val="1"/>
          <w:color w:val="auto"/>
        </w:rPr>
        <w:t>effective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 xml:space="preserve">date </w:t>
      </w:r>
      <w:r>
        <w:rPr>
          <w:rFonts w:ascii="Times New Roman" w:cs="Times New Roman" w:eastAsia="Times New Roman" w:hAnsi="Times New Roman"/>
          <w:sz w:val="13"/>
          <w:szCs w:val="13"/>
          <w:color w:val="auto"/>
        </w:rPr>
        <w:t>”), and the applicable price. If the Fundamental Change is a transaction or series of related transactions and the consideration (excluding</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cash payments for fractional shares or pursuant to statutory appraisal rights) for Common Stock in the Fundamental Change consists solely of cash, then the applicable price shall be the cash amount paid per share of Common Stock in the transaction. If the transaction is an asset sale and the consideration paid for the Company’s property and assets (or for the property and assets of the Company and its subsidiaries on a consolidated basis) consists solely of cash, then the applicable price shall be the cash amount paid for the Company’s property and assets, expressed as an amount per share of Common Stock outstanding on the effective date of the asset sale. In all other cases, the applicable price shall be the average of the Closing Sale Price per share of Common Stock for the ten consecutive Trading Days immediately preceding the effective date. The Company’s board of directors shall make appropriate adjustments, in its good faith determination, to account for any adjustment to the conversion rate that becomes effective, or any event requiring an adjustment to the conversion rate where the ex-dividend date of the event occurs, at any time during those ten consecutive Trading Days.</w:t>
      </w:r>
    </w:p>
    <w:p>
      <w:pPr>
        <w:spacing w:after="0" w:line="132" w:lineRule="exact"/>
        <w:rPr>
          <w:sz w:val="20"/>
          <w:szCs w:val="20"/>
          <w:color w:val="auto"/>
        </w:rPr>
      </w:pPr>
    </w:p>
    <w:p>
      <w:pPr>
        <w:ind w:left="900" w:right="740" w:firstLine="319"/>
        <w:spacing w:after="0" w:line="276" w:lineRule="auto"/>
        <w:tabs>
          <w:tab w:leader="none" w:pos="1428" w:val="left"/>
        </w:tabs>
        <w:numPr>
          <w:ilvl w:val="0"/>
          <w:numId w:val="1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following table sets forth the number of additional shares of Common Stock per $25.00 liquidation preference of Series C Preferred Stock that shall be added to the Conversion Rate applicable to Series C Preferred Stock that are converted in connection with a Fundamental Change (the “ </w:t>
      </w:r>
      <w:r>
        <w:rPr>
          <w:rFonts w:ascii="Times New Roman" w:cs="Times New Roman" w:eastAsia="Times New Roman" w:hAnsi="Times New Roman"/>
          <w:sz w:val="13"/>
          <w:szCs w:val="13"/>
          <w:b w:val="1"/>
          <w:bCs w:val="1"/>
          <w:color w:val="auto"/>
        </w:rPr>
        <w:t>make-whole premium</w:t>
      </w:r>
      <w:r>
        <w:rPr>
          <w:rFonts w:ascii="Times New Roman" w:cs="Times New Roman" w:eastAsia="Times New Roman" w:hAnsi="Times New Roman"/>
          <w:sz w:val="13"/>
          <w:szCs w:val="13"/>
          <w:color w:val="auto"/>
        </w:rPr>
        <w:t xml:space="preserve"> ”). If an event occurs that requires an adjustment to the Conversion Rate, the Company shall, on the date the Company must adjust the Conversion Rate, adjust each applicable price set forth in the column headers of the table below by multiplying the applicable price in effect immediately before the adjustment by a fraction (A) whose numerator is the Conversion Rate in effect immediately before the adjustment; and (B) whose denominator is the adjusted Conversion Rate.</w:t>
      </w:r>
    </w:p>
    <w:p>
      <w:pPr>
        <w:spacing w:after="0" w:line="145" w:lineRule="exact"/>
        <w:rPr>
          <w:sz w:val="20"/>
          <w:szCs w:val="20"/>
          <w:color w:val="auto"/>
        </w:rPr>
      </w:pPr>
    </w:p>
    <w:p>
      <w:pPr>
        <w:ind w:left="600" w:right="900" w:firstLine="312"/>
        <w:spacing w:after="0" w:line="305" w:lineRule="auto"/>
        <w:rPr>
          <w:sz w:val="20"/>
          <w:szCs w:val="20"/>
          <w:color w:val="auto"/>
        </w:rPr>
      </w:pPr>
      <w:r>
        <w:rPr>
          <w:rFonts w:ascii="Times New Roman" w:cs="Times New Roman" w:eastAsia="Times New Roman" w:hAnsi="Times New Roman"/>
          <w:sz w:val="13"/>
          <w:szCs w:val="13"/>
          <w:color w:val="auto"/>
        </w:rPr>
        <w:t>In addition, the Company shall adjust the number of additional shares in the table below in the same manner in which, and for the same events for which, the Company must adjust the Conversion Rate as described in Section 8(h).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505460</wp:posOffset>
            </wp:positionV>
            <wp:extent cx="4436110" cy="152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55">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322580</wp:posOffset>
            </wp:positionV>
            <wp:extent cx="5083810" cy="1524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56">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263" w:name="page264"/>
    <w:bookmarkEnd w:id="263"/>
    <w:p>
      <w:pPr>
        <w:jc w:val="center"/>
        <w:spacing w:after="0"/>
        <w:rPr>
          <w:sz w:val="20"/>
          <w:szCs w:val="20"/>
          <w:color w:val="auto"/>
        </w:rPr>
      </w:pPr>
      <w:r>
        <w:rPr>
          <w:rFonts w:ascii="Times New Roman" w:cs="Times New Roman" w:eastAsia="Times New Roman" w:hAnsi="Times New Roman"/>
          <w:sz w:val="13"/>
          <w:szCs w:val="13"/>
          <w:b w:val="1"/>
          <w:bCs w:val="1"/>
          <w:color w:val="auto"/>
        </w:rPr>
        <w:t>Number of Additional Shares of Common Stock Issuable</w:t>
      </w:r>
    </w:p>
    <w:p>
      <w:pPr>
        <w:spacing w:after="0" w:line="1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per $25.00 Liquidation Preference</w:t>
      </w:r>
    </w:p>
    <w:p>
      <w:pPr>
        <w:spacing w:after="0" w:line="42" w:lineRule="exact"/>
        <w:rPr>
          <w:sz w:val="20"/>
          <w:szCs w:val="20"/>
          <w:color w:val="auto"/>
        </w:rPr>
      </w:pPr>
    </w:p>
    <w:tbl>
      <w:tblPr>
        <w:tblLayout w:type="fixed"/>
        <w:tblInd w:w="600" w:type="dxa"/>
        <w:tblCellMar>
          <w:top w:w="0" w:type="dxa"/>
          <w:left w:w="0" w:type="dxa"/>
          <w:bottom w:w="0" w:type="dxa"/>
          <w:right w:w="0" w:type="dxa"/>
        </w:tblCellMar>
      </w:tblP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Effective Date</w:t>
            </w:r>
          </w:p>
        </w:tc>
        <w:tc>
          <w:tcPr>
            <w:tcW w:w="5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Common Stock Share Price</w:t>
            </w:r>
          </w:p>
        </w:tc>
        <w:tc>
          <w:tcPr>
            <w:tcW w:w="6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120" w:type="dxa"/>
            <w:vAlign w:val="bottom"/>
            <w:vMerge w:val="continue"/>
          </w:tcPr>
          <w:p>
            <w:pPr>
              <w:spacing w:after="0"/>
              <w:rPr>
                <w:sz w:val="7"/>
                <w:szCs w:val="7"/>
                <w:color w:val="auto"/>
              </w:rPr>
            </w:pPr>
          </w:p>
        </w:tc>
        <w:tc>
          <w:tcPr>
            <w:tcW w:w="580" w:type="dxa"/>
            <w:vAlign w:val="bottom"/>
          </w:tcPr>
          <w:p>
            <w:pPr>
              <w:jc w:val="center"/>
              <w:spacing w:after="0" w:line="89" w:lineRule="exact"/>
              <w:rPr>
                <w:sz w:val="20"/>
                <w:szCs w:val="20"/>
                <w:color w:val="auto"/>
              </w:rPr>
            </w:pPr>
            <w:r>
              <w:rPr>
                <w:rFonts w:ascii="Times New Roman" w:cs="Times New Roman" w:eastAsia="Times New Roman" w:hAnsi="Times New Roman"/>
                <w:sz w:val="10"/>
                <w:szCs w:val="10"/>
                <w:b w:val="1"/>
                <w:bCs w:val="1"/>
                <w:color w:val="auto"/>
              </w:rPr>
              <w:t>$40.34</w:t>
            </w:r>
          </w:p>
        </w:tc>
        <w:tc>
          <w:tcPr>
            <w:tcW w:w="600" w:type="dxa"/>
            <w:vAlign w:val="bottom"/>
          </w:tcPr>
          <w:p>
            <w:pPr>
              <w:jc w:val="center"/>
              <w:spacing w:after="0" w:line="89" w:lineRule="exact"/>
              <w:rPr>
                <w:sz w:val="20"/>
                <w:szCs w:val="20"/>
                <w:color w:val="auto"/>
              </w:rPr>
            </w:pPr>
            <w:r>
              <w:rPr>
                <w:rFonts w:ascii="Times New Roman" w:cs="Times New Roman" w:eastAsia="Times New Roman" w:hAnsi="Times New Roman"/>
                <w:sz w:val="10"/>
                <w:szCs w:val="10"/>
                <w:b w:val="1"/>
                <w:bCs w:val="1"/>
                <w:color w:val="auto"/>
              </w:rPr>
              <w:t>$45.00</w:t>
            </w:r>
          </w:p>
        </w:tc>
        <w:tc>
          <w:tcPr>
            <w:tcW w:w="580" w:type="dxa"/>
            <w:vAlign w:val="bottom"/>
          </w:tcPr>
          <w:p>
            <w:pPr>
              <w:jc w:val="center"/>
              <w:spacing w:after="0" w:line="89" w:lineRule="exact"/>
              <w:rPr>
                <w:sz w:val="20"/>
                <w:szCs w:val="20"/>
                <w:color w:val="auto"/>
              </w:rPr>
            </w:pPr>
            <w:r>
              <w:rPr>
                <w:rFonts w:ascii="Times New Roman" w:cs="Times New Roman" w:eastAsia="Times New Roman" w:hAnsi="Times New Roman"/>
                <w:sz w:val="10"/>
                <w:szCs w:val="10"/>
                <w:b w:val="1"/>
                <w:bCs w:val="1"/>
                <w:color w:val="auto"/>
              </w:rPr>
              <w:t>$50.00</w:t>
            </w:r>
          </w:p>
        </w:tc>
        <w:tc>
          <w:tcPr>
            <w:tcW w:w="580" w:type="dxa"/>
            <w:vAlign w:val="bottom"/>
          </w:tcPr>
          <w:p>
            <w:pPr>
              <w:jc w:val="center"/>
              <w:spacing w:after="0" w:line="89" w:lineRule="exact"/>
              <w:rPr>
                <w:sz w:val="20"/>
                <w:szCs w:val="20"/>
                <w:color w:val="auto"/>
              </w:rPr>
            </w:pPr>
            <w:r>
              <w:rPr>
                <w:rFonts w:ascii="Times New Roman" w:cs="Times New Roman" w:eastAsia="Times New Roman" w:hAnsi="Times New Roman"/>
                <w:sz w:val="10"/>
                <w:szCs w:val="10"/>
                <w:b w:val="1"/>
                <w:bCs w:val="1"/>
                <w:color w:val="auto"/>
              </w:rPr>
              <w:t>$55.00</w:t>
            </w:r>
          </w:p>
        </w:tc>
        <w:tc>
          <w:tcPr>
            <w:tcW w:w="620" w:type="dxa"/>
            <w:vAlign w:val="bottom"/>
          </w:tcPr>
          <w:p>
            <w:pPr>
              <w:jc w:val="right"/>
              <w:ind w:right="157"/>
              <w:spacing w:after="0" w:line="89" w:lineRule="exact"/>
              <w:rPr>
                <w:sz w:val="20"/>
                <w:szCs w:val="20"/>
                <w:color w:val="auto"/>
              </w:rPr>
            </w:pPr>
            <w:r>
              <w:rPr>
                <w:rFonts w:ascii="Times New Roman" w:cs="Times New Roman" w:eastAsia="Times New Roman" w:hAnsi="Times New Roman"/>
                <w:sz w:val="10"/>
                <w:szCs w:val="10"/>
                <w:b w:val="1"/>
                <w:bCs w:val="1"/>
                <w:color w:val="auto"/>
              </w:rPr>
              <w:t>$60.00</w:t>
            </w:r>
          </w:p>
        </w:tc>
        <w:tc>
          <w:tcPr>
            <w:tcW w:w="620" w:type="dxa"/>
            <w:vAlign w:val="bottom"/>
          </w:tcPr>
          <w:p>
            <w:pPr>
              <w:jc w:val="center"/>
              <w:spacing w:after="0" w:line="89" w:lineRule="exact"/>
              <w:rPr>
                <w:sz w:val="20"/>
                <w:szCs w:val="20"/>
                <w:color w:val="auto"/>
              </w:rPr>
            </w:pPr>
            <w:r>
              <w:rPr>
                <w:rFonts w:ascii="Times New Roman" w:cs="Times New Roman" w:eastAsia="Times New Roman" w:hAnsi="Times New Roman"/>
                <w:sz w:val="10"/>
                <w:szCs w:val="10"/>
                <w:b w:val="1"/>
                <w:bCs w:val="1"/>
                <w:color w:val="auto"/>
              </w:rPr>
              <w:t>$65.00</w:t>
            </w:r>
          </w:p>
        </w:tc>
        <w:tc>
          <w:tcPr>
            <w:tcW w:w="560" w:type="dxa"/>
            <w:vAlign w:val="bottom"/>
          </w:tcPr>
          <w:p>
            <w:pPr>
              <w:jc w:val="center"/>
              <w:spacing w:after="0" w:line="89" w:lineRule="exact"/>
              <w:rPr>
                <w:sz w:val="20"/>
                <w:szCs w:val="20"/>
                <w:color w:val="auto"/>
              </w:rPr>
            </w:pPr>
            <w:r>
              <w:rPr>
                <w:rFonts w:ascii="Times New Roman" w:cs="Times New Roman" w:eastAsia="Times New Roman" w:hAnsi="Times New Roman"/>
                <w:sz w:val="10"/>
                <w:szCs w:val="10"/>
                <w:b w:val="1"/>
                <w:bCs w:val="1"/>
                <w:color w:val="auto"/>
              </w:rPr>
              <w:t>$70.00</w:t>
            </w:r>
          </w:p>
        </w:tc>
        <w:tc>
          <w:tcPr>
            <w:tcW w:w="680" w:type="dxa"/>
            <w:vAlign w:val="bottom"/>
          </w:tcPr>
          <w:p>
            <w:pPr>
              <w:jc w:val="right"/>
              <w:ind w:right="276"/>
              <w:spacing w:after="0" w:line="89" w:lineRule="exact"/>
              <w:rPr>
                <w:sz w:val="20"/>
                <w:szCs w:val="20"/>
                <w:color w:val="auto"/>
              </w:rPr>
            </w:pPr>
            <w:r>
              <w:rPr>
                <w:rFonts w:ascii="Times New Roman" w:cs="Times New Roman" w:eastAsia="Times New Roman" w:hAnsi="Times New Roman"/>
                <w:sz w:val="10"/>
                <w:szCs w:val="10"/>
                <w:b w:val="1"/>
                <w:bCs w:val="1"/>
                <w:color w:val="auto"/>
              </w:rPr>
              <w:t>$75.00</w:t>
            </w:r>
          </w:p>
        </w:tc>
        <w:tc>
          <w:tcPr>
            <w:tcW w:w="600" w:type="dxa"/>
            <w:vAlign w:val="bottom"/>
          </w:tcPr>
          <w:p>
            <w:pPr>
              <w:jc w:val="center"/>
              <w:spacing w:after="0" w:line="89" w:lineRule="exact"/>
              <w:rPr>
                <w:sz w:val="20"/>
                <w:szCs w:val="20"/>
                <w:color w:val="auto"/>
              </w:rPr>
            </w:pPr>
            <w:r>
              <w:rPr>
                <w:rFonts w:ascii="Times New Roman" w:cs="Times New Roman" w:eastAsia="Times New Roman" w:hAnsi="Times New Roman"/>
                <w:sz w:val="10"/>
                <w:szCs w:val="10"/>
                <w:b w:val="1"/>
                <w:bCs w:val="1"/>
                <w:color w:val="auto"/>
              </w:rPr>
              <w:t>$80.00</w:t>
            </w:r>
          </w:p>
        </w:tc>
        <w:tc>
          <w:tcPr>
            <w:tcW w:w="600" w:type="dxa"/>
            <w:vAlign w:val="bottom"/>
          </w:tcPr>
          <w:p>
            <w:pPr>
              <w:jc w:val="center"/>
              <w:spacing w:after="0" w:line="89" w:lineRule="exact"/>
              <w:rPr>
                <w:sz w:val="20"/>
                <w:szCs w:val="20"/>
                <w:color w:val="auto"/>
              </w:rPr>
            </w:pPr>
            <w:r>
              <w:rPr>
                <w:rFonts w:ascii="Times New Roman" w:cs="Times New Roman" w:eastAsia="Times New Roman" w:hAnsi="Times New Roman"/>
                <w:sz w:val="10"/>
                <w:szCs w:val="10"/>
                <w:b w:val="1"/>
                <w:bCs w:val="1"/>
                <w:color w:val="auto"/>
              </w:rPr>
              <w:t>$85.00</w:t>
            </w:r>
          </w:p>
        </w:tc>
        <w:tc>
          <w:tcPr>
            <w:tcW w:w="540" w:type="dxa"/>
            <w:vAlign w:val="bottom"/>
          </w:tcPr>
          <w:p>
            <w:pPr>
              <w:ind w:left="120"/>
              <w:spacing w:after="0" w:line="89" w:lineRule="exact"/>
              <w:rPr>
                <w:sz w:val="20"/>
                <w:szCs w:val="20"/>
                <w:color w:val="auto"/>
              </w:rPr>
            </w:pPr>
            <w:r>
              <w:rPr>
                <w:rFonts w:ascii="Times New Roman" w:cs="Times New Roman" w:eastAsia="Times New Roman" w:hAnsi="Times New Roman"/>
                <w:sz w:val="10"/>
                <w:szCs w:val="10"/>
                <w:b w:val="1"/>
                <w:bCs w:val="1"/>
                <w:color w:val="auto"/>
              </w:rPr>
              <w:t>$90.00</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20"/>
                <w:szCs w:val="20"/>
                <w:color w:val="auto"/>
              </w:rPr>
            </w:pPr>
            <w:r>
              <w:rPr>
                <w:rFonts w:ascii="Times New Roman" w:cs="Times New Roman" w:eastAsia="Times New Roman" w:hAnsi="Times New Roman"/>
                <w:sz w:val="13"/>
                <w:szCs w:val="13"/>
                <w:color w:val="auto"/>
              </w:rPr>
              <w:t>April 10, 2007</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0.1033</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0.0784</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0.0573</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0.0416</w:t>
            </w: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0.0297</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0.0208</w:t>
            </w: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auto"/>
              </w:rPr>
              <w:t>0.0141</w:t>
            </w:r>
          </w:p>
        </w:tc>
        <w:tc>
          <w:tcPr>
            <w:tcW w:w="6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0.0091</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0.0054</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0.0028</w:t>
            </w:r>
          </w:p>
        </w:tc>
        <w:tc>
          <w:tcPr>
            <w:tcW w:w="5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0.0011</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20"/>
                <w:szCs w:val="20"/>
                <w:color w:val="auto"/>
              </w:rPr>
            </w:pPr>
            <w:r>
              <w:rPr>
                <w:rFonts w:ascii="Times New Roman" w:cs="Times New Roman" w:eastAsia="Times New Roman" w:hAnsi="Times New Roman"/>
                <w:sz w:val="13"/>
                <w:szCs w:val="13"/>
                <w:color w:val="auto"/>
              </w:rPr>
              <w:t>March 31, 2008</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0.1033</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0.0768</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0.0557</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0.0401</w:t>
            </w: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0.0284</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0.0197</w:t>
            </w: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auto"/>
              </w:rPr>
              <w:t>0.0132</w:t>
            </w:r>
          </w:p>
        </w:tc>
        <w:tc>
          <w:tcPr>
            <w:tcW w:w="6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0.0083</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0.0049</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0.0024</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0.0008</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20"/>
                <w:szCs w:val="20"/>
                <w:color w:val="auto"/>
              </w:rPr>
            </w:pPr>
            <w:r>
              <w:rPr>
                <w:rFonts w:ascii="Times New Roman" w:cs="Times New Roman" w:eastAsia="Times New Roman" w:hAnsi="Times New Roman"/>
                <w:sz w:val="13"/>
                <w:szCs w:val="13"/>
                <w:color w:val="auto"/>
              </w:rPr>
              <w:t>March 31, 2009</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0.1033</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0.0746</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0.0535</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0.0379</w:t>
            </w: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0.0265</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0.0180</w:t>
            </w: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auto"/>
              </w:rPr>
              <w:t>0.0118</w:t>
            </w:r>
          </w:p>
        </w:tc>
        <w:tc>
          <w:tcPr>
            <w:tcW w:w="6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0.0072</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0.0040</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0.0018</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0.0004</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20"/>
                <w:szCs w:val="20"/>
                <w:color w:val="auto"/>
              </w:rPr>
            </w:pPr>
            <w:r>
              <w:rPr>
                <w:rFonts w:ascii="Times New Roman" w:cs="Times New Roman" w:eastAsia="Times New Roman" w:hAnsi="Times New Roman"/>
                <w:sz w:val="13"/>
                <w:szCs w:val="13"/>
                <w:color w:val="auto"/>
              </w:rPr>
              <w:t>March 31, 2010</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0.1033</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0.0721</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0.0507</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0.0351</w:t>
            </w: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0.0237</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0.0155</w:t>
            </w: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auto"/>
              </w:rPr>
              <w:t>0.0097</w:t>
            </w:r>
          </w:p>
        </w:tc>
        <w:tc>
          <w:tcPr>
            <w:tcW w:w="6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0.0056</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0.0028</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0.0010</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0.0000</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20"/>
                <w:szCs w:val="20"/>
                <w:color w:val="auto"/>
              </w:rPr>
            </w:pPr>
            <w:r>
              <w:rPr>
                <w:rFonts w:ascii="Times New Roman" w:cs="Times New Roman" w:eastAsia="Times New Roman" w:hAnsi="Times New Roman"/>
                <w:sz w:val="13"/>
                <w:szCs w:val="13"/>
                <w:color w:val="auto"/>
              </w:rPr>
              <w:t>March 31, 2011</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0.1033</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0.0698</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0.0474</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0.0311</w:t>
            </w: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0.0196</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0.0117</w:t>
            </w: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auto"/>
              </w:rPr>
              <w:t>0.0064</w:t>
            </w:r>
          </w:p>
        </w:tc>
        <w:tc>
          <w:tcPr>
            <w:tcW w:w="6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0.0030</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0.0010</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0.0000</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0.0000</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20"/>
                <w:szCs w:val="20"/>
                <w:color w:val="auto"/>
              </w:rPr>
            </w:pPr>
            <w:r>
              <w:rPr>
                <w:rFonts w:ascii="Times New Roman" w:cs="Times New Roman" w:eastAsia="Times New Roman" w:hAnsi="Times New Roman"/>
                <w:sz w:val="13"/>
                <w:szCs w:val="13"/>
                <w:color w:val="auto"/>
              </w:rPr>
              <w:t>March 31, 2012</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0.1033</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0.0693</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0.0459</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0.0281</w:t>
            </w: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0.0143</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0.0059</w:t>
            </w: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auto"/>
              </w:rPr>
              <w:t>0.0019</w:t>
            </w:r>
          </w:p>
        </w:tc>
        <w:tc>
          <w:tcPr>
            <w:tcW w:w="6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0.0000</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0.0000</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0.0000</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0.0000</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20"/>
                <w:szCs w:val="20"/>
                <w:color w:val="auto"/>
              </w:rPr>
            </w:pPr>
            <w:r>
              <w:rPr>
                <w:rFonts w:ascii="Times New Roman" w:cs="Times New Roman" w:eastAsia="Times New Roman" w:hAnsi="Times New Roman"/>
                <w:sz w:val="13"/>
                <w:szCs w:val="13"/>
                <w:color w:val="auto"/>
              </w:rPr>
              <w:t>March 31, 2013</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0.1033</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0.0693</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0.0459</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0.0281</w:t>
            </w: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0.0143</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0.0053</w:t>
            </w: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auto"/>
              </w:rPr>
              <w:t>0.0019</w:t>
            </w:r>
          </w:p>
        </w:tc>
        <w:tc>
          <w:tcPr>
            <w:tcW w:w="6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0.0000</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0.0000</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0.0000</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0.0000</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20"/>
                <w:szCs w:val="20"/>
                <w:color w:val="auto"/>
              </w:rPr>
            </w:pPr>
            <w:r>
              <w:rPr>
                <w:rFonts w:ascii="Times New Roman" w:cs="Times New Roman" w:eastAsia="Times New Roman" w:hAnsi="Times New Roman"/>
                <w:sz w:val="13"/>
                <w:szCs w:val="13"/>
                <w:color w:val="auto"/>
              </w:rPr>
              <w:t>March 31, 2014</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0.1033</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0.0693</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0.0459</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0.0281</w:t>
            </w: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0.0143</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0.0053</w:t>
            </w: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auto"/>
              </w:rPr>
              <w:t>0.0019</w:t>
            </w:r>
          </w:p>
        </w:tc>
        <w:tc>
          <w:tcPr>
            <w:tcW w:w="6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0.0000</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0.0000</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0.0000</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0.0000</w:t>
            </w:r>
          </w:p>
        </w:tc>
        <w:tc>
          <w:tcPr>
            <w:tcW w:w="0" w:type="dxa"/>
            <w:vAlign w:val="bottom"/>
          </w:tcPr>
          <w:p>
            <w:pPr>
              <w:spacing w:after="0"/>
              <w:rPr>
                <w:sz w:val="1"/>
                <w:szCs w:val="1"/>
                <w:color w:val="auto"/>
              </w:rPr>
            </w:pPr>
          </w:p>
        </w:tc>
      </w:tr>
      <w:tr>
        <w:trPr>
          <w:trHeight w:val="172"/>
        </w:trPr>
        <w:tc>
          <w:tcPr>
            <w:tcW w:w="1120" w:type="dxa"/>
            <w:vAlign w:val="bottom"/>
          </w:tcPr>
          <w:p>
            <w:pPr>
              <w:spacing w:after="0"/>
              <w:rPr>
                <w:sz w:val="20"/>
                <w:szCs w:val="20"/>
                <w:color w:val="auto"/>
              </w:rPr>
            </w:pPr>
            <w:r>
              <w:rPr>
                <w:rFonts w:ascii="Times New Roman" w:cs="Times New Roman" w:eastAsia="Times New Roman" w:hAnsi="Times New Roman"/>
                <w:sz w:val="13"/>
                <w:szCs w:val="13"/>
                <w:color w:val="auto"/>
              </w:rPr>
              <w:t>April 10, 2014</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0.1033</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0.0693</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0.0459</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0.0281</w:t>
            </w: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0.0143</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0.0053</w:t>
            </w: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auto"/>
              </w:rPr>
              <w:t>0.0019</w:t>
            </w:r>
          </w:p>
        </w:tc>
        <w:tc>
          <w:tcPr>
            <w:tcW w:w="6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0.0000</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0.0000</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0.0000</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0.0000</w:t>
            </w:r>
          </w:p>
        </w:tc>
        <w:tc>
          <w:tcPr>
            <w:tcW w:w="0" w:type="dxa"/>
            <w:vAlign w:val="bottom"/>
          </w:tcPr>
          <w:p>
            <w:pPr>
              <w:spacing w:after="0"/>
              <w:rPr>
                <w:sz w:val="1"/>
                <w:szCs w:val="1"/>
                <w:color w:val="auto"/>
              </w:rPr>
            </w:pPr>
          </w:p>
        </w:tc>
      </w:tr>
    </w:tbl>
    <w:p>
      <w:pPr>
        <w:ind w:left="900" w:right="620" w:firstLine="319"/>
        <w:spacing w:after="0" w:line="274" w:lineRule="auto"/>
        <w:tabs>
          <w:tab w:leader="none" w:pos="1392" w:val="left"/>
        </w:tabs>
        <w:numPr>
          <w:ilvl w:val="0"/>
          <w:numId w:val="1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exact applicable share price and effective date may not be set forth in the table above, in which case (A) if the actual applicable share price is between two applicable prices listed in the table above, or the actual effective date is between two dates listed in the table above, the Company shall determine the number of additional shares by linear interpolation between the numbers of additional shares set forth for the two applicable prices, or for the two dates based on a 365-day year, as applicable; (B) if the actual applicable price is greater than $90.00 per share (subject to adjustment), the Company shall not increase the Conversion Rate as described above and no additional shares shall be issuable upon conversion; and (C) if the actual applicable price is less than $40.34 per share (subject to adjustment), the Company shall not increase the Conversion Rate as described above and no additional shares shall be issuable upon conversion.</w:t>
      </w:r>
    </w:p>
    <w:p>
      <w:pPr>
        <w:spacing w:after="0" w:line="146" w:lineRule="exact"/>
        <w:rPr>
          <w:rFonts w:ascii="Times New Roman" w:cs="Times New Roman" w:eastAsia="Times New Roman" w:hAnsi="Times New Roman"/>
          <w:sz w:val="13"/>
          <w:szCs w:val="13"/>
          <w:color w:val="auto"/>
        </w:rPr>
      </w:pPr>
    </w:p>
    <w:p>
      <w:pPr>
        <w:ind w:left="900" w:right="840" w:firstLine="319"/>
        <w:spacing w:after="0" w:line="286" w:lineRule="auto"/>
        <w:tabs>
          <w:tab w:leader="none" w:pos="1428" w:val="left"/>
        </w:tabs>
        <w:numPr>
          <w:ilvl w:val="0"/>
          <w:numId w:val="1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Company shall not increase the Conversion Rate as described in this Section 8(k) of these Articles Supplementary to the extent the increase will cause the Conversion Rate to exceed 0.6197,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the Company shall adjust this maximum conversion rate in the same manner in which, and for the same events for which, the Company must adjust the Conversion Rate as described in Section 8(h).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208915</wp:posOffset>
            </wp:positionV>
            <wp:extent cx="4436110" cy="762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57">
                      <a:extLst>
                        <a:ext uri="{28A0092B-C50C-407E-A947-70E740481C1C}"/>
                      </a:extLst>
                    </a:blip>
                    <a:srcRect/>
                    <a:stretch>
                      <a:fillRect/>
                    </a:stretch>
                  </pic:blipFill>
                  <pic:spPr bwMode="auto">
                    <a:xfrm>
                      <a:off x="0" y="0"/>
                      <a:ext cx="4436110"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643890</wp:posOffset>
            </wp:positionV>
            <wp:extent cx="5083810" cy="152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58">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264" w:name="page265"/>
    <w:bookmarkEnd w:id="264"/>
    <w:p>
      <w:pPr>
        <w:ind w:left="1040" w:hanging="134"/>
        <w:spacing w:after="0"/>
        <w:tabs>
          <w:tab w:leader="none" w:pos="1040" w:val="left"/>
        </w:tabs>
        <w:numPr>
          <w:ilvl w:val="0"/>
          <w:numId w:val="1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Special Conversion Right of Series C Preferred Stock upon a Fundamental Change; Company Repurchase Right.</w:t>
      </w:r>
    </w:p>
    <w:p>
      <w:pPr>
        <w:spacing w:after="0" w:line="188" w:lineRule="exact"/>
        <w:rPr>
          <w:rFonts w:ascii="Times New Roman" w:cs="Times New Roman" w:eastAsia="Times New Roman" w:hAnsi="Times New Roman"/>
          <w:sz w:val="13"/>
          <w:szCs w:val="13"/>
          <w:color w:val="auto"/>
        </w:rPr>
      </w:pPr>
    </w:p>
    <w:p>
      <w:pPr>
        <w:ind w:left="900" w:right="840" w:firstLine="319"/>
        <w:spacing w:after="0" w:line="274" w:lineRule="auto"/>
        <w:tabs>
          <w:tab w:leader="none" w:pos="1356" w:val="left"/>
        </w:tabs>
        <w:numPr>
          <w:ilvl w:val="1"/>
          <w:numId w:val="1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On or prior to April 10, 2014, in the event of a Fundamental Change, when the applicable price of Common Stock described in Section 8(k)(iii) of these Articles Supplementary is less than $40.34 per share, then each holder of Series C Preferred Stock shall have the special right (the “ </w:t>
      </w:r>
      <w:r>
        <w:rPr>
          <w:rFonts w:ascii="Times New Roman" w:cs="Times New Roman" w:eastAsia="Times New Roman" w:hAnsi="Times New Roman"/>
          <w:sz w:val="13"/>
          <w:szCs w:val="13"/>
          <w:b w:val="1"/>
          <w:bCs w:val="1"/>
          <w:color w:val="auto"/>
        </w:rPr>
        <w:t>Fundamental Change Conversion Right</w:t>
      </w:r>
      <w:r>
        <w:rPr>
          <w:rFonts w:ascii="Times New Roman" w:cs="Times New Roman" w:eastAsia="Times New Roman" w:hAnsi="Times New Roman"/>
          <w:sz w:val="13"/>
          <w:szCs w:val="13"/>
          <w:color w:val="auto"/>
        </w:rPr>
        <w:t xml:space="preserve"> ”), in addition to any other applicable conversion right, to convert some or all of the Series C Preferred Stock on the relevant Fundamental Change Conversion Date into a number of shares of Common Stock per $25.00 liquidation preference equal to such liquidation preference plus an amount equal to accrued and unpaid dividends to, but not including, such Fundamental Change Conversion Date, divided by 98% of the Market Price of Common Stock (the “ </w:t>
      </w:r>
      <w:r>
        <w:rPr>
          <w:rFonts w:ascii="Times New Roman" w:cs="Times New Roman" w:eastAsia="Times New Roman" w:hAnsi="Times New Roman"/>
          <w:sz w:val="13"/>
          <w:szCs w:val="13"/>
          <w:b w:val="1"/>
          <w:bCs w:val="1"/>
          <w:color w:val="auto"/>
        </w:rPr>
        <w:t>Fundamental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 xml:space="preserve">Change Conversion Rate </w:t>
      </w:r>
      <w:r>
        <w:rPr>
          <w:rFonts w:ascii="Times New Roman" w:cs="Times New Roman" w:eastAsia="Times New Roman" w:hAnsi="Times New Roman"/>
          <w:sz w:val="13"/>
          <w:szCs w:val="13"/>
          <w:color w:val="auto"/>
        </w:rPr>
        <w:t>”). The Market Price of Common Stock shall be determined prior to the applicable Fundamental Change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Conversion Date. A holder of Series C Preferred Stock which has elected to convert such shares otherwise than pursuant to the Fundamental Change Conversion Right shall not be able to exercise the Fundamental Change Conversion Right.</w:t>
      </w:r>
    </w:p>
    <w:p>
      <w:pPr>
        <w:spacing w:after="0" w:line="132" w:lineRule="exact"/>
        <w:rPr>
          <w:rFonts w:ascii="Times New Roman" w:cs="Times New Roman" w:eastAsia="Times New Roman" w:hAnsi="Times New Roman"/>
          <w:sz w:val="13"/>
          <w:szCs w:val="13"/>
          <w:color w:val="auto"/>
        </w:rPr>
      </w:pPr>
    </w:p>
    <w:p>
      <w:pPr>
        <w:ind w:left="900" w:right="680" w:firstLine="319"/>
        <w:spacing w:after="0" w:line="274" w:lineRule="auto"/>
        <w:tabs>
          <w:tab w:leader="none" w:pos="1392" w:val="left"/>
        </w:tabs>
        <w:numPr>
          <w:ilvl w:val="1"/>
          <w:numId w:val="1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a holder of Series C Preferred Stock elects to convert Series C Preferred Stock as described in Section 8(l)(i) of these Articles Supplementary, the Company may elect, in lieu of that conversion, to repurchase for cash some or all of such Series C Preferred Stock at a repurchase price (the </w:t>
      </w:r>
      <w:r>
        <w:rPr>
          <w:rFonts w:ascii="Times New Roman" w:cs="Times New Roman" w:eastAsia="Times New Roman" w:hAnsi="Times New Roman"/>
          <w:sz w:val="13"/>
          <w:szCs w:val="13"/>
          <w:b w:val="1"/>
          <w:bCs w:val="1"/>
          <w:color w:val="auto"/>
        </w:rPr>
        <w:t>“Fundamental Change Repurchase Price”</w:t>
      </w:r>
      <w:r>
        <w:rPr>
          <w:rFonts w:ascii="Times New Roman" w:cs="Times New Roman" w:eastAsia="Times New Roman" w:hAnsi="Times New Roman"/>
          <w:sz w:val="13"/>
          <w:szCs w:val="13"/>
          <w:color w:val="auto"/>
        </w:rPr>
        <w:t xml:space="preserve"> ) equal to 100% of the liquidation preference of the Series C Preferred Stock to be repurchased plus an amount equal to accrued and unpaid dividends to, but not including, such Fundamental Change Conversion Date, or the Fundamental Change Repurchase Price;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if the relevant Fundamental Change Conversion Date is on a date that is after a Dividend Record Date and on or prior to the corresponding Dividend Payment Date, the Company shall pay such dividends to the holder of record on the corresponding Dividend Record Date, and the Fundamental Change Repurchase Price shall be equal to 100% of the liquidation preference of the Series C Preferred Stock to be repurchased.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108585</wp:posOffset>
            </wp:positionV>
            <wp:extent cx="4436110" cy="152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59">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550545</wp:posOffset>
            </wp:positionV>
            <wp:extent cx="5083810" cy="152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60">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265" w:name="page266"/>
    <w:bookmarkEnd w:id="265"/>
    <w:p>
      <w:pPr>
        <w:ind w:left="900" w:right="880" w:firstLine="319"/>
        <w:spacing w:after="0" w:line="287" w:lineRule="auto"/>
        <w:tabs>
          <w:tab w:leader="none" w:pos="1440" w:val="left"/>
        </w:tabs>
        <w:numPr>
          <w:ilvl w:val="1"/>
          <w:numId w:val="1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Company elects to repurchase Series C Preferred Stock that would otherwise be converted into Common Stock on a Fundamental Change Conversion Date, such Series C Preferred Stock shall not be converted into Common Stock and the holder of such shares shall be entitled to receive the Fundamental Change Repurchase Price in cash from the Company.</w:t>
      </w:r>
    </w:p>
    <w:p>
      <w:pPr>
        <w:spacing w:after="0" w:line="135" w:lineRule="exact"/>
        <w:rPr>
          <w:rFonts w:ascii="Times New Roman" w:cs="Times New Roman" w:eastAsia="Times New Roman" w:hAnsi="Times New Roman"/>
          <w:sz w:val="13"/>
          <w:szCs w:val="13"/>
          <w:color w:val="auto"/>
        </w:rPr>
      </w:pPr>
    </w:p>
    <w:p>
      <w:pPr>
        <w:ind w:left="900" w:right="680" w:firstLine="319"/>
        <w:spacing w:after="0" w:line="274" w:lineRule="auto"/>
        <w:tabs>
          <w:tab w:leader="none" w:pos="1428" w:val="left"/>
        </w:tabs>
        <w:numPr>
          <w:ilvl w:val="1"/>
          <w:numId w:val="1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aggregate number of shares of Common Stock issuable in connection with the exercise of the Fundamental Change Conversion Right may not exceed 7.3 million shares of Common Stock (or 8.4 million shares of Common Stock if the underwriter of the Company’s offering of the Series C Preferred Stock exercises its over-allotment option in full) or such other number of shares of Common Stock as shall then be authorized and available for issuance. If the number of shares of Common Stock issuable upon such conversion would exceed 7.3 million or 8.4 million shares of Common Stock, as the case may be, or such other number of shares of Common Stock as shall then be authorized and available for issuance, the Company shall have the option to satisfy the remainder of such conversion in shares of Common Stock that are authorized for issuance in the future. The Company shall use its best efforts to have any such additional number of shares of Common Stock authorized for issuance within 180 days of the Fundamental Change Conversion Date.</w:t>
      </w:r>
    </w:p>
    <w:p>
      <w:pPr>
        <w:spacing w:after="0" w:line="147" w:lineRule="exact"/>
        <w:rPr>
          <w:rFonts w:ascii="Times New Roman" w:cs="Times New Roman" w:eastAsia="Times New Roman" w:hAnsi="Times New Roman"/>
          <w:sz w:val="13"/>
          <w:szCs w:val="13"/>
          <w:color w:val="auto"/>
        </w:rPr>
      </w:pPr>
    </w:p>
    <w:p>
      <w:pPr>
        <w:ind w:left="900" w:right="620" w:firstLine="319"/>
        <w:spacing w:after="0" w:line="270" w:lineRule="auto"/>
        <w:tabs>
          <w:tab w:leader="none" w:pos="1392" w:val="left"/>
        </w:tabs>
        <w:numPr>
          <w:ilvl w:val="1"/>
          <w:numId w:val="1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Within 15 days after the occurrence of a Fundamental Change, the Company shall provide to the holder of Series C Preferred Stock and the Company’s transfer agent a notice of the occurrence of the Fundamental Change and of the resulting repurchase right. Such notice shall state (A) the events constituting the Fundamental Change; (B) the date of the Fundamental Change; (C) the last date on which the holder of Series C Preferred Stock may exercise the Fundamental Change Conversion Right; (D) to the extent applicable, the Fundamental Change Conversion Rate and the Fundamental Change Repurchase Price; (E) that the Company may elect to repurchase some or all of the Series C Preferred Stock as to which the Fundamental Change Conversion Right may be exercised; (F) the method of calculating the Market Price of Common Stock; (G) the Fundamental Change Conversion Date; (H) the name and address of the paying agent and the conversion agent; (I) the Conversion Rate and any adjustment to the Conversion Rate that shall result from the Fundamental Change; (J) that Series C Preferred Stock as to which the Fundamental Change Conversion Right has been exercised may be converted at the applicable Conversion Rate, if otherwise convertible, only if the notice of exercise of the Fundamental Change Conversion Right has been properly withdrawn; and</w:t>
      </w:r>
    </w:p>
    <w:p>
      <w:pPr>
        <w:spacing w:after="0" w:line="2" w:lineRule="exact"/>
        <w:rPr>
          <w:rFonts w:ascii="Times New Roman" w:cs="Times New Roman" w:eastAsia="Times New Roman" w:hAnsi="Times New Roman"/>
          <w:sz w:val="13"/>
          <w:szCs w:val="13"/>
          <w:color w:val="auto"/>
        </w:rPr>
      </w:pPr>
    </w:p>
    <w:p>
      <w:pPr>
        <w:ind w:left="1120" w:hanging="214"/>
        <w:spacing w:after="0"/>
        <w:tabs>
          <w:tab w:leader="none" w:pos="1120" w:val="left"/>
        </w:tabs>
        <w:numPr>
          <w:ilvl w:val="0"/>
          <w:numId w:val="1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procedures that the holder of Series C Preferred Stock must follow to exercise the Fundamental Change Conversion Right.</w:t>
      </w:r>
    </w:p>
    <w:p>
      <w:pPr>
        <w:spacing w:after="0" w:line="171" w:lineRule="exact"/>
        <w:rPr>
          <w:sz w:val="20"/>
          <w:szCs w:val="20"/>
          <w:color w:val="auto"/>
        </w:rPr>
      </w:pPr>
    </w:p>
    <w:p>
      <w:pPr>
        <w:ind w:left="900" w:right="820" w:firstLine="312"/>
        <w:spacing w:after="0" w:line="278" w:lineRule="auto"/>
        <w:rPr>
          <w:sz w:val="20"/>
          <w:szCs w:val="20"/>
          <w:color w:val="auto"/>
        </w:rPr>
      </w:pPr>
      <w:r>
        <w:rPr>
          <w:rFonts w:ascii="Times New Roman" w:cs="Times New Roman" w:eastAsia="Times New Roman" w:hAnsi="Times New Roman"/>
          <w:sz w:val="13"/>
          <w:szCs w:val="13"/>
          <w:color w:val="auto"/>
        </w:rPr>
        <w:t>(vi) The Company shall also issue a press release for publication on the Dow Jones &amp; Company, Inc., Business Wire or Bloomberg Business News (or, if such organizations are not in existence at the time of issuance of such press release, such other news or press organization as is reasonably calculated to broadly disseminate the relevant information to the public), or post notice on the Company’s website, in any event prior to the opening of business on the first Trading Day following any date on which the Company provides such notice to the holders of Series C Preferred Stock.</w:t>
      </w:r>
    </w:p>
    <w:p>
      <w:pPr>
        <w:spacing w:after="0" w:line="143" w:lineRule="exact"/>
        <w:rPr>
          <w:sz w:val="20"/>
          <w:szCs w:val="20"/>
          <w:color w:val="auto"/>
        </w:rPr>
      </w:pPr>
    </w:p>
    <w:p>
      <w:pPr>
        <w:ind w:left="900" w:right="680" w:firstLine="319"/>
        <w:spacing w:after="0" w:line="274" w:lineRule="auto"/>
        <w:tabs>
          <w:tab w:leader="none" w:pos="1464" w:val="left"/>
        </w:tabs>
        <w:numPr>
          <w:ilvl w:val="0"/>
          <w:numId w:val="1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Fundamental Change Conversion Date shall be a date no less than 20 days nor more than 35 days after the date on which the Company gives the notice described in Section 8(l)(v) of these Articles Supplementary. To exercise the Fundamental Change Conversion Right, the holder of Series C Preferred Stock shall deliver, on or before the close of business on the Fundamental Change Conversion Date, the Series C Preferred Stock to be converted, duly endorsed for transfer, together with a written conversion notice completed, to the Company’s transfer agent. The conversion notice shall state (A) the relevant Fundamental Change Conversion Date; (B) the number of Series C Preferred Stock to be converted; and (C) that the Series C Preferred Stock are to be converted pursuant to the applicable provisions of the Series C Preferred Stock. Notwithstanding the foregoing, if the Series C Preferred Stock is held in global form, the conversion notice shall comply with applicable DTC procedures.</w:t>
      </w:r>
    </w:p>
    <w:p>
      <w:pPr>
        <w:spacing w:after="0" w:line="135" w:lineRule="exact"/>
        <w:rPr>
          <w:sz w:val="20"/>
          <w:szCs w:val="20"/>
          <w:color w:val="auto"/>
        </w:rPr>
      </w:pPr>
    </w:p>
    <w:p>
      <w:pPr>
        <w:ind w:left="900" w:right="800" w:firstLine="312"/>
        <w:spacing w:after="0" w:line="278" w:lineRule="auto"/>
        <w:rPr>
          <w:sz w:val="20"/>
          <w:szCs w:val="20"/>
          <w:color w:val="auto"/>
        </w:rPr>
      </w:pPr>
      <w:r>
        <w:rPr>
          <w:rFonts w:ascii="Times New Roman" w:cs="Times New Roman" w:eastAsia="Times New Roman" w:hAnsi="Times New Roman"/>
          <w:sz w:val="13"/>
          <w:szCs w:val="13"/>
          <w:color w:val="auto"/>
        </w:rPr>
        <w:t>(viii) Holders of Series C Preferred Stock may withdraw any notice of exercise of its Fundamental Change Conversion Right (in whole or in part) by a written notice of withdrawal delivered to the Company’s transfer agent prior to the close of business on the business day prior to the Fundamental Change Conversion Date. The notice of withdrawal shall state (A) the number of withdrawn shares of Series C Preferred Stock; (B) if certificated shares of Series C Preferred Stock have been issued, the certificate numbers of the withdrawn shares of Series C Preferred Stock; and (C) the number of shares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105410</wp:posOffset>
            </wp:positionV>
            <wp:extent cx="4436110" cy="152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61">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547370</wp:posOffset>
            </wp:positionV>
            <wp:extent cx="5083810" cy="152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62">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66" w:name="page267"/>
    <w:bookmarkEnd w:id="266"/>
    <w:p>
      <w:pPr>
        <w:ind w:left="900" w:right="1160"/>
        <w:spacing w:after="0" w:line="305" w:lineRule="auto"/>
        <w:rPr>
          <w:sz w:val="20"/>
          <w:szCs w:val="20"/>
          <w:color w:val="auto"/>
        </w:rPr>
      </w:pPr>
      <w:r>
        <w:rPr>
          <w:rFonts w:ascii="Times New Roman" w:cs="Times New Roman" w:eastAsia="Times New Roman" w:hAnsi="Times New Roman"/>
          <w:sz w:val="13"/>
          <w:szCs w:val="13"/>
          <w:color w:val="auto"/>
        </w:rPr>
        <w:t>the Series C Preferred Stock, if any, which remains subject to the conversion notice. Notwithstanding the foregoing, if the Series C Preferred Stock is held in global form, the notice of withdrawal shall comply with applicable DTC procedures.</w:t>
      </w:r>
    </w:p>
    <w:p>
      <w:pPr>
        <w:spacing w:after="0" w:line="124" w:lineRule="exact"/>
        <w:rPr>
          <w:sz w:val="20"/>
          <w:szCs w:val="20"/>
          <w:color w:val="auto"/>
        </w:rPr>
      </w:pPr>
    </w:p>
    <w:p>
      <w:pPr>
        <w:jc w:val="both"/>
        <w:ind w:left="900" w:right="820" w:firstLine="319"/>
        <w:spacing w:after="0" w:line="281" w:lineRule="auto"/>
        <w:tabs>
          <w:tab w:leader="none" w:pos="1428" w:val="left"/>
        </w:tabs>
        <w:numPr>
          <w:ilvl w:val="0"/>
          <w:numId w:val="1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Series C Preferred Stock as to which the Fundamental Change Conversion Right has been properly exercised and for which the conversion notice has not been properly withdrawn shall be converted into shares of Common Stock in accordance with the Fundamental Change Conversion Right on the Fundamental Change Conversion Date, unless the Company has elected to repurchase such Series C Preferred Stock.</w:t>
      </w:r>
    </w:p>
    <w:p>
      <w:pPr>
        <w:spacing w:after="0" w:line="140" w:lineRule="exact"/>
        <w:rPr>
          <w:rFonts w:ascii="Times New Roman" w:cs="Times New Roman" w:eastAsia="Times New Roman" w:hAnsi="Times New Roman"/>
          <w:sz w:val="13"/>
          <w:szCs w:val="13"/>
          <w:color w:val="auto"/>
        </w:rPr>
      </w:pPr>
    </w:p>
    <w:p>
      <w:pPr>
        <w:ind w:left="900" w:right="660" w:firstLine="319"/>
        <w:spacing w:after="0" w:line="274" w:lineRule="auto"/>
        <w:tabs>
          <w:tab w:leader="none" w:pos="1392" w:val="left"/>
        </w:tabs>
        <w:numPr>
          <w:ilvl w:val="0"/>
          <w:numId w:val="1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holder of any shares of Series C Preferred Stock which the Company has elected to repurchase and as to which the conversion election has not been properly withdrawn shall receive payment of the Fundamental Change Repurchase Price promptly following the later of the Fundamental Change Conversion Date or the time of book-entry transfer or delivery of the Series C Preferred Stock. If the paying agent holds cash sufficient to pay the Fundamental Change Repurchase Price of the Series C Preferred Stock on the business day following the Fundamental Change Conversion Date, then (A) the Series C Preferred Stock shall cease to be outstanding and dividends shall cease to accrue (whether or not book-entry transfer of the Series C Preferred Stock is made or whether or not the Series C Preferred Stock certificate is delivered to the Company’s transfer agent); and (B) all of the other rights of the holder of Series C Preferred Stock shall terminate (other than the right to receive the Fundamental Change Repurchase Price upon delivery or transfer of the Series C Preferred Stock).</w:t>
      </w:r>
    </w:p>
    <w:p>
      <w:pPr>
        <w:spacing w:after="0" w:line="133" w:lineRule="exact"/>
        <w:rPr>
          <w:sz w:val="20"/>
          <w:szCs w:val="20"/>
          <w:color w:val="auto"/>
        </w:rPr>
      </w:pPr>
    </w:p>
    <w:p>
      <w:pPr>
        <w:ind w:left="600" w:right="740" w:firstLine="312"/>
        <w:spacing w:after="0" w:line="305" w:lineRule="auto"/>
        <w:rPr>
          <w:sz w:val="20"/>
          <w:szCs w:val="20"/>
          <w:color w:val="auto"/>
        </w:rPr>
      </w:pPr>
      <w:r>
        <w:rPr>
          <w:rFonts w:ascii="Times New Roman" w:cs="Times New Roman" w:eastAsia="Times New Roman" w:hAnsi="Times New Roman"/>
          <w:sz w:val="13"/>
          <w:szCs w:val="13"/>
          <w:color w:val="auto"/>
        </w:rPr>
        <w:t xml:space="preserve">SECTION 9. </w:t>
      </w:r>
      <w:r>
        <w:rPr>
          <w:rFonts w:ascii="Times New Roman" w:cs="Times New Roman" w:eastAsia="Times New Roman" w:hAnsi="Times New Roman"/>
          <w:sz w:val="13"/>
          <w:szCs w:val="13"/>
          <w:b w:val="1"/>
          <w:bCs w:val="1"/>
          <w:color w:val="auto"/>
        </w:rPr>
        <w:t>Record Holders</w:t>
      </w:r>
      <w:r>
        <w:rPr>
          <w:rFonts w:ascii="Times New Roman" w:cs="Times New Roman" w:eastAsia="Times New Roman" w:hAnsi="Times New Roman"/>
          <w:sz w:val="13"/>
          <w:szCs w:val="13"/>
          <w:color w:val="auto"/>
        </w:rPr>
        <w:t xml:space="preserve"> . The Company and its transfer agent may deem and treat the record holder of any Series C Preferred Stock as the true and lawful owner thereof for all purposes, and neither the Company nor its transfer agent shall be affected by any notice to the contrary.</w:t>
      </w:r>
    </w:p>
    <w:p>
      <w:pPr>
        <w:spacing w:after="0" w:line="292" w:lineRule="exact"/>
        <w:rPr>
          <w:sz w:val="20"/>
          <w:szCs w:val="20"/>
          <w:color w:val="auto"/>
        </w:rPr>
      </w:pPr>
    </w:p>
    <w:p>
      <w:pPr>
        <w:ind w:left="600" w:right="660" w:firstLine="312"/>
        <w:spacing w:after="0" w:line="289" w:lineRule="auto"/>
        <w:rPr>
          <w:sz w:val="20"/>
          <w:szCs w:val="20"/>
          <w:color w:val="auto"/>
        </w:rPr>
      </w:pPr>
      <w:r>
        <w:rPr>
          <w:rFonts w:ascii="Times New Roman" w:cs="Times New Roman" w:eastAsia="Times New Roman" w:hAnsi="Times New Roman"/>
          <w:sz w:val="13"/>
          <w:szCs w:val="13"/>
          <w:color w:val="auto"/>
        </w:rPr>
        <w:t xml:space="preserve">SECTION 10. </w:t>
      </w:r>
      <w:r>
        <w:rPr>
          <w:rFonts w:ascii="Times New Roman" w:cs="Times New Roman" w:eastAsia="Times New Roman" w:hAnsi="Times New Roman"/>
          <w:sz w:val="13"/>
          <w:szCs w:val="13"/>
          <w:b w:val="1"/>
          <w:bCs w:val="1"/>
          <w:color w:val="auto"/>
        </w:rPr>
        <w:t>No Maturity or Sinking Fund.</w:t>
      </w:r>
      <w:r>
        <w:rPr>
          <w:rFonts w:ascii="Times New Roman" w:cs="Times New Roman" w:eastAsia="Times New Roman" w:hAnsi="Times New Roman"/>
          <w:sz w:val="13"/>
          <w:szCs w:val="13"/>
          <w:color w:val="auto"/>
        </w:rPr>
        <w:t xml:space="preserve"> The Series C Preferred Stock has no maturity date, and no sinking fund has been established for the retirement or redemption of Series C Preferred Stock; provided, however, that the Series C Preferred Stock owned by a stockholder in excess of the Ownership Limit shall be subject to the provisions of Section 5 and Section 7 of these Articles Supplementary.</w:t>
      </w:r>
    </w:p>
    <w:p>
      <w:pPr>
        <w:spacing w:after="0" w:line="132" w:lineRule="exact"/>
        <w:rPr>
          <w:sz w:val="20"/>
          <w:szCs w:val="20"/>
          <w:color w:val="auto"/>
        </w:rPr>
      </w:pPr>
    </w:p>
    <w:p>
      <w:pPr>
        <w:ind w:left="600" w:right="720" w:firstLine="312"/>
        <w:spacing w:after="0" w:line="289" w:lineRule="auto"/>
        <w:rPr>
          <w:sz w:val="20"/>
          <w:szCs w:val="20"/>
          <w:color w:val="auto"/>
        </w:rPr>
      </w:pPr>
      <w:r>
        <w:rPr>
          <w:rFonts w:ascii="Times New Roman" w:cs="Times New Roman" w:eastAsia="Times New Roman" w:hAnsi="Times New Roman"/>
          <w:sz w:val="13"/>
          <w:szCs w:val="13"/>
          <w:color w:val="auto"/>
        </w:rPr>
        <w:t xml:space="preserve">SECTION 11. </w:t>
      </w:r>
      <w:r>
        <w:rPr>
          <w:rFonts w:ascii="Times New Roman" w:cs="Times New Roman" w:eastAsia="Times New Roman" w:hAnsi="Times New Roman"/>
          <w:sz w:val="13"/>
          <w:szCs w:val="13"/>
          <w:b w:val="1"/>
          <w:bCs w:val="1"/>
          <w:color w:val="auto"/>
        </w:rPr>
        <w:t>Exclusion of Other Rights.</w:t>
      </w:r>
      <w:r>
        <w:rPr>
          <w:rFonts w:ascii="Times New Roman" w:cs="Times New Roman" w:eastAsia="Times New Roman" w:hAnsi="Times New Roman"/>
          <w:sz w:val="13"/>
          <w:szCs w:val="13"/>
          <w:color w:val="auto"/>
        </w:rPr>
        <w:t xml:space="preserve"> The Series C Preferred Stock shall not have any preferences or other rights, voting powers, restrictions, limitations as to dividends or other distributions, qualifications or terms or conditions of redemption other than expressly set forth in the Charter and these Articles Supplementary.</w:t>
      </w:r>
    </w:p>
    <w:p>
      <w:pPr>
        <w:spacing w:after="0" w:line="132" w:lineRule="exact"/>
        <w:rPr>
          <w:sz w:val="20"/>
          <w:szCs w:val="20"/>
          <w:color w:val="auto"/>
        </w:rPr>
      </w:pPr>
    </w:p>
    <w:p>
      <w:pPr>
        <w:ind w:left="600" w:right="1040" w:firstLine="312"/>
        <w:spacing w:after="0" w:line="308" w:lineRule="auto"/>
        <w:rPr>
          <w:sz w:val="20"/>
          <w:szCs w:val="20"/>
          <w:color w:val="auto"/>
        </w:rPr>
      </w:pPr>
      <w:r>
        <w:rPr>
          <w:rFonts w:ascii="Times New Roman" w:cs="Times New Roman" w:eastAsia="Times New Roman" w:hAnsi="Times New Roman"/>
          <w:sz w:val="13"/>
          <w:szCs w:val="13"/>
          <w:color w:val="auto"/>
        </w:rPr>
        <w:t xml:space="preserve">SECTION 12. </w:t>
      </w:r>
      <w:r>
        <w:rPr>
          <w:rFonts w:ascii="Times New Roman" w:cs="Times New Roman" w:eastAsia="Times New Roman" w:hAnsi="Times New Roman"/>
          <w:sz w:val="13"/>
          <w:szCs w:val="13"/>
          <w:b w:val="1"/>
          <w:bCs w:val="1"/>
          <w:color w:val="auto"/>
        </w:rPr>
        <w:t>Headings of Subdivisions.</w:t>
      </w:r>
      <w:r>
        <w:rPr>
          <w:rFonts w:ascii="Times New Roman" w:cs="Times New Roman" w:eastAsia="Times New Roman" w:hAnsi="Times New Roman"/>
          <w:sz w:val="13"/>
          <w:szCs w:val="13"/>
          <w:color w:val="auto"/>
        </w:rPr>
        <w:t xml:space="preserve"> The headings of the various subdivisions hereof are for convenience of reference only and shall not affect the interpretation of any of the provisions hereof.</w:t>
      </w:r>
    </w:p>
    <w:p>
      <w:pPr>
        <w:spacing w:after="0" w:line="120" w:lineRule="exact"/>
        <w:rPr>
          <w:sz w:val="20"/>
          <w:szCs w:val="20"/>
          <w:color w:val="auto"/>
        </w:rPr>
      </w:pPr>
    </w:p>
    <w:p>
      <w:pPr>
        <w:ind w:left="600" w:right="640" w:firstLine="312"/>
        <w:spacing w:after="0" w:line="275" w:lineRule="auto"/>
        <w:rPr>
          <w:sz w:val="20"/>
          <w:szCs w:val="20"/>
          <w:color w:val="auto"/>
        </w:rPr>
      </w:pPr>
      <w:r>
        <w:rPr>
          <w:rFonts w:ascii="Times New Roman" w:cs="Times New Roman" w:eastAsia="Times New Roman" w:hAnsi="Times New Roman"/>
          <w:sz w:val="13"/>
          <w:szCs w:val="13"/>
          <w:color w:val="auto"/>
        </w:rPr>
        <w:t xml:space="preserve">SECTION 13. </w:t>
      </w:r>
      <w:r>
        <w:rPr>
          <w:rFonts w:ascii="Times New Roman" w:cs="Times New Roman" w:eastAsia="Times New Roman" w:hAnsi="Times New Roman"/>
          <w:sz w:val="13"/>
          <w:szCs w:val="13"/>
          <w:b w:val="1"/>
          <w:bCs w:val="1"/>
          <w:color w:val="auto"/>
        </w:rPr>
        <w:t>Severability of Provisions.</w:t>
      </w:r>
      <w:r>
        <w:rPr>
          <w:rFonts w:ascii="Times New Roman" w:cs="Times New Roman" w:eastAsia="Times New Roman" w:hAnsi="Times New Roman"/>
          <w:sz w:val="13"/>
          <w:szCs w:val="13"/>
          <w:color w:val="auto"/>
        </w:rPr>
        <w:t xml:space="preserve"> If any preferences or other rights, voting powers, restrictions, limitations as to dividends or other distributions, qualifications or terms or conditions of redemption of the Series C Preferred Stock set forth in the Charter and these Articles Supplementary are invalid, unlawful or incapable of being enforced by reason of any rule of law or public policy, all other preferences or other rights, voting powers, restrictions, limitations as to dividends or other distributions, qualifications or terms or conditions of redemption of Series C Preferred Stock set forth in the Charter which can be given effect without the invalid, unlawful or unenforceable provision thereof shall, nevertheless, remain in full force and effect and no preferences or other rights, voting powers, restrictions, limitations as to dividends or other distributions, qualifications or terms or conditions of redemption of the Series C Preferred Stock herein set forth shall be deemed dependent upon any other provision thereof unless so expressed therein.</w:t>
      </w:r>
    </w:p>
    <w:p>
      <w:pPr>
        <w:spacing w:after="0" w:line="130" w:lineRule="exact"/>
        <w:rPr>
          <w:sz w:val="20"/>
          <w:szCs w:val="20"/>
          <w:color w:val="auto"/>
        </w:rPr>
      </w:pPr>
    </w:p>
    <w:p>
      <w:pPr>
        <w:jc w:val="both"/>
        <w:ind w:left="600" w:right="760" w:firstLine="312"/>
        <w:spacing w:after="0" w:line="289" w:lineRule="auto"/>
        <w:rPr>
          <w:sz w:val="20"/>
          <w:szCs w:val="20"/>
          <w:color w:val="auto"/>
        </w:rPr>
      </w:pPr>
      <w:r>
        <w:rPr>
          <w:rFonts w:ascii="Times New Roman" w:cs="Times New Roman" w:eastAsia="Times New Roman" w:hAnsi="Times New Roman"/>
          <w:sz w:val="13"/>
          <w:szCs w:val="13"/>
          <w:color w:val="auto"/>
        </w:rPr>
        <w:t xml:space="preserve">SECTION 14. </w:t>
      </w:r>
      <w:r>
        <w:rPr>
          <w:rFonts w:ascii="Times New Roman" w:cs="Times New Roman" w:eastAsia="Times New Roman" w:hAnsi="Times New Roman"/>
          <w:sz w:val="13"/>
          <w:szCs w:val="13"/>
          <w:b w:val="1"/>
          <w:bCs w:val="1"/>
          <w:color w:val="auto"/>
        </w:rPr>
        <w:t>No Preemptive Rights.</w:t>
      </w:r>
      <w:r>
        <w:rPr>
          <w:rFonts w:ascii="Times New Roman" w:cs="Times New Roman" w:eastAsia="Times New Roman" w:hAnsi="Times New Roman"/>
          <w:sz w:val="13"/>
          <w:szCs w:val="13"/>
          <w:color w:val="auto"/>
        </w:rPr>
        <w:t xml:space="preserve"> No holder of Series C Preferred Stock shall be entitled to any preemptive rights to subscribe for or acquire any unissued shares of capital stock of the Company (whether now or hereafter authorized) or securities of the Company convertible into or carrying a right to subscribe to or acquire shares of capital stock of the Company.</w:t>
      </w:r>
    </w:p>
    <w:p>
      <w:pPr>
        <w:spacing w:after="0" w:line="132" w:lineRule="exact"/>
        <w:rPr>
          <w:sz w:val="20"/>
          <w:szCs w:val="20"/>
          <w:color w:val="auto"/>
        </w:rPr>
      </w:pPr>
    </w:p>
    <w:p>
      <w:pPr>
        <w:ind w:left="600" w:right="660" w:firstLine="312"/>
        <w:spacing w:after="0" w:line="308" w:lineRule="auto"/>
        <w:rPr>
          <w:sz w:val="20"/>
          <w:szCs w:val="20"/>
          <w:color w:val="auto"/>
        </w:rPr>
      </w:pPr>
      <w:r>
        <w:rPr>
          <w:rFonts w:ascii="Times New Roman" w:cs="Times New Roman" w:eastAsia="Times New Roman" w:hAnsi="Times New Roman"/>
          <w:sz w:val="13"/>
          <w:szCs w:val="13"/>
          <w:b w:val="1"/>
          <w:bCs w:val="1"/>
          <w:color w:val="auto"/>
        </w:rPr>
        <w:t xml:space="preserve">FOURTH: </w:t>
      </w:r>
      <w:r>
        <w:rPr>
          <w:rFonts w:ascii="Times New Roman" w:cs="Times New Roman" w:eastAsia="Times New Roman" w:hAnsi="Times New Roman"/>
          <w:sz w:val="13"/>
          <w:szCs w:val="13"/>
          <w:color w:val="auto"/>
        </w:rPr>
        <w:t>The Series C Preferred Stock have been classified and designated by the Board of Directors under the authority contained in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92710</wp:posOffset>
            </wp:positionV>
            <wp:extent cx="4436110" cy="762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63">
                      <a:extLst>
                        <a:ext uri="{28A0092B-C50C-407E-A947-70E740481C1C}"/>
                      </a:extLst>
                    </a:blip>
                    <a:srcRect/>
                    <a:stretch>
                      <a:fillRect/>
                    </a:stretch>
                  </pic:blipFill>
                  <pic:spPr bwMode="auto">
                    <a:xfrm>
                      <a:off x="0" y="0"/>
                      <a:ext cx="4436110"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527050</wp:posOffset>
            </wp:positionV>
            <wp:extent cx="5083810" cy="1524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64">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67" w:name="page268"/>
    <w:bookmarkEnd w:id="267"/>
    <w:p>
      <w:pPr>
        <w:ind w:left="900"/>
        <w:spacing w:after="0"/>
        <w:rPr>
          <w:sz w:val="20"/>
          <w:szCs w:val="20"/>
          <w:color w:val="auto"/>
        </w:rPr>
      </w:pPr>
      <w:r>
        <w:rPr>
          <w:rFonts w:ascii="Times New Roman" w:cs="Times New Roman" w:eastAsia="Times New Roman" w:hAnsi="Times New Roman"/>
          <w:sz w:val="13"/>
          <w:szCs w:val="13"/>
          <w:b w:val="1"/>
          <w:bCs w:val="1"/>
          <w:color w:val="auto"/>
        </w:rPr>
        <w:t xml:space="preserve">FIFTH: </w:t>
      </w:r>
      <w:r>
        <w:rPr>
          <w:rFonts w:ascii="Times New Roman" w:cs="Times New Roman" w:eastAsia="Times New Roman" w:hAnsi="Times New Roman"/>
          <w:sz w:val="13"/>
          <w:szCs w:val="13"/>
          <w:color w:val="auto"/>
        </w:rPr>
        <w:t>These Articles Supplementary have been approved by the Board in the manner and by the vote required by law.</w:t>
      </w:r>
    </w:p>
    <w:p>
      <w:pPr>
        <w:spacing w:after="0" w:line="187" w:lineRule="exact"/>
        <w:rPr>
          <w:sz w:val="20"/>
          <w:szCs w:val="20"/>
          <w:color w:val="auto"/>
        </w:rPr>
      </w:pPr>
    </w:p>
    <w:p>
      <w:pPr>
        <w:ind w:left="600" w:right="1040" w:firstLine="312"/>
        <w:spacing w:after="0" w:line="308" w:lineRule="auto"/>
        <w:rPr>
          <w:sz w:val="20"/>
          <w:szCs w:val="20"/>
          <w:color w:val="auto"/>
        </w:rPr>
      </w:pPr>
      <w:r>
        <w:rPr>
          <w:rFonts w:ascii="Times New Roman" w:cs="Times New Roman" w:eastAsia="Times New Roman" w:hAnsi="Times New Roman"/>
          <w:sz w:val="13"/>
          <w:szCs w:val="13"/>
          <w:b w:val="1"/>
          <w:bCs w:val="1"/>
          <w:color w:val="auto"/>
        </w:rPr>
        <w:t xml:space="preserve">SIXTH: </w:t>
      </w:r>
      <w:r>
        <w:rPr>
          <w:rFonts w:ascii="Times New Roman" w:cs="Times New Roman" w:eastAsia="Times New Roman" w:hAnsi="Times New Roman"/>
          <w:sz w:val="13"/>
          <w:szCs w:val="13"/>
          <w:color w:val="auto"/>
        </w:rPr>
        <w:t>These Articles Supplementary shall be effective at the time the State Department of Assessments and Taxation of Maryland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accepts these Articles Supplementary for record.</w:t>
      </w:r>
    </w:p>
    <w:p>
      <w:pPr>
        <w:spacing w:after="0" w:line="120" w:lineRule="exact"/>
        <w:rPr>
          <w:sz w:val="20"/>
          <w:szCs w:val="20"/>
          <w:color w:val="auto"/>
        </w:rPr>
      </w:pPr>
    </w:p>
    <w:p>
      <w:pPr>
        <w:ind w:left="600" w:right="580" w:firstLine="312"/>
        <w:spacing w:after="0" w:line="282" w:lineRule="auto"/>
        <w:rPr>
          <w:sz w:val="20"/>
          <w:szCs w:val="20"/>
          <w:color w:val="auto"/>
        </w:rPr>
      </w:pPr>
      <w:r>
        <w:rPr>
          <w:rFonts w:ascii="Times New Roman" w:cs="Times New Roman" w:eastAsia="Times New Roman" w:hAnsi="Times New Roman"/>
          <w:sz w:val="13"/>
          <w:szCs w:val="13"/>
          <w:b w:val="1"/>
          <w:bCs w:val="1"/>
          <w:color w:val="auto"/>
        </w:rPr>
        <w:t xml:space="preserve">SEVENTH: </w:t>
      </w:r>
      <w:r>
        <w:rPr>
          <w:rFonts w:ascii="Times New Roman" w:cs="Times New Roman" w:eastAsia="Times New Roman" w:hAnsi="Times New Roman"/>
          <w:sz w:val="13"/>
          <w:szCs w:val="13"/>
          <w:color w:val="auto"/>
        </w:rPr>
        <w:t>The undersigned Chief Executive Officer of the Company acknowledges these Articles Supplementary to be the corporate act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Company and, as to all matters or facts required to be verified under oath, the undersigned Chief Executive Officer acknowledges that to the best of his knowledge, information and belief, these matters and facts are true in all material respects and that this statement is made under the penalties for perjury.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103505</wp:posOffset>
            </wp:positionV>
            <wp:extent cx="4436110" cy="152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65">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545465</wp:posOffset>
            </wp:positionV>
            <wp:extent cx="5083810" cy="152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66">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268" w:name="page269"/>
    <w:bookmarkEnd w:id="268"/>
    <w:p>
      <w:pPr>
        <w:ind w:left="600" w:right="760" w:firstLine="312"/>
        <w:spacing w:after="0" w:line="305" w:lineRule="auto"/>
        <w:rPr>
          <w:sz w:val="20"/>
          <w:szCs w:val="20"/>
          <w:color w:val="auto"/>
        </w:rPr>
      </w:pPr>
      <w:r>
        <w:rPr>
          <w:rFonts w:ascii="Times New Roman" w:cs="Times New Roman" w:eastAsia="Times New Roman" w:hAnsi="Times New Roman"/>
          <w:sz w:val="13"/>
          <w:szCs w:val="13"/>
          <w:color w:val="auto"/>
        </w:rPr>
        <w:t>IN WITNESS WHEREOF, the Company has caused these Articles Supplementary to be executed under seal in its name and on its behalf by its Chief Executive Officer and attested to by its General Counsel and Assistant Secretary as of the date first written above.</w:t>
      </w:r>
    </w:p>
    <w:p>
      <w:pPr>
        <w:spacing w:after="0" w:line="12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3"/>
          <w:szCs w:val="13"/>
          <w:color w:val="auto"/>
        </w:rPr>
        <w:t>DIGITAL REALTY TRUST, INC.</w:t>
      </w:r>
    </w:p>
    <w:p>
      <w:pPr>
        <w:ind w:left="4100"/>
        <w:spacing w:after="0" w:line="199" w:lineRule="auto"/>
        <w:tabs>
          <w:tab w:leader="none" w:pos="4420" w:val="left"/>
        </w:tabs>
        <w:rPr>
          <w:sz w:val="20"/>
          <w:szCs w:val="20"/>
          <w:color w:val="auto"/>
        </w:rPr>
      </w:pPr>
      <w:r>
        <w:rPr>
          <w:rFonts w:ascii="Times New Roman" w:cs="Times New Roman" w:eastAsia="Times New Roman" w:hAnsi="Times New Roman"/>
          <w:sz w:val="13"/>
          <w:szCs w:val="13"/>
          <w:color w:val="auto"/>
        </w:rPr>
        <w:t>By:</w:t>
        <w:tab/>
        <w:t xml:space="preserve">/s/ Michael F. Foust </w:t>
      </w:r>
      <w:r>
        <w:rPr>
          <w:rFonts w:ascii="Times New Roman" w:cs="Times New Roman" w:eastAsia="Times New Roman" w:hAnsi="Times New Roman"/>
          <w:sz w:val="26"/>
          <w:szCs w:val="26"/>
          <w:color w:val="auto"/>
          <w:vertAlign w:val="superscript"/>
        </w:rPr>
        <w:t>Name:</w:t>
      </w:r>
      <w:r>
        <w:rPr>
          <w:rFonts w:ascii="Times New Roman" w:cs="Times New Roman" w:eastAsia="Times New Roman" w:hAnsi="Times New Roman"/>
          <w:sz w:val="13"/>
          <w:szCs w:val="13"/>
          <w:color w:val="auto"/>
        </w:rPr>
        <w:t>Michael</w:t>
      </w:r>
    </w:p>
    <w:p>
      <w:pPr>
        <w:spacing w:after="0" w:line="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3"/>
          <w:szCs w:val="13"/>
          <w:color w:val="auto"/>
        </w:rPr>
        <w:t>F. Foust</w:t>
      </w:r>
    </w:p>
    <w:p>
      <w:pPr>
        <w:spacing w:after="0" w:line="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3"/>
          <w:szCs w:val="13"/>
          <w:color w:val="auto"/>
        </w:rPr>
        <w:t>Title: Chief Executive Officer</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ATTEST:</w:t>
      </w:r>
    </w:p>
    <w:p>
      <w:pPr>
        <w:spacing w:after="0" w:line="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DIGITAL REALTY TRUST, INC.</w:t>
      </w:r>
    </w:p>
    <w:p>
      <w:pPr>
        <w:ind w:left="600"/>
        <w:spacing w:after="0" w:line="196" w:lineRule="auto"/>
        <w:tabs>
          <w:tab w:leader="none" w:pos="940" w:val="left"/>
        </w:tabs>
        <w:rPr>
          <w:sz w:val="20"/>
          <w:szCs w:val="20"/>
          <w:color w:val="auto"/>
        </w:rPr>
      </w:pPr>
      <w:r>
        <w:rPr>
          <w:rFonts w:ascii="Times New Roman" w:cs="Times New Roman" w:eastAsia="Times New Roman" w:hAnsi="Times New Roman"/>
          <w:sz w:val="13"/>
          <w:szCs w:val="13"/>
          <w:color w:val="auto"/>
        </w:rPr>
        <w:t>By:</w:t>
        <w:tab/>
        <w:t xml:space="preserve">/s/ Joshua A. Mills </w:t>
      </w:r>
      <w:r>
        <w:rPr>
          <w:rFonts w:ascii="Times New Roman" w:cs="Times New Roman" w:eastAsia="Times New Roman" w:hAnsi="Times New Roman"/>
          <w:sz w:val="26"/>
          <w:szCs w:val="26"/>
          <w:color w:val="auto"/>
          <w:vertAlign w:val="superscript"/>
        </w:rPr>
        <w:t>Name:</w:t>
      </w:r>
      <w:r>
        <w:rPr>
          <w:rFonts w:ascii="Times New Roman" w:cs="Times New Roman" w:eastAsia="Times New Roman" w:hAnsi="Times New Roman"/>
          <w:sz w:val="13"/>
          <w:szCs w:val="13"/>
          <w:color w:val="auto"/>
        </w:rPr>
        <w:t xml:space="preserve"> Joshua</w:t>
      </w:r>
    </w:p>
    <w:p>
      <w:pPr>
        <w:spacing w:after="0" w:line="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A. Mills</w:t>
      </w:r>
    </w:p>
    <w:p>
      <w:pPr>
        <w:spacing w:after="0" w:line="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Title: General Counsel and Assistant Secretary</w:t>
      </w:r>
    </w:p>
    <w:p>
      <w:pPr>
        <w:spacing w:after="0" w:line="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Signature Page to Articles Supplementary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116840</wp:posOffset>
            </wp:positionV>
            <wp:extent cx="4436110" cy="152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67">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566420</wp:posOffset>
            </wp:positionV>
            <wp:extent cx="5083810" cy="152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68">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69" w:name="page270"/>
    <w:bookmarkEnd w:id="269"/>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DIGITAL REALTY TRUST, INC.</w:t>
      </w:r>
    </w:p>
    <w:p>
      <w:pPr>
        <w:spacing w:after="0" w:line="1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ARTICLES OF AMENDMENT</w:t>
      </w:r>
    </w:p>
    <w:p>
      <w:pPr>
        <w:spacing w:after="0" w:line="18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3"/>
          <w:szCs w:val="13"/>
          <w:color w:val="auto"/>
        </w:rPr>
        <w:t>Digital Realty Trust, Inc., a Maryland corporation (the “Corporation”), hereby certifies to the State Department of  Assessments and</w:t>
      </w:r>
    </w:p>
    <w:p>
      <w:pPr>
        <w:spacing w:after="0" w:line="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Taxation of Maryland that:</w:t>
      </w:r>
    </w:p>
    <w:p>
      <w:pPr>
        <w:spacing w:after="0" w:line="183" w:lineRule="exact"/>
        <w:rPr>
          <w:sz w:val="20"/>
          <w:szCs w:val="20"/>
          <w:color w:val="auto"/>
        </w:rPr>
      </w:pPr>
    </w:p>
    <w:p>
      <w:pPr>
        <w:ind w:left="600" w:right="1160" w:firstLine="612"/>
        <w:spacing w:after="0" w:line="305" w:lineRule="auto"/>
        <w:rPr>
          <w:sz w:val="20"/>
          <w:szCs w:val="20"/>
          <w:color w:val="auto"/>
        </w:rPr>
      </w:pPr>
      <w:r>
        <w:rPr>
          <w:rFonts w:ascii="Times New Roman" w:cs="Times New Roman" w:eastAsia="Times New Roman" w:hAnsi="Times New Roman"/>
          <w:sz w:val="13"/>
          <w:szCs w:val="13"/>
          <w:u w:val="single" w:color="auto"/>
          <w:color w:val="auto"/>
        </w:rPr>
        <w:t>FIRST</w:t>
      </w:r>
      <w:r>
        <w:rPr>
          <w:rFonts w:ascii="Times New Roman" w:cs="Times New Roman" w:eastAsia="Times New Roman" w:hAnsi="Times New Roman"/>
          <w:sz w:val="13"/>
          <w:szCs w:val="13"/>
          <w:color w:val="auto"/>
        </w:rPr>
        <w:t xml:space="preserve"> : The charter of the Corporation (the “Charter”) is hereby amended by deleting therefrom in their entirety the first two sentences of Section 5.1 of Article V and inserting in lieu thereof two new sentences to read as follows:</w:t>
      </w:r>
    </w:p>
    <w:p>
      <w:pPr>
        <w:spacing w:after="0" w:line="124" w:lineRule="exact"/>
        <w:rPr>
          <w:sz w:val="20"/>
          <w:szCs w:val="20"/>
          <w:color w:val="auto"/>
        </w:rPr>
      </w:pPr>
    </w:p>
    <w:p>
      <w:pPr>
        <w:ind w:left="1220" w:right="920"/>
        <w:spacing w:after="0" w:line="287" w:lineRule="auto"/>
        <w:rPr>
          <w:sz w:val="20"/>
          <w:szCs w:val="20"/>
          <w:color w:val="auto"/>
        </w:rPr>
      </w:pPr>
      <w:r>
        <w:rPr>
          <w:rFonts w:ascii="Times New Roman" w:cs="Times New Roman" w:eastAsia="Times New Roman" w:hAnsi="Times New Roman"/>
          <w:sz w:val="13"/>
          <w:szCs w:val="13"/>
          <w:color w:val="auto"/>
        </w:rPr>
        <w:t>The Corporation has authority to issue 155,000,000 shares of stock, consisting of 125,000,000 shares of Common Stock, $.01 par value per share (“Common Stock”), and 30,000,000 shares of Preferred Stock, $.01 par value per share (“Preferred Stock”). The aggregate par value of all authorized shares of stock having par value is $1,550,000.</w:t>
      </w:r>
    </w:p>
    <w:p>
      <w:pPr>
        <w:spacing w:after="0" w:line="136" w:lineRule="exact"/>
        <w:rPr>
          <w:sz w:val="20"/>
          <w:szCs w:val="20"/>
          <w:color w:val="auto"/>
        </w:rPr>
      </w:pPr>
    </w:p>
    <w:p>
      <w:pPr>
        <w:ind w:left="600" w:right="880" w:firstLine="612"/>
        <w:spacing w:after="0" w:line="281" w:lineRule="auto"/>
        <w:rPr>
          <w:sz w:val="20"/>
          <w:szCs w:val="20"/>
          <w:color w:val="auto"/>
        </w:rPr>
      </w:pPr>
      <w:r>
        <w:rPr>
          <w:rFonts w:ascii="Times New Roman" w:cs="Times New Roman" w:eastAsia="Times New Roman" w:hAnsi="Times New Roman"/>
          <w:sz w:val="13"/>
          <w:szCs w:val="13"/>
          <w:u w:val="single" w:color="auto"/>
          <w:color w:val="auto"/>
        </w:rPr>
        <w:t>SECOND</w:t>
      </w:r>
      <w:r>
        <w:rPr>
          <w:rFonts w:ascii="Times New Roman" w:cs="Times New Roman" w:eastAsia="Times New Roman" w:hAnsi="Times New Roman"/>
          <w:sz w:val="13"/>
          <w:szCs w:val="13"/>
          <w:color w:val="auto"/>
        </w:rPr>
        <w:t xml:space="preserve"> : The total number of shares of stock which the Corporation had authority to issue immediately prior to the foregoing amendment of the Charter was 120,000,000 shares of stock, consisting of 100,000,000 shares of Common Stock, $.01 par value per share, and 20,000,000 shares of Preferred Stock, $.01 par value per share. The aggregate par value of all authorized shares of stock having par value was $1,200,000.</w:t>
      </w:r>
    </w:p>
    <w:p>
      <w:pPr>
        <w:spacing w:after="0" w:line="140" w:lineRule="exact"/>
        <w:rPr>
          <w:sz w:val="20"/>
          <w:szCs w:val="20"/>
          <w:color w:val="auto"/>
        </w:rPr>
      </w:pPr>
    </w:p>
    <w:p>
      <w:pPr>
        <w:jc w:val="both"/>
        <w:ind w:left="600" w:right="820" w:firstLine="612"/>
        <w:spacing w:after="0" w:line="287" w:lineRule="auto"/>
        <w:rPr>
          <w:sz w:val="20"/>
          <w:szCs w:val="20"/>
          <w:color w:val="auto"/>
        </w:rPr>
      </w:pPr>
      <w:r>
        <w:rPr>
          <w:rFonts w:ascii="Times New Roman" w:cs="Times New Roman" w:eastAsia="Times New Roman" w:hAnsi="Times New Roman"/>
          <w:sz w:val="13"/>
          <w:szCs w:val="13"/>
          <w:u w:val="single" w:color="auto"/>
          <w:color w:val="auto"/>
        </w:rPr>
        <w:t>THIRD</w:t>
      </w:r>
      <w:r>
        <w:rPr>
          <w:rFonts w:ascii="Times New Roman" w:cs="Times New Roman" w:eastAsia="Times New Roman" w:hAnsi="Times New Roman"/>
          <w:sz w:val="13"/>
          <w:szCs w:val="13"/>
          <w:color w:val="auto"/>
        </w:rPr>
        <w:t xml:space="preserve"> : The total number of shares of stock which the Corporation has authority to issue pursuant to the foregoing amendment of the Charter is 155,000,000 shares of stock, consisting of 125,000,000 shares of Common Stock, $.01 par value per share, and 30,000,000 shares of Preferred Stock, $.01 par value per share. The aggregate par value of all authorized shares of stock having par value is $1,550,000.</w:t>
      </w:r>
    </w:p>
    <w:p>
      <w:pPr>
        <w:spacing w:after="0" w:line="136" w:lineRule="exact"/>
        <w:rPr>
          <w:sz w:val="20"/>
          <w:szCs w:val="20"/>
          <w:color w:val="auto"/>
        </w:rPr>
      </w:pPr>
    </w:p>
    <w:p>
      <w:pPr>
        <w:ind w:left="600" w:right="1040" w:firstLine="612"/>
        <w:spacing w:after="0" w:line="305" w:lineRule="auto"/>
        <w:rPr>
          <w:sz w:val="20"/>
          <w:szCs w:val="20"/>
          <w:color w:val="auto"/>
        </w:rPr>
      </w:pPr>
      <w:r>
        <w:rPr>
          <w:rFonts w:ascii="Times New Roman" w:cs="Times New Roman" w:eastAsia="Times New Roman" w:hAnsi="Times New Roman"/>
          <w:sz w:val="13"/>
          <w:szCs w:val="13"/>
          <w:u w:val="single" w:color="auto"/>
          <w:color w:val="auto"/>
        </w:rPr>
        <w:t>FOURTH</w:t>
      </w:r>
      <w:r>
        <w:rPr>
          <w:rFonts w:ascii="Times New Roman" w:cs="Times New Roman" w:eastAsia="Times New Roman" w:hAnsi="Times New Roman"/>
          <w:sz w:val="13"/>
          <w:szCs w:val="13"/>
          <w:color w:val="auto"/>
        </w:rPr>
        <w:t xml:space="preserve"> : The information required by Section 2-607(b)(2)(i) of the Maryland General Corporation Law (the “MGCL”) is not changed by the foregoing amendment of the Charter.</w:t>
      </w:r>
    </w:p>
    <w:p>
      <w:pPr>
        <w:spacing w:after="0" w:line="124" w:lineRule="exact"/>
        <w:rPr>
          <w:sz w:val="20"/>
          <w:szCs w:val="20"/>
          <w:color w:val="auto"/>
        </w:rPr>
      </w:pPr>
    </w:p>
    <w:p>
      <w:pPr>
        <w:ind w:left="600" w:right="700" w:firstLine="612"/>
        <w:spacing w:after="0" w:line="287" w:lineRule="auto"/>
        <w:rPr>
          <w:sz w:val="20"/>
          <w:szCs w:val="20"/>
          <w:color w:val="auto"/>
        </w:rPr>
      </w:pPr>
      <w:r>
        <w:rPr>
          <w:rFonts w:ascii="Times New Roman" w:cs="Times New Roman" w:eastAsia="Times New Roman" w:hAnsi="Times New Roman"/>
          <w:sz w:val="13"/>
          <w:szCs w:val="13"/>
          <w:u w:val="single" w:color="auto"/>
          <w:color w:val="auto"/>
        </w:rPr>
        <w:t>FIFTH</w:t>
      </w:r>
      <w:r>
        <w:rPr>
          <w:rFonts w:ascii="Times New Roman" w:cs="Times New Roman" w:eastAsia="Times New Roman" w:hAnsi="Times New Roman"/>
          <w:sz w:val="13"/>
          <w:szCs w:val="13"/>
          <w:color w:val="auto"/>
        </w:rPr>
        <w:t xml:space="preserve"> : The foregoing amendment of the Charter was approved by a majority of the entire Board of Directors of the Corporation as required by law and was limited to a change expressly authorized by Section 2-105(a)(12) of the MGCL without any action by the stockholders of the Corporation.</w:t>
      </w:r>
    </w:p>
    <w:p>
      <w:pPr>
        <w:spacing w:after="0" w:line="134" w:lineRule="exact"/>
        <w:rPr>
          <w:sz w:val="20"/>
          <w:szCs w:val="20"/>
          <w:color w:val="auto"/>
        </w:rPr>
      </w:pPr>
    </w:p>
    <w:p>
      <w:pPr>
        <w:ind w:left="600" w:right="700" w:firstLine="612"/>
        <w:spacing w:after="0" w:line="289" w:lineRule="auto"/>
        <w:rPr>
          <w:sz w:val="20"/>
          <w:szCs w:val="20"/>
          <w:color w:val="auto"/>
        </w:rPr>
      </w:pPr>
      <w:r>
        <w:rPr>
          <w:rFonts w:ascii="Times New Roman" w:cs="Times New Roman" w:eastAsia="Times New Roman" w:hAnsi="Times New Roman"/>
          <w:sz w:val="13"/>
          <w:szCs w:val="13"/>
          <w:u w:val="single" w:color="auto"/>
          <w:color w:val="auto"/>
        </w:rPr>
        <w:t>SIXTH</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The undersigned President acknowledges these Articles of Amendment to be the corporate act of the Corporation and as to all matters of facts required to be verified under oath, the undersigned President acknowledges that to the best of his knowledge, information and belief, these matters and facts are true in all material respects and that this statement is made under the penalties of perjury.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100330</wp:posOffset>
            </wp:positionV>
            <wp:extent cx="4436110" cy="762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69">
                      <a:extLst>
                        <a:ext uri="{28A0092B-C50C-407E-A947-70E740481C1C}"/>
                      </a:extLst>
                    </a:blip>
                    <a:srcRect/>
                    <a:stretch>
                      <a:fillRect/>
                    </a:stretch>
                  </pic:blipFill>
                  <pic:spPr bwMode="auto">
                    <a:xfrm>
                      <a:off x="0" y="0"/>
                      <a:ext cx="4436110"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534670</wp:posOffset>
            </wp:positionV>
            <wp:extent cx="5083810" cy="152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70">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270" w:name="page271"/>
    <w:bookmarkEnd w:id="270"/>
    <w:p>
      <w:pPr>
        <w:jc w:val="both"/>
        <w:ind w:left="600" w:right="780" w:firstLine="612"/>
        <w:spacing w:after="0" w:line="272" w:lineRule="auto"/>
        <w:rPr>
          <w:sz w:val="20"/>
          <w:szCs w:val="20"/>
          <w:color w:val="auto"/>
        </w:rPr>
      </w:pPr>
      <w:r>
        <w:rPr>
          <w:rFonts w:ascii="Times New Roman" w:cs="Times New Roman" w:eastAsia="Times New Roman" w:hAnsi="Times New Roman"/>
          <w:sz w:val="13"/>
          <w:szCs w:val="13"/>
          <w:color w:val="auto"/>
        </w:rPr>
        <w:t xml:space="preserve">IN WITNESS WHEREOF, the Corporation has caused these Articles of Amendment to be executed under seal in its name and on its behalf by its Senior Vice President and attested to by its Assistant Secretary on this 30 </w:t>
      </w:r>
      <w:r>
        <w:rPr>
          <w:rFonts w:ascii="Times New Roman" w:cs="Times New Roman" w:eastAsia="Times New Roman" w:hAnsi="Times New Roman"/>
          <w:sz w:val="8"/>
          <w:szCs w:val="8"/>
          <w:color w:val="auto"/>
        </w:rPr>
        <w:t>th</w:t>
      </w:r>
      <w:r>
        <w:rPr>
          <w:rFonts w:ascii="Times New Roman" w:cs="Times New Roman" w:eastAsia="Times New Roman" w:hAnsi="Times New Roman"/>
          <w:sz w:val="13"/>
          <w:szCs w:val="13"/>
          <w:color w:val="auto"/>
        </w:rPr>
        <w:t xml:space="preserve"> day of January, 2008. ATTEST:</w:t>
      </w:r>
    </w:p>
    <w:p>
      <w:pPr>
        <w:spacing w:after="0" w:line="1" w:lineRule="exact"/>
        <w:rPr>
          <w:sz w:val="20"/>
          <w:szCs w:val="20"/>
          <w:color w:val="auto"/>
        </w:rPr>
      </w:pPr>
    </w:p>
    <w:tbl>
      <w:tblPr>
        <w:tblLayout w:type="fixed"/>
        <w:tblInd w:w="480" w:type="dxa"/>
        <w:tblCellMar>
          <w:top w:w="0" w:type="dxa"/>
          <w:left w:w="0" w:type="dxa"/>
          <w:bottom w:w="0" w:type="dxa"/>
          <w:right w:w="0" w:type="dxa"/>
        </w:tblCellMar>
      </w:tblPr>
      <w:tr>
        <w:trPr>
          <w:trHeight w:val="164"/>
        </w:trPr>
        <w:tc>
          <w:tcPr>
            <w:tcW w:w="1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40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DIGITAL REALTY TRUST, INC.</w:t>
            </w:r>
          </w:p>
        </w:tc>
        <w:tc>
          <w:tcPr>
            <w:tcW w:w="1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44"/>
        </w:trPr>
        <w:tc>
          <w:tcPr>
            <w:tcW w:w="120" w:type="dxa"/>
            <w:vAlign w:val="bottom"/>
          </w:tcPr>
          <w:p>
            <w:pPr>
              <w:spacing w:after="0"/>
              <w:rPr>
                <w:sz w:val="12"/>
                <w:szCs w:val="12"/>
                <w:color w:val="auto"/>
              </w:rPr>
            </w:pPr>
          </w:p>
        </w:tc>
        <w:tc>
          <w:tcPr>
            <w:tcW w:w="222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/s/ Joshua Mills</w:t>
            </w:r>
          </w:p>
        </w:tc>
        <w:tc>
          <w:tcPr>
            <w:tcW w:w="3400" w:type="dxa"/>
            <w:vAlign w:val="bottom"/>
          </w:tcPr>
          <w:p>
            <w:pPr>
              <w:ind w:left="1380"/>
              <w:spacing w:after="0" w:line="144" w:lineRule="exact"/>
              <w:rPr>
                <w:sz w:val="20"/>
                <w:szCs w:val="20"/>
                <w:color w:val="auto"/>
              </w:rPr>
            </w:pPr>
            <w:r>
              <w:rPr>
                <w:rFonts w:ascii="Times New Roman" w:cs="Times New Roman" w:eastAsia="Times New Roman" w:hAnsi="Times New Roman"/>
                <w:sz w:val="13"/>
                <w:szCs w:val="13"/>
                <w:color w:val="auto"/>
              </w:rPr>
              <w:t>By:   /s/ James Trout</w:t>
            </w:r>
          </w:p>
        </w:tc>
        <w:tc>
          <w:tcPr>
            <w:tcW w:w="1380" w:type="dxa"/>
            <w:vAlign w:val="bottom"/>
          </w:tcPr>
          <w:p>
            <w:pPr>
              <w:ind w:left="560"/>
              <w:spacing w:after="0" w:line="144" w:lineRule="exact"/>
              <w:rPr>
                <w:sz w:val="20"/>
                <w:szCs w:val="20"/>
                <w:color w:val="auto"/>
              </w:rPr>
            </w:pPr>
            <w:r>
              <w:rPr>
                <w:rFonts w:ascii="Times New Roman" w:cs="Times New Roman" w:eastAsia="Times New Roman" w:hAnsi="Times New Roman"/>
                <w:sz w:val="13"/>
                <w:szCs w:val="13"/>
                <w:color w:val="auto"/>
              </w:rPr>
              <w:t>(SEAL)</w:t>
            </w:r>
          </w:p>
        </w:tc>
        <w:tc>
          <w:tcPr>
            <w:tcW w:w="880" w:type="dxa"/>
            <w:vAlign w:val="bottom"/>
          </w:tcPr>
          <w:p>
            <w:pPr>
              <w:spacing w:after="0"/>
              <w:rPr>
                <w:sz w:val="12"/>
                <w:szCs w:val="12"/>
                <w:color w:val="auto"/>
              </w:rPr>
            </w:pPr>
          </w:p>
        </w:tc>
      </w:tr>
      <w:tr>
        <w:trPr>
          <w:trHeight w:val="204"/>
        </w:trPr>
        <w:tc>
          <w:tcPr>
            <w:tcW w:w="120" w:type="dxa"/>
            <w:vAlign w:val="bottom"/>
          </w:tcPr>
          <w:p>
            <w:pPr>
              <w:spacing w:after="0"/>
              <w:rPr>
                <w:sz w:val="17"/>
                <w:szCs w:val="17"/>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3"/>
                <w:szCs w:val="13"/>
                <w:color w:val="auto"/>
              </w:rPr>
              <w:t>Name: Joshua Mills</w:t>
            </w:r>
          </w:p>
        </w:tc>
        <w:tc>
          <w:tcPr>
            <w:tcW w:w="3400" w:type="dxa"/>
            <w:vAlign w:val="bottom"/>
          </w:tcPr>
          <w:p>
            <w:pPr>
              <w:ind w:left="1420"/>
              <w:spacing w:after="0" w:line="204" w:lineRule="exact"/>
              <w:rPr>
                <w:sz w:val="20"/>
                <w:szCs w:val="20"/>
                <w:color w:val="auto"/>
              </w:rPr>
            </w:pPr>
            <w:r>
              <w:rPr>
                <w:rFonts w:ascii="Times New Roman" w:cs="Times New Roman" w:eastAsia="Times New Roman" w:hAnsi="Times New Roman"/>
                <w:sz w:val="23"/>
                <w:szCs w:val="23"/>
                <w:color w:val="auto"/>
                <w:vertAlign w:val="superscript"/>
              </w:rPr>
              <w:t>Name:</w:t>
            </w:r>
            <w:r>
              <w:rPr>
                <w:rFonts w:ascii="Times New Roman" w:cs="Times New Roman" w:eastAsia="Times New Roman" w:hAnsi="Times New Roman"/>
                <w:sz w:val="12"/>
                <w:szCs w:val="12"/>
                <w:color w:val="auto"/>
              </w:rPr>
              <w:t>James Trout</w:t>
            </w:r>
          </w:p>
        </w:tc>
        <w:tc>
          <w:tcPr>
            <w:tcW w:w="13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72"/>
        </w:trPr>
        <w:tc>
          <w:tcPr>
            <w:tcW w:w="120" w:type="dxa"/>
            <w:vAlign w:val="bottom"/>
          </w:tcPr>
          <w:p>
            <w:pPr>
              <w:spacing w:after="0"/>
              <w:rPr>
                <w:sz w:val="14"/>
                <w:szCs w:val="1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3"/>
                <w:szCs w:val="13"/>
                <w:color w:val="auto"/>
              </w:rPr>
              <w:t>Title: Assistant Secretary</w:t>
            </w:r>
          </w:p>
        </w:tc>
        <w:tc>
          <w:tcPr>
            <w:tcW w:w="3400" w:type="dxa"/>
            <w:vAlign w:val="bottom"/>
          </w:tcPr>
          <w:p>
            <w:pPr>
              <w:ind w:left="1360"/>
              <w:spacing w:after="0"/>
              <w:rPr>
                <w:sz w:val="20"/>
                <w:szCs w:val="20"/>
                <w:color w:val="auto"/>
              </w:rPr>
            </w:pPr>
            <w:r>
              <w:rPr>
                <w:rFonts w:ascii="Times New Roman" w:cs="Times New Roman" w:eastAsia="Times New Roman" w:hAnsi="Times New Roman"/>
                <w:sz w:val="13"/>
                <w:szCs w:val="13"/>
                <w:color w:val="auto"/>
              </w:rPr>
              <w:t>Title: Senior Vice President</w:t>
            </w:r>
          </w:p>
        </w:tc>
        <w:tc>
          <w:tcPr>
            <w:tcW w:w="1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0"/>
        </w:trPr>
        <w:tc>
          <w:tcPr>
            <w:tcW w:w="120" w:type="dxa"/>
            <w:vAlign w:val="bottom"/>
          </w:tcPr>
          <w:p>
            <w:pPr>
              <w:spacing w:after="0"/>
              <w:rPr>
                <w:sz w:val="15"/>
                <w:szCs w:val="15"/>
                <w:color w:val="auto"/>
              </w:rPr>
            </w:pPr>
          </w:p>
        </w:tc>
        <w:tc>
          <w:tcPr>
            <w:tcW w:w="222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880" w:type="dxa"/>
            <w:vAlign w:val="bottom"/>
          </w:tcPr>
          <w:p>
            <w:pPr>
              <w:spacing w:after="0"/>
              <w:rPr>
                <w:sz w:val="15"/>
                <w:szCs w:val="15"/>
                <w:color w:val="auto"/>
              </w:rPr>
            </w:pPr>
          </w:p>
        </w:tc>
      </w:tr>
      <w:tr>
        <w:trPr>
          <w:trHeight w:val="688"/>
        </w:trPr>
        <w:tc>
          <w:tcPr>
            <w:tcW w:w="1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bl>
    <w:p>
      <w:pPr>
        <w:sectPr>
          <w:pgSz w:w="11900" w:h="16840" w:orient="portrait"/>
          <w:cols w:equalWidth="0" w:num="1">
            <w:col w:w="9020"/>
          </w:cols>
          <w:pgMar w:left="1440" w:top="558" w:right="1440" w:bottom="1440" w:gutter="0" w:footer="0" w:header="0"/>
        </w:sectPr>
      </w:pPr>
    </w:p>
    <w:bookmarkStart w:id="271" w:name="page272"/>
    <w:bookmarkEnd w:id="271"/>
    <w:p>
      <w:pPr>
        <w:ind w:left="3160"/>
        <w:spacing w:after="0"/>
        <w:rPr>
          <w:sz w:val="20"/>
          <w:szCs w:val="20"/>
          <w:color w:val="auto"/>
        </w:rPr>
      </w:pPr>
      <w:r>
        <w:rPr>
          <w:rFonts w:ascii="Times New Roman" w:cs="Times New Roman" w:eastAsia="Times New Roman" w:hAnsi="Times New Roman"/>
          <w:sz w:val="13"/>
          <w:szCs w:val="13"/>
          <w:b w:val="1"/>
          <w:bCs w:val="1"/>
          <w:color w:val="auto"/>
        </w:rPr>
        <w:t>DIGITAL REALTY TRUST, INC. ARTICLES</w:t>
      </w:r>
    </w:p>
    <w:p>
      <w:pPr>
        <w:spacing w:after="0" w:line="2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3"/>
          <w:szCs w:val="13"/>
          <w:b w:val="1"/>
          <w:bCs w:val="1"/>
          <w:color w:val="auto"/>
        </w:rPr>
        <w:t>SUPPLEMENTARY 13,800,000 SHARES OF</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5.500% SERIES D CUMULATIVE CONVERTIBLE PREFERRED STOCK</w:t>
      </w:r>
    </w:p>
    <w:p>
      <w:pPr>
        <w:spacing w:after="0" w:line="1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FEBRUARY 5, 2008</w:t>
      </w:r>
    </w:p>
    <w:p>
      <w:pPr>
        <w:spacing w:after="0" w:line="10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Digital Realty Trust, Inc., a Maryland corporation (the “ </w:t>
      </w: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13"/>
          <w:szCs w:val="13"/>
          <w:color w:val="auto"/>
        </w:rPr>
        <w:t xml:space="preserve"> ”), hereby certifies to the State Department of Assessments and</w:t>
      </w:r>
    </w:p>
    <w:p>
      <w:pPr>
        <w:spacing w:after="0" w:line="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 xml:space="preserve">Taxation of Maryland (the “ </w:t>
      </w:r>
      <w:r>
        <w:rPr>
          <w:rFonts w:ascii="Times New Roman" w:cs="Times New Roman" w:eastAsia="Times New Roman" w:hAnsi="Times New Roman"/>
          <w:sz w:val="13"/>
          <w:szCs w:val="13"/>
          <w:b w:val="1"/>
          <w:bCs w:val="1"/>
          <w:color w:val="auto"/>
        </w:rPr>
        <w:t>Department</w:t>
      </w:r>
      <w:r>
        <w:rPr>
          <w:rFonts w:ascii="Times New Roman" w:cs="Times New Roman" w:eastAsia="Times New Roman" w:hAnsi="Times New Roman"/>
          <w:sz w:val="13"/>
          <w:szCs w:val="13"/>
          <w:color w:val="auto"/>
        </w:rPr>
        <w:t xml:space="preserve"> ”) that:</w:t>
      </w:r>
    </w:p>
    <w:p>
      <w:pPr>
        <w:spacing w:after="0" w:line="169" w:lineRule="exact"/>
        <w:rPr>
          <w:sz w:val="20"/>
          <w:szCs w:val="20"/>
          <w:color w:val="auto"/>
        </w:rPr>
      </w:pPr>
    </w:p>
    <w:p>
      <w:pPr>
        <w:ind w:left="600" w:right="600" w:firstLine="312"/>
        <w:spacing w:after="0" w:line="270" w:lineRule="auto"/>
        <w:rPr>
          <w:sz w:val="20"/>
          <w:szCs w:val="20"/>
          <w:color w:val="auto"/>
        </w:rPr>
      </w:pPr>
      <w:r>
        <w:rPr>
          <w:rFonts w:ascii="Times New Roman" w:cs="Times New Roman" w:eastAsia="Times New Roman" w:hAnsi="Times New Roman"/>
          <w:sz w:val="13"/>
          <w:szCs w:val="13"/>
          <w:b w:val="1"/>
          <w:bCs w:val="1"/>
          <w:color w:val="auto"/>
        </w:rPr>
        <w:t xml:space="preserve">FIRST: </w:t>
      </w:r>
      <w:r>
        <w:rPr>
          <w:rFonts w:ascii="Times New Roman" w:cs="Times New Roman" w:eastAsia="Times New Roman" w:hAnsi="Times New Roman"/>
          <w:sz w:val="13"/>
          <w:szCs w:val="13"/>
          <w:color w:val="auto"/>
        </w:rPr>
        <w:t>Pursuant to the authority expressly vested in the Board of Directors of the Company (the “</w:t>
      </w:r>
      <w:r>
        <w:rPr>
          <w:rFonts w:ascii="Times New Roman" w:cs="Times New Roman" w:eastAsia="Times New Roman" w:hAnsi="Times New Roman"/>
          <w:sz w:val="13"/>
          <w:szCs w:val="13"/>
          <w:b w:val="1"/>
          <w:bCs w:val="1"/>
          <w:color w:val="auto"/>
        </w:rPr>
        <w:t xml:space="preserve"> Board of Directors </w:t>
      </w:r>
      <w:r>
        <w:rPr>
          <w:rFonts w:ascii="Times New Roman" w:cs="Times New Roman" w:eastAsia="Times New Roman" w:hAnsi="Times New Roman"/>
          <w:sz w:val="13"/>
          <w:szCs w:val="13"/>
          <w:color w:val="auto"/>
        </w:rPr>
        <w:t>”) by Article IV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the Articles of Amendment and Restatement of the Company filed with the Department on October 26, 2004 (the “ </w:t>
      </w:r>
      <w:r>
        <w:rPr>
          <w:rFonts w:ascii="Times New Roman" w:cs="Times New Roman" w:eastAsia="Times New Roman" w:hAnsi="Times New Roman"/>
          <w:sz w:val="13"/>
          <w:szCs w:val="13"/>
          <w:b w:val="1"/>
          <w:bCs w:val="1"/>
          <w:color w:val="auto"/>
        </w:rPr>
        <w:t>Charter</w:t>
      </w:r>
      <w:r>
        <w:rPr>
          <w:rFonts w:ascii="Times New Roman" w:cs="Times New Roman" w:eastAsia="Times New Roman" w:hAnsi="Times New Roman"/>
          <w:sz w:val="13"/>
          <w:szCs w:val="13"/>
          <w:color w:val="auto"/>
        </w:rPr>
        <w:t xml:space="preserve"> ”) and Section 2-105 of the Maryland General Corporation Law (the “ </w:t>
      </w:r>
      <w:r>
        <w:rPr>
          <w:rFonts w:ascii="Times New Roman" w:cs="Times New Roman" w:eastAsia="Times New Roman" w:hAnsi="Times New Roman"/>
          <w:sz w:val="13"/>
          <w:szCs w:val="13"/>
          <w:b w:val="1"/>
          <w:bCs w:val="1"/>
          <w:color w:val="auto"/>
        </w:rPr>
        <w:t>MGCL</w:t>
      </w:r>
      <w:r>
        <w:rPr>
          <w:rFonts w:ascii="Times New Roman" w:cs="Times New Roman" w:eastAsia="Times New Roman" w:hAnsi="Times New Roman"/>
          <w:sz w:val="13"/>
          <w:szCs w:val="13"/>
          <w:color w:val="auto"/>
        </w:rPr>
        <w:t xml:space="preserve"> ”), the Board of Directors, by resolutions duly adopted on January 28, 2008, has authorized the classification and designation of up to 12,000,000 shares (plus up to an additional 15% to cover any underwriter over-allotment option) of the authorized but unissued preferred stock of the Company, par value $.01 per share (“ </w:t>
      </w:r>
      <w:r>
        <w:rPr>
          <w:rFonts w:ascii="Times New Roman" w:cs="Times New Roman" w:eastAsia="Times New Roman" w:hAnsi="Times New Roman"/>
          <w:sz w:val="13"/>
          <w:szCs w:val="13"/>
          <w:b w:val="1"/>
          <w:bCs w:val="1"/>
          <w:color w:val="auto"/>
        </w:rPr>
        <w:t>Preferred Stock</w:t>
      </w:r>
      <w:r>
        <w:rPr>
          <w:rFonts w:ascii="Times New Roman" w:cs="Times New Roman" w:eastAsia="Times New Roman" w:hAnsi="Times New Roman"/>
          <w:sz w:val="13"/>
          <w:szCs w:val="13"/>
          <w:color w:val="auto"/>
        </w:rPr>
        <w:t xml:space="preserve"> ”), as a separate class of Preferred Stock, the issuance of a maximum of 12,000,000 shares (plus up to an additional 15% to cover any underwriter over-allotment option) of such class of Preferred Stock, and, pursuant to the powers contained in the Bylaws of the Company and the MGCL, appointed a committee (the “ </w:t>
      </w:r>
      <w:r>
        <w:rPr>
          <w:rFonts w:ascii="Times New Roman" w:cs="Times New Roman" w:eastAsia="Times New Roman" w:hAnsi="Times New Roman"/>
          <w:sz w:val="13"/>
          <w:szCs w:val="13"/>
          <w:b w:val="1"/>
          <w:bCs w:val="1"/>
          <w:color w:val="auto"/>
        </w:rPr>
        <w:t xml:space="preserve">Committee </w:t>
      </w:r>
      <w:r>
        <w:rPr>
          <w:rFonts w:ascii="Times New Roman" w:cs="Times New Roman" w:eastAsia="Times New Roman" w:hAnsi="Times New Roman"/>
          <w:sz w:val="13"/>
          <w:szCs w:val="13"/>
          <w:color w:val="auto"/>
        </w:rPr>
        <w:t>”) of the Board of Directors and delegated to the Committee, to the fullest extent permitted by the MGCL and the Charter and Bylaws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of the Company, among other things, all powers of the Board of Directors with respect to (i) setting the number of shares of the Preferred Stock to be classified and designated, up to a maximum of 12,000,000 shares (plus up to an additional 15% to cover any underwriter over-allotment option) of Preferred Stock, (ii) choosing the cumulative dividend percentage for the Preferred Stock,</w:t>
      </w:r>
    </w:p>
    <w:p>
      <w:pPr>
        <w:spacing w:after="0" w:line="4" w:lineRule="exact"/>
        <w:rPr>
          <w:sz w:val="20"/>
          <w:szCs w:val="20"/>
          <w:color w:val="auto"/>
        </w:rPr>
      </w:pPr>
    </w:p>
    <w:p>
      <w:pPr>
        <w:ind w:left="600" w:right="760" w:hanging="6"/>
        <w:spacing w:after="0" w:line="279" w:lineRule="auto"/>
        <w:tabs>
          <w:tab w:leader="none" w:pos="828" w:val="left"/>
        </w:tabs>
        <w:numPr>
          <w:ilvl w:val="0"/>
          <w:numId w:val="1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selecting the dates on which dividends will be paid on the Preferred Stock, (iv) establishing the price per share for the Preferred Stock, (v) authorizing, approving and filing these Articles Supplementary with the Department, and (vi) authorizing and approving all such other actions as the Committee may deem necessary or desirable in connection with the classification, authorization, issuance, offer, and sale of the Preferred Stock.</w:t>
      </w:r>
    </w:p>
    <w:p>
      <w:pPr>
        <w:spacing w:after="0" w:line="128" w:lineRule="exact"/>
        <w:rPr>
          <w:sz w:val="20"/>
          <w:szCs w:val="20"/>
          <w:color w:val="auto"/>
        </w:rPr>
      </w:pPr>
    </w:p>
    <w:p>
      <w:pPr>
        <w:ind w:left="600" w:right="660" w:firstLine="312"/>
        <w:spacing w:after="0" w:line="279" w:lineRule="auto"/>
        <w:rPr>
          <w:sz w:val="20"/>
          <w:szCs w:val="20"/>
          <w:color w:val="auto"/>
        </w:rPr>
      </w:pPr>
      <w:r>
        <w:rPr>
          <w:rFonts w:ascii="Times New Roman" w:cs="Times New Roman" w:eastAsia="Times New Roman" w:hAnsi="Times New Roman"/>
          <w:sz w:val="13"/>
          <w:szCs w:val="13"/>
          <w:b w:val="1"/>
          <w:bCs w:val="1"/>
          <w:color w:val="auto"/>
        </w:rPr>
        <w:t xml:space="preserve">SECOND: </w:t>
      </w:r>
      <w:r>
        <w:rPr>
          <w:rFonts w:ascii="Times New Roman" w:cs="Times New Roman" w:eastAsia="Times New Roman" w:hAnsi="Times New Roman"/>
          <w:sz w:val="13"/>
          <w:szCs w:val="13"/>
          <w:color w:val="auto"/>
        </w:rPr>
        <w:t>The Committee has unanimously adopted resolutions classifying and designating the Preferred Stock as a separate class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Preferred Stock to be known as the “5.500% Series D Cumulative Convertible Preferred Stock,” setting the preferences, conversion and other rights, voting powers, restrictions, limitations as to dividends and other distributions, transfers, qualifications, terms and conditions of redemption and other terms and conditions of such 5.500% Series D Cumulative Convertible Preferred Stock, and authorizing the issuance of up to 12,000,000 (plus up to an additional 15% to cover any underwriter over-allotment option) shares of 5.500% Series D Cumulative Convertible Preferred Stock.</w:t>
      </w:r>
    </w:p>
    <w:p>
      <w:pPr>
        <w:spacing w:after="0" w:line="307" w:lineRule="exact"/>
        <w:rPr>
          <w:sz w:val="20"/>
          <w:szCs w:val="20"/>
          <w:color w:val="auto"/>
        </w:rPr>
      </w:pPr>
    </w:p>
    <w:p>
      <w:pPr>
        <w:ind w:left="600" w:right="1240" w:firstLine="312"/>
        <w:spacing w:after="0" w:line="308" w:lineRule="auto"/>
        <w:rPr>
          <w:sz w:val="20"/>
          <w:szCs w:val="20"/>
          <w:color w:val="auto"/>
        </w:rPr>
      </w:pPr>
      <w:r>
        <w:rPr>
          <w:rFonts w:ascii="Times New Roman" w:cs="Times New Roman" w:eastAsia="Times New Roman" w:hAnsi="Times New Roman"/>
          <w:sz w:val="13"/>
          <w:szCs w:val="13"/>
          <w:b w:val="1"/>
          <w:bCs w:val="1"/>
          <w:color w:val="auto"/>
        </w:rPr>
        <w:t xml:space="preserve">THIRD: </w:t>
      </w:r>
      <w:r>
        <w:rPr>
          <w:rFonts w:ascii="Times New Roman" w:cs="Times New Roman" w:eastAsia="Times New Roman" w:hAnsi="Times New Roman"/>
          <w:sz w:val="13"/>
          <w:szCs w:val="13"/>
          <w:color w:val="auto"/>
        </w:rPr>
        <w:t>The designation, number of shares, preferences, rights, voting powers, restrictions, limitations as to dividends and other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distributions, qualifications, terms and conditions of redemption and other terms and conditions of the separate class of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92710</wp:posOffset>
            </wp:positionV>
            <wp:extent cx="4436110" cy="152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71">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534670</wp:posOffset>
            </wp:positionV>
            <wp:extent cx="5083810" cy="152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72">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272" w:name="page273"/>
    <w:bookmarkEnd w:id="272"/>
    <w:p>
      <w:pPr>
        <w:jc w:val="both"/>
        <w:ind w:left="600" w:right="860"/>
        <w:spacing w:after="0" w:line="289" w:lineRule="auto"/>
        <w:rPr>
          <w:sz w:val="20"/>
          <w:szCs w:val="20"/>
          <w:color w:val="auto"/>
        </w:rPr>
      </w:pPr>
      <w:r>
        <w:rPr>
          <w:rFonts w:ascii="Times New Roman" w:cs="Times New Roman" w:eastAsia="Times New Roman" w:hAnsi="Times New Roman"/>
          <w:sz w:val="13"/>
          <w:szCs w:val="13"/>
          <w:color w:val="auto"/>
        </w:rPr>
        <w:t xml:space="preserve">of the Company designated as 5.500% Series D Cumulative Convertible Preferred Stock are as follows (the “ </w:t>
      </w:r>
      <w:r>
        <w:rPr>
          <w:rFonts w:ascii="Times New Roman" w:cs="Times New Roman" w:eastAsia="Times New Roman" w:hAnsi="Times New Roman"/>
          <w:sz w:val="13"/>
          <w:szCs w:val="13"/>
          <w:b w:val="1"/>
          <w:bCs w:val="1"/>
          <w:color w:val="auto"/>
        </w:rPr>
        <w:t>Series D Terms</w:t>
      </w:r>
      <w:r>
        <w:rPr>
          <w:rFonts w:ascii="Times New Roman" w:cs="Times New Roman" w:eastAsia="Times New Roman" w:hAnsi="Times New Roman"/>
          <w:sz w:val="13"/>
          <w:szCs w:val="13"/>
          <w:color w:val="auto"/>
        </w:rPr>
        <w:t xml:space="preserve"> ”), which upon any restatement of the Charter shall be made a part of or incorporated by reference into the Charter with any necessary or appropriate changes to the enumeration or lettering of Sections or subsections thereof:</w:t>
      </w:r>
    </w:p>
    <w:p>
      <w:pPr>
        <w:spacing w:after="0" w:line="132" w:lineRule="exact"/>
        <w:rPr>
          <w:sz w:val="20"/>
          <w:szCs w:val="20"/>
          <w:color w:val="auto"/>
        </w:rPr>
      </w:pPr>
    </w:p>
    <w:p>
      <w:pPr>
        <w:ind w:left="600" w:right="620" w:firstLine="312"/>
        <w:spacing w:after="0" w:line="308" w:lineRule="auto"/>
        <w:rPr>
          <w:sz w:val="20"/>
          <w:szCs w:val="20"/>
          <w:color w:val="auto"/>
        </w:rPr>
      </w:pPr>
      <w:r>
        <w:rPr>
          <w:rFonts w:ascii="Times New Roman" w:cs="Times New Roman" w:eastAsia="Times New Roman" w:hAnsi="Times New Roman"/>
          <w:sz w:val="13"/>
          <w:szCs w:val="13"/>
          <w:color w:val="auto"/>
        </w:rPr>
        <w:t xml:space="preserve">SECTION 1. </w:t>
      </w:r>
      <w:r>
        <w:rPr>
          <w:rFonts w:ascii="Times New Roman" w:cs="Times New Roman" w:eastAsia="Times New Roman" w:hAnsi="Times New Roman"/>
          <w:sz w:val="13"/>
          <w:szCs w:val="13"/>
          <w:b w:val="1"/>
          <w:bCs w:val="1"/>
          <w:color w:val="auto"/>
        </w:rPr>
        <w:t>Designation and Number</w:t>
      </w:r>
      <w:r>
        <w:rPr>
          <w:rFonts w:ascii="Times New Roman" w:cs="Times New Roman" w:eastAsia="Times New Roman" w:hAnsi="Times New Roman"/>
          <w:sz w:val="13"/>
          <w:szCs w:val="13"/>
          <w:color w:val="auto"/>
        </w:rPr>
        <w:t xml:space="preserve"> . A series of Preferred Stock, designated the “5.500% Series D Cumulative Convertible Preferred Stock” (the “ </w:t>
      </w:r>
      <w:r>
        <w:rPr>
          <w:rFonts w:ascii="Times New Roman" w:cs="Times New Roman" w:eastAsia="Times New Roman" w:hAnsi="Times New Roman"/>
          <w:sz w:val="13"/>
          <w:szCs w:val="13"/>
          <w:b w:val="1"/>
          <w:bCs w:val="1"/>
          <w:color w:val="auto"/>
        </w:rPr>
        <w:t>Series D Preferred Stock</w:t>
      </w:r>
      <w:r>
        <w:rPr>
          <w:rFonts w:ascii="Times New Roman" w:cs="Times New Roman" w:eastAsia="Times New Roman" w:hAnsi="Times New Roman"/>
          <w:sz w:val="13"/>
          <w:szCs w:val="13"/>
          <w:color w:val="auto"/>
        </w:rPr>
        <w:t xml:space="preserve"> ”), is hereby established. The number of shares of Series D Preferred Stock shall be 13,800,000.</w:t>
      </w:r>
    </w:p>
    <w:p>
      <w:pPr>
        <w:spacing w:after="0" w:line="120" w:lineRule="exact"/>
        <w:rPr>
          <w:sz w:val="20"/>
          <w:szCs w:val="20"/>
          <w:color w:val="auto"/>
        </w:rPr>
      </w:pPr>
    </w:p>
    <w:p>
      <w:pPr>
        <w:ind w:left="600" w:right="680" w:firstLine="312"/>
        <w:spacing w:after="0" w:line="275" w:lineRule="auto"/>
        <w:rPr>
          <w:sz w:val="20"/>
          <w:szCs w:val="20"/>
          <w:color w:val="auto"/>
        </w:rPr>
      </w:pPr>
      <w:r>
        <w:rPr>
          <w:rFonts w:ascii="Times New Roman" w:cs="Times New Roman" w:eastAsia="Times New Roman" w:hAnsi="Times New Roman"/>
          <w:sz w:val="13"/>
          <w:szCs w:val="13"/>
          <w:color w:val="auto"/>
        </w:rPr>
        <w:t xml:space="preserve">SECTION 2. </w:t>
      </w:r>
      <w:r>
        <w:rPr>
          <w:rFonts w:ascii="Times New Roman" w:cs="Times New Roman" w:eastAsia="Times New Roman" w:hAnsi="Times New Roman"/>
          <w:sz w:val="13"/>
          <w:szCs w:val="13"/>
          <w:b w:val="1"/>
          <w:bCs w:val="1"/>
          <w:color w:val="auto"/>
        </w:rPr>
        <w:t>Rank</w:t>
      </w:r>
      <w:r>
        <w:rPr>
          <w:rFonts w:ascii="Times New Roman" w:cs="Times New Roman" w:eastAsia="Times New Roman" w:hAnsi="Times New Roman"/>
          <w:sz w:val="13"/>
          <w:szCs w:val="13"/>
          <w:color w:val="auto"/>
        </w:rPr>
        <w:t xml:space="preserve"> . The Series D Preferred Stock will, with respect to dividend rights and rights upon voluntary or involuntary liquidation, dissolution or winding up of the Company, rank: (i) senior to all classes or series of the Company’s common stock, par value $.01 per share (the “ </w:t>
      </w:r>
      <w:r>
        <w:rPr>
          <w:rFonts w:ascii="Times New Roman" w:cs="Times New Roman" w:eastAsia="Times New Roman" w:hAnsi="Times New Roman"/>
          <w:sz w:val="13"/>
          <w:szCs w:val="13"/>
          <w:b w:val="1"/>
          <w:bCs w:val="1"/>
          <w:color w:val="auto"/>
        </w:rPr>
        <w:t>Common Stock</w:t>
      </w:r>
      <w:r>
        <w:rPr>
          <w:rFonts w:ascii="Times New Roman" w:cs="Times New Roman" w:eastAsia="Times New Roman" w:hAnsi="Times New Roman"/>
          <w:sz w:val="13"/>
          <w:szCs w:val="13"/>
          <w:color w:val="auto"/>
        </w:rPr>
        <w:t xml:space="preserve"> ”), and all classes or series of capital stock of the Company now or hereafter authorized, issued or outstanding expressly designated as ranking junior to the Series D Preferred Stock as to dividend rights and rights upon voluntary or involuntary liquidation, dissolution or winding up of the Company; (ii) on parity with the Series A Cumulative Redeemable Preferred Stock, par value $0.01 per share, the Series B Cumulative Redeemable Preferred Stock, par value $0.01 per share, and the Series C Cumulative Convertible Preferred Stock, par value $0.01 per share, of the Company and with any class or series of capital stock of the Company expressly designated as ranking on parity with the Series D Preferred Stock as to dividend rights and rights upon voluntary or involuntary liquidation, dissolution or winding up of the Company; and</w:t>
      </w:r>
    </w:p>
    <w:p>
      <w:pPr>
        <w:spacing w:after="0" w:line="148" w:lineRule="exact"/>
        <w:rPr>
          <w:sz w:val="20"/>
          <w:szCs w:val="20"/>
          <w:color w:val="auto"/>
        </w:rPr>
      </w:pPr>
    </w:p>
    <w:p>
      <w:pPr>
        <w:ind w:left="600" w:right="760" w:hanging="6"/>
        <w:spacing w:after="0" w:line="279" w:lineRule="auto"/>
        <w:tabs>
          <w:tab w:leader="none" w:pos="828" w:val="left"/>
        </w:tabs>
        <w:numPr>
          <w:ilvl w:val="0"/>
          <w:numId w:val="1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junior to any class or series of capital stock of the Company expressly designated as ranking senior to the Series D Preferred Stock as to dividend rights and rights upon voluntary or involuntary liquidation, dissolution or winding up of the Company. The term “ </w:t>
      </w:r>
      <w:r>
        <w:rPr>
          <w:rFonts w:ascii="Times New Roman" w:cs="Times New Roman" w:eastAsia="Times New Roman" w:hAnsi="Times New Roman"/>
          <w:sz w:val="13"/>
          <w:szCs w:val="13"/>
          <w:b w:val="1"/>
          <w:bCs w:val="1"/>
          <w:color w:val="auto"/>
        </w:rPr>
        <w:t>capital stock</w:t>
      </w:r>
      <w:r>
        <w:rPr>
          <w:rFonts w:ascii="Times New Roman" w:cs="Times New Roman" w:eastAsia="Times New Roman" w:hAnsi="Times New Roman"/>
          <w:sz w:val="13"/>
          <w:szCs w:val="13"/>
          <w:color w:val="auto"/>
        </w:rPr>
        <w:t xml:space="preserve"> ” does not include convertible or exchangeable debt securities, which will rank senior to the Series D Preferred Stock prior to conversion or exchange. The Series D Preferred Stock will rank junior in right of payment to the Company’s other existing and future debt obligations.</w:t>
      </w:r>
    </w:p>
    <w:p>
      <w:pPr>
        <w:spacing w:after="0" w:line="12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SECTION 3. </w:t>
      </w:r>
      <w:r>
        <w:rPr>
          <w:rFonts w:ascii="Times New Roman" w:cs="Times New Roman" w:eastAsia="Times New Roman" w:hAnsi="Times New Roman"/>
          <w:sz w:val="13"/>
          <w:szCs w:val="13"/>
          <w:b w:val="1"/>
          <w:bCs w:val="1"/>
          <w:color w:val="auto"/>
        </w:rPr>
        <w:t>Dividends</w:t>
      </w:r>
      <w:r>
        <w:rPr>
          <w:rFonts w:ascii="Times New Roman" w:cs="Times New Roman" w:eastAsia="Times New Roman" w:hAnsi="Times New Roman"/>
          <w:sz w:val="13"/>
          <w:szCs w:val="13"/>
          <w:color w:val="auto"/>
        </w:rPr>
        <w:t xml:space="preserve"> .</w:t>
      </w:r>
    </w:p>
    <w:p>
      <w:pPr>
        <w:spacing w:after="0" w:line="189" w:lineRule="exact"/>
        <w:rPr>
          <w:sz w:val="20"/>
          <w:szCs w:val="20"/>
          <w:color w:val="auto"/>
        </w:rPr>
      </w:pPr>
    </w:p>
    <w:p>
      <w:pPr>
        <w:ind w:left="600" w:right="660" w:firstLine="306"/>
        <w:spacing w:after="0" w:line="273" w:lineRule="auto"/>
        <w:tabs>
          <w:tab w:leader="none" w:pos="1092" w:val="left"/>
        </w:tabs>
        <w:numPr>
          <w:ilvl w:val="0"/>
          <w:numId w:val="1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Subject to the preferential rights of the holders of any class or series of capital stock of the Company ranking senior to the Series D Preferred Stock as to dividends, the holders of shares of the Series D Preferred Stock shall be entitled to receive, when, as and if authorized by the Board of Directors and declared by the Company, out of funds legally available for the payment of dividends, cumulative cash dividends at the rate of 5.500% per annum of the $25.00 liquidation preference per share of the Series D Preferred Stock (equivalent to the fixed annual amount of $1.375 per share of the Series D Preferred Stock). Such dividends shall accrue and be cumulative from and including the first date on which any shares of Series D Preferred Stock are issued (the “ </w:t>
      </w:r>
      <w:r>
        <w:rPr>
          <w:rFonts w:ascii="Times New Roman" w:cs="Times New Roman" w:eastAsia="Times New Roman" w:hAnsi="Times New Roman"/>
          <w:sz w:val="13"/>
          <w:szCs w:val="13"/>
          <w:b w:val="1"/>
          <w:bCs w:val="1"/>
          <w:color w:val="auto"/>
        </w:rPr>
        <w:t>Original Issue Date</w:t>
      </w:r>
      <w:r>
        <w:rPr>
          <w:rFonts w:ascii="Times New Roman" w:cs="Times New Roman" w:eastAsia="Times New Roman" w:hAnsi="Times New Roman"/>
          <w:sz w:val="13"/>
          <w:szCs w:val="13"/>
          <w:color w:val="auto"/>
        </w:rPr>
        <w:t xml:space="preserve"> ”) and shall be payable quarterly in arrears on each Dividend Payment Date (as defined below), commencing March 31, 2008;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xml:space="preserve"> , that if any Dividend Payment Date is not a Business Day (as defined below), then the dividend which would otherwise have been payable on such Dividend Payment Date may be paid on the next succeeding Business Day, except that, if such Business Day is in the next succeeding calendar year, such payment shall be made on the immediately preceding Business Day, in each case with the same force and effect as if paid on such Dividend Payment Date, and no interest or additional dividends or other sums shall accrue on the amount so payable from such Dividend Payment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674370</wp:posOffset>
            </wp:positionV>
            <wp:extent cx="5083810" cy="152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73">
                      <a:extLst>
                        <a:ext uri="{28A0092B-C50C-407E-A947-70E740481C1C}"/>
                      </a:extLst>
                    </a:blip>
                    <a:srcRect/>
                    <a:stretch>
                      <a:fillRect/>
                    </a:stretch>
                  </pic:blipFill>
                  <pic:spPr bwMode="auto">
                    <a:xfrm>
                      <a:off x="0" y="0"/>
                      <a:ext cx="5083810" cy="15240"/>
                    </a:xfrm>
                    <a:prstGeom prst="rect">
                      <a:avLst/>
                    </a:prstGeom>
                    <a:noFill/>
                  </pic:spPr>
                </pic:pic>
              </a:graphicData>
            </a:graphic>
          </wp:anchor>
        </w:drawing>
        <w:drawing>
          <wp:anchor simplePos="0" relativeHeight="251657728" behindDoc="1" locked="0" layoutInCell="0" allowOverlap="1">
            <wp:simplePos x="0" y="0"/>
            <wp:positionH relativeFrom="column">
              <wp:posOffset>384810</wp:posOffset>
            </wp:positionH>
            <wp:positionV relativeFrom="paragraph">
              <wp:posOffset>316230</wp:posOffset>
            </wp:positionV>
            <wp:extent cx="4436110" cy="762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74">
                      <a:extLst>
                        <a:ext uri="{28A0092B-C50C-407E-A947-70E740481C1C}"/>
                      </a:extLst>
                    </a:blip>
                    <a:srcRect/>
                    <a:stretch>
                      <a:fillRect/>
                    </a:stretch>
                  </pic:blipFill>
                  <pic:spPr bwMode="auto">
                    <a:xfrm>
                      <a:off x="0" y="0"/>
                      <a:ext cx="443611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273" w:name="page274"/>
    <w:bookmarkEnd w:id="273"/>
    <w:p>
      <w:pPr>
        <w:ind w:left="600" w:right="620"/>
        <w:spacing w:after="0" w:line="272" w:lineRule="auto"/>
        <w:rPr>
          <w:sz w:val="20"/>
          <w:szCs w:val="20"/>
          <w:color w:val="auto"/>
        </w:rPr>
      </w:pPr>
      <w:r>
        <w:rPr>
          <w:rFonts w:ascii="Times New Roman" w:cs="Times New Roman" w:eastAsia="Times New Roman" w:hAnsi="Times New Roman"/>
          <w:sz w:val="13"/>
          <w:szCs w:val="13"/>
          <w:color w:val="auto"/>
        </w:rPr>
        <w:t xml:space="preserve">Date to such next succeeding Business Day. The amount of any dividend payable on the Series D Preferred Stock for any partial Dividend Period (as defined below) shall be prorated and computed on the basis of a 360-day year consisting of twelve 30-day months. Dividends will be payable to holders of record as they appear in the stockholder records of the Company at the close of business on the applicable Dividend Record Date (as defined below). Notwithstanding any provision to the contrary contained herein, each outstanding share of Series D Preferred Stock shall be entitled to receive a dividend with respect to any Dividend Record Date equal to the dividend paid with respect to each other share of Series D Preferred Stock that is outstanding on such date. “ </w:t>
      </w:r>
      <w:r>
        <w:rPr>
          <w:rFonts w:ascii="Times New Roman" w:cs="Times New Roman" w:eastAsia="Times New Roman" w:hAnsi="Times New Roman"/>
          <w:sz w:val="13"/>
          <w:szCs w:val="13"/>
          <w:b w:val="1"/>
          <w:bCs w:val="1"/>
          <w:color w:val="auto"/>
        </w:rPr>
        <w:t>Dividend Record Date</w:t>
      </w:r>
      <w:r>
        <w:rPr>
          <w:rFonts w:ascii="Times New Roman" w:cs="Times New Roman" w:eastAsia="Times New Roman" w:hAnsi="Times New Roman"/>
          <w:sz w:val="13"/>
          <w:szCs w:val="13"/>
          <w:color w:val="auto"/>
        </w:rPr>
        <w:t xml:space="preserve"> ” shall mean the date designated by the Board of Directors for the payment of dividends that is not more than 35 or fewer than 10 days prior to the applicable Dividend Payment Date. “ </w:t>
      </w:r>
      <w:r>
        <w:rPr>
          <w:rFonts w:ascii="Times New Roman" w:cs="Times New Roman" w:eastAsia="Times New Roman" w:hAnsi="Times New Roman"/>
          <w:sz w:val="13"/>
          <w:szCs w:val="13"/>
          <w:b w:val="1"/>
          <w:bCs w:val="1"/>
          <w:color w:val="auto"/>
        </w:rPr>
        <w:t>Dividend Payment Date</w:t>
      </w:r>
      <w:r>
        <w:rPr>
          <w:rFonts w:ascii="Times New Roman" w:cs="Times New Roman" w:eastAsia="Times New Roman" w:hAnsi="Times New Roman"/>
          <w:sz w:val="13"/>
          <w:szCs w:val="13"/>
          <w:color w:val="auto"/>
        </w:rPr>
        <w:t xml:space="preserve"> ” shall mean the last calendar day of each March, June, September and December, commencing on March 31, 2008. “ </w:t>
      </w:r>
      <w:r>
        <w:rPr>
          <w:rFonts w:ascii="Times New Roman" w:cs="Times New Roman" w:eastAsia="Times New Roman" w:hAnsi="Times New Roman"/>
          <w:sz w:val="13"/>
          <w:szCs w:val="13"/>
          <w:b w:val="1"/>
          <w:bCs w:val="1"/>
          <w:color w:val="auto"/>
        </w:rPr>
        <w:t>Dividend Period</w:t>
      </w:r>
      <w:r>
        <w:rPr>
          <w:rFonts w:ascii="Times New Roman" w:cs="Times New Roman" w:eastAsia="Times New Roman" w:hAnsi="Times New Roman"/>
          <w:sz w:val="13"/>
          <w:szCs w:val="13"/>
          <w:color w:val="auto"/>
        </w:rPr>
        <w:t xml:space="preserve"> ” shall mean the respective periods commencing on and including the first day of January, April, July and October of each year and ending on and including the day preceding the first day of the next succeeding Dividend Period (other than the initial Dividend Period, which shall commence on the Original Issue Date and end on and include March 31, 2008, and other than the Dividend Period during which any shares of Series D Preferred Stock shall be redeemed pursuant to Section 5, which shall end on and include the day preceding the call date with respect to the shares of Series D Preferred Stock being redeemed).</w:t>
      </w:r>
    </w:p>
    <w:p>
      <w:pPr>
        <w:spacing w:after="0" w:line="136" w:lineRule="exact"/>
        <w:rPr>
          <w:sz w:val="20"/>
          <w:szCs w:val="20"/>
          <w:color w:val="auto"/>
        </w:rPr>
      </w:pPr>
    </w:p>
    <w:p>
      <w:pPr>
        <w:ind w:left="600" w:right="880" w:firstLine="312"/>
        <w:spacing w:after="0" w:line="308" w:lineRule="auto"/>
        <w:rPr>
          <w:sz w:val="20"/>
          <w:szCs w:val="20"/>
          <w:color w:val="auto"/>
        </w:rPr>
      </w:pPr>
      <w:r>
        <w:rPr>
          <w:rFonts w:ascii="Times New Roman" w:cs="Times New Roman" w:eastAsia="Times New Roman" w:hAnsi="Times New Roman"/>
          <w:sz w:val="13"/>
          <w:szCs w:val="13"/>
          <w:color w:val="auto"/>
        </w:rPr>
        <w:t xml:space="preserve">The term “ </w:t>
      </w:r>
      <w:r>
        <w:rPr>
          <w:rFonts w:ascii="Times New Roman" w:cs="Times New Roman" w:eastAsia="Times New Roman" w:hAnsi="Times New Roman"/>
          <w:sz w:val="13"/>
          <w:szCs w:val="13"/>
          <w:b w:val="1"/>
          <w:bCs w:val="1"/>
          <w:color w:val="auto"/>
        </w:rPr>
        <w:t>Business Day</w:t>
      </w:r>
      <w:r>
        <w:rPr>
          <w:rFonts w:ascii="Times New Roman" w:cs="Times New Roman" w:eastAsia="Times New Roman" w:hAnsi="Times New Roman"/>
          <w:sz w:val="13"/>
          <w:szCs w:val="13"/>
          <w:color w:val="auto"/>
        </w:rPr>
        <w:t xml:space="preserve"> ” shall mean each day, other than a Saturday or a Sunday, which is not a day on which banking institutions in New York, New York are authorized or required by law, regulation or executive order to close.</w:t>
      </w:r>
    </w:p>
    <w:p>
      <w:pPr>
        <w:spacing w:after="0" w:line="122" w:lineRule="exact"/>
        <w:rPr>
          <w:sz w:val="20"/>
          <w:szCs w:val="20"/>
          <w:color w:val="auto"/>
        </w:rPr>
      </w:pPr>
    </w:p>
    <w:p>
      <w:pPr>
        <w:ind w:left="600" w:right="720" w:firstLine="306"/>
        <w:spacing w:after="0" w:line="287" w:lineRule="auto"/>
        <w:tabs>
          <w:tab w:leader="none" w:pos="1092" w:val="left"/>
        </w:tabs>
        <w:numPr>
          <w:ilvl w:val="0"/>
          <w:numId w:val="1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anything contained herein to the contrary, dividends on the Series D Preferred Stock shall accrue whether or not the Company has earnings, whether or not there are funds legally available for the payment of such dividends, and whether or not such dividends are authorized or declared.</w:t>
      </w:r>
    </w:p>
    <w:p>
      <w:pPr>
        <w:spacing w:after="0" w:line="135" w:lineRule="exact"/>
        <w:rPr>
          <w:rFonts w:ascii="Times New Roman" w:cs="Times New Roman" w:eastAsia="Times New Roman" w:hAnsi="Times New Roman"/>
          <w:sz w:val="13"/>
          <w:szCs w:val="13"/>
          <w:color w:val="auto"/>
        </w:rPr>
      </w:pPr>
    </w:p>
    <w:p>
      <w:pPr>
        <w:ind w:left="600" w:right="620" w:firstLine="306"/>
        <w:spacing w:after="0" w:line="273" w:lineRule="auto"/>
        <w:tabs>
          <w:tab w:leader="none" w:pos="1080" w:val="left"/>
        </w:tabs>
        <w:numPr>
          <w:ilvl w:val="0"/>
          <w:numId w:val="1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provided in Section 3(d) below, no dividends shall be declared and paid or declared and set apart for payment, and no other distribution of cash or other property may be declared and made, directly or indirectly, on or with respect to, any shares of Common Stock or shares of any other class or series of capital stock of the Company ranking, as to dividends, on parity with or junior to the Series D Preferred Stock (other than a dividend paid in shares of Common Stock or in shares of any other class or series of capital stock ranking junior to the Series D Preferred Stock as to dividends and upon liquidation) for any period, nor shall any shares of Common Stock or any other shares of any other class or series of capital stock of the Company ranking, as to dividends or upon liquidation, on parity with or junior to the Series D Preferred Stock be redeemed, purchased or otherwise acquired for any consideration, nor shall any funds be paid or made available for a sinking fund for the redemption of such shares, and no other distribution of cash or other property may be made, directly or indirectly, on or with respect thereto by the Company (except by conversion into or exchange for other shares of any class or series of capital stock of the Company ranking junior to the Series D Preferred Stock as to dividends and upon liquidation, and except for the acquisition of shares made pursuant to the provisions of Article VI of the Charter or Section 7 hereof), unless full cumulative dividends on the Series D Preferred Stock for all past dividend periods shall have been or contemporaneously</w:t>
      </w:r>
    </w:p>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681990</wp:posOffset>
            </wp:positionV>
            <wp:extent cx="5083810" cy="152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75">
                      <a:extLst>
                        <a:ext uri="{28A0092B-C50C-407E-A947-70E740481C1C}"/>
                      </a:extLst>
                    </a:blip>
                    <a:srcRect/>
                    <a:stretch>
                      <a:fillRect/>
                    </a:stretch>
                  </pic:blipFill>
                  <pic:spPr bwMode="auto">
                    <a:xfrm>
                      <a:off x="0" y="0"/>
                      <a:ext cx="5083810" cy="15240"/>
                    </a:xfrm>
                    <a:prstGeom prst="rect">
                      <a:avLst/>
                    </a:prstGeom>
                    <a:noFill/>
                  </pic:spPr>
                </pic:pic>
              </a:graphicData>
            </a:graphic>
          </wp:anchor>
        </w:drawing>
        <w:drawing>
          <wp:anchor simplePos="0" relativeHeight="251657728" behindDoc="1" locked="0" layoutInCell="0" allowOverlap="1">
            <wp:simplePos x="0" y="0"/>
            <wp:positionH relativeFrom="column">
              <wp:posOffset>384810</wp:posOffset>
            </wp:positionH>
            <wp:positionV relativeFrom="paragraph">
              <wp:posOffset>316230</wp:posOffset>
            </wp:positionV>
            <wp:extent cx="4436110" cy="1524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76">
                      <a:extLst>
                        <a:ext uri="{28A0092B-C50C-407E-A947-70E740481C1C}"/>
                      </a:extLst>
                    </a:blip>
                    <a:srcRect/>
                    <a:stretch>
                      <a:fillRect/>
                    </a:stretch>
                  </pic:blipFill>
                  <pic:spPr bwMode="auto">
                    <a:xfrm>
                      <a:off x="0" y="0"/>
                      <a:ext cx="44361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74" w:name="page275"/>
    <w:bookmarkEnd w:id="274"/>
    <w:p>
      <w:pPr>
        <w:ind w:left="600"/>
        <w:spacing w:after="0"/>
        <w:rPr>
          <w:sz w:val="20"/>
          <w:szCs w:val="20"/>
          <w:color w:val="auto"/>
        </w:rPr>
      </w:pPr>
      <w:r>
        <w:rPr>
          <w:rFonts w:ascii="Times New Roman" w:cs="Times New Roman" w:eastAsia="Times New Roman" w:hAnsi="Times New Roman"/>
          <w:sz w:val="13"/>
          <w:szCs w:val="13"/>
          <w:color w:val="auto"/>
        </w:rPr>
        <w:t>are (i) declared and paid in cash or (ii) declared and a sum sufficient for the payment thereof in cash is set apart for such payment.</w:t>
      </w:r>
    </w:p>
    <w:p>
      <w:pPr>
        <w:spacing w:after="0" w:line="187" w:lineRule="exact"/>
        <w:rPr>
          <w:sz w:val="20"/>
          <w:szCs w:val="20"/>
          <w:color w:val="auto"/>
        </w:rPr>
      </w:pPr>
    </w:p>
    <w:p>
      <w:pPr>
        <w:ind w:left="600" w:right="640" w:firstLine="306"/>
        <w:spacing w:after="0" w:line="274" w:lineRule="auto"/>
        <w:tabs>
          <w:tab w:leader="none" w:pos="1092" w:val="left"/>
        </w:tabs>
        <w:numPr>
          <w:ilvl w:val="0"/>
          <w:numId w:val="1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When dividends are not paid in full (and a sum sufficient for such full payment is not so set apart) upon the Series D Preferred Stock and the shares of any other class or series of capital stock ranking, as to dividends, on parity with the Series D Preferred Stock, all dividends declared upon the Series D Preferred Stock and each such other class or series of capital stock ranking, as to dividends, on parity with the Series D Preferred Stock shall be declared pro rata so that the amount of dividends declared per share of Series D Preferred Stock and such other class or series of capital stock shall in all cases bear to each other the same ratio that accrued dividends per share on the Series D Preferred Stock and such other class or series of capital stock (which shall not include any accrual in respect of unpaid dividends on such other class or series of capital stock for prior dividend periods if such other class or series of capital stock does not have a cumulative dividend) bear to each other. No interest, or sum of money in lieu of interest, shall be payable in respect of any dividend payment or payments on the Series D Preferred Stock which may be in arrears.</w:t>
      </w:r>
    </w:p>
    <w:p>
      <w:pPr>
        <w:spacing w:after="0" w:line="303" w:lineRule="exact"/>
        <w:rPr>
          <w:rFonts w:ascii="Times New Roman" w:cs="Times New Roman" w:eastAsia="Times New Roman" w:hAnsi="Times New Roman"/>
          <w:sz w:val="13"/>
          <w:szCs w:val="13"/>
          <w:color w:val="auto"/>
        </w:rPr>
      </w:pPr>
    </w:p>
    <w:p>
      <w:pPr>
        <w:jc w:val="both"/>
        <w:ind w:left="600" w:right="680" w:firstLine="306"/>
        <w:spacing w:after="0" w:line="281" w:lineRule="auto"/>
        <w:tabs>
          <w:tab w:leader="none" w:pos="1092" w:val="left"/>
        </w:tabs>
        <w:numPr>
          <w:ilvl w:val="0"/>
          <w:numId w:val="1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Holders of shares of Series D Preferred Stock shall not be entitled to any dividend, whether payable in cash, property or shares of stock, in excess of full cumulative dividends on the Series D Preferred Stock as provided herein. Any dividend payment made on the Series D Preferred Stock shall first be credited against the earliest accrued but unpaid dividends due with respect to such shares which remains payable. Accrued but unpaid distributions on the Series D Preferred Stock will accumulate as of the Dividend Payment Date on which they first become payable.</w:t>
      </w:r>
    </w:p>
    <w:p>
      <w:pPr>
        <w:spacing w:after="0" w:line="13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SECTION 4. </w:t>
      </w:r>
      <w:r>
        <w:rPr>
          <w:rFonts w:ascii="Times New Roman" w:cs="Times New Roman" w:eastAsia="Times New Roman" w:hAnsi="Times New Roman"/>
          <w:sz w:val="13"/>
          <w:szCs w:val="13"/>
          <w:b w:val="1"/>
          <w:bCs w:val="1"/>
          <w:color w:val="auto"/>
        </w:rPr>
        <w:t>Liquidation Preference</w:t>
      </w:r>
      <w:r>
        <w:rPr>
          <w:rFonts w:ascii="Times New Roman" w:cs="Times New Roman" w:eastAsia="Times New Roman" w:hAnsi="Times New Roman"/>
          <w:sz w:val="13"/>
          <w:szCs w:val="13"/>
          <w:color w:val="auto"/>
        </w:rPr>
        <w:t xml:space="preserve"> .</w:t>
      </w:r>
    </w:p>
    <w:p>
      <w:pPr>
        <w:spacing w:after="0" w:line="189" w:lineRule="exact"/>
        <w:rPr>
          <w:sz w:val="20"/>
          <w:szCs w:val="20"/>
          <w:color w:val="auto"/>
        </w:rPr>
      </w:pPr>
    </w:p>
    <w:p>
      <w:pPr>
        <w:ind w:left="600" w:right="660" w:firstLine="306"/>
        <w:spacing w:after="0" w:line="272" w:lineRule="auto"/>
        <w:tabs>
          <w:tab w:leader="none" w:pos="1092" w:val="left"/>
        </w:tabs>
        <w:numPr>
          <w:ilvl w:val="0"/>
          <w:numId w:val="1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any voluntary or involuntary liquidation, dissolution or winding up of the affairs of the Company, before any distribution or payment shall be made to holders of shares of Common Stock or any other class or series of capital stock of the Company ranking, as to rights upon any voluntary or involuntary liquidation, dissolution or winding up of the affairs of the Company, junior to the Series D Preferred Stock, the holders of shares of Series D Preferred Stock shall be entitled to be paid out of the assets of the Company legally available for distribution to its stockholders, after payment of or provision for the debts and other liabilities of the Company, a liquidation preference of $25.00 per share, plus an amount equal to any accrued and unpaid dividends (whether or not authorized or declared) to but excluding the date of payment. In the event that, upon such voluntary or involuntary liquidation, dissolution or winding up, the available assets of the Company are insufficient to pay the full amount of the liquidating distributions on all outstanding shares of Series D Preferred Stock and the corresponding amounts payable on all shares of other classes or series of capital stock of the Company ranking, as to liquidation rights, on parity with the Series D Preferred Stock in the distribution of assets, then the holders of the Series D Preferred Stock and each such other class or series of shares of capital stock ranking, as to voluntary or involuntary liquidation rights, on parity with the Series D Preferred Stock shall share ratably in any such distribution of assets in proportion to the full liquidating distributions to which they would otherwise be respectively entitled. Written notice of any such voluntary or involuntary liquidation, dissolution or winding up of the Company, stating the payment date or dates when, and the place or places where, the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674370</wp:posOffset>
            </wp:positionV>
            <wp:extent cx="5083810" cy="152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77">
                      <a:extLst>
                        <a:ext uri="{28A0092B-C50C-407E-A947-70E740481C1C}"/>
                      </a:extLst>
                    </a:blip>
                    <a:srcRect/>
                    <a:stretch>
                      <a:fillRect/>
                    </a:stretch>
                  </pic:blipFill>
                  <pic:spPr bwMode="auto">
                    <a:xfrm>
                      <a:off x="0" y="0"/>
                      <a:ext cx="5083810" cy="15240"/>
                    </a:xfrm>
                    <a:prstGeom prst="rect">
                      <a:avLst/>
                    </a:prstGeom>
                    <a:noFill/>
                  </pic:spPr>
                </pic:pic>
              </a:graphicData>
            </a:graphic>
          </wp:anchor>
        </w:drawing>
        <w:drawing>
          <wp:anchor simplePos="0" relativeHeight="251657728" behindDoc="1" locked="0" layoutInCell="0" allowOverlap="1">
            <wp:simplePos x="0" y="0"/>
            <wp:positionH relativeFrom="column">
              <wp:posOffset>384810</wp:posOffset>
            </wp:positionH>
            <wp:positionV relativeFrom="paragraph">
              <wp:posOffset>316230</wp:posOffset>
            </wp:positionV>
            <wp:extent cx="4436110" cy="1524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78">
                      <a:extLst>
                        <a:ext uri="{28A0092B-C50C-407E-A947-70E740481C1C}"/>
                      </a:extLst>
                    </a:blip>
                    <a:srcRect/>
                    <a:stretch>
                      <a:fillRect/>
                    </a:stretch>
                  </pic:blipFill>
                  <pic:spPr bwMode="auto">
                    <a:xfrm>
                      <a:off x="0" y="0"/>
                      <a:ext cx="44361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75" w:name="page276"/>
    <w:bookmarkEnd w:id="275"/>
    <w:p>
      <w:pPr>
        <w:ind w:left="600" w:right="660"/>
        <w:spacing w:after="0" w:line="275" w:lineRule="auto"/>
        <w:rPr>
          <w:sz w:val="20"/>
          <w:szCs w:val="20"/>
          <w:color w:val="auto"/>
        </w:rPr>
      </w:pPr>
      <w:r>
        <w:rPr>
          <w:rFonts w:ascii="Times New Roman" w:cs="Times New Roman" w:eastAsia="Times New Roman" w:hAnsi="Times New Roman"/>
          <w:sz w:val="13"/>
          <w:szCs w:val="13"/>
          <w:color w:val="auto"/>
        </w:rPr>
        <w:t>amounts distributable in such circumstances shall be payable, shall be given by first class mail, postage pre-paid, not fewer than 30 or more than 60 days prior to the payment date stated therein, to each record holder of shares of Series D Preferred Stock at the respective addresses of such holders as the same shall appear on the stock transfer records of the Company. After payment of the full amount of the liquidating distributions to which they are entitled, the holders of Series D Preferred Stock will have no right or claim to any of the remaining assets of the Company. The consolidation or merger of the Company with or into any other corporation, trust or entity, or the voluntary sale, lease, transfer or conveyance of all or substantially all of the property or business of the Company, shall not be deemed to constitute a liquidation, dissolution or winding up of the affairs of the Company.</w:t>
      </w:r>
    </w:p>
    <w:p>
      <w:pPr>
        <w:spacing w:after="0" w:line="145" w:lineRule="exact"/>
        <w:rPr>
          <w:sz w:val="20"/>
          <w:szCs w:val="20"/>
          <w:color w:val="auto"/>
        </w:rPr>
      </w:pPr>
    </w:p>
    <w:p>
      <w:pPr>
        <w:ind w:left="1080" w:hanging="174"/>
        <w:spacing w:after="0"/>
        <w:tabs>
          <w:tab w:leader="none" w:pos="1080" w:val="left"/>
        </w:tabs>
        <w:numPr>
          <w:ilvl w:val="0"/>
          <w:numId w:val="1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determining whether a distribution (other than upon voluntary or involuntary liquidation), by dividend, redemption or other</w:t>
      </w:r>
    </w:p>
    <w:p>
      <w:pPr>
        <w:spacing w:after="0" w:line="22" w:lineRule="exact"/>
        <w:rPr>
          <w:rFonts w:ascii="Times New Roman" w:cs="Times New Roman" w:eastAsia="Times New Roman" w:hAnsi="Times New Roman"/>
          <w:sz w:val="13"/>
          <w:szCs w:val="13"/>
          <w:color w:val="auto"/>
        </w:rPr>
      </w:pPr>
    </w:p>
    <w:p>
      <w:pPr>
        <w:ind w:left="600" w:right="720"/>
        <w:spacing w:after="0" w:line="284"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acquisition of shares of capital stock of the Company or otherwise, is permitted under the MGCL, amounts that would be needed, if the Company were to be dissolved at the time of the distribution, to satisfy the preferential rights upon dissolution of holders of shares of Series D Preferred Stock shall not be added to the Company’s total liabilities.</w:t>
      </w:r>
    </w:p>
    <w:p>
      <w:pPr>
        <w:spacing w:after="0" w:line="13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SECTION 5. </w:t>
      </w:r>
      <w:r>
        <w:rPr>
          <w:rFonts w:ascii="Times New Roman" w:cs="Times New Roman" w:eastAsia="Times New Roman" w:hAnsi="Times New Roman"/>
          <w:sz w:val="13"/>
          <w:szCs w:val="13"/>
          <w:b w:val="1"/>
          <w:bCs w:val="1"/>
          <w:color w:val="auto"/>
        </w:rPr>
        <w:t>Redemption</w:t>
      </w:r>
      <w:r>
        <w:rPr>
          <w:rFonts w:ascii="Times New Roman" w:cs="Times New Roman" w:eastAsia="Times New Roman" w:hAnsi="Times New Roman"/>
          <w:sz w:val="13"/>
          <w:szCs w:val="13"/>
          <w:color w:val="auto"/>
        </w:rPr>
        <w:t xml:space="preserve"> .</w:t>
      </w:r>
    </w:p>
    <w:p>
      <w:pPr>
        <w:spacing w:after="0" w:line="189" w:lineRule="exact"/>
        <w:rPr>
          <w:sz w:val="20"/>
          <w:szCs w:val="20"/>
          <w:color w:val="auto"/>
        </w:rPr>
      </w:pPr>
    </w:p>
    <w:p>
      <w:pPr>
        <w:ind w:left="600" w:right="700" w:firstLine="312"/>
        <w:spacing w:after="0" w:line="275" w:lineRule="auto"/>
        <w:rPr>
          <w:sz w:val="20"/>
          <w:szCs w:val="20"/>
          <w:color w:val="auto"/>
        </w:rPr>
      </w:pPr>
      <w:r>
        <w:rPr>
          <w:rFonts w:ascii="Times New Roman" w:cs="Times New Roman" w:eastAsia="Times New Roman" w:hAnsi="Times New Roman"/>
          <w:sz w:val="13"/>
          <w:szCs w:val="13"/>
          <w:color w:val="auto"/>
        </w:rPr>
        <w:t>(a) The Company shall have the right to redeem shares of the Series D Preferred Stock in order to preserve the Company’s status as a REIT for federal tax purposes, in whole or in part, at any time or from time to time, for cash at a redemption price equal to 100% of the liquidation preference of the Series D Preferred Stock to be redeemed plus an amount equal to all accrued and unpaid dividends up to, but not including, the date fixed for redemption, without interest; provided that if the redemption date is on a date that is after a Dividend Record Date and on or prior to the corresponding Dividend Payment Date, the Company shall pay such dividends to the holder of record of such shares of Series D Preferred Stock on the Dividend Record Date, and the redemption price shall be equal to 100% of the liquidation preference of the Series D Preferred Stock to be redeemed.</w:t>
      </w:r>
    </w:p>
    <w:p>
      <w:pPr>
        <w:spacing w:after="0" w:line="145" w:lineRule="exact"/>
        <w:rPr>
          <w:sz w:val="20"/>
          <w:szCs w:val="20"/>
          <w:color w:val="auto"/>
        </w:rPr>
      </w:pPr>
    </w:p>
    <w:p>
      <w:pPr>
        <w:ind w:left="600" w:right="680" w:firstLine="306"/>
        <w:spacing w:after="0" w:line="270" w:lineRule="auto"/>
        <w:tabs>
          <w:tab w:leader="none" w:pos="1092" w:val="left"/>
        </w:tabs>
        <w:numPr>
          <w:ilvl w:val="0"/>
          <w:numId w:val="2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fewer than all of the outstanding shares of Series D Preferred Stock are to be redeemed, the shares of Series D Preferred Stock to be redeemed shall be redeemed pro rata (as nearly as may be practicable without creating fractional shares) by lot or by any other equitable method determined by the Company that will not result in a violation of the Ownership Limit and the Aggregate Stock Ownership Limit (each, as defined in Section 7(a)). If redemption is to be by lot and, as a result, any holder of shares of Series D Preferred Stock would have actual ownership, Beneficial Ownership or Constructive Ownership (each, as defined in Section 7(a)) in excess of the Ownership Limit (as defined in Section 7(a)), the Aggregate Stock Ownership Limit or</w:t>
      </w:r>
    </w:p>
    <w:p>
      <w:pPr>
        <w:spacing w:after="0" w:line="2" w:lineRule="exact"/>
        <w:rPr>
          <w:rFonts w:ascii="Times New Roman" w:cs="Times New Roman" w:eastAsia="Times New Roman" w:hAnsi="Times New Roman"/>
          <w:sz w:val="13"/>
          <w:szCs w:val="13"/>
          <w:color w:val="auto"/>
        </w:rPr>
      </w:pPr>
    </w:p>
    <w:p>
      <w:pPr>
        <w:ind w:left="600" w:right="600"/>
        <w:spacing w:after="0" w:line="275"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other limit as permitted by the Board of Directors or the Committee pursuant to Section 7(i) because such holder’s shares of Series D Preferred Stock were not redeemed, or were only redeemed in part, then, except as otherwise provided in the Charter, the Company shall redeem the requisite number of shares of Series D Preferred Stock of such holder such that no holder will hold an amount of Series D Preferred Stock in excess of the applicable ownership limit subsequent to such redemption. Holders of Series D Preferred Stock to be redeemed shall surrender such Series D Preferred Stock at the place designated in such notice and shall be entitled to the redemption price of $25.00 per share and any accrued and unpaid dividends</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674370</wp:posOffset>
            </wp:positionV>
            <wp:extent cx="5083810" cy="1524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79">
                      <a:extLst>
                        <a:ext uri="{28A0092B-C50C-407E-A947-70E740481C1C}"/>
                      </a:extLst>
                    </a:blip>
                    <a:srcRect/>
                    <a:stretch>
                      <a:fillRect/>
                    </a:stretch>
                  </pic:blipFill>
                  <pic:spPr bwMode="auto">
                    <a:xfrm>
                      <a:off x="0" y="0"/>
                      <a:ext cx="5083810" cy="15240"/>
                    </a:xfrm>
                    <a:prstGeom prst="rect">
                      <a:avLst/>
                    </a:prstGeom>
                    <a:noFill/>
                  </pic:spPr>
                </pic:pic>
              </a:graphicData>
            </a:graphic>
          </wp:anchor>
        </w:drawing>
        <w:drawing>
          <wp:anchor simplePos="0" relativeHeight="251657728" behindDoc="1" locked="0" layoutInCell="0" allowOverlap="1">
            <wp:simplePos x="0" y="0"/>
            <wp:positionH relativeFrom="column">
              <wp:posOffset>384810</wp:posOffset>
            </wp:positionH>
            <wp:positionV relativeFrom="paragraph">
              <wp:posOffset>316230</wp:posOffset>
            </wp:positionV>
            <wp:extent cx="4436110" cy="762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80">
                      <a:extLst>
                        <a:ext uri="{28A0092B-C50C-407E-A947-70E740481C1C}"/>
                      </a:extLst>
                    </a:blip>
                    <a:srcRect/>
                    <a:stretch>
                      <a:fillRect/>
                    </a:stretch>
                  </pic:blipFill>
                  <pic:spPr bwMode="auto">
                    <a:xfrm>
                      <a:off x="0" y="0"/>
                      <a:ext cx="4436110" cy="762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76" w:name="page277"/>
    <w:bookmarkEnd w:id="276"/>
    <w:p>
      <w:pPr>
        <w:ind w:left="600" w:right="660"/>
        <w:spacing w:after="0" w:line="274" w:lineRule="auto"/>
        <w:rPr>
          <w:sz w:val="20"/>
          <w:szCs w:val="20"/>
          <w:color w:val="auto"/>
        </w:rPr>
      </w:pPr>
      <w:r>
        <w:rPr>
          <w:rFonts w:ascii="Times New Roman" w:cs="Times New Roman" w:eastAsia="Times New Roman" w:hAnsi="Times New Roman"/>
          <w:sz w:val="13"/>
          <w:szCs w:val="13"/>
          <w:color w:val="auto"/>
        </w:rPr>
        <w:t>payable upon such redemption following such surrender. If (i) notice of redemption of any shares of Series D Preferred Stock has been given, (ii) the funds necessary for such redemption have been set aside by the Company in trust for the benefit of the holders of any shares of Series D Preferred Stock so called for redemption, and (iii) irrevocable instructions have been given to pay the redemption price and all accrued and unpaid dividends, then from and after the redemption date, dividends shall cease to accrue on such shares of Series D Preferred Stock, such shares of Series D Preferred Stock shall no longer be deemed outstanding, and all rights of the holders of such shares shall terminate, except the right to receive the redemption price plus any accrued and unpaid dividends payable upon such redemption, without interest. So long as no dividends are in arrears, nothing herein shall prevent or restrict the Company’s right or ability to purchase, from time to time, either at a public or a private sale, all or any part of the Series D Preferred Stock at such price or prices as the Company may determine, subject to the provisions of applicable law, including the repurchase of shares of Series D Preferred Stock in open-market transactions duly authorized by the Board of Directors.</w:t>
      </w:r>
    </w:p>
    <w:p>
      <w:pPr>
        <w:spacing w:after="0" w:line="301" w:lineRule="exact"/>
        <w:rPr>
          <w:sz w:val="20"/>
          <w:szCs w:val="20"/>
          <w:color w:val="auto"/>
        </w:rPr>
      </w:pPr>
    </w:p>
    <w:p>
      <w:pPr>
        <w:ind w:left="1080" w:hanging="174"/>
        <w:spacing w:after="0"/>
        <w:tabs>
          <w:tab w:leader="none" w:pos="1080" w:val="left"/>
        </w:tabs>
        <w:numPr>
          <w:ilvl w:val="0"/>
          <w:numId w:val="2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[Intentionally Omitted.]</w:t>
      </w:r>
    </w:p>
    <w:p>
      <w:pPr>
        <w:spacing w:after="0" w:line="186" w:lineRule="exact"/>
        <w:rPr>
          <w:rFonts w:ascii="Times New Roman" w:cs="Times New Roman" w:eastAsia="Times New Roman" w:hAnsi="Times New Roman"/>
          <w:sz w:val="13"/>
          <w:szCs w:val="13"/>
          <w:color w:val="auto"/>
        </w:rPr>
      </w:pPr>
    </w:p>
    <w:p>
      <w:pPr>
        <w:ind w:left="1080" w:hanging="174"/>
        <w:spacing w:after="0"/>
        <w:tabs>
          <w:tab w:leader="none" w:pos="1080" w:val="left"/>
        </w:tabs>
        <w:numPr>
          <w:ilvl w:val="0"/>
          <w:numId w:val="2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[Intentionally Omitted.]</w:t>
      </w:r>
    </w:p>
    <w:p>
      <w:pPr>
        <w:spacing w:after="0" w:line="186" w:lineRule="exact"/>
        <w:rPr>
          <w:rFonts w:ascii="Times New Roman" w:cs="Times New Roman" w:eastAsia="Times New Roman" w:hAnsi="Times New Roman"/>
          <w:sz w:val="13"/>
          <w:szCs w:val="13"/>
          <w:color w:val="auto"/>
        </w:rPr>
      </w:pPr>
    </w:p>
    <w:p>
      <w:pPr>
        <w:ind w:left="1080" w:hanging="174"/>
        <w:spacing w:after="0"/>
        <w:tabs>
          <w:tab w:leader="none" w:pos="1080" w:val="left"/>
        </w:tabs>
        <w:numPr>
          <w:ilvl w:val="0"/>
          <w:numId w:val="2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[Intentionally Omitted.]</w:t>
      </w:r>
    </w:p>
    <w:p>
      <w:pPr>
        <w:spacing w:after="0" w:line="186" w:lineRule="exact"/>
        <w:rPr>
          <w:rFonts w:ascii="Times New Roman" w:cs="Times New Roman" w:eastAsia="Times New Roman" w:hAnsi="Times New Roman"/>
          <w:sz w:val="13"/>
          <w:szCs w:val="13"/>
          <w:color w:val="auto"/>
        </w:rPr>
      </w:pPr>
    </w:p>
    <w:p>
      <w:pPr>
        <w:ind w:left="600" w:right="580" w:firstLine="306"/>
        <w:spacing w:after="0" w:line="276" w:lineRule="auto"/>
        <w:tabs>
          <w:tab w:leader="none" w:pos="1068" w:val="left"/>
        </w:tabs>
        <w:numPr>
          <w:ilvl w:val="0"/>
          <w:numId w:val="2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 redemption date falls after a Dividend Record Date and on or prior to the corresponding Dividend Payment Date, each holder of Series D Preferred Stock at the close of business on such Dividend Record Date shall be entitled to the dividend payable on such shares on the corresponding Dividend Payment Date notwithstanding the redemption of such shares on or prior to such Dividend Payment Date, and each holder of Series D Preferred Stock that surrenders its shares on such redemption date will be entitled to the dividends accruing after the end of the Dividend Period to which such Dividend Payment Date relates up to but excluding the redemption date. Except as provided herein, the Company shall make no payment or allowance for unpaid dividends, whether or not in arrears, on Series D Preferred Stock for which a notice of redemption has been given.</w:t>
      </w:r>
    </w:p>
    <w:p>
      <w:pPr>
        <w:spacing w:after="0" w:line="312" w:lineRule="exact"/>
        <w:rPr>
          <w:rFonts w:ascii="Times New Roman" w:cs="Times New Roman" w:eastAsia="Times New Roman" w:hAnsi="Times New Roman"/>
          <w:sz w:val="13"/>
          <w:szCs w:val="13"/>
          <w:color w:val="auto"/>
        </w:rPr>
      </w:pPr>
    </w:p>
    <w:p>
      <w:pPr>
        <w:ind w:left="1080" w:hanging="174"/>
        <w:spacing w:after="0"/>
        <w:tabs>
          <w:tab w:leader="none" w:pos="1080" w:val="left"/>
        </w:tabs>
        <w:numPr>
          <w:ilvl w:val="0"/>
          <w:numId w:val="2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shares of the Series D Preferred Stock redeemed or repurchased pursuant to this Section 5 shall be retired and shall be restored to</w:t>
      </w:r>
    </w:p>
    <w:p>
      <w:pPr>
        <w:spacing w:after="0" w:line="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the status of authorized but unissued shares of Preferred Stock, without designation as to series or class.</w:t>
      </w:r>
    </w:p>
    <w:p>
      <w:pPr>
        <w:spacing w:after="0" w:line="183" w:lineRule="exact"/>
        <w:rPr>
          <w:sz w:val="20"/>
          <w:szCs w:val="20"/>
          <w:color w:val="auto"/>
        </w:rPr>
      </w:pPr>
    </w:p>
    <w:p>
      <w:pPr>
        <w:ind w:left="600" w:right="740" w:firstLine="306"/>
        <w:spacing w:after="0" w:line="287" w:lineRule="auto"/>
        <w:tabs>
          <w:tab w:leader="none" w:pos="1092" w:val="left"/>
        </w:tabs>
        <w:numPr>
          <w:ilvl w:val="0"/>
          <w:numId w:val="2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Series D Preferred Stock shall have no stated maturity and shall not be subject to any sinking fund or mandatory redemption; provided, however, that the Series D Preferred Stock owned by a stockholder in excess of the Ownership Limit shall be subject to the provisions of this Section 5 and Section 7 of these Articles Supplementary.</w:t>
      </w:r>
    </w:p>
    <w:p>
      <w:pPr>
        <w:spacing w:after="0" w:line="13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SECTION 6. </w:t>
      </w:r>
      <w:r>
        <w:rPr>
          <w:rFonts w:ascii="Times New Roman" w:cs="Times New Roman" w:eastAsia="Times New Roman" w:hAnsi="Times New Roman"/>
          <w:sz w:val="13"/>
          <w:szCs w:val="13"/>
          <w:b w:val="1"/>
          <w:bCs w:val="1"/>
          <w:color w:val="auto"/>
        </w:rPr>
        <w:t>Voting Rights</w:t>
      </w:r>
      <w:r>
        <w:rPr>
          <w:rFonts w:ascii="Times New Roman" w:cs="Times New Roman" w:eastAsia="Times New Roman" w:hAnsi="Times New Roman"/>
          <w:sz w:val="13"/>
          <w:szCs w:val="13"/>
          <w:color w:val="auto"/>
        </w:rPr>
        <w:t xml:space="preserve"> .</w:t>
      </w:r>
    </w:p>
    <w:p>
      <w:pPr>
        <w:spacing w:after="0" w:line="189" w:lineRule="exact"/>
        <w:rPr>
          <w:sz w:val="20"/>
          <w:szCs w:val="20"/>
          <w:color w:val="auto"/>
        </w:rPr>
      </w:pPr>
    </w:p>
    <w:p>
      <w:pPr>
        <w:ind w:left="1080" w:hanging="174"/>
        <w:spacing w:after="0"/>
        <w:tabs>
          <w:tab w:leader="none" w:pos="1080" w:val="left"/>
        </w:tabs>
        <w:numPr>
          <w:ilvl w:val="0"/>
          <w:numId w:val="2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Holders of the Series D Preferred Stock shall not have any voting rights, except as set forth in this Section 6.</w:t>
      </w:r>
    </w:p>
    <w:p>
      <w:pPr>
        <w:spacing w:after="0" w:line="186" w:lineRule="exact"/>
        <w:rPr>
          <w:rFonts w:ascii="Times New Roman" w:cs="Times New Roman" w:eastAsia="Times New Roman" w:hAnsi="Times New Roman"/>
          <w:sz w:val="13"/>
          <w:szCs w:val="13"/>
          <w:color w:val="auto"/>
        </w:rPr>
      </w:pPr>
    </w:p>
    <w:p>
      <w:pPr>
        <w:ind w:left="600" w:right="1020" w:firstLine="306"/>
        <w:spacing w:after="0" w:line="305" w:lineRule="auto"/>
        <w:tabs>
          <w:tab w:leader="none" w:pos="1092" w:val="left"/>
        </w:tabs>
        <w:numPr>
          <w:ilvl w:val="0"/>
          <w:numId w:val="2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Whenever dividends on any shares of Series D Preferred Stock shall be in arrears for six or more consecutive or non- consecutive quarterly periods (a </w:t>
      </w:r>
      <w:r>
        <w:rPr>
          <w:rFonts w:ascii="Times New Roman" w:cs="Times New Roman" w:eastAsia="Times New Roman" w:hAnsi="Times New Roman"/>
          <w:sz w:val="13"/>
          <w:szCs w:val="13"/>
          <w:b w:val="1"/>
          <w:bCs w:val="1"/>
          <w:color w:val="auto"/>
        </w:rPr>
        <w:t>“Preferred Dividend</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125730</wp:posOffset>
            </wp:positionV>
            <wp:extent cx="4436110" cy="1524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81">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575310</wp:posOffset>
            </wp:positionV>
            <wp:extent cx="5083810" cy="152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82">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77" w:name="page278"/>
    <w:bookmarkEnd w:id="277"/>
    <w:p>
      <w:pPr>
        <w:ind w:left="600" w:right="940"/>
        <w:spacing w:after="0" w:line="276" w:lineRule="auto"/>
        <w:rPr>
          <w:sz w:val="20"/>
          <w:szCs w:val="20"/>
          <w:color w:val="auto"/>
        </w:rPr>
      </w:pPr>
      <w:r>
        <w:rPr>
          <w:rFonts w:ascii="Times New Roman" w:cs="Times New Roman" w:eastAsia="Times New Roman" w:hAnsi="Times New Roman"/>
          <w:sz w:val="13"/>
          <w:szCs w:val="13"/>
          <w:b w:val="1"/>
          <w:bCs w:val="1"/>
          <w:color w:val="auto"/>
        </w:rPr>
        <w:t xml:space="preserve">Default </w:t>
      </w:r>
      <w:r>
        <w:rPr>
          <w:rFonts w:ascii="Times New Roman" w:cs="Times New Roman" w:eastAsia="Times New Roman" w:hAnsi="Times New Roman"/>
          <w:sz w:val="13"/>
          <w:szCs w:val="13"/>
          <w:color w:val="auto"/>
        </w:rPr>
        <w:t>”), the holders of such Series D Preferred Stock (voting together as a single class with all other classes or series of preferred stock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the Company upon which like voting rights have been conferred and are exercisable (“ </w:t>
      </w:r>
      <w:r>
        <w:rPr>
          <w:rFonts w:ascii="Times New Roman" w:cs="Times New Roman" w:eastAsia="Times New Roman" w:hAnsi="Times New Roman"/>
          <w:sz w:val="13"/>
          <w:szCs w:val="13"/>
          <w:b w:val="1"/>
          <w:bCs w:val="1"/>
          <w:color w:val="auto"/>
        </w:rPr>
        <w:t>Parity Preferred</w:t>
      </w:r>
      <w:r>
        <w:rPr>
          <w:rFonts w:ascii="Times New Roman" w:cs="Times New Roman" w:eastAsia="Times New Roman" w:hAnsi="Times New Roman"/>
          <w:sz w:val="13"/>
          <w:szCs w:val="13"/>
          <w:color w:val="auto"/>
        </w:rPr>
        <w:t xml:space="preserve"> ”), including the Series A Cumulative Redeemable Preferred Stock, the Series B Cumulative Redeemable Preferred Stock and the Series C Cumulative Convertible Preferred Stock of the Company) shall be entitled to vote for the election of a total of two additional directors of the Company (the “ </w:t>
      </w:r>
      <w:r>
        <w:rPr>
          <w:rFonts w:ascii="Times New Roman" w:cs="Times New Roman" w:eastAsia="Times New Roman" w:hAnsi="Times New Roman"/>
          <w:sz w:val="13"/>
          <w:szCs w:val="13"/>
          <w:b w:val="1"/>
          <w:bCs w:val="1"/>
          <w:color w:val="auto"/>
        </w:rPr>
        <w:t xml:space="preserve">Preferred Directors </w:t>
      </w:r>
      <w:r>
        <w:rPr>
          <w:rFonts w:ascii="Times New Roman" w:cs="Times New Roman" w:eastAsia="Times New Roman" w:hAnsi="Times New Roman"/>
          <w:sz w:val="13"/>
          <w:szCs w:val="13"/>
          <w:color w:val="auto"/>
        </w:rPr>
        <w:t>”) until all dividends accumulated on such Series D Preferred Stock and Parity Preferred for the past dividend periods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shall have been fully paid or declared and a sum sufficient for the payment thereof set aside for payment. In such case, the entire Board of Directors will be increased by two directors.</w:t>
      </w:r>
    </w:p>
    <w:p>
      <w:pPr>
        <w:spacing w:after="0" w:line="143" w:lineRule="exact"/>
        <w:rPr>
          <w:sz w:val="20"/>
          <w:szCs w:val="20"/>
          <w:color w:val="auto"/>
        </w:rPr>
      </w:pPr>
    </w:p>
    <w:p>
      <w:pPr>
        <w:ind w:left="600" w:right="640" w:firstLine="306"/>
        <w:spacing w:after="0" w:line="273" w:lineRule="auto"/>
        <w:tabs>
          <w:tab w:leader="none" w:pos="1080" w:val="left"/>
        </w:tabs>
        <w:numPr>
          <w:ilvl w:val="0"/>
          <w:numId w:val="2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Preferred Directors will be elected by a plurality of the votes cast in the election for a one-year term and each Preferred Director will serve until his or her successor is duly elected and qualifies or until such Preferred Director’s right to hold the office terminates, whichever occurs earlier, subject to such Preferred Director’s earlier death, disqualification or removal. The election will take place at (i) either (a) a special meeting called in accordance with Section 6(d) below if the request is received more than 90 days before the date fixed for the Company’s next annual or special meeting of stockholders or (b) the next annual or special meeting of stockholders if the request is received within 90 days of the date fixed for the Company’s next annual or special meeting of stockholders, and (ii) at each subsequent annual meeting of stockholders, or special meeting held in place thereof, until all such dividends in arrears on the Series D Preferred Stock and each such class or series of outstanding Parity Preferred have been paid in full. A dividend in respect of Series D Preferred Stock shall be considered timely made if made within two Business Days after the applicable Dividend Payment Date if at the time of such late payment date there shall not be any prior quarterly dividend periods in respect of which full dividends were not timely made at the applicable Dividend Payment Date.</w:t>
      </w:r>
    </w:p>
    <w:p>
      <w:pPr>
        <w:spacing w:after="0" w:line="136" w:lineRule="exact"/>
        <w:rPr>
          <w:rFonts w:ascii="Times New Roman" w:cs="Times New Roman" w:eastAsia="Times New Roman" w:hAnsi="Times New Roman"/>
          <w:sz w:val="13"/>
          <w:szCs w:val="13"/>
          <w:color w:val="auto"/>
        </w:rPr>
      </w:pPr>
    </w:p>
    <w:p>
      <w:pPr>
        <w:ind w:left="600" w:right="640" w:firstLine="306"/>
        <w:spacing w:after="0" w:line="272" w:lineRule="auto"/>
        <w:tabs>
          <w:tab w:leader="none" w:pos="1092" w:val="left"/>
        </w:tabs>
        <w:numPr>
          <w:ilvl w:val="0"/>
          <w:numId w:val="2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any time when such voting rights shall have vested, a proper officer of the Company shall call or cause to be called, upon written request of holders of record of at least 10% of the outstanding shares of Series D Preferred Stock and Parity Preferred, a special meeting of the holders of Series D Preferred Stock and each class or series of Parity Preferred by mailing or causing to be mailed to such holders a notice of such special meeting to be held not fewer than ten or more than 45 days after the date such notice is given. The record date for determining holders of the Series D Preferred Stock and Parity Preferred entitled to notice of and to vote at such special meeting will be the close of business on the third Business Day preceding the day on which such notice is mailed. At any such annual or special meeting, all of the holders of the Series D Preferred Stock and Parity Preferred, by plurality vote, voting together as a single class without regard to class or series will be entitled to elect two directors on the basis of one vote per $25.00 of liquidation preference to which such Series D Preferred Stock and Parity Preferred are entitled by their terms (excluding amounts in respect of accumulated and unpaid dividends) and not cumulatively. The holder or holders of one-third of the Series D Preferred Stock and Parity Preferred voting as a single class then outstanding, present in person or by proxy, will constitute a quorum for the election of the Preferred Directors except as otherwise provided by law. Notice of all meetings at which holders of the Series D Preferred Stock and the Parity Preferred shall be entitled to vote will be given to such holders at their addresses as they appear in the transfer records. At any such meeting or adjournment thereof in the absence of a</w:t>
      </w: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681990</wp:posOffset>
            </wp:positionV>
            <wp:extent cx="5083810" cy="152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83">
                      <a:extLst>
                        <a:ext uri="{28A0092B-C50C-407E-A947-70E740481C1C}"/>
                      </a:extLst>
                    </a:blip>
                    <a:srcRect/>
                    <a:stretch>
                      <a:fillRect/>
                    </a:stretch>
                  </pic:blipFill>
                  <pic:spPr bwMode="auto">
                    <a:xfrm>
                      <a:off x="0" y="0"/>
                      <a:ext cx="5083810" cy="15240"/>
                    </a:xfrm>
                    <a:prstGeom prst="rect">
                      <a:avLst/>
                    </a:prstGeom>
                    <a:noFill/>
                  </pic:spPr>
                </pic:pic>
              </a:graphicData>
            </a:graphic>
          </wp:anchor>
        </w:drawing>
        <w:drawing>
          <wp:anchor simplePos="0" relativeHeight="251657728" behindDoc="1" locked="0" layoutInCell="0" allowOverlap="1">
            <wp:simplePos x="0" y="0"/>
            <wp:positionH relativeFrom="column">
              <wp:posOffset>384810</wp:posOffset>
            </wp:positionH>
            <wp:positionV relativeFrom="paragraph">
              <wp:posOffset>316230</wp:posOffset>
            </wp:positionV>
            <wp:extent cx="4436110" cy="1524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84">
                      <a:extLst>
                        <a:ext uri="{28A0092B-C50C-407E-A947-70E740481C1C}"/>
                      </a:extLst>
                    </a:blip>
                    <a:srcRect/>
                    <a:stretch>
                      <a:fillRect/>
                    </a:stretch>
                  </pic:blipFill>
                  <pic:spPr bwMode="auto">
                    <a:xfrm>
                      <a:off x="0" y="0"/>
                      <a:ext cx="4436110" cy="1524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278" w:name="page279"/>
    <w:bookmarkEnd w:id="278"/>
    <w:p>
      <w:pPr>
        <w:ind w:left="600" w:right="700"/>
        <w:spacing w:after="0" w:line="276" w:lineRule="auto"/>
        <w:rPr>
          <w:sz w:val="20"/>
          <w:szCs w:val="20"/>
          <w:color w:val="auto"/>
        </w:rPr>
      </w:pPr>
      <w:r>
        <w:rPr>
          <w:rFonts w:ascii="Times New Roman" w:cs="Times New Roman" w:eastAsia="Times New Roman" w:hAnsi="Times New Roman"/>
          <w:sz w:val="13"/>
          <w:szCs w:val="13"/>
          <w:color w:val="auto"/>
        </w:rPr>
        <w:t>quorum, subject to the provisions of any applicable law, a majority of the holders of the Series D Preferred Stock and Parity Preferred voting as a single class present in person or by proxy shall have the power to adjourn the meeting for the election of the Preferred Directors, without notice other than an announcement at the meeting, until a quorum is present. If a Preferred Dividend Default shall terminate after the notice of a special meeting has been given but before such special meeting has been held, the Company shall, as soon as practicable after such termination, mail or cause to be mailed notice of such termination to holders of the Series D Preferred Stock and the Parity Preferred that would have been entitled to vote at such special meeting.</w:t>
      </w:r>
    </w:p>
    <w:p>
      <w:pPr>
        <w:spacing w:after="0" w:line="145" w:lineRule="exact"/>
        <w:rPr>
          <w:sz w:val="20"/>
          <w:szCs w:val="20"/>
          <w:color w:val="auto"/>
        </w:rPr>
      </w:pPr>
    </w:p>
    <w:p>
      <w:pPr>
        <w:ind w:left="600" w:right="640" w:firstLine="306"/>
        <w:spacing w:after="0" w:line="273" w:lineRule="auto"/>
        <w:tabs>
          <w:tab w:leader="none" w:pos="1080" w:val="left"/>
        </w:tabs>
        <w:numPr>
          <w:ilvl w:val="0"/>
          <w:numId w:val="2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and when all accumulated dividends on such Series D Preferred Stock and all classes or series of Parity Preferred for the past dividend periods shall have been fully paid or declared and a sum sufficient for the payment thereof set aside for payment, the right of the holders of Series D Preferred Stock and the Parity Preferred to elect such additional two directors shall immediately cease (subject to revesting in the event of each and every Preferred Dividend Default), and the term of office of each Preferred Director so elected shall terminate and the entire Board of Directors shall be reduced accordingly. Any Preferred Director may be removed at any time with or without cause by the vote of, and shall not be removed otherwise than by the vote of, the holders of record of a majority of the outstanding Series D Preferred Stock and the Parity Preferred entitled to vote thereon when they have the voting rights set forth in Section 6(b) (voting as a single class). So long as a Preferred Dividend Default shall continue, any vacancy in the office of a Preferred Director may be filled by written consent of the Preferred Director remaining in office, or if none remains in office, by a vote of the holders of record of a majority of the outstanding Series D Preferred Stock when they have the voting rights described above (voting as a single class with all other classes or series of Parity Preferred). Each of the Preferred Directors shall be entitled to one vote on any matter.</w:t>
      </w:r>
    </w:p>
    <w:p>
      <w:pPr>
        <w:spacing w:after="0" w:line="134" w:lineRule="exact"/>
        <w:rPr>
          <w:rFonts w:ascii="Times New Roman" w:cs="Times New Roman" w:eastAsia="Times New Roman" w:hAnsi="Times New Roman"/>
          <w:sz w:val="13"/>
          <w:szCs w:val="13"/>
          <w:color w:val="auto"/>
        </w:rPr>
      </w:pPr>
    </w:p>
    <w:p>
      <w:pPr>
        <w:ind w:left="600" w:right="720" w:firstLine="306"/>
        <w:spacing w:after="0" w:line="272" w:lineRule="auto"/>
        <w:tabs>
          <w:tab w:leader="none" w:pos="1068" w:val="left"/>
        </w:tabs>
        <w:numPr>
          <w:ilvl w:val="0"/>
          <w:numId w:val="2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So long as any shares of Series D Preferred Stock remain outstanding, the affirmative vote or consent of the holders of two-thirds of the shares of Series D Preferred Stock and each other class or series of preferred stock ranking on parity with the Series D Preferred Stock with respect to the payment of dividends and the distribution of assets upon liquidation, dissolution or winding up of the Company upon which like voting rights have been conferred outstanding at the time, given in person or by proxy, either in writing or at a meeting (voting as a single class) will be required to: (i) authorize, create or issue, or increase the number of authorized or issued shares of, any class or series of capital stock ranking senior to the Series D Preferred Stock with respect to payment of dividends or the distribution of assets upon liquidation, dissolution or winding up of the affairs of the Company or reclassify any authorized shares of capital stock of the Company into such capital stock, or create, authorize or issue any obligation or security convertible into or evidencing the right to purchase any such capital stock; or (ii) amend, alter or repeal the provisions of the Charter or the terms of the Series D Preferred Stock, whether by merger, consolidation, transfer or conveyance of all or substantially all of its assets or otherwise (an “ </w:t>
      </w:r>
      <w:r>
        <w:rPr>
          <w:rFonts w:ascii="Times New Roman" w:cs="Times New Roman" w:eastAsia="Times New Roman" w:hAnsi="Times New Roman"/>
          <w:sz w:val="13"/>
          <w:szCs w:val="13"/>
          <w:b w:val="1"/>
          <w:bCs w:val="1"/>
          <w:color w:val="auto"/>
        </w:rPr>
        <w:t>Event</w:t>
      </w:r>
      <w:r>
        <w:rPr>
          <w:rFonts w:ascii="Times New Roman" w:cs="Times New Roman" w:eastAsia="Times New Roman" w:hAnsi="Times New Roman"/>
          <w:sz w:val="13"/>
          <w:szCs w:val="13"/>
          <w:color w:val="auto"/>
        </w:rPr>
        <w:t xml:space="preserve"> ”), so as to materially and adversely affect any right, preference, privilege or voting power of the Series D Preferred Stock;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xml:space="preserve"> , with respect to the occurrence of any of the Events set forth in (ii) above, so long as the Series D Preferred Stock remains outstanding with the terms thereof materially unchanged, taking into account that, upon the occurrence of an Event, the Company may not be the surviving entity, the occurrence of such Event shall not be deemed to materially and adversely affect such rights, preferences, privileges or voting power of Series D Preferred Stock, and in such case such holders shall not have any</w:t>
      </w:r>
    </w:p>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666750</wp:posOffset>
            </wp:positionV>
            <wp:extent cx="5083810" cy="1524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85">
                      <a:extLst>
                        <a:ext uri="{28A0092B-C50C-407E-A947-70E740481C1C}"/>
                      </a:extLst>
                    </a:blip>
                    <a:srcRect/>
                    <a:stretch>
                      <a:fillRect/>
                    </a:stretch>
                  </pic:blipFill>
                  <pic:spPr bwMode="auto">
                    <a:xfrm>
                      <a:off x="0" y="0"/>
                      <a:ext cx="5083810" cy="15240"/>
                    </a:xfrm>
                    <a:prstGeom prst="rect">
                      <a:avLst/>
                    </a:prstGeom>
                    <a:noFill/>
                  </pic:spPr>
                </pic:pic>
              </a:graphicData>
            </a:graphic>
          </wp:anchor>
        </w:drawing>
        <w:drawing>
          <wp:anchor simplePos="0" relativeHeight="251657728" behindDoc="1" locked="0" layoutInCell="0" allowOverlap="1">
            <wp:simplePos x="0" y="0"/>
            <wp:positionH relativeFrom="column">
              <wp:posOffset>384810</wp:posOffset>
            </wp:positionH>
            <wp:positionV relativeFrom="paragraph">
              <wp:posOffset>316230</wp:posOffset>
            </wp:positionV>
            <wp:extent cx="4436110" cy="762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86">
                      <a:extLst>
                        <a:ext uri="{28A0092B-C50C-407E-A947-70E740481C1C}"/>
                      </a:extLst>
                    </a:blip>
                    <a:srcRect/>
                    <a:stretch>
                      <a:fillRect/>
                    </a:stretch>
                  </pic:blipFill>
                  <pic:spPr bwMode="auto">
                    <a:xfrm>
                      <a:off x="0" y="0"/>
                      <a:ext cx="4436110" cy="762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79" w:name="page280"/>
    <w:bookmarkEnd w:id="279"/>
    <w:p>
      <w:pPr>
        <w:ind w:left="600" w:right="680"/>
        <w:spacing w:after="0" w:line="270" w:lineRule="auto"/>
        <w:rPr>
          <w:sz w:val="20"/>
          <w:szCs w:val="20"/>
          <w:color w:val="auto"/>
        </w:rPr>
      </w:pPr>
      <w:r>
        <w:rPr>
          <w:rFonts w:ascii="Times New Roman" w:cs="Times New Roman" w:eastAsia="Times New Roman" w:hAnsi="Times New Roman"/>
          <w:sz w:val="13"/>
          <w:szCs w:val="13"/>
          <w:color w:val="auto"/>
        </w:rPr>
        <w:t>voting rights with respect to the occurrence of any of the Events set forth in (ii) above. In addition, if the holders of the Series D Preferred Stock receive the greater of the full trading price of the Series D Preferred Stock on the date of an Event set forth in (ii) above or the $25.00 liquidation preference per share of the Series D Preferred Stock pursuant to the occurrence of any of the Events set forth in (ii) above, then such holders shall not have any voting rights with respect to the Events set forth in (ii) above. Holders of shares of Series D Preferred Stock shall not be entitled to vote with respect to: (a) any increase in the total number of authorized shares of Common Stock or Preferred Stock of the Company, or (b) any increase in the number of authorized shares of Series D Preferred Stock or the creation or issuance of any other class or series of capital stock, or</w:t>
      </w:r>
    </w:p>
    <w:p>
      <w:pPr>
        <w:spacing w:after="0" w:line="3" w:lineRule="exact"/>
        <w:rPr>
          <w:sz w:val="20"/>
          <w:szCs w:val="20"/>
          <w:color w:val="auto"/>
        </w:rPr>
      </w:pPr>
    </w:p>
    <w:p>
      <w:pPr>
        <w:ind w:left="600" w:right="600" w:hanging="6"/>
        <w:spacing w:after="0" w:line="275" w:lineRule="auto"/>
        <w:tabs>
          <w:tab w:leader="none" w:pos="780" w:val="left"/>
        </w:tabs>
        <w:numPr>
          <w:ilvl w:val="0"/>
          <w:numId w:val="2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increase in the number of authorized shares of any other class or series of capital stock, in each case referred to in clause (a), (b) or (c) above ranking on parity with or junior to the Series D Preferred Stock with respect to the payment of dividends and the distribution of assets upon liquidation, dissolution or winding up of the Company. Except as set forth herein, holders of the Series D Preferred Stock shall not have any voting rights with respect to, and the consent of the holders of the Series D Preferred Stock shall not be required for, the taking of any corporate action, including an Event, regardless of the effect that such corporate action or Event may have upon the powers, preferences, voting power or other rights or privileges of the Series D Preferred Stock.</w:t>
      </w:r>
    </w:p>
    <w:p>
      <w:pPr>
        <w:spacing w:after="0" w:line="133" w:lineRule="exact"/>
        <w:rPr>
          <w:rFonts w:ascii="Times New Roman" w:cs="Times New Roman" w:eastAsia="Times New Roman" w:hAnsi="Times New Roman"/>
          <w:sz w:val="13"/>
          <w:szCs w:val="13"/>
          <w:color w:val="auto"/>
        </w:rPr>
      </w:pPr>
    </w:p>
    <w:p>
      <w:pPr>
        <w:ind w:left="600" w:right="740" w:firstLine="306"/>
        <w:spacing w:after="0" w:line="287" w:lineRule="auto"/>
        <w:tabs>
          <w:tab w:leader="none" w:pos="1092" w:val="left"/>
        </w:tabs>
        <w:numPr>
          <w:ilvl w:val="1"/>
          <w:numId w:val="2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foregoing voting provisions of this Section 6 shall not apply if, at or prior to the time when the act with respect to which such vote would otherwise be required shall be effected, all outstanding shares of Series D Preferred Stock shall have been redeemed or called for redemption upon proper notice and sufficient funds, in cash, shall have been deposited in trust to effect such redemption.</w:t>
      </w:r>
    </w:p>
    <w:p>
      <w:pPr>
        <w:spacing w:after="0" w:line="136" w:lineRule="exact"/>
        <w:rPr>
          <w:sz w:val="20"/>
          <w:szCs w:val="20"/>
          <w:color w:val="auto"/>
        </w:rPr>
      </w:pPr>
    </w:p>
    <w:p>
      <w:pPr>
        <w:ind w:left="600" w:right="1220" w:firstLine="312"/>
        <w:spacing w:after="0" w:line="305" w:lineRule="auto"/>
        <w:rPr>
          <w:sz w:val="20"/>
          <w:szCs w:val="20"/>
          <w:color w:val="auto"/>
        </w:rPr>
      </w:pPr>
      <w:r>
        <w:rPr>
          <w:rFonts w:ascii="Times New Roman" w:cs="Times New Roman" w:eastAsia="Times New Roman" w:hAnsi="Times New Roman"/>
          <w:sz w:val="13"/>
          <w:szCs w:val="13"/>
          <w:color w:val="auto"/>
        </w:rPr>
        <w:t>(h) In any matter in which the Series D Preferred Stock may vote (as expressly provided herein), each share of Series D Preferred Stock shall be entitled to one vote per $25.00 of liquidation preference.</w:t>
      </w:r>
    </w:p>
    <w:p>
      <w:pPr>
        <w:spacing w:after="0" w:line="12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SECTION 7. </w:t>
      </w:r>
      <w:r>
        <w:rPr>
          <w:rFonts w:ascii="Times New Roman" w:cs="Times New Roman" w:eastAsia="Times New Roman" w:hAnsi="Times New Roman"/>
          <w:sz w:val="13"/>
          <w:szCs w:val="13"/>
          <w:b w:val="1"/>
          <w:bCs w:val="1"/>
          <w:color w:val="auto"/>
        </w:rPr>
        <w:t>Restrictions on Ownership and Transfer to Preserve Tax Benefit</w:t>
      </w:r>
      <w:r>
        <w:rPr>
          <w:rFonts w:ascii="Times New Roman" w:cs="Times New Roman" w:eastAsia="Times New Roman" w:hAnsi="Times New Roman"/>
          <w:sz w:val="13"/>
          <w:szCs w:val="13"/>
          <w:color w:val="auto"/>
        </w:rPr>
        <w:t xml:space="preserve"> .</w:t>
      </w:r>
    </w:p>
    <w:p>
      <w:pPr>
        <w:spacing w:after="0" w:line="187" w:lineRule="exact"/>
        <w:rPr>
          <w:sz w:val="20"/>
          <w:szCs w:val="20"/>
          <w:color w:val="auto"/>
        </w:rPr>
      </w:pPr>
    </w:p>
    <w:p>
      <w:pPr>
        <w:ind w:left="600" w:right="1060" w:firstLine="312"/>
        <w:spacing w:after="0" w:line="308" w:lineRule="auto"/>
        <w:rPr>
          <w:sz w:val="20"/>
          <w:szCs w:val="20"/>
          <w:color w:val="auto"/>
        </w:rPr>
      </w:pPr>
      <w:r>
        <w:rPr>
          <w:rFonts w:ascii="Times New Roman" w:cs="Times New Roman" w:eastAsia="Times New Roman" w:hAnsi="Times New Roman"/>
          <w:sz w:val="13"/>
          <w:szCs w:val="13"/>
          <w:color w:val="auto"/>
        </w:rPr>
        <w:t xml:space="preserve">(a) </w:t>
      </w:r>
      <w:r>
        <w:rPr>
          <w:rFonts w:ascii="Times New Roman" w:cs="Times New Roman" w:eastAsia="Times New Roman" w:hAnsi="Times New Roman"/>
          <w:sz w:val="13"/>
          <w:szCs w:val="13"/>
          <w:b w:val="1"/>
          <w:bCs w:val="1"/>
          <w:color w:val="auto"/>
        </w:rPr>
        <w:t>Definitions</w:t>
      </w:r>
      <w:r>
        <w:rPr>
          <w:rFonts w:ascii="Times New Roman" w:cs="Times New Roman" w:eastAsia="Times New Roman" w:hAnsi="Times New Roman"/>
          <w:sz w:val="13"/>
          <w:szCs w:val="13"/>
          <w:color w:val="auto"/>
        </w:rPr>
        <w:t xml:space="preserve"> . For the purposes of Section 5 and this Section 7 of these Articles Supplementary, the following terms shall have the following meanings:</w:t>
      </w:r>
    </w:p>
    <w:p>
      <w:pPr>
        <w:spacing w:after="0" w:line="12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Aggregate Stock Ownership Limit</w:t>
      </w:r>
      <w:r>
        <w:rPr>
          <w:rFonts w:ascii="Times New Roman" w:cs="Times New Roman" w:eastAsia="Times New Roman" w:hAnsi="Times New Roman"/>
          <w:sz w:val="13"/>
          <w:szCs w:val="13"/>
          <w:color w:val="auto"/>
        </w:rPr>
        <w:t xml:space="preserve"> ” has the meaning set forth in Article 6 of the Charter.</w:t>
      </w:r>
    </w:p>
    <w:p>
      <w:pPr>
        <w:spacing w:after="0" w:line="187" w:lineRule="exact"/>
        <w:rPr>
          <w:sz w:val="20"/>
          <w:szCs w:val="20"/>
          <w:color w:val="auto"/>
        </w:rPr>
      </w:pPr>
    </w:p>
    <w:p>
      <w:pPr>
        <w:ind w:left="600" w:right="820" w:firstLine="312"/>
        <w:spacing w:after="0" w:line="274"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Beneficial Ownership</w:t>
      </w:r>
      <w:r>
        <w:rPr>
          <w:rFonts w:ascii="Times New Roman" w:cs="Times New Roman" w:eastAsia="Times New Roman" w:hAnsi="Times New Roman"/>
          <w:sz w:val="13"/>
          <w:szCs w:val="13"/>
          <w:color w:val="auto"/>
        </w:rPr>
        <w:t xml:space="preserve"> ” shall mean ownership of Series D Preferred Stock by a Person who is or would be treated as an owner of such Series D Preferred Stock either actually or constructively through the application of Section 544 of the Code, as modified by Sections 856 (h)</w:t>
      </w:r>
    </w:p>
    <w:p>
      <w:pPr>
        <w:ind w:left="600" w:right="1360" w:hanging="6"/>
        <w:spacing w:after="0" w:line="299" w:lineRule="auto"/>
        <w:tabs>
          <w:tab w:leader="none" w:pos="787" w:val="left"/>
        </w:tabs>
        <w:numPr>
          <w:ilvl w:val="0"/>
          <w:numId w:val="2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 and 856 (h)(3) of the Code. The terms “ </w:t>
      </w:r>
      <w:r>
        <w:rPr>
          <w:rFonts w:ascii="Times New Roman" w:cs="Times New Roman" w:eastAsia="Times New Roman" w:hAnsi="Times New Roman"/>
          <w:sz w:val="13"/>
          <w:szCs w:val="13"/>
          <w:b w:val="1"/>
          <w:bCs w:val="1"/>
          <w:color w:val="auto"/>
        </w:rPr>
        <w:t>Beneficial Owner</w:t>
      </w:r>
      <w:r>
        <w:rPr>
          <w:rFonts w:ascii="Times New Roman" w:cs="Times New Roman" w:eastAsia="Times New Roman" w:hAnsi="Times New Roman"/>
          <w:sz w:val="13"/>
          <w:szCs w:val="13"/>
          <w:color w:val="auto"/>
        </w:rPr>
        <w:t xml:space="preserve"> ,” “ </w:t>
      </w:r>
      <w:r>
        <w:rPr>
          <w:rFonts w:ascii="Times New Roman" w:cs="Times New Roman" w:eastAsia="Times New Roman" w:hAnsi="Times New Roman"/>
          <w:sz w:val="13"/>
          <w:szCs w:val="13"/>
          <w:b w:val="1"/>
          <w:bCs w:val="1"/>
          <w:color w:val="auto"/>
        </w:rPr>
        <w:t>Beneficially Owns</w:t>
      </w:r>
      <w:r>
        <w:rPr>
          <w:rFonts w:ascii="Times New Roman" w:cs="Times New Roman" w:eastAsia="Times New Roman" w:hAnsi="Times New Roman"/>
          <w:sz w:val="13"/>
          <w:szCs w:val="13"/>
          <w:color w:val="auto"/>
        </w:rPr>
        <w:t xml:space="preserve"> ” and “Beneficially Owned” shall have the correlative meanings.</w:t>
      </w:r>
    </w:p>
    <w:p>
      <w:pPr>
        <w:spacing w:after="0" w:line="126" w:lineRule="exact"/>
        <w:rPr>
          <w:rFonts w:ascii="Times New Roman" w:cs="Times New Roman" w:eastAsia="Times New Roman" w:hAnsi="Times New Roman"/>
          <w:sz w:val="13"/>
          <w:szCs w:val="13"/>
          <w:color w:val="auto"/>
        </w:rPr>
      </w:pPr>
    </w:p>
    <w:p>
      <w:pPr>
        <w:ind w:left="90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Capital Stock</w:t>
      </w:r>
      <w:r>
        <w:rPr>
          <w:rFonts w:ascii="Times New Roman" w:cs="Times New Roman" w:eastAsia="Times New Roman" w:hAnsi="Times New Roman"/>
          <w:sz w:val="13"/>
          <w:szCs w:val="13"/>
          <w:color w:val="auto"/>
        </w:rPr>
        <w:t xml:space="preserve"> ” has the meaning set forth in Article 6 of the Charter.</w:t>
      </w:r>
    </w:p>
    <w:p>
      <w:pPr>
        <w:spacing w:after="0" w:line="186" w:lineRule="exact"/>
        <w:rPr>
          <w:rFonts w:ascii="Times New Roman" w:cs="Times New Roman" w:eastAsia="Times New Roman" w:hAnsi="Times New Roman"/>
          <w:sz w:val="13"/>
          <w:szCs w:val="13"/>
          <w:color w:val="auto"/>
        </w:rPr>
      </w:pPr>
    </w:p>
    <w:p>
      <w:pPr>
        <w:ind w:left="600" w:right="860" w:firstLine="312"/>
        <w:spacing w:after="0" w:line="30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Charitable Beneficiary</w:t>
      </w:r>
      <w:r>
        <w:rPr>
          <w:rFonts w:ascii="Times New Roman" w:cs="Times New Roman" w:eastAsia="Times New Roman" w:hAnsi="Times New Roman"/>
          <w:sz w:val="13"/>
          <w:szCs w:val="13"/>
          <w:color w:val="auto"/>
        </w:rPr>
        <w:t xml:space="preserve"> ” shall mean one or more beneficiaries of a Trust, as determined pursuant to Section 7(c)(vi) of these Articles Supplementary, each of which shall be an organization described in Sections 170(b)(1)(a), 170(c)(2) and 501(c)(3)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321310</wp:posOffset>
            </wp:positionV>
            <wp:extent cx="5083810" cy="1524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87">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316230</wp:posOffset>
            </wp:positionV>
            <wp:extent cx="4436110" cy="1524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88">
                      <a:extLst>
                        <a:ext uri="{28A0092B-C50C-407E-A947-70E740481C1C}"/>
                      </a:extLst>
                    </a:blip>
                    <a:srcRect/>
                    <a:stretch>
                      <a:fillRect/>
                    </a:stretch>
                  </pic:blipFill>
                  <pic:spPr bwMode="auto">
                    <a:xfrm>
                      <a:off x="0" y="0"/>
                      <a:ext cx="44361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80" w:name="page281"/>
    <w:bookmarkEnd w:id="280"/>
    <w:p>
      <w:pPr>
        <w:ind w:left="600" w:right="1080" w:firstLine="312"/>
        <w:spacing w:after="0" w:line="308"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Code</w:t>
      </w:r>
      <w:r>
        <w:rPr>
          <w:rFonts w:ascii="Times New Roman" w:cs="Times New Roman" w:eastAsia="Times New Roman" w:hAnsi="Times New Roman"/>
          <w:sz w:val="13"/>
          <w:szCs w:val="13"/>
          <w:color w:val="auto"/>
        </w:rPr>
        <w:t xml:space="preserve"> ” shall mean the Internal Revenue Code of 1986, as amended. All Section references to the Code shall include any successor provisions thereof as may be adopted from time to time.</w:t>
      </w:r>
    </w:p>
    <w:p>
      <w:pPr>
        <w:spacing w:after="0" w:line="12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Common Stock Ownership Limit</w:t>
      </w:r>
      <w:r>
        <w:rPr>
          <w:rFonts w:ascii="Times New Roman" w:cs="Times New Roman" w:eastAsia="Times New Roman" w:hAnsi="Times New Roman"/>
          <w:sz w:val="13"/>
          <w:szCs w:val="13"/>
          <w:color w:val="auto"/>
        </w:rPr>
        <w:t>” has the meaning set forth in Article 6 of the Charter.</w:t>
      </w:r>
    </w:p>
    <w:p>
      <w:pPr>
        <w:spacing w:after="0" w:line="187" w:lineRule="exact"/>
        <w:rPr>
          <w:sz w:val="20"/>
          <w:szCs w:val="20"/>
          <w:color w:val="auto"/>
        </w:rPr>
      </w:pPr>
    </w:p>
    <w:p>
      <w:pPr>
        <w:jc w:val="both"/>
        <w:ind w:left="600" w:right="660" w:firstLine="312"/>
        <w:spacing w:after="0" w:line="289"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Constructive Ownership</w:t>
      </w:r>
      <w:r>
        <w:rPr>
          <w:rFonts w:ascii="Times New Roman" w:cs="Times New Roman" w:eastAsia="Times New Roman" w:hAnsi="Times New Roman"/>
          <w:sz w:val="13"/>
          <w:szCs w:val="13"/>
          <w:color w:val="auto"/>
        </w:rPr>
        <w:t xml:space="preserve"> ” shall mean ownership of Series D Preferred Stock by a Person who is or would be treated as an owner of such Series D Preferred Stock either actually or constructively through the application of Section 318 of the Code, as modified by Section 856(d)(5) of the Code. The terms “ </w:t>
      </w:r>
      <w:r>
        <w:rPr>
          <w:rFonts w:ascii="Times New Roman" w:cs="Times New Roman" w:eastAsia="Times New Roman" w:hAnsi="Times New Roman"/>
          <w:sz w:val="13"/>
          <w:szCs w:val="13"/>
          <w:b w:val="1"/>
          <w:bCs w:val="1"/>
          <w:color w:val="auto"/>
        </w:rPr>
        <w:t>Constructive Owner</w:t>
      </w:r>
      <w:r>
        <w:rPr>
          <w:rFonts w:ascii="Times New Roman" w:cs="Times New Roman" w:eastAsia="Times New Roman" w:hAnsi="Times New Roman"/>
          <w:sz w:val="13"/>
          <w:szCs w:val="13"/>
          <w:color w:val="auto"/>
        </w:rPr>
        <w:t xml:space="preserve"> ,” “ </w:t>
      </w:r>
      <w:r>
        <w:rPr>
          <w:rFonts w:ascii="Times New Roman" w:cs="Times New Roman" w:eastAsia="Times New Roman" w:hAnsi="Times New Roman"/>
          <w:sz w:val="13"/>
          <w:szCs w:val="13"/>
          <w:b w:val="1"/>
          <w:bCs w:val="1"/>
          <w:color w:val="auto"/>
        </w:rPr>
        <w:t>Constructively Owns</w:t>
      </w:r>
      <w:r>
        <w:rPr>
          <w:rFonts w:ascii="Times New Roman" w:cs="Times New Roman" w:eastAsia="Times New Roman" w:hAnsi="Times New Roman"/>
          <w:sz w:val="13"/>
          <w:szCs w:val="13"/>
          <w:color w:val="auto"/>
        </w:rPr>
        <w:t xml:space="preserve"> ” and “ </w:t>
      </w:r>
      <w:r>
        <w:rPr>
          <w:rFonts w:ascii="Times New Roman" w:cs="Times New Roman" w:eastAsia="Times New Roman" w:hAnsi="Times New Roman"/>
          <w:sz w:val="13"/>
          <w:szCs w:val="13"/>
          <w:b w:val="1"/>
          <w:bCs w:val="1"/>
          <w:color w:val="auto"/>
        </w:rPr>
        <w:t>Constructively Owned</w:t>
      </w:r>
      <w:r>
        <w:rPr>
          <w:rFonts w:ascii="Times New Roman" w:cs="Times New Roman" w:eastAsia="Times New Roman" w:hAnsi="Times New Roman"/>
          <w:sz w:val="13"/>
          <w:szCs w:val="13"/>
          <w:color w:val="auto"/>
        </w:rPr>
        <w:t xml:space="preserve"> ” shall have the correlative meanings.</w:t>
      </w:r>
    </w:p>
    <w:p>
      <w:pPr>
        <w:spacing w:after="0" w:line="132" w:lineRule="exact"/>
        <w:rPr>
          <w:sz w:val="20"/>
          <w:szCs w:val="20"/>
          <w:color w:val="auto"/>
        </w:rPr>
      </w:pPr>
    </w:p>
    <w:p>
      <w:pPr>
        <w:ind w:left="600" w:right="840" w:firstLine="312"/>
        <w:spacing w:after="0" w:line="282"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Individual</w:t>
      </w:r>
      <w:r>
        <w:rPr>
          <w:rFonts w:ascii="Times New Roman" w:cs="Times New Roman" w:eastAsia="Times New Roman" w:hAnsi="Times New Roman"/>
          <w:sz w:val="13"/>
          <w:szCs w:val="13"/>
          <w:color w:val="auto"/>
        </w:rPr>
        <w:t xml:space="preserve"> ” means an individual, a trust qualified under Section 401(a) or 501(c)(17) of the Code, a portion of a trust permanently set aside for or to be used exclusively for the purposes described in Section 642(c) of the Code, or a private foundation within the meaning of Section 509(a) of the Code, provided that a trust described in Section 401(a) of the Code and exempt from tax under Section 501(a) of the Code shall be excluded from this definition.</w:t>
      </w:r>
    </w:p>
    <w:p>
      <w:pPr>
        <w:spacing w:after="0" w:line="13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IRS</w:t>
      </w:r>
      <w:r>
        <w:rPr>
          <w:rFonts w:ascii="Times New Roman" w:cs="Times New Roman" w:eastAsia="Times New Roman" w:hAnsi="Times New Roman"/>
          <w:sz w:val="13"/>
          <w:szCs w:val="13"/>
          <w:color w:val="auto"/>
        </w:rPr>
        <w:t xml:space="preserve"> ” means the United States Internal Revenue Service.</w:t>
      </w:r>
    </w:p>
    <w:p>
      <w:pPr>
        <w:spacing w:after="0" w:line="186" w:lineRule="exact"/>
        <w:rPr>
          <w:sz w:val="20"/>
          <w:szCs w:val="20"/>
          <w:color w:val="auto"/>
        </w:rPr>
      </w:pPr>
    </w:p>
    <w:p>
      <w:pPr>
        <w:ind w:left="600" w:right="860" w:firstLine="312"/>
        <w:spacing w:after="0" w:line="279"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Market Price</w:t>
      </w:r>
      <w:r>
        <w:rPr>
          <w:rFonts w:ascii="Times New Roman" w:cs="Times New Roman" w:eastAsia="Times New Roman" w:hAnsi="Times New Roman"/>
          <w:sz w:val="13"/>
          <w:szCs w:val="13"/>
          <w:color w:val="auto"/>
        </w:rPr>
        <w:t xml:space="preserve"> ” shall mean the last reported sales price reported on the NYSE of the Series D Preferred Stock on the Trading Day immediately preceding the relevant date, or if the Series D Preferred Stock is not then traded on the NYSE, the last reported sales price of the Series D Preferred Stock on the Trading Day immediately preceding the relevant date as reported on any exchange or quotation system over which the Series D Preferred Stock may be traded, or if the Series D Preferred Stock is not then traded over any exchange or quotation system, the market price of the Series D Preferred Stock on the relevant date as determined in good faith by the Board of Directors of the Company.</w:t>
      </w:r>
    </w:p>
    <w:p>
      <w:pPr>
        <w:spacing w:after="0" w:line="13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NYSE</w:t>
      </w:r>
      <w:r>
        <w:rPr>
          <w:rFonts w:ascii="Times New Roman" w:cs="Times New Roman" w:eastAsia="Times New Roman" w:hAnsi="Times New Roman"/>
          <w:sz w:val="13"/>
          <w:szCs w:val="13"/>
          <w:color w:val="auto"/>
        </w:rPr>
        <w:t xml:space="preserve"> ” means the New York Stock Exchange, Inc.</w:t>
      </w:r>
    </w:p>
    <w:p>
      <w:pPr>
        <w:spacing w:after="0" w:line="186" w:lineRule="exact"/>
        <w:rPr>
          <w:sz w:val="20"/>
          <w:szCs w:val="20"/>
          <w:color w:val="auto"/>
        </w:rPr>
      </w:pPr>
    </w:p>
    <w:p>
      <w:pPr>
        <w:jc w:val="both"/>
        <w:ind w:left="600" w:right="700" w:firstLine="312"/>
        <w:spacing w:after="0" w:line="289"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Ownership Limit</w:t>
      </w:r>
      <w:r>
        <w:rPr>
          <w:rFonts w:ascii="Times New Roman" w:cs="Times New Roman" w:eastAsia="Times New Roman" w:hAnsi="Times New Roman"/>
          <w:sz w:val="13"/>
          <w:szCs w:val="13"/>
          <w:color w:val="auto"/>
        </w:rPr>
        <w:t xml:space="preserve"> ” shall mean 9.8% (by value or number of shares, whichever is more restrictive) of the outstanding shares of Series D Preferred Stock of the Company. The number and value of shares of outstanding Series D Preferred Stock of the Company shall be determined by the Board of Directors in good faith, which determination shall be conclusive for all purposes hereof.</w:t>
      </w:r>
    </w:p>
    <w:p>
      <w:pPr>
        <w:spacing w:after="0" w:line="132" w:lineRule="exact"/>
        <w:rPr>
          <w:sz w:val="20"/>
          <w:szCs w:val="20"/>
          <w:color w:val="auto"/>
        </w:rPr>
      </w:pPr>
    </w:p>
    <w:p>
      <w:pPr>
        <w:ind w:left="600" w:right="640" w:firstLine="312"/>
        <w:spacing w:after="0" w:line="279"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Person</w:t>
      </w:r>
      <w:r>
        <w:rPr>
          <w:rFonts w:ascii="Times New Roman" w:cs="Times New Roman" w:eastAsia="Times New Roman" w:hAnsi="Times New Roman"/>
          <w:sz w:val="13"/>
          <w:szCs w:val="13"/>
          <w:color w:val="auto"/>
        </w:rPr>
        <w:t xml:space="preserve"> ” shall mean an Individual, corporation, partnership, limited liability company, estate, trust (including a trust qualified under Section 401(a) or 501(c)(17) of the Code), association, joint stock company or other entity; but does not include an underwriter acting in a capacity as such in a public offering of shares of Series D Preferred Stock provided that the ownership of such shares of Series D Preferred Stock by such underwriter would not result in the Company being “closely held” within the meaning of Section 856(h) of the Code, or otherwise result in the Company failing to qualify as a REIT.</w:t>
      </w:r>
    </w:p>
    <w:p>
      <w:pPr>
        <w:spacing w:after="0" w:line="139" w:lineRule="exact"/>
        <w:rPr>
          <w:sz w:val="20"/>
          <w:szCs w:val="20"/>
          <w:color w:val="auto"/>
        </w:rPr>
      </w:pPr>
    </w:p>
    <w:p>
      <w:pPr>
        <w:ind w:left="600" w:right="840" w:firstLine="312"/>
        <w:spacing w:after="0" w:line="308"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Purported Beneficial Transferee</w:t>
      </w:r>
      <w:r>
        <w:rPr>
          <w:rFonts w:ascii="Times New Roman" w:cs="Times New Roman" w:eastAsia="Times New Roman" w:hAnsi="Times New Roman"/>
          <w:sz w:val="13"/>
          <w:szCs w:val="13"/>
          <w:color w:val="auto"/>
        </w:rPr>
        <w:t xml:space="preserve"> ” shall mean, with respect to any purported Transfer (or other event) which results in a transfer to a Trust, as provided in Section 7(b)(ii) of these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321310</wp:posOffset>
            </wp:positionV>
            <wp:extent cx="5083810" cy="1524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89">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316230</wp:posOffset>
            </wp:positionV>
            <wp:extent cx="4436110" cy="1524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90">
                      <a:extLst>
                        <a:ext uri="{28A0092B-C50C-407E-A947-70E740481C1C}"/>
                      </a:extLst>
                    </a:blip>
                    <a:srcRect/>
                    <a:stretch>
                      <a:fillRect/>
                    </a:stretch>
                  </pic:blipFill>
                  <pic:spPr bwMode="auto">
                    <a:xfrm>
                      <a:off x="0" y="0"/>
                      <a:ext cx="4436110" cy="1524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281" w:name="page282"/>
    <w:bookmarkEnd w:id="281"/>
    <w:p>
      <w:pPr>
        <w:jc w:val="both"/>
        <w:ind w:left="600" w:right="640"/>
        <w:spacing w:after="0" w:line="287" w:lineRule="auto"/>
        <w:rPr>
          <w:sz w:val="20"/>
          <w:szCs w:val="20"/>
          <w:color w:val="auto"/>
        </w:rPr>
      </w:pPr>
      <w:r>
        <w:rPr>
          <w:rFonts w:ascii="Times New Roman" w:cs="Times New Roman" w:eastAsia="Times New Roman" w:hAnsi="Times New Roman"/>
          <w:sz w:val="13"/>
          <w:szCs w:val="13"/>
          <w:color w:val="auto"/>
        </w:rPr>
        <w:t>Articles Supplementary, the Purported Record Transferee, unless the Purported Record Transferee would have acquired or owned shares of Series D Preferred Stock for another Person who is the beneficial transferee or beneficial owner of such shares, in which case the Purported Beneficial Transferee shall be such Person.</w:t>
      </w:r>
    </w:p>
    <w:p>
      <w:pPr>
        <w:spacing w:after="0" w:line="134" w:lineRule="exact"/>
        <w:rPr>
          <w:sz w:val="20"/>
          <w:szCs w:val="20"/>
          <w:color w:val="auto"/>
        </w:rPr>
      </w:pPr>
    </w:p>
    <w:p>
      <w:pPr>
        <w:jc w:val="both"/>
        <w:ind w:left="600" w:right="920" w:firstLine="312"/>
        <w:spacing w:after="0" w:line="289"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Purported Record Transferee</w:t>
      </w:r>
      <w:r>
        <w:rPr>
          <w:rFonts w:ascii="Times New Roman" w:cs="Times New Roman" w:eastAsia="Times New Roman" w:hAnsi="Times New Roman"/>
          <w:sz w:val="13"/>
          <w:szCs w:val="13"/>
          <w:color w:val="auto"/>
        </w:rPr>
        <w:t>” shall mean, with respect to any purported Transfer (or other event) which results in a transfer to a Trust, as provided in Section 7(b)(ii) of these Articles Supplementary, the record holder of the Series D Preferred Stock if such Transfer had been valid under Section 7(b)(i) of these Articles Supplementary.</w:t>
      </w:r>
    </w:p>
    <w:p>
      <w:pPr>
        <w:spacing w:after="0" w:line="13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REIT</w:t>
      </w:r>
      <w:r>
        <w:rPr>
          <w:rFonts w:ascii="Times New Roman" w:cs="Times New Roman" w:eastAsia="Times New Roman" w:hAnsi="Times New Roman"/>
          <w:sz w:val="13"/>
          <w:szCs w:val="13"/>
          <w:color w:val="auto"/>
        </w:rPr>
        <w:t xml:space="preserve"> ” shall mean a real estate investment trust under Sections 856 through 860 of the Code.</w:t>
      </w:r>
    </w:p>
    <w:p>
      <w:pPr>
        <w:spacing w:after="0" w:line="186" w:lineRule="exact"/>
        <w:rPr>
          <w:sz w:val="20"/>
          <w:szCs w:val="20"/>
          <w:color w:val="auto"/>
        </w:rPr>
      </w:pPr>
    </w:p>
    <w:p>
      <w:pPr>
        <w:ind w:left="600" w:right="940" w:firstLine="312"/>
        <w:spacing w:after="0" w:line="308"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Restriction Termination Date</w:t>
      </w:r>
      <w:r>
        <w:rPr>
          <w:rFonts w:ascii="Times New Roman" w:cs="Times New Roman" w:eastAsia="Times New Roman" w:hAnsi="Times New Roman"/>
          <w:sz w:val="13"/>
          <w:szCs w:val="13"/>
          <w:color w:val="auto"/>
        </w:rPr>
        <w:t xml:space="preserve"> ” shall mean the first day after the date hereof on which the Board of Directors of the Company determines that it is no longer in the best interests of the Company to attempt to, or continue to, qualify as a REIT.</w:t>
      </w:r>
    </w:p>
    <w:p>
      <w:pPr>
        <w:spacing w:after="0" w:line="120" w:lineRule="exact"/>
        <w:rPr>
          <w:sz w:val="20"/>
          <w:szCs w:val="20"/>
          <w:color w:val="auto"/>
        </w:rPr>
      </w:pPr>
    </w:p>
    <w:p>
      <w:pPr>
        <w:ind w:left="600" w:right="700" w:firstLine="312"/>
        <w:spacing w:after="0" w:line="274"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Transfer</w:t>
      </w:r>
      <w:r>
        <w:rPr>
          <w:rFonts w:ascii="Times New Roman" w:cs="Times New Roman" w:eastAsia="Times New Roman" w:hAnsi="Times New Roman"/>
          <w:sz w:val="13"/>
          <w:szCs w:val="13"/>
          <w:color w:val="auto"/>
        </w:rPr>
        <w:t xml:space="preserve"> ” shall mean any sale, issuance, transfer, gift, assignment, devise or other disposition of Series D Preferred Stock as well as any other event that causes any Person to Beneficially Own or Constructively Own Series D Preferred Stock, including</w:t>
      </w:r>
    </w:p>
    <w:p>
      <w:pPr>
        <w:ind w:left="600" w:right="740" w:hanging="6"/>
        <w:spacing w:after="0" w:line="277" w:lineRule="auto"/>
        <w:tabs>
          <w:tab w:leader="none" w:pos="756" w:val="left"/>
        </w:tabs>
        <w:numPr>
          <w:ilvl w:val="0"/>
          <w:numId w:val="2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granting of any option or entering into any agreement for the sale, transfer or other disposition of Series D Preferred Stock or (ii) the sale, transfer, assignment or other disposition of any securities (or rights) convertible into or exchangeable for Series D Preferred Stock, whether voluntary or involuntary, whether such transfer has occurred of record or beneficially or Beneficially or Constructively (including but not limited to transfers of interests in other entities which result in changes in Beneficial or Constructive Ownership of Series D Preferred Stock), and whether such transfer has occurred by operation of law or otherwise.</w:t>
      </w:r>
    </w:p>
    <w:p>
      <w:pPr>
        <w:spacing w:after="0" w:line="140" w:lineRule="exact"/>
        <w:rPr>
          <w:rFonts w:ascii="Times New Roman" w:cs="Times New Roman" w:eastAsia="Times New Roman" w:hAnsi="Times New Roman"/>
          <w:sz w:val="13"/>
          <w:szCs w:val="13"/>
          <w:color w:val="auto"/>
        </w:rPr>
      </w:pPr>
    </w:p>
    <w:p>
      <w:pPr>
        <w:ind w:left="90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Trust</w:t>
      </w:r>
      <w:r>
        <w:rPr>
          <w:rFonts w:ascii="Times New Roman" w:cs="Times New Roman" w:eastAsia="Times New Roman" w:hAnsi="Times New Roman"/>
          <w:sz w:val="13"/>
          <w:szCs w:val="13"/>
          <w:color w:val="auto"/>
        </w:rPr>
        <w:t xml:space="preserve"> ” shall mean each of the trusts provided for in Section 7(c) of these Articles Supplementary.</w:t>
      </w:r>
    </w:p>
    <w:p>
      <w:pPr>
        <w:spacing w:after="0" w:line="187" w:lineRule="exact"/>
        <w:rPr>
          <w:sz w:val="20"/>
          <w:szCs w:val="20"/>
          <w:color w:val="auto"/>
        </w:rPr>
      </w:pPr>
    </w:p>
    <w:p>
      <w:pPr>
        <w:ind w:left="600" w:right="1340" w:firstLine="312"/>
        <w:spacing w:after="0" w:line="308"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Trustee</w:t>
      </w:r>
      <w:r>
        <w:rPr>
          <w:rFonts w:ascii="Times New Roman" w:cs="Times New Roman" w:eastAsia="Times New Roman" w:hAnsi="Times New Roman"/>
          <w:sz w:val="13"/>
          <w:szCs w:val="13"/>
          <w:color w:val="auto"/>
        </w:rPr>
        <w:t xml:space="preserve"> ” shall mean any Person unaffiliated with the Company, or a Purported Beneficial Transferee, or a Purported Record Transferee, that is appointed by the Company to serve as trustee of a Trust.</w:t>
      </w:r>
    </w:p>
    <w:p>
      <w:pPr>
        <w:spacing w:after="0" w:line="122" w:lineRule="exact"/>
        <w:rPr>
          <w:sz w:val="20"/>
          <w:szCs w:val="20"/>
          <w:color w:val="auto"/>
        </w:rPr>
      </w:pPr>
    </w:p>
    <w:p>
      <w:pPr>
        <w:ind w:left="1080" w:hanging="174"/>
        <w:spacing w:after="0"/>
        <w:tabs>
          <w:tab w:leader="none" w:pos="1080" w:val="left"/>
        </w:tabs>
        <w:numPr>
          <w:ilvl w:val="0"/>
          <w:numId w:val="2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Restriction on Ownership and Transfers.</w:t>
      </w:r>
    </w:p>
    <w:p>
      <w:pPr>
        <w:spacing w:after="0" w:line="186" w:lineRule="exact"/>
        <w:rPr>
          <w:rFonts w:ascii="Times New Roman" w:cs="Times New Roman" w:eastAsia="Times New Roman" w:hAnsi="Times New Roman"/>
          <w:sz w:val="13"/>
          <w:szCs w:val="13"/>
          <w:color w:val="auto"/>
        </w:rPr>
      </w:pPr>
    </w:p>
    <w:p>
      <w:pPr>
        <w:ind w:left="1380" w:hanging="161"/>
        <w:spacing w:after="0"/>
        <w:tabs>
          <w:tab w:leader="none" w:pos="1380" w:val="left"/>
        </w:tabs>
        <w:numPr>
          <w:ilvl w:val="1"/>
          <w:numId w:val="2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Prior to the Restriction Termination Date, but subject to Section 7(l):</w:t>
      </w:r>
    </w:p>
    <w:p>
      <w:pPr>
        <w:spacing w:after="0" w:line="187" w:lineRule="exact"/>
        <w:rPr>
          <w:sz w:val="20"/>
          <w:szCs w:val="20"/>
          <w:color w:val="auto"/>
        </w:rPr>
      </w:pPr>
    </w:p>
    <w:p>
      <w:pPr>
        <w:ind w:left="1220" w:right="860" w:firstLine="312"/>
        <w:spacing w:after="0" w:line="287" w:lineRule="auto"/>
        <w:rPr>
          <w:sz w:val="20"/>
          <w:szCs w:val="20"/>
          <w:color w:val="auto"/>
        </w:rPr>
      </w:pPr>
      <w:r>
        <w:rPr>
          <w:rFonts w:ascii="Times New Roman" w:cs="Times New Roman" w:eastAsia="Times New Roman" w:hAnsi="Times New Roman"/>
          <w:sz w:val="13"/>
          <w:szCs w:val="13"/>
          <w:color w:val="auto"/>
        </w:rPr>
        <w:t>(A) except as provided in Section 7(i) of these Articles Supplementary, (1) no Person shall Beneficially Own Series D Preferred Stock in excess of the Ownership Limit and (2) no Person shall Beneficially Own shares of Capital Stock in excess of the Aggregate Stock Ownership Limit;</w:t>
      </w:r>
    </w:p>
    <w:p>
      <w:pPr>
        <w:spacing w:after="0" w:line="136" w:lineRule="exact"/>
        <w:rPr>
          <w:sz w:val="20"/>
          <w:szCs w:val="20"/>
          <w:color w:val="auto"/>
        </w:rPr>
      </w:pPr>
    </w:p>
    <w:p>
      <w:pPr>
        <w:ind w:left="1220" w:right="780" w:firstLine="312"/>
        <w:spacing w:after="0" w:line="287" w:lineRule="auto"/>
        <w:rPr>
          <w:sz w:val="20"/>
          <w:szCs w:val="20"/>
          <w:color w:val="auto"/>
        </w:rPr>
      </w:pPr>
      <w:r>
        <w:rPr>
          <w:rFonts w:ascii="Times New Roman" w:cs="Times New Roman" w:eastAsia="Times New Roman" w:hAnsi="Times New Roman"/>
          <w:sz w:val="13"/>
          <w:szCs w:val="13"/>
          <w:color w:val="auto"/>
        </w:rPr>
        <w:t>(B) except as provided in Section 7(i) of these Articles Supplementary, (1) no Person shall Constructively Own Series D Preferred Stock in excess of the Ownership Limit and (2) no Person shall Constructively own shares of Capital Stock in excess of the Aggregate Stock Ownership Limit;</w:t>
      </w:r>
    </w:p>
    <w:p>
      <w:pPr>
        <w:spacing w:after="0" w:line="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674370</wp:posOffset>
            </wp:positionV>
            <wp:extent cx="5083810" cy="1524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91">
                      <a:extLst>
                        <a:ext uri="{28A0092B-C50C-407E-A947-70E740481C1C}"/>
                      </a:extLst>
                    </a:blip>
                    <a:srcRect/>
                    <a:stretch>
                      <a:fillRect/>
                    </a:stretch>
                  </pic:blipFill>
                  <pic:spPr bwMode="auto">
                    <a:xfrm>
                      <a:off x="0" y="0"/>
                      <a:ext cx="5083810" cy="15240"/>
                    </a:xfrm>
                    <a:prstGeom prst="rect">
                      <a:avLst/>
                    </a:prstGeom>
                    <a:noFill/>
                  </pic:spPr>
                </pic:pic>
              </a:graphicData>
            </a:graphic>
          </wp:anchor>
        </w:drawing>
        <w:drawing>
          <wp:anchor simplePos="0" relativeHeight="251657728" behindDoc="1" locked="0" layoutInCell="0" allowOverlap="1">
            <wp:simplePos x="0" y="0"/>
            <wp:positionH relativeFrom="column">
              <wp:posOffset>384810</wp:posOffset>
            </wp:positionH>
            <wp:positionV relativeFrom="paragraph">
              <wp:posOffset>316230</wp:posOffset>
            </wp:positionV>
            <wp:extent cx="4436110" cy="762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92">
                      <a:extLst>
                        <a:ext uri="{28A0092B-C50C-407E-A947-70E740481C1C}"/>
                      </a:extLst>
                    </a:blip>
                    <a:srcRect/>
                    <a:stretch>
                      <a:fillRect/>
                    </a:stretch>
                  </pic:blipFill>
                  <pic:spPr bwMode="auto">
                    <a:xfrm>
                      <a:off x="0" y="0"/>
                      <a:ext cx="4436110" cy="762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82" w:name="page283"/>
    <w:bookmarkEnd w:id="282"/>
    <w:p>
      <w:pPr>
        <w:jc w:val="both"/>
        <w:ind w:left="1220" w:right="900" w:firstLine="312"/>
        <w:spacing w:after="0" w:line="281" w:lineRule="auto"/>
        <w:rPr>
          <w:sz w:val="20"/>
          <w:szCs w:val="20"/>
          <w:color w:val="auto"/>
        </w:rPr>
      </w:pPr>
      <w:r>
        <w:rPr>
          <w:rFonts w:ascii="Times New Roman" w:cs="Times New Roman" w:eastAsia="Times New Roman" w:hAnsi="Times New Roman"/>
          <w:sz w:val="13"/>
          <w:szCs w:val="13"/>
          <w:color w:val="auto"/>
        </w:rPr>
        <w:t>(C) except as provided in Section 7(i) of these Articles Supplementary, no Person shall Beneficially or Constructively Own Series D Preferred Stock which, taking into account the Common Stock of the Company into which it is convertible and any other Common Stock of the Company Beneficially or Constructively owned by such Person, would result in the Person’s ownership of Common Stock in violation of the Common Stock Ownership Limit;</w:t>
      </w:r>
    </w:p>
    <w:p>
      <w:pPr>
        <w:spacing w:after="0" w:line="140" w:lineRule="exact"/>
        <w:rPr>
          <w:sz w:val="20"/>
          <w:szCs w:val="20"/>
          <w:color w:val="auto"/>
        </w:rPr>
      </w:pPr>
    </w:p>
    <w:p>
      <w:pPr>
        <w:ind w:left="1220" w:right="640" w:firstLine="311"/>
        <w:spacing w:after="0" w:line="276" w:lineRule="auto"/>
        <w:tabs>
          <w:tab w:leader="none" w:pos="1736" w:val="left"/>
        </w:tabs>
        <w:numPr>
          <w:ilvl w:val="2"/>
          <w:numId w:val="2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Person shall Beneficially Own or Constructively Own Series D Preferred Stock which, taking into account any other Capital Stock of the Company Beneficially or Constructively Owned by such Person, would result in the Company being “closely held” within the meaning of Section 856(h) of the Code, or otherwise failing to qualify as a REIT (including but not limited to Beneficial or Constructive Ownership that would result in the Company owning (actually or Constructively) an interest in a tenant that is described in Section 856(d)(2)(b) of the Code if the income derived by the Company (either directly or indirectly through one or more subsidiaries) from such tenant would cause the Company to fail to satisfy any of the gross income requirements of Section 856(c) of the Code).</w:t>
      </w:r>
    </w:p>
    <w:p>
      <w:pPr>
        <w:spacing w:after="0" w:line="312" w:lineRule="exact"/>
        <w:rPr>
          <w:rFonts w:ascii="Times New Roman" w:cs="Times New Roman" w:eastAsia="Times New Roman" w:hAnsi="Times New Roman"/>
          <w:sz w:val="13"/>
          <w:szCs w:val="13"/>
          <w:color w:val="auto"/>
        </w:rPr>
      </w:pPr>
    </w:p>
    <w:p>
      <w:pPr>
        <w:ind w:left="900" w:right="680" w:firstLine="319"/>
        <w:spacing w:after="0" w:line="273" w:lineRule="auto"/>
        <w:tabs>
          <w:tab w:leader="none" w:pos="1404" w:val="left"/>
        </w:tabs>
        <w:numPr>
          <w:ilvl w:val="1"/>
          <w:numId w:val="2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prior to the Restriction Termination Date, any Transfer or other event occurs that, if effective, would result in any Person Beneficially or Constructively Owning Series D Preferred Stock in violation of Section 7(b)(i) of these Articles Supplementary, (i) then that number of shares of Series D Preferred Stock that otherwise would cause such Person to violate Section 7(b)(i) of these Articles Supplementary (rounded up to the nearest whole share) shall be automatically transferred to a Trust for the benefit of a Charitable Beneficiary, as described in Section 7(c), effective as of the close of business on the Business Day prior to the date of such Transfer or other event, and such Purported Beneficial Transferee shall thereafter have no rights in such shares or (ii) if, for any reason, the transfer to the Trust described in clause (i) of this sentence is not automatically effective as provided therein to prevent any Person from Beneficially or Constructively Owning Series D Preferred Stock in violation of Section 7(b)(i) of these Articles Supplementary, then the Transfer of that number of shares of Series D Preferred Stock that otherwise would cause any Person to violate Section 7(b)(i) shall be void ab initio, and the Purported Beneficial Transferee shall have no rights in such shares.</w:t>
      </w:r>
    </w:p>
    <w:p>
      <w:pPr>
        <w:spacing w:after="0" w:line="136" w:lineRule="exact"/>
        <w:rPr>
          <w:rFonts w:ascii="Times New Roman" w:cs="Times New Roman" w:eastAsia="Times New Roman" w:hAnsi="Times New Roman"/>
          <w:sz w:val="13"/>
          <w:szCs w:val="13"/>
          <w:color w:val="auto"/>
        </w:rPr>
      </w:pPr>
    </w:p>
    <w:p>
      <w:pPr>
        <w:ind w:left="900" w:right="700" w:firstLine="319"/>
        <w:spacing w:after="0" w:line="287" w:lineRule="auto"/>
        <w:tabs>
          <w:tab w:leader="none" w:pos="1428" w:val="left"/>
        </w:tabs>
        <w:numPr>
          <w:ilvl w:val="1"/>
          <w:numId w:val="2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Section 7(l) and prior to the Restriction Termination Date, any Transfer of Series D Preferred Stock that, if effective, would result in the capital stock of the Company being beneficially owned by fewer than 100 Persons (determined without reference to any rules of attribution) shall be void ab initio, and the intended transferee shall acquire no rights in such Series D Preferred Stock.</w:t>
      </w:r>
    </w:p>
    <w:p>
      <w:pPr>
        <w:spacing w:after="0" w:line="135" w:lineRule="exact"/>
        <w:rPr>
          <w:rFonts w:ascii="Times New Roman" w:cs="Times New Roman" w:eastAsia="Times New Roman" w:hAnsi="Times New Roman"/>
          <w:sz w:val="13"/>
          <w:szCs w:val="13"/>
          <w:color w:val="auto"/>
        </w:rPr>
      </w:pPr>
    </w:p>
    <w:p>
      <w:pPr>
        <w:ind w:left="1080" w:hanging="174"/>
        <w:spacing w:after="0"/>
        <w:tabs>
          <w:tab w:leader="none" w:pos="1080" w:val="left"/>
        </w:tabs>
        <w:numPr>
          <w:ilvl w:val="0"/>
          <w:numId w:val="2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Transfers of Series D Preferred Stock in Trust.</w:t>
      </w:r>
    </w:p>
    <w:p>
      <w:pPr>
        <w:spacing w:after="0" w:line="186" w:lineRule="exact"/>
        <w:rPr>
          <w:rFonts w:ascii="Times New Roman" w:cs="Times New Roman" w:eastAsia="Times New Roman" w:hAnsi="Times New Roman"/>
          <w:sz w:val="13"/>
          <w:szCs w:val="13"/>
          <w:color w:val="auto"/>
        </w:rPr>
      </w:pPr>
    </w:p>
    <w:p>
      <w:pPr>
        <w:ind w:left="900" w:right="720" w:firstLine="319"/>
        <w:spacing w:after="0" w:line="287" w:lineRule="auto"/>
        <w:tabs>
          <w:tab w:leader="none" w:pos="1368" w:val="left"/>
        </w:tabs>
        <w:numPr>
          <w:ilvl w:val="1"/>
          <w:numId w:val="2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any purported Transfer or other event described in Section 7(b)(ii) of these Articles Supplementary, such Series D Preferred Stock shall be deemed to have been transferred to the Trustee in his capacity as trustee of a Trust for the exclusive benefit of one or more Charitable Beneficiaries. Such transfer to the Trustee shall be</w:t>
      </w: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681990</wp:posOffset>
            </wp:positionV>
            <wp:extent cx="5083810" cy="1524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93">
                      <a:extLst>
                        <a:ext uri="{28A0092B-C50C-407E-A947-70E740481C1C}"/>
                      </a:extLst>
                    </a:blip>
                    <a:srcRect/>
                    <a:stretch>
                      <a:fillRect/>
                    </a:stretch>
                  </pic:blipFill>
                  <pic:spPr bwMode="auto">
                    <a:xfrm>
                      <a:off x="0" y="0"/>
                      <a:ext cx="5083810" cy="15240"/>
                    </a:xfrm>
                    <a:prstGeom prst="rect">
                      <a:avLst/>
                    </a:prstGeom>
                    <a:noFill/>
                  </pic:spPr>
                </pic:pic>
              </a:graphicData>
            </a:graphic>
          </wp:anchor>
        </w:drawing>
        <w:drawing>
          <wp:anchor simplePos="0" relativeHeight="251657728" behindDoc="1" locked="0" layoutInCell="0" allowOverlap="1">
            <wp:simplePos x="0" y="0"/>
            <wp:positionH relativeFrom="column">
              <wp:posOffset>384810</wp:posOffset>
            </wp:positionH>
            <wp:positionV relativeFrom="paragraph">
              <wp:posOffset>316230</wp:posOffset>
            </wp:positionV>
            <wp:extent cx="4436110" cy="1524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94">
                      <a:extLst>
                        <a:ext uri="{28A0092B-C50C-407E-A947-70E740481C1C}"/>
                      </a:extLst>
                    </a:blip>
                    <a:srcRect/>
                    <a:stretch>
                      <a:fillRect/>
                    </a:stretch>
                  </pic:blipFill>
                  <pic:spPr bwMode="auto">
                    <a:xfrm>
                      <a:off x="0" y="0"/>
                      <a:ext cx="44361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83" w:name="page284"/>
    <w:bookmarkEnd w:id="283"/>
    <w:p>
      <w:pPr>
        <w:ind w:left="900" w:right="700"/>
        <w:spacing w:after="0" w:line="281" w:lineRule="auto"/>
        <w:rPr>
          <w:sz w:val="20"/>
          <w:szCs w:val="20"/>
          <w:color w:val="auto"/>
        </w:rPr>
      </w:pPr>
      <w:r>
        <w:rPr>
          <w:rFonts w:ascii="Times New Roman" w:cs="Times New Roman" w:eastAsia="Times New Roman" w:hAnsi="Times New Roman"/>
          <w:sz w:val="13"/>
          <w:szCs w:val="13"/>
          <w:color w:val="auto"/>
        </w:rPr>
        <w:t>deemed to be effective as of the close of business on the Business Day prior to the purported Transfer or other event that results in a transfer to the Trust pursuant to Section 7(b)(ii). The Trustee shall be appointed by the Company and shall be a Person unaffiliated with the Company, any Purported Beneficial Transferee or any Purported Record Transferee. Each Charitable Beneficiary shall be designated by the Company as provided in Section 7(c)(vi) of these Articles Supplementary.</w:t>
      </w:r>
    </w:p>
    <w:p>
      <w:pPr>
        <w:spacing w:after="0" w:line="140" w:lineRule="exact"/>
        <w:rPr>
          <w:sz w:val="20"/>
          <w:szCs w:val="20"/>
          <w:color w:val="auto"/>
        </w:rPr>
      </w:pPr>
    </w:p>
    <w:p>
      <w:pPr>
        <w:ind w:left="900" w:right="800" w:firstLine="319"/>
        <w:spacing w:after="0" w:line="278" w:lineRule="auto"/>
        <w:tabs>
          <w:tab w:leader="none" w:pos="1404" w:val="left"/>
        </w:tabs>
        <w:numPr>
          <w:ilvl w:val="0"/>
          <w:numId w:val="2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Series D Preferred Stock held by the Trustee shall be issued and outstanding Series D Preferred Stock of the Company. The Purported Beneficial Transferee or Purported Record Transferee shall have no rights in the shares of the Series D Preferred Stock held by the Trustee. The Purported Beneficial Transferee or Purported Record Transferee shall not benefit economically from ownership of any shares held in trust by the Trustee, shall have no rights to dividends and shall not possess any rights to vote or other rights attributable to the shares of Series D Preferred Stock held in the Trust.</w:t>
      </w:r>
    </w:p>
    <w:p>
      <w:pPr>
        <w:spacing w:after="0" w:line="143" w:lineRule="exact"/>
        <w:rPr>
          <w:sz w:val="20"/>
          <w:szCs w:val="20"/>
          <w:color w:val="auto"/>
        </w:rPr>
      </w:pPr>
    </w:p>
    <w:p>
      <w:pPr>
        <w:ind w:left="900" w:right="680" w:firstLine="312"/>
        <w:spacing w:after="0" w:line="272" w:lineRule="auto"/>
        <w:rPr>
          <w:sz w:val="20"/>
          <w:szCs w:val="20"/>
          <w:color w:val="auto"/>
        </w:rPr>
      </w:pPr>
      <w:r>
        <w:rPr>
          <w:rFonts w:ascii="Times New Roman" w:cs="Times New Roman" w:eastAsia="Times New Roman" w:hAnsi="Times New Roman"/>
          <w:sz w:val="13"/>
          <w:szCs w:val="13"/>
          <w:color w:val="auto"/>
        </w:rPr>
        <w:t>(iii) The Trustee shall have all voting rights and rights to dividends with respect to Series D Preferred Stock held in the Trust, which rights shall be exercised for the exclusive benefit of the Charitable Beneficiary. Any dividend or distribution paid to or on behalf of the Purported Record Transferee or Purported Beneficial Transferee prior to the discovery by the Company that shares of Series D Preferred Stock have been transferred to the Trustee shall be paid to the Trustee upon demand, and any dividend or distribution declared but unpaid shall be paid when due to the Trustee with respect to such Series D Preferred Stock. Any dividends or distributions so paid over to the Trustee shall be held in trust for the Charitable Beneficiary. The Purported Record Transferee and Purported Beneficial Transferee shall have no voting rights with respect to the Series D Preferred Stock held in the Trust and, subject to Maryland law, effective as of the date the Series D Preferred Stock has been transferred to the Trustee, the Trustee shall have the authority (at the Trustee’s sole discretion) (i) to rescind as void any vote cast by a Purported Record Transferee with respect to such Series D Preferred Stock prior to the discovery by the Company that the Series D Preferred Stock has been transferred to the Trustee and (ii) to recast such vote in accordance with the desires of the Trustee acting for the benefit of the Charitable Beneficiary; provided, however, that if the Company has already taken irreversible corporate action, then the Trustee shall not have the authority to rescind and recast such vote. Notwithstanding any other provision of these Articles Supplementary to the contrary, until the Company has received notification that the Series D Preferred Stock has been transferred into a Trust, the Company shall be entitled to rely on its share transfer and other stockholder records for purposes of preparing lists of stockholders entitled to vote at meetings, determining the validity and authority of proxies and otherwise conducting votes of stockholders.</w:t>
      </w:r>
    </w:p>
    <w:p>
      <w:pPr>
        <w:spacing w:after="0" w:line="135" w:lineRule="exact"/>
        <w:rPr>
          <w:sz w:val="20"/>
          <w:szCs w:val="20"/>
          <w:color w:val="auto"/>
        </w:rPr>
      </w:pPr>
    </w:p>
    <w:p>
      <w:pPr>
        <w:jc w:val="both"/>
        <w:ind w:left="900" w:right="720" w:firstLine="319"/>
        <w:spacing w:after="0" w:line="281" w:lineRule="auto"/>
        <w:tabs>
          <w:tab w:leader="none" w:pos="1428" w:val="left"/>
        </w:tabs>
        <w:numPr>
          <w:ilvl w:val="0"/>
          <w:numId w:val="2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Within twenty (20) days of receiving notice from the Company that shares of Series D Preferred Stock have been transferred to the Trust, the Trustee of the Trust shall sell the shares of Series D Preferred Stock held in the Trust to a Person, designated by the Trustee, whose ownership of the shares of Series D Preferred Stock will not violate the ownership limitations set forth in Section 7(b)(i). Upon such sale, the interest of the Charitable Beneficiary in the shares of Series D Preferred Stock sold shall</w:t>
      </w:r>
    </w:p>
    <w:p>
      <w:pPr>
        <w:spacing w:after="0" w:line="200" w:lineRule="exact"/>
        <w:rPr>
          <w:sz w:val="20"/>
          <w:szCs w:val="20"/>
          <w:color w:val="auto"/>
        </w:rPr>
      </w:pPr>
    </w:p>
    <w:p>
      <w:pPr>
        <w:spacing w:after="0" w:line="3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674370</wp:posOffset>
            </wp:positionV>
            <wp:extent cx="5083810" cy="1524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95">
                      <a:extLst>
                        <a:ext uri="{28A0092B-C50C-407E-A947-70E740481C1C}"/>
                      </a:extLst>
                    </a:blip>
                    <a:srcRect/>
                    <a:stretch>
                      <a:fillRect/>
                    </a:stretch>
                  </pic:blipFill>
                  <pic:spPr bwMode="auto">
                    <a:xfrm>
                      <a:off x="0" y="0"/>
                      <a:ext cx="5083810" cy="15240"/>
                    </a:xfrm>
                    <a:prstGeom prst="rect">
                      <a:avLst/>
                    </a:prstGeom>
                    <a:noFill/>
                  </pic:spPr>
                </pic:pic>
              </a:graphicData>
            </a:graphic>
          </wp:anchor>
        </w:drawing>
        <w:drawing>
          <wp:anchor simplePos="0" relativeHeight="251657728" behindDoc="1" locked="0" layoutInCell="0" allowOverlap="1">
            <wp:simplePos x="0" y="0"/>
            <wp:positionH relativeFrom="column">
              <wp:posOffset>384810</wp:posOffset>
            </wp:positionH>
            <wp:positionV relativeFrom="paragraph">
              <wp:posOffset>316230</wp:posOffset>
            </wp:positionV>
            <wp:extent cx="4436110" cy="1524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96">
                      <a:extLst>
                        <a:ext uri="{28A0092B-C50C-407E-A947-70E740481C1C}"/>
                      </a:extLst>
                    </a:blip>
                    <a:srcRect/>
                    <a:stretch>
                      <a:fillRect/>
                    </a:stretch>
                  </pic:blipFill>
                  <pic:spPr bwMode="auto">
                    <a:xfrm>
                      <a:off x="0" y="0"/>
                      <a:ext cx="44361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84" w:name="page285"/>
    <w:bookmarkEnd w:id="284"/>
    <w:p>
      <w:pPr>
        <w:ind w:left="900" w:right="640"/>
        <w:spacing w:after="0" w:line="272" w:lineRule="auto"/>
        <w:rPr>
          <w:sz w:val="20"/>
          <w:szCs w:val="20"/>
          <w:color w:val="auto"/>
        </w:rPr>
      </w:pPr>
      <w:r>
        <w:rPr>
          <w:rFonts w:ascii="Times New Roman" w:cs="Times New Roman" w:eastAsia="Times New Roman" w:hAnsi="Times New Roman"/>
          <w:sz w:val="13"/>
          <w:szCs w:val="13"/>
          <w:color w:val="auto"/>
        </w:rPr>
        <w:t>terminate and the Trustee shall distribute the net proceeds of the sale to the Purported Record Transferee and to the Charitable Beneficiary as provided in this Section 7(c)(iv). The Purported Record Transferee shall receive the lesser of (i) the price paid by the Purported Record Transferee for the shares of Series D Preferred Stock in the transaction that resulted in such transfer to the Trust (or, if the event which resulted in the transfer to the Trust did not involve a purchase of such shares of Series D Preferred Stock at Market Price, the Market Price of such shares of Series D Preferred Stock on the day of the event which resulted in the transfer of such shares of Series D Preferred Stock to the Trust) and (ii) the price per share received by the Trustee (net of any commissions and other expenses of sale) from the sale or other disposition of the shares of Series D Preferred Stock held in the Trust. The Trustee may reduce the amount payable to the Purported Record Transferee by the amount of dividends and distributions which have been paid to the Purported Record Transferee and are owed by the Purported Record Transferee to the Trustee pursuant to Section 7(c)(iii). Any net sales proceeds in excess of the amount payable to the Purported Record Transferee shall be immediately paid to the Charitable Beneficiary together with any dividends or other distributions thereon. If, prior to the discovery by the Company that shares of such Series D Preferred Stock have been transferred to the Trustee, such shares of Series D Preferred Stock are sold by a Purported Record Transferee then (i) such shares of Series D Preferred Stock shall be deemed to have been sold on behalf of the Trust and (ii) to the extent that the Purported Record Transferee received an amount for such shares of Series D Preferred Stock that exceeds the amount that such Purported Record Transferee was entitled to receive pursuant to this Section 7(c)(iv), such excess shall be paid to the Trustee upon demand.</w:t>
      </w:r>
    </w:p>
    <w:p>
      <w:pPr>
        <w:spacing w:after="0" w:line="135" w:lineRule="exact"/>
        <w:rPr>
          <w:sz w:val="20"/>
          <w:szCs w:val="20"/>
          <w:color w:val="auto"/>
        </w:rPr>
      </w:pPr>
    </w:p>
    <w:p>
      <w:pPr>
        <w:ind w:left="900" w:right="680" w:firstLine="319"/>
        <w:spacing w:after="0" w:line="273" w:lineRule="auto"/>
        <w:tabs>
          <w:tab w:leader="none" w:pos="1392" w:val="left"/>
        </w:tabs>
        <w:numPr>
          <w:ilvl w:val="0"/>
          <w:numId w:val="2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Series D Preferred Stock transferred to the Trustee shall be deemed to have been offered for sale to the Company, or its designee, at a price per share equal to the lesser of (i) the price paid by the Purported Record Transferee for the shares of Series D Preferred Stock in the transaction that resulted in such transfer to the Trust (or, if the event which resulted in the transfer to the Trust did not involve a purchase of such shares of Series D Preferred Stock at Market Price, the Market Price of such shares of Series D Preferred Stock on the day of the event which resulted in the transfer of such shares of Series D Preferred Stock to the Trust) and (ii) the Market Price on the date the Company, or its designee, accepts such offer. The Company may reduce the amount payable to the Purported Record Transferee by the amount of dividends and distributions which have been paid to the Purported Record Transferee and are owed by the Purported Record Transferee to the Trustee pursuant to Section 7(c)(iii). The Company shall have the right to accept such offer until the Trustee has sold the shares of Series D Preferred Stock held in the Trust pursuant to Section 7(c)(iv). Upon such a sale to the Company, the interest of the Charitable Beneficiary in the shares of Series D Preferred Stock sold shall terminate and the Trustee shall distribute the net proceeds of the sale to the Purported Record Transferee and any dividends or other distributions held by the Trustee with respect to such Series D Preferred Stock shall thereupon be paid to the Charitable Beneficiary.</w:t>
      </w:r>
    </w:p>
    <w:p>
      <w:pPr>
        <w:spacing w:after="0" w:line="132" w:lineRule="exact"/>
        <w:rPr>
          <w:rFonts w:ascii="Times New Roman" w:cs="Times New Roman" w:eastAsia="Times New Roman" w:hAnsi="Times New Roman"/>
          <w:sz w:val="13"/>
          <w:szCs w:val="13"/>
          <w:color w:val="auto"/>
        </w:rPr>
      </w:pPr>
    </w:p>
    <w:p>
      <w:pPr>
        <w:ind w:left="1440" w:hanging="221"/>
        <w:spacing w:after="0"/>
        <w:tabs>
          <w:tab w:leader="none" w:pos="1440" w:val="left"/>
        </w:tabs>
        <w:numPr>
          <w:ilvl w:val="0"/>
          <w:numId w:val="2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written notice to the Trustee, the Company shall designate one or more nonprofit organizations to be the Charitable</w:t>
      </w:r>
    </w:p>
    <w:p>
      <w:pPr>
        <w:spacing w:after="0" w:line="22" w:lineRule="exact"/>
        <w:rPr>
          <w:rFonts w:ascii="Times New Roman" w:cs="Times New Roman" w:eastAsia="Times New Roman" w:hAnsi="Times New Roman"/>
          <w:sz w:val="13"/>
          <w:szCs w:val="13"/>
          <w:color w:val="auto"/>
        </w:rPr>
      </w:pPr>
    </w:p>
    <w:p>
      <w:pPr>
        <w:ind w:left="900" w:right="760"/>
        <w:spacing w:after="0" w:line="299"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Beneficiary of the interest in the Trust such that the Series D Preferred Stock held in the Trust would not violate the restrictions set forth in Section 7(b)(i) in the hands of such Charitable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325120</wp:posOffset>
            </wp:positionV>
            <wp:extent cx="5083810" cy="1524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97">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316230</wp:posOffset>
            </wp:positionV>
            <wp:extent cx="4436110" cy="762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98">
                      <a:extLst>
                        <a:ext uri="{28A0092B-C50C-407E-A947-70E740481C1C}"/>
                      </a:extLst>
                    </a:blip>
                    <a:srcRect/>
                    <a:stretch>
                      <a:fillRect/>
                    </a:stretch>
                  </pic:blipFill>
                  <pic:spPr bwMode="auto">
                    <a:xfrm>
                      <a:off x="0" y="0"/>
                      <a:ext cx="4436110" cy="762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85" w:name="page286"/>
    <w:bookmarkEnd w:id="285"/>
    <w:p>
      <w:pPr>
        <w:ind w:left="600" w:right="620" w:firstLine="306"/>
        <w:spacing w:after="0" w:line="274" w:lineRule="auto"/>
        <w:tabs>
          <w:tab w:leader="none" w:pos="1092" w:val="left"/>
        </w:tabs>
        <w:numPr>
          <w:ilvl w:val="0"/>
          <w:numId w:val="2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Remedies For Breach </w:t>
      </w:r>
      <w:r>
        <w:rPr>
          <w:rFonts w:ascii="Times New Roman" w:cs="Times New Roman" w:eastAsia="Times New Roman" w:hAnsi="Times New Roman"/>
          <w:sz w:val="13"/>
          <w:szCs w:val="13"/>
          <w:color w:val="auto"/>
        </w:rPr>
        <w:t>. If the Board of Directors or a committee thereof or other designees if permitted by the MGCL shall at any time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determine in good faith that a Transfer or other event has taken place in violation of Section 7(b) of these Articles Supplementary or that a Person intends to acquire, has attempted to acquire or may acquire beneficial ownership (determined without reference to any rules of attribution), Beneficial Ownership or Constructive Ownership of any shares of Series D Preferred Stock of the Company in violation of Section 7(b) of these Articles Supplementary, the Board of Directors or the Committee or other designees if permitted by the MGCL shall take such action as it deems advisable to refuse to give effect or to prevent such Transfer, including, but not limited to, causing the Company to redeem shares of Series D Preferred Stock, refusing to give effect to such Transfer on the books of the Company or instituting proceedings to enjoin such Transfer; provided, however, that any Transfers (or, in the case of events other than a Transfer, ownership or Constructive Ownership or Beneficial Ownership) in violation of Section 7(b)(i) of these Articles Supplementary, shall automatically result in the transfer to a Trust as described in Section 7(b)(ii) and any Transfer in violation of Section 7(b)(iii) shall automatically be void ab initio irrespective of any action (or non-action) by the Board of Directors.</w:t>
      </w:r>
    </w:p>
    <w:p>
      <w:pPr>
        <w:spacing w:after="0" w:line="298" w:lineRule="exact"/>
        <w:rPr>
          <w:sz w:val="20"/>
          <w:szCs w:val="20"/>
          <w:color w:val="auto"/>
        </w:rPr>
      </w:pPr>
    </w:p>
    <w:p>
      <w:pPr>
        <w:ind w:left="600" w:right="640" w:firstLine="312"/>
        <w:spacing w:after="0" w:line="279" w:lineRule="auto"/>
        <w:rPr>
          <w:sz w:val="20"/>
          <w:szCs w:val="20"/>
          <w:color w:val="auto"/>
        </w:rPr>
      </w:pPr>
      <w:r>
        <w:rPr>
          <w:rFonts w:ascii="Times New Roman" w:cs="Times New Roman" w:eastAsia="Times New Roman" w:hAnsi="Times New Roman"/>
          <w:sz w:val="13"/>
          <w:szCs w:val="13"/>
          <w:color w:val="auto"/>
        </w:rPr>
        <w:t xml:space="preserve">(e) </w:t>
      </w:r>
      <w:r>
        <w:rPr>
          <w:rFonts w:ascii="Times New Roman" w:cs="Times New Roman" w:eastAsia="Times New Roman" w:hAnsi="Times New Roman"/>
          <w:sz w:val="13"/>
          <w:szCs w:val="13"/>
          <w:b w:val="1"/>
          <w:bCs w:val="1"/>
          <w:color w:val="auto"/>
        </w:rPr>
        <w:t>Notice of Restricted Transfer</w:t>
      </w:r>
      <w:r>
        <w:rPr>
          <w:rFonts w:ascii="Times New Roman" w:cs="Times New Roman" w:eastAsia="Times New Roman" w:hAnsi="Times New Roman"/>
          <w:sz w:val="13"/>
          <w:szCs w:val="13"/>
          <w:color w:val="auto"/>
        </w:rPr>
        <w:t xml:space="preserve"> . Any Person who acquires or attempts to acquire shares of Series D Preferred Stock in violation of Section 7(b) of these Articles Supplementary, or any Person who is a Purported Beneficial Transferee such that an automatic transfer to a Trust results under Section 7(b)(ii) of these Articles Supplementary, shall immediately give written notice to the Company of such event and shall provide to the Company such other information as the Company may request in order to determine the effect, if any of such Transfer or attempted Transfer on the Company’s status as a REIT.</w:t>
      </w:r>
    </w:p>
    <w:p>
      <w:pPr>
        <w:spacing w:after="0" w:line="139" w:lineRule="exact"/>
        <w:rPr>
          <w:sz w:val="20"/>
          <w:szCs w:val="20"/>
          <w:color w:val="auto"/>
        </w:rPr>
      </w:pPr>
    </w:p>
    <w:p>
      <w:pPr>
        <w:ind w:left="600" w:right="700" w:firstLine="306"/>
        <w:spacing w:after="0" w:line="282" w:lineRule="auto"/>
        <w:tabs>
          <w:tab w:leader="none" w:pos="1056" w:val="left"/>
        </w:tabs>
        <w:numPr>
          <w:ilvl w:val="0"/>
          <w:numId w:val="2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Owners Required To Provide Information </w:t>
      </w:r>
      <w:r>
        <w:rPr>
          <w:rFonts w:ascii="Times New Roman" w:cs="Times New Roman" w:eastAsia="Times New Roman" w:hAnsi="Times New Roman"/>
          <w:sz w:val="13"/>
          <w:szCs w:val="13"/>
          <w:color w:val="auto"/>
        </w:rPr>
        <w:t>. Prior to the Restriction Termination Date each Person who is a beneficial owner 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Beneficial Owner or Constructive Owner of Series D Preferred Stock and each Person (including the stockholder of record) who is holding Series D Preferred Stock for a beneficial owner or Beneficial Owner or Constructive Owner shall provide to the Company such information that the Company may request, in good faith, in order to determine the Company’s status as a REIT.</w:t>
      </w:r>
    </w:p>
    <w:p>
      <w:pPr>
        <w:spacing w:after="0" w:line="138" w:lineRule="exact"/>
        <w:rPr>
          <w:sz w:val="20"/>
          <w:szCs w:val="20"/>
          <w:color w:val="auto"/>
        </w:rPr>
      </w:pPr>
    </w:p>
    <w:p>
      <w:pPr>
        <w:ind w:left="600" w:right="580" w:firstLine="312"/>
        <w:spacing w:after="0" w:line="289" w:lineRule="auto"/>
        <w:rPr>
          <w:sz w:val="20"/>
          <w:szCs w:val="20"/>
          <w:color w:val="auto"/>
        </w:rPr>
      </w:pPr>
      <w:r>
        <w:rPr>
          <w:rFonts w:ascii="Times New Roman" w:cs="Times New Roman" w:eastAsia="Times New Roman" w:hAnsi="Times New Roman"/>
          <w:sz w:val="13"/>
          <w:szCs w:val="13"/>
          <w:color w:val="auto"/>
        </w:rPr>
        <w:t xml:space="preserve">(g) </w:t>
      </w:r>
      <w:r>
        <w:rPr>
          <w:rFonts w:ascii="Times New Roman" w:cs="Times New Roman" w:eastAsia="Times New Roman" w:hAnsi="Times New Roman"/>
          <w:sz w:val="13"/>
          <w:szCs w:val="13"/>
          <w:b w:val="1"/>
          <w:bCs w:val="1"/>
          <w:color w:val="auto"/>
        </w:rPr>
        <w:t>Remedies Not Limited</w:t>
      </w:r>
      <w:r>
        <w:rPr>
          <w:rFonts w:ascii="Times New Roman" w:cs="Times New Roman" w:eastAsia="Times New Roman" w:hAnsi="Times New Roman"/>
          <w:sz w:val="13"/>
          <w:szCs w:val="13"/>
          <w:color w:val="auto"/>
        </w:rPr>
        <w:t xml:space="preserve"> . Nothing contained in these Articles Supplementary (but subject to Section 7(l) of these Articles Supplementary) shall limit the authority of the Board of Directors to take such other action as it deems necessary or advisable to protect the Company and the interests of its stockholders by preservation of the Company’s status as a REIT.</w:t>
      </w:r>
    </w:p>
    <w:p>
      <w:pPr>
        <w:spacing w:after="0" w:line="132" w:lineRule="exact"/>
        <w:rPr>
          <w:sz w:val="20"/>
          <w:szCs w:val="20"/>
          <w:color w:val="auto"/>
        </w:rPr>
      </w:pPr>
    </w:p>
    <w:p>
      <w:pPr>
        <w:ind w:left="600" w:right="620" w:firstLine="306"/>
        <w:spacing w:after="0" w:line="279" w:lineRule="auto"/>
        <w:tabs>
          <w:tab w:leader="none" w:pos="1092" w:val="left"/>
        </w:tabs>
        <w:numPr>
          <w:ilvl w:val="0"/>
          <w:numId w:val="2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Ambiguity </w:t>
      </w:r>
      <w:r>
        <w:rPr>
          <w:rFonts w:ascii="Times New Roman" w:cs="Times New Roman" w:eastAsia="Times New Roman" w:hAnsi="Times New Roman"/>
          <w:sz w:val="13"/>
          <w:szCs w:val="13"/>
          <w:color w:val="auto"/>
        </w:rPr>
        <w:t>. In the case of an ambiguity in the application of any of the provisions of this Section 7 of these Articles Supplementary,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including any definition contained in Section 7(a), the Board of Directors shall have the power to determine the application of the provisions of this Section 7 with respect to any situation based on the facts known to it (subject, however, to the provisions of Section 7(l) of these Articles Supplementary). In the event Section 7 requires an action by the Board of Directors and these Articles Supplementary fail to provide specific guidance with respect to such action, the Board of Directors shall have the power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333375</wp:posOffset>
            </wp:positionV>
            <wp:extent cx="5083810" cy="1524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99">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316230</wp:posOffset>
            </wp:positionV>
            <wp:extent cx="4436110" cy="762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500">
                      <a:extLst>
                        <a:ext uri="{28A0092B-C50C-407E-A947-70E740481C1C}"/>
                      </a:extLst>
                    </a:blip>
                    <a:srcRect/>
                    <a:stretch>
                      <a:fillRect/>
                    </a:stretch>
                  </pic:blipFill>
                  <pic:spPr bwMode="auto">
                    <a:xfrm>
                      <a:off x="0" y="0"/>
                      <a:ext cx="443611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286" w:name="page287"/>
    <w:bookmarkEnd w:id="286"/>
    <w:p>
      <w:pPr>
        <w:ind w:left="600" w:right="700"/>
        <w:spacing w:after="0" w:line="275" w:lineRule="auto"/>
        <w:rPr>
          <w:sz w:val="20"/>
          <w:szCs w:val="20"/>
          <w:color w:val="auto"/>
        </w:rPr>
      </w:pPr>
      <w:r>
        <w:rPr>
          <w:rFonts w:ascii="Times New Roman" w:cs="Times New Roman" w:eastAsia="Times New Roman" w:hAnsi="Times New Roman"/>
          <w:sz w:val="13"/>
          <w:szCs w:val="13"/>
          <w:color w:val="auto"/>
        </w:rPr>
        <w:t>determine the action to be taken so long as such action is not contrary to the provisions of Section 7. Absent a decision to the contrary by the Board of Directors (which the Board of Directors may make in its sole and absolute discretion), if a Person would have (but for the remedies set forth in Section 7(b)) acquired Beneficial or Constructive Ownership of Series D Preferred Stock in violation of Section 7(b)(i), such remedies (as applicable) shall apply first to the shares of Series D Preferred Stock which, but for such remedies, would have been actually owned by such Person, and second to shares of Series D Preferred Stock, which, but for such remedies, would have been Beneficially Owned or Constructively Owned (but not actually owned) by such Person, pro rata among the Persons who actually own such shares of Series D Preferred Stock based upon the relative number of the shares of Series D Preferred Stock held by each such Person.</w:t>
      </w:r>
    </w:p>
    <w:p>
      <w:pPr>
        <w:spacing w:after="0" w:line="133" w:lineRule="exact"/>
        <w:rPr>
          <w:sz w:val="20"/>
          <w:szCs w:val="20"/>
          <w:color w:val="auto"/>
        </w:rPr>
      </w:pPr>
    </w:p>
    <w:p>
      <w:pPr>
        <w:ind w:left="1060" w:hanging="154"/>
        <w:spacing w:after="0"/>
        <w:tabs>
          <w:tab w:leader="none" w:pos="1060" w:val="left"/>
        </w:tabs>
        <w:numPr>
          <w:ilvl w:val="0"/>
          <w:numId w:val="2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Exceptions.</w:t>
      </w:r>
    </w:p>
    <w:p>
      <w:pPr>
        <w:spacing w:after="0" w:line="186" w:lineRule="exact"/>
        <w:rPr>
          <w:rFonts w:ascii="Times New Roman" w:cs="Times New Roman" w:eastAsia="Times New Roman" w:hAnsi="Times New Roman"/>
          <w:sz w:val="13"/>
          <w:szCs w:val="13"/>
          <w:color w:val="auto"/>
        </w:rPr>
      </w:pPr>
    </w:p>
    <w:p>
      <w:pPr>
        <w:ind w:left="900" w:right="780" w:firstLine="319"/>
        <w:spacing w:after="0" w:line="272" w:lineRule="auto"/>
        <w:tabs>
          <w:tab w:leader="none" w:pos="1368" w:val="left"/>
        </w:tabs>
        <w:numPr>
          <w:ilvl w:val="1"/>
          <w:numId w:val="2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Section 7(b)(i)(D), the Board of Directors, in its sole discretion, may exempt (prospectively or retroactively) a Person from the limitation on a Person Beneficially Owning shares of Series D Preferred Stock in violation of Section 7(b)(i)(A) or Section 7(b)(i)</w:t>
      </w:r>
    </w:p>
    <w:p>
      <w:pPr>
        <w:jc w:val="both"/>
        <w:ind w:left="900" w:right="960"/>
        <w:spacing w:after="0" w:line="284"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 if the Board of Directors determines that such exemption will not cause any Individual’s Beneficial Ownership of shares of Capital Stock to violate the Aggregate Stock Ownership Limit and that such exemption will not cause the Company to fail to qualify as a REIT under the Code.</w:t>
      </w:r>
    </w:p>
    <w:p>
      <w:pPr>
        <w:spacing w:after="0" w:line="137" w:lineRule="exact"/>
        <w:rPr>
          <w:rFonts w:ascii="Times New Roman" w:cs="Times New Roman" w:eastAsia="Times New Roman" w:hAnsi="Times New Roman"/>
          <w:sz w:val="13"/>
          <w:szCs w:val="13"/>
          <w:color w:val="auto"/>
        </w:rPr>
      </w:pPr>
    </w:p>
    <w:p>
      <w:pPr>
        <w:ind w:left="900" w:right="720" w:firstLine="319"/>
        <w:spacing w:after="0" w:line="287" w:lineRule="auto"/>
        <w:tabs>
          <w:tab w:leader="none" w:pos="1404" w:val="left"/>
        </w:tabs>
        <w:numPr>
          <w:ilvl w:val="1"/>
          <w:numId w:val="2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Section 7(b)(i)(D), the Board of Directors, in its sole discretion, may exempt (prospectively or retroactively) a Person from the limitation on a Person Constructively Owning shares of Series D Preferred Stock in violation of Section 7(b)(i)(B) or Section 7(b) (i)(C) if the Board of Directors determines that such ownership would not cause the Company to fail to qualify as a REIT under the Code.</w:t>
      </w:r>
    </w:p>
    <w:p>
      <w:pPr>
        <w:spacing w:after="0" w:line="136" w:lineRule="exact"/>
        <w:rPr>
          <w:sz w:val="20"/>
          <w:szCs w:val="20"/>
          <w:color w:val="auto"/>
        </w:rPr>
      </w:pPr>
    </w:p>
    <w:p>
      <w:pPr>
        <w:ind w:left="900" w:right="720" w:firstLine="312"/>
        <w:spacing w:after="0" w:line="275" w:lineRule="auto"/>
        <w:rPr>
          <w:sz w:val="20"/>
          <w:szCs w:val="20"/>
          <w:color w:val="auto"/>
        </w:rPr>
      </w:pPr>
      <w:r>
        <w:rPr>
          <w:rFonts w:ascii="Times New Roman" w:cs="Times New Roman" w:eastAsia="Times New Roman" w:hAnsi="Times New Roman"/>
          <w:sz w:val="13"/>
          <w:szCs w:val="13"/>
          <w:color w:val="auto"/>
        </w:rPr>
        <w:t>(iii) Subject to Section 7(b)(i)(D) and the remainder of this Section 7(i)(iii), the Board of Directors may from time to time increase or decrease the Ownership Limit; provided, however, that the decreased Ownership Limit will not be effective for any Person whose percentage ownership of Series D Preferred Stock is in excess of such decreased Ownership Limit until such time as such Person’s percentage of Series D Preferred Stock equals or falls below the decreased Ownership Limit, but any further acquisition of Series D Preferred Stock in excess of such percentage ownership of Series D Preferred Stock will be in violation of the Ownership Limit, and, provided further, that the new Ownership Limit would not allow five or fewer Persons to Beneficially Own more than 49% in value of the outstanding capital stock of the Company.</w:t>
      </w:r>
    </w:p>
    <w:p>
      <w:pPr>
        <w:spacing w:after="0" w:line="145" w:lineRule="exact"/>
        <w:rPr>
          <w:sz w:val="20"/>
          <w:szCs w:val="20"/>
          <w:color w:val="auto"/>
        </w:rPr>
      </w:pPr>
    </w:p>
    <w:p>
      <w:pPr>
        <w:ind w:left="900" w:right="800" w:firstLine="319"/>
        <w:spacing w:after="0" w:line="278" w:lineRule="auto"/>
        <w:tabs>
          <w:tab w:leader="none" w:pos="1428" w:val="left"/>
        </w:tabs>
        <w:numPr>
          <w:ilvl w:val="0"/>
          <w:numId w:val="2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granting a person an exemption under Section 7(i)(i) or (ii) above, the Board of Directors may require such Person to make certain representations or undertakings or to agree that any violation or attempted violation of such representations or undertakings (or other action which is contrary to the restrictions contained in Section 7(b) of these Articles Supplementary) will result in such Series D Preferred Stock being transferred to a Trust in accordance with Section 7(b)(ii) of these Articles Supplementary. In granting any exception pursuant to Section 7(i)(i) or (ii) of these Articles Supplementary, the Board of Directors may require a ruling from the IRS, or an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334010</wp:posOffset>
            </wp:positionV>
            <wp:extent cx="5083810" cy="1524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501">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316230</wp:posOffset>
            </wp:positionV>
            <wp:extent cx="4436110" cy="1524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502">
                      <a:extLst>
                        <a:ext uri="{28A0092B-C50C-407E-A947-70E740481C1C}"/>
                      </a:extLst>
                    </a:blip>
                    <a:srcRect/>
                    <a:stretch>
                      <a:fillRect/>
                    </a:stretch>
                  </pic:blipFill>
                  <pic:spPr bwMode="auto">
                    <a:xfrm>
                      <a:off x="0" y="0"/>
                      <a:ext cx="44361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87" w:name="page288"/>
    <w:bookmarkEnd w:id="287"/>
    <w:p>
      <w:pPr>
        <w:ind w:left="900" w:right="880"/>
        <w:spacing w:after="0" w:line="305" w:lineRule="auto"/>
        <w:rPr>
          <w:sz w:val="20"/>
          <w:szCs w:val="20"/>
          <w:color w:val="auto"/>
        </w:rPr>
      </w:pPr>
      <w:r>
        <w:rPr>
          <w:rFonts w:ascii="Times New Roman" w:cs="Times New Roman" w:eastAsia="Times New Roman" w:hAnsi="Times New Roman"/>
          <w:sz w:val="13"/>
          <w:szCs w:val="13"/>
          <w:color w:val="auto"/>
        </w:rPr>
        <w:t>of counsel, in either case in form and substance satisfactory to the Board of Directors in its sole discretion, as it may deem necessary or advisable in order to determine or ensure the Company’s status as a REIT.</w:t>
      </w:r>
    </w:p>
    <w:p>
      <w:pPr>
        <w:spacing w:after="0" w:line="122" w:lineRule="exact"/>
        <w:rPr>
          <w:sz w:val="20"/>
          <w:szCs w:val="20"/>
          <w:color w:val="auto"/>
        </w:rPr>
      </w:pPr>
    </w:p>
    <w:p>
      <w:pPr>
        <w:ind w:left="600" w:right="1160" w:firstLine="312"/>
        <w:spacing w:after="0" w:line="308" w:lineRule="auto"/>
        <w:rPr>
          <w:sz w:val="20"/>
          <w:szCs w:val="20"/>
          <w:color w:val="auto"/>
        </w:rPr>
      </w:pPr>
      <w:r>
        <w:rPr>
          <w:rFonts w:ascii="Times New Roman" w:cs="Times New Roman" w:eastAsia="Times New Roman" w:hAnsi="Times New Roman"/>
          <w:sz w:val="13"/>
          <w:szCs w:val="13"/>
          <w:color w:val="auto"/>
        </w:rPr>
        <w:t>(j)</w:t>
      </w:r>
      <w:r>
        <w:rPr>
          <w:rFonts w:ascii="Times New Roman" w:cs="Times New Roman" w:eastAsia="Times New Roman" w:hAnsi="Times New Roman"/>
          <w:sz w:val="13"/>
          <w:szCs w:val="13"/>
          <w:b w:val="1"/>
          <w:bCs w:val="1"/>
          <w:color w:val="auto"/>
        </w:rPr>
        <w:t>Legends</w:t>
      </w:r>
      <w:r>
        <w:rPr>
          <w:rFonts w:ascii="Times New Roman" w:cs="Times New Roman" w:eastAsia="Times New Roman" w:hAnsi="Times New Roman"/>
          <w:sz w:val="13"/>
          <w:szCs w:val="13"/>
          <w:color w:val="auto"/>
        </w:rPr>
        <w:t xml:space="preserve"> . Each certificate for Series D Preferred Stock shall bear substantially the following legends in addition to any legends required to comply with federal and state securities laws:</w:t>
      </w:r>
    </w:p>
    <w:p>
      <w:pPr>
        <w:spacing w:after="0" w:line="1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b w:val="1"/>
          <w:bCs w:val="1"/>
          <w:color w:val="auto"/>
        </w:rPr>
        <w:t>Classes of Stock</w:t>
      </w:r>
    </w:p>
    <w:p>
      <w:pPr>
        <w:spacing w:after="0" w:line="189" w:lineRule="exact"/>
        <w:rPr>
          <w:sz w:val="20"/>
          <w:szCs w:val="20"/>
          <w:color w:val="auto"/>
        </w:rPr>
      </w:pPr>
    </w:p>
    <w:p>
      <w:pPr>
        <w:ind w:left="900" w:right="720"/>
        <w:spacing w:after="0" w:line="272" w:lineRule="auto"/>
        <w:rPr>
          <w:sz w:val="20"/>
          <w:szCs w:val="20"/>
          <w:color w:val="auto"/>
        </w:rPr>
      </w:pPr>
      <w:r>
        <w:rPr>
          <w:rFonts w:ascii="Times New Roman" w:cs="Times New Roman" w:eastAsia="Times New Roman" w:hAnsi="Times New Roman"/>
          <w:sz w:val="13"/>
          <w:szCs w:val="13"/>
          <w:color w:val="auto"/>
        </w:rPr>
        <w:t>“THE COMPANY IS AUTHORIZED TO ISSUE CAPITAL STOCK OF MORE THAN ONE CLASS, CONSISTING OF COMMON STOCK AND ONE OR MORE CLASSES OF PREFERRED STOCK. THE BOARD OF DIRECTORS IS AUTHORIZED TO DETERMINE THE PREFERENCES, LIMITATIONS AND RELATIVE RIGHTS OF ANY CLASS OF THE PREFERRED STOCK BEFORE THE ISSUANCE OF SHARES OF SUCH CLASS OF PREFERRED STOCK. THE COMPANY WILL FURNISH, WITHOUT CHARGE, TO ANY STOCKHOLDER MAKING A WRITTEN REQUEST THEREFOR, A COPY OF THE COMPANY’S CHARTER AND A WRITTEN STATEMENT OF THE DESIGNATIONS, RELATIVE RIGHTS, PREFERENCES, CONVERSION OR OTHER RIGHTS, VOTING POWERS, RESTRICTIONS, LIMITATIONS AS TO DIVIDENDS AND OTHER DISTRIBUTIONS, QUALIFICATIONS AND TERMS AND CONDITIONS OF REDEMPTION OF THE STOCK OF EACH CLASS WHICH THE COMPANY HAS THE AUTHORITY TO ISSUE AND, IF THE COMPANY IS AUTHORIZED TO ISSUE ANY PREFERRED OR SPECIAL CLASS AND SERIES, (i) THE DIFFERENCES IN THE RELATIVE RIGHTS AND PREFERENCES BETWEEN THE SHARES OF EACH SERIES TO THE EXTENT SET, AND (ii) THE AUTHORITY OF THE BOARD OF DIRECTORS TO SET SUCH RIGHTS AND PREFERENCES OF SUBSEQUENT SERIES. REQUESTS FOR SUCH WRITTEN STATEMENT MAY BE DIRECTED TO THE SECRETARY OF THE COMPANY AT ITS PRINCIPAL OFFICE.”</w:t>
      </w:r>
    </w:p>
    <w:p>
      <w:pPr>
        <w:spacing w:after="0" w:line="13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b w:val="1"/>
          <w:bCs w:val="1"/>
          <w:color w:val="auto"/>
        </w:rPr>
        <w:t>Restriction on Ownership and Transfer</w:t>
      </w:r>
    </w:p>
    <w:p>
      <w:pPr>
        <w:spacing w:after="0" w:line="189" w:lineRule="exact"/>
        <w:rPr>
          <w:sz w:val="20"/>
          <w:szCs w:val="20"/>
          <w:color w:val="auto"/>
        </w:rPr>
      </w:pPr>
    </w:p>
    <w:p>
      <w:pPr>
        <w:ind w:left="900" w:right="600"/>
        <w:spacing w:after="0" w:line="273" w:lineRule="auto"/>
        <w:rPr>
          <w:sz w:val="20"/>
          <w:szCs w:val="20"/>
          <w:color w:val="auto"/>
        </w:rPr>
      </w:pPr>
      <w:r>
        <w:rPr>
          <w:rFonts w:ascii="Times New Roman" w:cs="Times New Roman" w:eastAsia="Times New Roman" w:hAnsi="Times New Roman"/>
          <w:sz w:val="13"/>
          <w:szCs w:val="13"/>
          <w:color w:val="auto"/>
        </w:rPr>
        <w:t>“THE SHARES OF 5.500% SERIES D CUMULATIVE CONVERTIBLE PREFERRED STOCK (“SERIES D PREFERRED STOCK”) REPRESENTED BY THIS CERTIFICATE ARE SUBJECT TO RESTRICTIONS ON BENEFICIAL AND CONSTRUCTIVE OWNERSHIP AND TRANSFER FOR THE PURPOSE OF THE COMPANY’S MAINTENANCE OF ITS STATUS AS A REAL ESTATE INVESTMENT TRUST UNDER THE INTERNAL REVENUE CODE OF 1986, AS AMENDED (THE “CODE”). SUBJECT TO CERTAIN FURTHER RESTRICTIONS AND EXCEPT AS EXPRESSLY PROVIDED IN THE ARTICLES SUPPLEMENTARY FOR THE SERIES D PREFERRED STOCK, (i) NO PERSON MAY BENEFICIALLY OR CONSTRUCTIVELY OWN SHARES OF THE COMPANY’S SERIES D PREFERRED STOCK IN EXCESS OF 9.8% (BY VALUE OR BY NUMBER OF SHARES, WHICHEVER IS MORE RESTRICTIVE) OF THE OUTSTANDING SERIES D PREFERRED STOCK OF THE COMPANY; (ii) NO PERSON MAY BENEFICIALLY OR CONSTRUCTIVELY OWN SHARES OF THE COMPANY’S CAPITAL STOCK WITH A VALUE IN EXCESS OF 9.8% OF THE VALUE OF THE COMPANY’S OUTSTANDING CAPITAL STOCK; (iii) NO PERSON</w:t>
      </w:r>
    </w:p>
    <w:p>
      <w:pPr>
        <w:spacing w:after="0" w:line="40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316230</wp:posOffset>
            </wp:positionV>
            <wp:extent cx="4436110" cy="1524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503">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-10795</wp:posOffset>
            </wp:positionV>
            <wp:extent cx="5083810" cy="1524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504">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88" w:name="page289"/>
    <w:bookmarkEnd w:id="288"/>
    <w:p>
      <w:pPr>
        <w:ind w:left="900" w:right="620"/>
        <w:spacing w:after="0" w:line="271" w:lineRule="auto"/>
        <w:rPr>
          <w:sz w:val="20"/>
          <w:szCs w:val="20"/>
          <w:color w:val="auto"/>
        </w:rPr>
      </w:pPr>
      <w:r>
        <w:rPr>
          <w:rFonts w:ascii="Times New Roman" w:cs="Times New Roman" w:eastAsia="Times New Roman" w:hAnsi="Times New Roman"/>
          <w:sz w:val="13"/>
          <w:szCs w:val="13"/>
          <w:color w:val="auto"/>
        </w:rPr>
        <w:t>MAY BENEFICIALLY OR CONSTRUCTIVELY OWN SERIES D PREFERRED STOCK THAT, TAKING INTO ACCOUNT THE COMPANY COMMON STOCK INTO WHICH IT IS CONVERTIBLE AND ANY OTHER COMMON STOCK OF THE COMPANY BENEFICIALLY OR CONSTRUCTIVELY OWNED BY SUCH PERSON, WOULD RESULT IN SUCH PERSON’S OWNERSHIP OF COMMON STOCK IN EXCESS OF 9.8% (BY VALUE OR BY NUMBER OF SHARES, WHICHEVER IS MORE RESTRICTIVE) OF THE OUTSTANDING COMMON STOCK OF THE COMPANY; (iv) NO PERSON MAY BENEFICIALLY OR CONSTRUCTIVELY OWN SERIES D PREFERRED STOCK THAT, TAKING INTO ACCOUNT ANY OTHER CAPITAL STOCK OF THE COMPANY BENEFICIALLY OR CONSTRUCTIVELY OWNED BY SUCH PERSON, WOULD RESULT IN THE COMPANY BEING “CLOSELY HELD” UNDER SECTION 856(h) OF THE CODE OR OTHERWISE CAUSE THE COMPANY TO FAIL TO QUALIFY AS A REIT; AND (v) NO PERSON MAY TRANSFER SERIES D PREFERRED STOCK IF SUCH TRANSFER WOULD RESULT IN THE CAPITAL STOCK OF THE COMPANY BEING OWNED BY FEWER THAN 100 PERSONS. ANY PERSON WHO BENEFICIALLY OR CONSTRUCTIVELY OWNS OR ATTEMPTS TO BENEFICIALLY OR CONSTRUCTIVELY OWN SERIES D PREFERRED STOCK WHICH CAUSES OR WILL CAUSE A PERSON TO BENEFICIALLY OR CONSTRUCTIVELY OWN SERIES D PREFERRED STOCK IN EXCESS OF THE ABOVE LIMITATIONS MUST IMMEDIATELY NOTIFY THE COMPANY. IF ANY OF THE RESTRICTIONS ON TRANSFER OR OWNERSHIP ARE VIOLATED, THE SERIES D PREFERRED STOCK REPRESENTED HEREBY IN EXCESS OF SUCH RESTRICTIONS WILL BE AUTOMATICALLY TRANSFERRED TO THE TRUSTEE OF A TRUST FOR THE BENEFIT OF ONE OR MORE CHARITABLE BENEFICIARIES. IN ADDITION, THE COMPANY MAY REDEEM SHARES UPON THE TERMS AND CONDITIONS SPECIFIED BY THE BOARD OF DIRECTORS IN ITS SOLE DISCRETION IF THE BOARD OF DIRECTORS DETERMINES THAT OWNERSHIP OR A TRANSFER OR OTHER EVENT MAY VIOLATE THE RESTRICTIONS DESCRIBED ABOVE. FURTHERMORE, UPON THE OCCURRENCE OF CERTAIN EVENTS, ATTEMPTED TRANSFERS IN VIOLATION OF THE RESTRICTIONS DESCRIBED ABOVE MAY BE VOID AB INITIO. ALL TERMS IN THIS LEGEND WHICH ARE DEFINED IN THE ARTICLES SUPPLEMENTARY FOR THE SERIES D PREFERRED STOCK SHALL HAVE THE MEANINGS ASCRIBED TO THEM IN SUCH ARTICLES SUPPLEMENTARY, AS THE SAME MAY BE AMENDED FROM TIME TO TIME, A COPY OF WHICH, INCLUDING THE RESTRICTIONS ON TRANSFER AND OWNERSHIP, WILL BE FURNISHED TO EACH HOLDER OF SERIES D PREFERRED STOCK ON REQUEST AND WITHOUT CHARGE. REQUESTS FOR SUCH A COPY MAY BE DIRECTED TO THE SECRETARY OF THE COMPANY AT ITS PRINCIPAL OFFICE.”</w:t>
      </w:r>
    </w:p>
    <w:p>
      <w:pPr>
        <w:spacing w:after="0" w:line="135" w:lineRule="exact"/>
        <w:rPr>
          <w:sz w:val="20"/>
          <w:szCs w:val="20"/>
          <w:color w:val="auto"/>
        </w:rPr>
      </w:pPr>
    </w:p>
    <w:p>
      <w:pPr>
        <w:ind w:left="600" w:right="820" w:firstLine="306"/>
        <w:spacing w:after="0" w:line="289" w:lineRule="auto"/>
        <w:tabs>
          <w:tab w:leader="none" w:pos="1080" w:val="left"/>
        </w:tabs>
        <w:numPr>
          <w:ilvl w:val="0"/>
          <w:numId w:val="2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Severability </w:t>
      </w:r>
      <w:r>
        <w:rPr>
          <w:rFonts w:ascii="Times New Roman" w:cs="Times New Roman" w:eastAsia="Times New Roman" w:hAnsi="Times New Roman"/>
          <w:sz w:val="13"/>
          <w:szCs w:val="13"/>
          <w:color w:val="auto"/>
        </w:rPr>
        <w:t>. If any provision of this Section 7 or any application of any such provision is determined to be invalid by any federal 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state court having jurisdiction over the issues, the validity of the remaining provisions shall not be affected and other applications of such provision shall be affected only to the extent necessary to comply with the determination of such court.</w:t>
      </w:r>
    </w:p>
    <w:p>
      <w:pPr>
        <w:spacing w:after="0" w:line="3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125730</wp:posOffset>
            </wp:positionV>
            <wp:extent cx="4436110" cy="1524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505">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575310</wp:posOffset>
            </wp:positionV>
            <wp:extent cx="5083810" cy="1524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506">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89" w:name="page290"/>
    <w:bookmarkEnd w:id="289"/>
    <w:p>
      <w:pPr>
        <w:ind w:left="600" w:right="700" w:firstLine="312"/>
        <w:spacing w:after="0" w:line="289" w:lineRule="auto"/>
        <w:rPr>
          <w:sz w:val="20"/>
          <w:szCs w:val="20"/>
          <w:color w:val="auto"/>
        </w:rPr>
      </w:pPr>
      <w:r>
        <w:rPr>
          <w:rFonts w:ascii="Times New Roman" w:cs="Times New Roman" w:eastAsia="Times New Roman" w:hAnsi="Times New Roman"/>
          <w:sz w:val="13"/>
          <w:szCs w:val="13"/>
          <w:color w:val="auto"/>
        </w:rPr>
        <w:t>(l)</w:t>
      </w:r>
      <w:r>
        <w:rPr>
          <w:rFonts w:ascii="Times New Roman" w:cs="Times New Roman" w:eastAsia="Times New Roman" w:hAnsi="Times New Roman"/>
          <w:sz w:val="13"/>
          <w:szCs w:val="13"/>
          <w:b w:val="1"/>
          <w:bCs w:val="1"/>
          <w:color w:val="auto"/>
        </w:rPr>
        <w:t>NYSE</w:t>
      </w:r>
      <w:r>
        <w:rPr>
          <w:rFonts w:ascii="Times New Roman" w:cs="Times New Roman" w:eastAsia="Times New Roman" w:hAnsi="Times New Roman"/>
          <w:sz w:val="13"/>
          <w:szCs w:val="13"/>
          <w:color w:val="auto"/>
        </w:rPr>
        <w:t xml:space="preserve"> . Nothing in this Section 7 shall preclude the settlement of any transaction entered into through the facilities of the NYSE. The shares of Series D Preferred Stock that are the subject of such transaction shall continue to be subject to the provisions of this Section 7 after such settlement.</w:t>
      </w:r>
    </w:p>
    <w:p>
      <w:pPr>
        <w:spacing w:after="0" w:line="132" w:lineRule="exact"/>
        <w:rPr>
          <w:sz w:val="20"/>
          <w:szCs w:val="20"/>
          <w:color w:val="auto"/>
        </w:rPr>
      </w:pPr>
    </w:p>
    <w:p>
      <w:pPr>
        <w:ind w:left="600" w:right="800" w:firstLine="312"/>
        <w:spacing w:after="0" w:line="308" w:lineRule="auto"/>
        <w:rPr>
          <w:sz w:val="20"/>
          <w:szCs w:val="20"/>
          <w:color w:val="auto"/>
        </w:rPr>
      </w:pPr>
      <w:r>
        <w:rPr>
          <w:rFonts w:ascii="Times New Roman" w:cs="Times New Roman" w:eastAsia="Times New Roman" w:hAnsi="Times New Roman"/>
          <w:sz w:val="13"/>
          <w:szCs w:val="13"/>
          <w:color w:val="auto"/>
        </w:rPr>
        <w:t>(m)</w:t>
      </w:r>
      <w:r>
        <w:rPr>
          <w:rFonts w:ascii="Times New Roman" w:cs="Times New Roman" w:eastAsia="Times New Roman" w:hAnsi="Times New Roman"/>
          <w:sz w:val="13"/>
          <w:szCs w:val="13"/>
          <w:b w:val="1"/>
          <w:bCs w:val="1"/>
          <w:color w:val="auto"/>
        </w:rPr>
        <w:t>Applicability of Section 7</w:t>
      </w:r>
      <w:r>
        <w:rPr>
          <w:rFonts w:ascii="Times New Roman" w:cs="Times New Roman" w:eastAsia="Times New Roman" w:hAnsi="Times New Roman"/>
          <w:sz w:val="13"/>
          <w:szCs w:val="13"/>
          <w:color w:val="auto"/>
        </w:rPr>
        <w:t xml:space="preserve"> . The provisions set forth in this Section 7 shall apply to the Series D Preferred Stock notwithstanding any contrary provisions of the Series D Preferred Stock provided for elsewhere in these Articles Supplementary.</w:t>
      </w:r>
    </w:p>
    <w:p>
      <w:pPr>
        <w:spacing w:after="0" w:line="12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SECTION 8. </w:t>
      </w:r>
      <w:r>
        <w:rPr>
          <w:rFonts w:ascii="Times New Roman" w:cs="Times New Roman" w:eastAsia="Times New Roman" w:hAnsi="Times New Roman"/>
          <w:sz w:val="13"/>
          <w:szCs w:val="13"/>
          <w:b w:val="1"/>
          <w:bCs w:val="1"/>
          <w:color w:val="auto"/>
        </w:rPr>
        <w:t>Conversion Rights</w:t>
      </w:r>
      <w:r>
        <w:rPr>
          <w:rFonts w:ascii="Times New Roman" w:cs="Times New Roman" w:eastAsia="Times New Roman" w:hAnsi="Times New Roman"/>
          <w:sz w:val="13"/>
          <w:szCs w:val="13"/>
          <w:color w:val="auto"/>
        </w:rPr>
        <w:t xml:space="preserve"> .</w:t>
      </w:r>
    </w:p>
    <w:p>
      <w:pPr>
        <w:spacing w:after="0" w:line="187" w:lineRule="exact"/>
        <w:rPr>
          <w:sz w:val="20"/>
          <w:szCs w:val="20"/>
          <w:color w:val="auto"/>
        </w:rPr>
      </w:pPr>
    </w:p>
    <w:p>
      <w:pPr>
        <w:ind w:left="600" w:right="1280" w:firstLine="306"/>
        <w:spacing w:after="0" w:line="308" w:lineRule="auto"/>
        <w:tabs>
          <w:tab w:leader="none" w:pos="1080" w:val="left"/>
        </w:tabs>
        <w:numPr>
          <w:ilvl w:val="0"/>
          <w:numId w:val="2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Definitions </w:t>
      </w:r>
      <w:r>
        <w:rPr>
          <w:rFonts w:ascii="Times New Roman" w:cs="Times New Roman" w:eastAsia="Times New Roman" w:hAnsi="Times New Roman"/>
          <w:sz w:val="13"/>
          <w:szCs w:val="13"/>
          <w:color w:val="auto"/>
        </w:rPr>
        <w:t>. For the purposes of this Section 8 of these Articles Supplementary, the following terms shall have the following</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meanings:</w:t>
      </w:r>
    </w:p>
    <w:p>
      <w:pPr>
        <w:spacing w:after="0" w:line="120" w:lineRule="exact"/>
        <w:rPr>
          <w:sz w:val="20"/>
          <w:szCs w:val="20"/>
          <w:color w:val="auto"/>
        </w:rPr>
      </w:pPr>
    </w:p>
    <w:p>
      <w:pPr>
        <w:ind w:left="600" w:right="660" w:firstLine="312"/>
        <w:spacing w:after="0" w:line="275"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Closing Sale Price</w:t>
      </w:r>
      <w:r>
        <w:rPr>
          <w:rFonts w:ascii="Times New Roman" w:cs="Times New Roman" w:eastAsia="Times New Roman" w:hAnsi="Times New Roman"/>
          <w:sz w:val="13"/>
          <w:szCs w:val="13"/>
          <w:color w:val="auto"/>
        </w:rPr>
        <w:t xml:space="preserve"> ” per share of Common Stock on any date means the closing sale price per share (or, if no closing sale price is reported, the average of the bid and asked prices or, if more than one in either case, the average of the average bid and the average asked prices) on such date as reported by the NYSE or, if the Common Stock is not reported by the NYSE, in composite transactions for the principal other U.S. national or regional securities exchange on which the Common Stock is traded. If the Common Stock is not listed for trading on a U.S. national or regional securities exchange on the relevant date, the “Closing Sale Price” will be the last quoted bid price for the Common Stock in the over-the-counter market on the relevant date as reported by the National Quotation Bureau Incorporated or similar organization. If the Common Stock is not so quoted, the “Closing Sale Price” will be the average of the mid-point of the last bid and asked prices for the Common Stock on the relevant date from each of at least three independent nationally recognized investment banking firms selected by the Company for this purpose.</w:t>
      </w:r>
    </w:p>
    <w:p>
      <w:pPr>
        <w:spacing w:after="0" w:line="14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Conversion Date</w:t>
      </w:r>
      <w:r>
        <w:rPr>
          <w:rFonts w:ascii="Times New Roman" w:cs="Times New Roman" w:eastAsia="Times New Roman" w:hAnsi="Times New Roman"/>
          <w:sz w:val="13"/>
          <w:szCs w:val="13"/>
          <w:color w:val="auto"/>
        </w:rPr>
        <w:t xml:space="preserve"> ” has the meaning set forth in Section 8(b)(ii) of these Articles Supplementary.</w:t>
      </w:r>
    </w:p>
    <w:p>
      <w:pPr>
        <w:spacing w:after="0" w:line="186" w:lineRule="exact"/>
        <w:rPr>
          <w:sz w:val="20"/>
          <w:szCs w:val="20"/>
          <w:color w:val="auto"/>
        </w:rPr>
      </w:pPr>
    </w:p>
    <w:p>
      <w:pPr>
        <w:ind w:left="600" w:right="700" w:firstLine="312"/>
        <w:spacing w:after="0" w:line="308"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Conversion Option</w:t>
      </w:r>
      <w:r>
        <w:rPr>
          <w:rFonts w:ascii="Times New Roman" w:cs="Times New Roman" w:eastAsia="Times New Roman" w:hAnsi="Times New Roman"/>
          <w:sz w:val="13"/>
          <w:szCs w:val="13"/>
          <w:color w:val="auto"/>
        </w:rPr>
        <w:t xml:space="preserve"> ” means the Company’s option to convert some or all of the Series D Preferred Stock into that number of shares of Common Stock that are issuable at the then-applicable conversion rate as described in Section 8(c) of these Articles Supplementary.</w:t>
      </w:r>
    </w:p>
    <w:p>
      <w:pPr>
        <w:spacing w:after="0" w:line="120" w:lineRule="exact"/>
        <w:rPr>
          <w:sz w:val="20"/>
          <w:szCs w:val="20"/>
          <w:color w:val="auto"/>
        </w:rPr>
      </w:pPr>
    </w:p>
    <w:p>
      <w:pPr>
        <w:ind w:left="600" w:right="680" w:firstLine="312"/>
        <w:spacing w:after="0" w:line="308"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Conversion Price</w:t>
      </w:r>
      <w:r>
        <w:rPr>
          <w:rFonts w:ascii="Times New Roman" w:cs="Times New Roman" w:eastAsia="Times New Roman" w:hAnsi="Times New Roman"/>
          <w:sz w:val="13"/>
          <w:szCs w:val="13"/>
          <w:color w:val="auto"/>
        </w:rPr>
        <w:t xml:space="preserve"> ” per share of Series D Preferred Stock as of any date means the liquidation preference of such share of Series D Preferred Stock divided by the then applicable Conversion Rate.</w:t>
      </w:r>
    </w:p>
    <w:p>
      <w:pPr>
        <w:spacing w:after="0" w:line="120" w:lineRule="exact"/>
        <w:rPr>
          <w:sz w:val="20"/>
          <w:szCs w:val="20"/>
          <w:color w:val="auto"/>
        </w:rPr>
      </w:pPr>
    </w:p>
    <w:p>
      <w:pPr>
        <w:ind w:left="600" w:right="680" w:firstLine="312"/>
        <w:spacing w:after="0" w:line="308"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Conversion Rate</w:t>
      </w:r>
      <w:r>
        <w:rPr>
          <w:rFonts w:ascii="Times New Roman" w:cs="Times New Roman" w:eastAsia="Times New Roman" w:hAnsi="Times New Roman"/>
          <w:sz w:val="13"/>
          <w:szCs w:val="13"/>
          <w:color w:val="auto"/>
        </w:rPr>
        <w:t xml:space="preserve"> ” means initially 0.5955 shares of Common Stock per $25.00 liquidation preference, subject to adjustment in certain events as set forth in this Section 8 of these Articles Supplementary.</w:t>
      </w:r>
    </w:p>
    <w:p>
      <w:pPr>
        <w:spacing w:after="0" w:line="12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DTC</w:t>
      </w:r>
      <w:r>
        <w:rPr>
          <w:rFonts w:ascii="Times New Roman" w:cs="Times New Roman" w:eastAsia="Times New Roman" w:hAnsi="Times New Roman"/>
          <w:sz w:val="13"/>
          <w:szCs w:val="13"/>
          <w:color w:val="auto"/>
        </w:rPr>
        <w:t xml:space="preserve"> ” means The Depository Trust Company or any successor entity.</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681990</wp:posOffset>
            </wp:positionV>
            <wp:extent cx="5083810" cy="1524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507">
                      <a:extLst>
                        <a:ext uri="{28A0092B-C50C-407E-A947-70E740481C1C}"/>
                      </a:extLst>
                    </a:blip>
                    <a:srcRect/>
                    <a:stretch>
                      <a:fillRect/>
                    </a:stretch>
                  </pic:blipFill>
                  <pic:spPr bwMode="auto">
                    <a:xfrm>
                      <a:off x="0" y="0"/>
                      <a:ext cx="5083810" cy="15240"/>
                    </a:xfrm>
                    <a:prstGeom prst="rect">
                      <a:avLst/>
                    </a:prstGeom>
                    <a:noFill/>
                  </pic:spPr>
                </pic:pic>
              </a:graphicData>
            </a:graphic>
          </wp:anchor>
        </w:drawing>
        <w:drawing>
          <wp:anchor simplePos="0" relativeHeight="251657728" behindDoc="1" locked="0" layoutInCell="0" allowOverlap="1">
            <wp:simplePos x="0" y="0"/>
            <wp:positionH relativeFrom="column">
              <wp:posOffset>384810</wp:posOffset>
            </wp:positionH>
            <wp:positionV relativeFrom="paragraph">
              <wp:posOffset>316230</wp:posOffset>
            </wp:positionV>
            <wp:extent cx="4436110" cy="1524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508">
                      <a:extLst>
                        <a:ext uri="{28A0092B-C50C-407E-A947-70E740481C1C}"/>
                      </a:extLst>
                    </a:blip>
                    <a:srcRect/>
                    <a:stretch>
                      <a:fillRect/>
                    </a:stretch>
                  </pic:blipFill>
                  <pic:spPr bwMode="auto">
                    <a:xfrm>
                      <a:off x="0" y="0"/>
                      <a:ext cx="4436110" cy="1524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290" w:name="page291"/>
    <w:bookmarkEnd w:id="290"/>
    <w:p>
      <w:pPr>
        <w:ind w:left="90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Fundamental Change</w:t>
      </w:r>
      <w:r>
        <w:rPr>
          <w:rFonts w:ascii="Times New Roman" w:cs="Times New Roman" w:eastAsia="Times New Roman" w:hAnsi="Times New Roman"/>
          <w:sz w:val="13"/>
          <w:szCs w:val="13"/>
          <w:color w:val="auto"/>
        </w:rPr>
        <w:t xml:space="preserve"> ” shall be deemed to have occurred at such time as:</w:t>
      </w:r>
    </w:p>
    <w:p>
      <w:pPr>
        <w:spacing w:after="0" w:line="188" w:lineRule="exact"/>
        <w:rPr>
          <w:sz w:val="20"/>
          <w:szCs w:val="20"/>
          <w:color w:val="auto"/>
        </w:rPr>
      </w:pPr>
    </w:p>
    <w:p>
      <w:pPr>
        <w:ind w:left="900" w:right="680" w:firstLine="319"/>
        <w:spacing w:after="0" w:line="278" w:lineRule="auto"/>
        <w:tabs>
          <w:tab w:leader="none" w:pos="1368" w:val="left"/>
        </w:tabs>
        <w:numPr>
          <w:ilvl w:val="1"/>
          <w:numId w:val="2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consummation of any transaction or event (whether by means of a share exchange or tender offer applicable to Common Stock, a liquidation, consolidation, recapitalization, reclassification, combination or merger of the Company or a sale, lease or other transfer of all or substantially all of its consolidated assets) or a series of related transactions or events pursuant to which all of the outstanding shares of Common Stock are exchanged for, converted into or constitutes solely the right to receive cash, securities or other property more than 10% of which consists of cash, securities or other property that are not, or upon issuance will not be, traded on a national securities exchange;</w:t>
      </w:r>
    </w:p>
    <w:p>
      <w:pPr>
        <w:spacing w:after="0" w:line="142" w:lineRule="exact"/>
        <w:rPr>
          <w:rFonts w:ascii="Times New Roman" w:cs="Times New Roman" w:eastAsia="Times New Roman" w:hAnsi="Times New Roman"/>
          <w:sz w:val="13"/>
          <w:szCs w:val="13"/>
          <w:color w:val="auto"/>
        </w:rPr>
      </w:pPr>
    </w:p>
    <w:p>
      <w:pPr>
        <w:ind w:left="900" w:right="720" w:firstLine="319"/>
        <w:spacing w:after="0" w:line="275" w:lineRule="auto"/>
        <w:tabs>
          <w:tab w:leader="none" w:pos="1404" w:val="left"/>
        </w:tabs>
        <w:numPr>
          <w:ilvl w:val="1"/>
          <w:numId w:val="2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any “person” or “group” (as such terms are used for purposes of Sections 13(d) and 14(d) of the Securities Exchange Act of 1934, as amended, whether or not applicable), other than the Company, the Company’s operating partnership subsidiary, Digital Realty Trust, L.P. (the “ </w:t>
      </w:r>
      <w:r>
        <w:rPr>
          <w:rFonts w:ascii="Times New Roman" w:cs="Times New Roman" w:eastAsia="Times New Roman" w:hAnsi="Times New Roman"/>
          <w:sz w:val="13"/>
          <w:szCs w:val="13"/>
          <w:b w:val="1"/>
          <w:bCs w:val="1"/>
          <w:color w:val="auto"/>
        </w:rPr>
        <w:t>Operating Partnership</w:t>
      </w:r>
      <w:r>
        <w:rPr>
          <w:rFonts w:ascii="Times New Roman" w:cs="Times New Roman" w:eastAsia="Times New Roman" w:hAnsi="Times New Roman"/>
          <w:sz w:val="13"/>
          <w:szCs w:val="13"/>
          <w:color w:val="auto"/>
        </w:rPr>
        <w:t xml:space="preserve"> ”) or any of the Company’s or the Operating Partnership’s majority-owned subsidiaries or any employee benefit plan of the Company, the Operating Partnership or such subsidiary, is or becomes the “beneficial owner,” directly or indirectly, of more than 50% of the total voting power in the aggregate of all classes of the Company’s capital stock of then outstanding entitled to vote generally in elections of directors (for the avoidance of doubt the ownership of limited partnership units of the Operating Partnership shall not be deemed to constitute beneficial ownership of the Company’s capital stock); or</w:t>
      </w:r>
    </w:p>
    <w:p>
      <w:pPr>
        <w:spacing w:after="0" w:line="133" w:lineRule="exact"/>
        <w:rPr>
          <w:rFonts w:ascii="Times New Roman" w:cs="Times New Roman" w:eastAsia="Times New Roman" w:hAnsi="Times New Roman"/>
          <w:sz w:val="13"/>
          <w:szCs w:val="13"/>
          <w:color w:val="auto"/>
        </w:rPr>
      </w:pPr>
    </w:p>
    <w:p>
      <w:pPr>
        <w:ind w:left="900" w:right="680" w:firstLine="319"/>
        <w:spacing w:after="0" w:line="278" w:lineRule="auto"/>
        <w:tabs>
          <w:tab w:leader="none" w:pos="1440" w:val="left"/>
        </w:tabs>
        <w:numPr>
          <w:ilvl w:val="1"/>
          <w:numId w:val="2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any period of 12 consecutive months after the date of original issuance of the Series D Preferred Stock, persons who at the beginning of such 12 month period constituted the Company’s board of directors, together with any new persons whose election was approved by a vote of a majority of the persons then still comprising the Company’s board of directors who were either members of the board of directors at the beginning of such period or whose election, designation or nomination for election was previously so approved, cease for any reason to constitute a majority of the Company’s board of directors.</w:t>
      </w:r>
    </w:p>
    <w:p>
      <w:pPr>
        <w:spacing w:after="0" w:line="140" w:lineRule="exact"/>
        <w:rPr>
          <w:rFonts w:ascii="Times New Roman" w:cs="Times New Roman" w:eastAsia="Times New Roman" w:hAnsi="Times New Roman"/>
          <w:sz w:val="13"/>
          <w:szCs w:val="13"/>
          <w:color w:val="auto"/>
        </w:rPr>
      </w:pPr>
    </w:p>
    <w:p>
      <w:pPr>
        <w:ind w:left="90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Fundamental Change Conversion Right</w:t>
      </w:r>
      <w:r>
        <w:rPr>
          <w:rFonts w:ascii="Times New Roman" w:cs="Times New Roman" w:eastAsia="Times New Roman" w:hAnsi="Times New Roman"/>
          <w:sz w:val="13"/>
          <w:szCs w:val="13"/>
          <w:color w:val="auto"/>
        </w:rPr>
        <w:t xml:space="preserve"> ” has the meaning set forth in Section 8(l)(i) of these Articles Supplementary.</w:t>
      </w:r>
    </w:p>
    <w:p>
      <w:pPr>
        <w:spacing w:after="0" w:line="186" w:lineRule="exact"/>
        <w:rPr>
          <w:rFonts w:ascii="Times New Roman" w:cs="Times New Roman" w:eastAsia="Times New Roman" w:hAnsi="Times New Roman"/>
          <w:sz w:val="13"/>
          <w:szCs w:val="13"/>
          <w:color w:val="auto"/>
        </w:rPr>
      </w:pPr>
    </w:p>
    <w:p>
      <w:pPr>
        <w:ind w:left="600" w:right="680" w:firstLine="312"/>
        <w:spacing w:after="0" w:line="279"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Market Price</w:t>
      </w:r>
      <w:r>
        <w:rPr>
          <w:rFonts w:ascii="Times New Roman" w:cs="Times New Roman" w:eastAsia="Times New Roman" w:hAnsi="Times New Roman"/>
          <w:sz w:val="13"/>
          <w:szCs w:val="13"/>
          <w:color w:val="auto"/>
        </w:rPr>
        <w:t xml:space="preserve"> ” means, with respect to any Fundamental Change Conversion Date, the average of the Closing Sale Prices of the Common Stock for the ten consecutive Trading Days ending on the third Trading Day prior to the Fundamental Change Conversion Date, appropriately adjusted to take into account the occurrence, during the period commencing on the first Trading Day of such ten Trading Day period and ending on the Fundamental Change Conversion Date of any event requiring an adjustment of the Conversion Rate as described under Section 8(h); provided that in no event shall the market price be less than</w:t>
      </w:r>
    </w:p>
    <w:p>
      <w:pPr>
        <w:spacing w:after="0" w:line="5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 xml:space="preserve">$0.01, subject to adjustment for share splits and combinations, reclassifications and similar events. “ </w:t>
      </w:r>
      <w:r>
        <w:rPr>
          <w:rFonts w:ascii="Times New Roman" w:cs="Times New Roman" w:eastAsia="Times New Roman" w:hAnsi="Times New Roman"/>
          <w:sz w:val="13"/>
          <w:szCs w:val="13"/>
          <w:b w:val="1"/>
          <w:bCs w:val="1"/>
          <w:color w:val="auto"/>
        </w:rPr>
        <w:t>NYSE</w:t>
      </w:r>
      <w:r>
        <w:rPr>
          <w:rFonts w:ascii="Times New Roman" w:cs="Times New Roman" w:eastAsia="Times New Roman" w:hAnsi="Times New Roman"/>
          <w:sz w:val="13"/>
          <w:szCs w:val="13"/>
          <w:color w:val="auto"/>
        </w:rPr>
        <w:t xml:space="preserve"> ”</w:t>
      </w:r>
    </w:p>
    <w:p>
      <w:pPr>
        <w:spacing w:after="0" w:line="18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means the New York Stock Exchange, Inc.</w:t>
      </w:r>
    </w:p>
    <w:p>
      <w:pPr>
        <w:spacing w:after="0" w:line="10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SEC</w:t>
      </w:r>
      <w:r>
        <w:rPr>
          <w:rFonts w:ascii="Times New Roman" w:cs="Times New Roman" w:eastAsia="Times New Roman" w:hAnsi="Times New Roman"/>
          <w:sz w:val="13"/>
          <w:szCs w:val="13"/>
          <w:color w:val="auto"/>
        </w:rPr>
        <w:t xml:space="preserve"> ” means the U.S. Securities and Exchange Commission.</w:t>
      </w:r>
    </w:p>
    <w:p>
      <w:pPr>
        <w:spacing w:after="0" w:line="200" w:lineRule="exact"/>
        <w:rPr>
          <w:sz w:val="20"/>
          <w:szCs w:val="20"/>
          <w:color w:val="auto"/>
        </w:rPr>
      </w:pPr>
    </w:p>
    <w:p>
      <w:pPr>
        <w:spacing w:after="0" w:line="3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674370</wp:posOffset>
            </wp:positionV>
            <wp:extent cx="5083810" cy="1524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509">
                      <a:extLst>
                        <a:ext uri="{28A0092B-C50C-407E-A947-70E740481C1C}"/>
                      </a:extLst>
                    </a:blip>
                    <a:srcRect/>
                    <a:stretch>
                      <a:fillRect/>
                    </a:stretch>
                  </pic:blipFill>
                  <pic:spPr bwMode="auto">
                    <a:xfrm>
                      <a:off x="0" y="0"/>
                      <a:ext cx="5083810" cy="15240"/>
                    </a:xfrm>
                    <a:prstGeom prst="rect">
                      <a:avLst/>
                    </a:prstGeom>
                    <a:noFill/>
                  </pic:spPr>
                </pic:pic>
              </a:graphicData>
            </a:graphic>
          </wp:anchor>
        </w:drawing>
        <w:drawing>
          <wp:anchor simplePos="0" relativeHeight="251657728" behindDoc="1" locked="0" layoutInCell="0" allowOverlap="1">
            <wp:simplePos x="0" y="0"/>
            <wp:positionH relativeFrom="column">
              <wp:posOffset>384810</wp:posOffset>
            </wp:positionH>
            <wp:positionV relativeFrom="paragraph">
              <wp:posOffset>316230</wp:posOffset>
            </wp:positionV>
            <wp:extent cx="4436110" cy="762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510">
                      <a:extLst>
                        <a:ext uri="{28A0092B-C50C-407E-A947-70E740481C1C}"/>
                      </a:extLst>
                    </a:blip>
                    <a:srcRect/>
                    <a:stretch>
                      <a:fillRect/>
                    </a:stretch>
                  </pic:blipFill>
                  <pic:spPr bwMode="auto">
                    <a:xfrm>
                      <a:off x="0" y="0"/>
                      <a:ext cx="443611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291" w:name="page292"/>
    <w:bookmarkEnd w:id="291"/>
    <w:p>
      <w:pPr>
        <w:ind w:left="600" w:right="580" w:firstLine="312"/>
        <w:spacing w:after="0" w:line="282"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Trading Day</w:t>
      </w:r>
      <w:r>
        <w:rPr>
          <w:rFonts w:ascii="Times New Roman" w:cs="Times New Roman" w:eastAsia="Times New Roman" w:hAnsi="Times New Roman"/>
          <w:sz w:val="13"/>
          <w:szCs w:val="13"/>
          <w:color w:val="auto"/>
        </w:rPr>
        <w:t xml:space="preserve"> ” means a day during which trading in securities generally occurs on the NYSE or, if the Common Stock is not quoted on the NYSE, then a day during which trading in securities generally occurs on the principal U.S. securities exchange on which the Common Stock is listed or, if the Common Stock is not listed on a U.S. national or regional securities exchange, then on the principal other market on which the Common Stock is then traded or quoted.</w:t>
      </w:r>
    </w:p>
    <w:p>
      <w:pPr>
        <w:spacing w:after="0" w:line="138" w:lineRule="exact"/>
        <w:rPr>
          <w:sz w:val="20"/>
          <w:szCs w:val="20"/>
          <w:color w:val="auto"/>
        </w:rPr>
      </w:pPr>
    </w:p>
    <w:p>
      <w:pPr>
        <w:ind w:left="1080" w:hanging="174"/>
        <w:spacing w:after="0"/>
        <w:tabs>
          <w:tab w:leader="none" w:pos="1080" w:val="left"/>
        </w:tabs>
        <w:numPr>
          <w:ilvl w:val="0"/>
          <w:numId w:val="2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Conversion at Holder’s Option </w:t>
      </w:r>
      <w:r>
        <w:rPr>
          <w:rFonts w:ascii="Times New Roman" w:cs="Times New Roman" w:eastAsia="Times New Roman" w:hAnsi="Times New Roman"/>
          <w:sz w:val="13"/>
          <w:szCs w:val="13"/>
          <w:color w:val="auto"/>
        </w:rPr>
        <w:t>.</w:t>
      </w:r>
    </w:p>
    <w:p>
      <w:pPr>
        <w:spacing w:after="0" w:line="189" w:lineRule="exact"/>
        <w:rPr>
          <w:sz w:val="20"/>
          <w:szCs w:val="20"/>
          <w:color w:val="auto"/>
        </w:rPr>
      </w:pPr>
    </w:p>
    <w:p>
      <w:pPr>
        <w:ind w:left="900" w:right="740" w:firstLine="312"/>
        <w:spacing w:after="0" w:line="305" w:lineRule="auto"/>
        <w:rPr>
          <w:sz w:val="20"/>
          <w:szCs w:val="20"/>
          <w:color w:val="auto"/>
        </w:rPr>
      </w:pPr>
      <w:r>
        <w:rPr>
          <w:rFonts w:ascii="Times New Roman" w:cs="Times New Roman" w:eastAsia="Times New Roman" w:hAnsi="Times New Roman"/>
          <w:sz w:val="13"/>
          <w:szCs w:val="13"/>
          <w:color w:val="auto"/>
        </w:rPr>
        <w:t>(i) Holders of shares of Series D Preferred Stock, at their option, may, at any time and from time to time, convert some or all of their outstanding shares of Series D Preferred Stock into Common Stock at the then applicable Conversion Rate.</w:t>
      </w:r>
    </w:p>
    <w:p>
      <w:pPr>
        <w:spacing w:after="0" w:line="124" w:lineRule="exact"/>
        <w:rPr>
          <w:sz w:val="20"/>
          <w:szCs w:val="20"/>
          <w:color w:val="auto"/>
        </w:rPr>
      </w:pPr>
    </w:p>
    <w:p>
      <w:pPr>
        <w:ind w:left="900" w:right="700" w:firstLine="319"/>
        <w:spacing w:after="0" w:line="278" w:lineRule="auto"/>
        <w:tabs>
          <w:tab w:leader="none" w:pos="1404" w:val="left"/>
        </w:tabs>
        <w:numPr>
          <w:ilvl w:val="0"/>
          <w:numId w:val="2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Company shall not issue fractional shares of Common Stock upon the conversion of shares of Series D Preferred Stock. Instead, the Company shall pay the cash value of such fractional shares based upon the Closing Sale Price of its Common Stock on the Trading Day (as defined in this Section 8) immediately prior to (A) the date on which the certificate or certificates representing the shares of Series D Preferred Stock to be converted are surrendered, accompanied by a written notice of conversion and any required transfer taxes (the “ </w:t>
      </w:r>
      <w:r>
        <w:rPr>
          <w:rFonts w:ascii="Times New Roman" w:cs="Times New Roman" w:eastAsia="Times New Roman" w:hAnsi="Times New Roman"/>
          <w:sz w:val="13"/>
          <w:szCs w:val="13"/>
          <w:b w:val="1"/>
          <w:bCs w:val="1"/>
          <w:color w:val="auto"/>
        </w:rPr>
        <w:t>Conversion Date</w:t>
      </w:r>
      <w:r>
        <w:rPr>
          <w:rFonts w:ascii="Times New Roman" w:cs="Times New Roman" w:eastAsia="Times New Roman" w:hAnsi="Times New Roman"/>
          <w:sz w:val="13"/>
          <w:szCs w:val="13"/>
          <w:color w:val="auto"/>
        </w:rPr>
        <w:t xml:space="preserve"> ”), or (B) the effective date for the Company’s Conversion Option, as the case may be.</w:t>
      </w:r>
    </w:p>
    <w:p>
      <w:pPr>
        <w:spacing w:after="0" w:line="142" w:lineRule="exact"/>
        <w:rPr>
          <w:rFonts w:ascii="Times New Roman" w:cs="Times New Roman" w:eastAsia="Times New Roman" w:hAnsi="Times New Roman"/>
          <w:sz w:val="13"/>
          <w:szCs w:val="13"/>
          <w:color w:val="auto"/>
        </w:rPr>
      </w:pPr>
    </w:p>
    <w:p>
      <w:pPr>
        <w:jc w:val="both"/>
        <w:ind w:left="900" w:right="820" w:firstLine="319"/>
        <w:spacing w:after="0" w:line="281" w:lineRule="auto"/>
        <w:tabs>
          <w:tab w:leader="none" w:pos="1440" w:val="left"/>
        </w:tabs>
        <w:numPr>
          <w:ilvl w:val="0"/>
          <w:numId w:val="2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holder of shares of Series D Preferred Stock is not entitled to any rights of a common stockholder of the Company until such holder of shares of Series D Preferred Stock has converted its shares of Series D Preferred Stock or unless the Company has exercised its Conversion Option, and only to the extent the shares of Series D Preferred Stock are deemed to have been converted into shares of Common Stock under these Articles Supplementary.</w:t>
      </w:r>
    </w:p>
    <w:p>
      <w:pPr>
        <w:spacing w:after="0" w:line="140" w:lineRule="exact"/>
        <w:rPr>
          <w:rFonts w:ascii="Times New Roman" w:cs="Times New Roman" w:eastAsia="Times New Roman" w:hAnsi="Times New Roman"/>
          <w:sz w:val="13"/>
          <w:szCs w:val="13"/>
          <w:color w:val="auto"/>
        </w:rPr>
      </w:pPr>
    </w:p>
    <w:p>
      <w:pPr>
        <w:ind w:left="900" w:right="760" w:firstLine="319"/>
        <w:spacing w:after="0" w:line="287" w:lineRule="auto"/>
        <w:tabs>
          <w:tab w:leader="none" w:pos="1428" w:val="left"/>
        </w:tabs>
        <w:numPr>
          <w:ilvl w:val="0"/>
          <w:numId w:val="2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anything herein to the contrary, holders of shares of Series D Preferred Stock may not convert their outstanding shares of Series D Preferred Stock into Common Stock if such conversion would cause the holder to violate the Aggregate Stock Ownership Limit or Common Stock Ownership Limit or otherwise result in the Company failing to qualify as a REIT.</w:t>
      </w:r>
    </w:p>
    <w:p>
      <w:pPr>
        <w:spacing w:after="0" w:line="133" w:lineRule="exact"/>
        <w:rPr>
          <w:rFonts w:ascii="Times New Roman" w:cs="Times New Roman" w:eastAsia="Times New Roman" w:hAnsi="Times New Roman"/>
          <w:sz w:val="13"/>
          <w:szCs w:val="13"/>
          <w:color w:val="auto"/>
        </w:rPr>
      </w:pPr>
    </w:p>
    <w:p>
      <w:pPr>
        <w:ind w:left="900" w:right="600" w:firstLine="319"/>
        <w:spacing w:after="0" w:line="275" w:lineRule="auto"/>
        <w:tabs>
          <w:tab w:leader="none" w:pos="1392" w:val="left"/>
        </w:tabs>
        <w:numPr>
          <w:ilvl w:val="0"/>
          <w:numId w:val="2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Conversion Procedures </w:t>
      </w:r>
      <w:r>
        <w:rPr>
          <w:rFonts w:ascii="Times New Roman" w:cs="Times New Roman" w:eastAsia="Times New Roman" w:hAnsi="Times New Roman"/>
          <w:sz w:val="13"/>
          <w:szCs w:val="13"/>
          <w:color w:val="auto"/>
        </w:rPr>
        <w:t>. Holders of shares of Series D Preferred Stock may convert some or all of their shares by surrendering to</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Company at its principal office or at the office of its transfer agent, as may be designated by the Board of Directors, the certificate or certificates for the shares of Series D Preferred Stock to be converted, accompanied by a written notice stating that the holder of shares of Series D Preferred Stock elects to convert all or a specified whole number of those shares in accordance with the provisions described in this Section 8 and specifying the name or names in which the holder of shares of Series D Preferred Stock wishes the certificate or certificates for the shares of Common Stock to be issued. If the notice specifies a name or names other than the name of the holder of shares of Series D Preferred Stock, the notice shall be accompanied by payment of all transfer taxes payable upon the issuance of shares of Common Stock in that name or names. Other than such transfer taxes,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335280</wp:posOffset>
            </wp:positionV>
            <wp:extent cx="5083810" cy="1524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511">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316230</wp:posOffset>
            </wp:positionV>
            <wp:extent cx="4436110" cy="1524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512">
                      <a:extLst>
                        <a:ext uri="{28A0092B-C50C-407E-A947-70E740481C1C}"/>
                      </a:extLst>
                    </a:blip>
                    <a:srcRect/>
                    <a:stretch>
                      <a:fillRect/>
                    </a:stretch>
                  </pic:blipFill>
                  <pic:spPr bwMode="auto">
                    <a:xfrm>
                      <a:off x="0" y="0"/>
                      <a:ext cx="4436110" cy="1524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292" w:name="page293"/>
    <w:bookmarkEnd w:id="292"/>
    <w:p>
      <w:pPr>
        <w:ind w:left="900" w:right="600"/>
        <w:spacing w:after="0" w:line="270" w:lineRule="auto"/>
        <w:rPr>
          <w:sz w:val="20"/>
          <w:szCs w:val="20"/>
          <w:color w:val="auto"/>
        </w:rPr>
      </w:pPr>
      <w:r>
        <w:rPr>
          <w:rFonts w:ascii="Times New Roman" w:cs="Times New Roman" w:eastAsia="Times New Roman" w:hAnsi="Times New Roman"/>
          <w:sz w:val="13"/>
          <w:szCs w:val="13"/>
          <w:color w:val="auto"/>
        </w:rPr>
        <w:t>Company shall pay any documentary, stamp or similar issue or transfer taxes that may be payable in respect of any issuance or delivery of shares of Common Stock upon conversion of shares of Series D Preferred Stock. The date on which the Company has received all of the surrendered certificate or certificates, the notice relating to the conversion and payment of all required transfer taxes, if any, or the demonstration to the Company’s satisfaction that those taxes have been paid, shall be deemed the Conversion Date with respect to a share of Series D Preferred Stock. As promptly as practicable after the Conversion Date with respect to any shares of Series D Preferred Stock, the Company shall deliver or cause to be delivered</w:t>
      </w:r>
    </w:p>
    <w:p>
      <w:pPr>
        <w:spacing w:after="0" w:line="3" w:lineRule="exact"/>
        <w:rPr>
          <w:sz w:val="20"/>
          <w:szCs w:val="20"/>
          <w:color w:val="auto"/>
        </w:rPr>
      </w:pPr>
    </w:p>
    <w:p>
      <w:pPr>
        <w:ind w:left="900" w:right="620" w:firstLine="6"/>
        <w:spacing w:after="0" w:line="274" w:lineRule="auto"/>
        <w:tabs>
          <w:tab w:leader="none" w:pos="1116" w:val="left"/>
        </w:tabs>
        <w:numPr>
          <w:ilvl w:val="0"/>
          <w:numId w:val="2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certificates representing the number of validly issued, fully paid and non-assessable shares of Common Stock to which the holders of shares of such Series D Preferred Stock, or the transferee of the holder of such shares of Series D Preferred Stock, shall be entitled and (B) if less than the full number of shares of Series D Preferred Stock represented by the surrendered certificate or certificates is being converted, a new certificate or certificates, of like tenor, for the number of shares represented by the surrendered certificate or certificates, less the number of shares being converted. This conversion shall be deemed to have been made at the close of business on the Conversion Date so that the rights of the holder of shares of Series D Preferred Stock as to the shares being converted shall cease except for the right to receive the conversion value, and, if applicable, the person entitled to receive shares of Common Stock shall be treated for all purposes as having become the record holder of those shares of Common Stock at that time on that date.</w:t>
      </w:r>
    </w:p>
    <w:p>
      <w:pPr>
        <w:spacing w:after="0" w:line="131" w:lineRule="exact"/>
        <w:rPr>
          <w:rFonts w:ascii="Times New Roman" w:cs="Times New Roman" w:eastAsia="Times New Roman" w:hAnsi="Times New Roman"/>
          <w:sz w:val="13"/>
          <w:szCs w:val="13"/>
          <w:color w:val="auto"/>
        </w:rPr>
      </w:pPr>
    </w:p>
    <w:p>
      <w:pPr>
        <w:jc w:val="both"/>
        <w:ind w:left="900" w:right="780" w:firstLine="319"/>
        <w:spacing w:after="0" w:line="287" w:lineRule="auto"/>
        <w:tabs>
          <w:tab w:leader="none" w:pos="1428" w:val="left"/>
        </w:tabs>
        <w:numPr>
          <w:ilvl w:val="1"/>
          <w:numId w:val="2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lieu of the foregoing procedures, if the Series D Preferred Stock is held in global certificate form, the holder of shares of Series D Preferred Stock must comply with the procedures of DTC to convert its beneficial interest in respect of the Series D Preferred Stock represented by a global stock certificate of the Series D Preferred Stock.</w:t>
      </w:r>
    </w:p>
    <w:p>
      <w:pPr>
        <w:spacing w:after="0" w:line="135" w:lineRule="exact"/>
        <w:rPr>
          <w:rFonts w:ascii="Times New Roman" w:cs="Times New Roman" w:eastAsia="Times New Roman" w:hAnsi="Times New Roman"/>
          <w:sz w:val="13"/>
          <w:szCs w:val="13"/>
          <w:color w:val="auto"/>
        </w:rPr>
      </w:pPr>
    </w:p>
    <w:p>
      <w:pPr>
        <w:ind w:left="1480" w:hanging="261"/>
        <w:spacing w:after="0"/>
        <w:tabs>
          <w:tab w:leader="none" w:pos="1480" w:val="left"/>
        </w:tabs>
        <w:numPr>
          <w:ilvl w:val="1"/>
          <w:numId w:val="2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any shares of Series D Preferred Stock are to be converted pursuant to the Company’s Conversion Option, the right of a</w:t>
      </w:r>
    </w:p>
    <w:p>
      <w:pPr>
        <w:spacing w:after="0" w:line="22" w:lineRule="exact"/>
        <w:rPr>
          <w:sz w:val="20"/>
          <w:szCs w:val="20"/>
          <w:color w:val="auto"/>
        </w:rPr>
      </w:pPr>
    </w:p>
    <w:p>
      <w:pPr>
        <w:ind w:left="900" w:right="1120"/>
        <w:spacing w:after="0" w:line="284" w:lineRule="auto"/>
        <w:rPr>
          <w:sz w:val="20"/>
          <w:szCs w:val="20"/>
          <w:color w:val="auto"/>
        </w:rPr>
      </w:pPr>
      <w:r>
        <w:rPr>
          <w:rFonts w:ascii="Times New Roman" w:cs="Times New Roman" w:eastAsia="Times New Roman" w:hAnsi="Times New Roman"/>
          <w:sz w:val="13"/>
          <w:szCs w:val="13"/>
          <w:color w:val="auto"/>
        </w:rPr>
        <w:t>holder of such to voluntarily convert those shares of Series D Preferred Stock shall terminate if the Company has not received the conversion notice of such holder of such shares of Series D Preferred Stock by 5:00 p.m., New York City time, on the business day immediately preceding the date fixed for conversion pursuant to the Company’s Conversion Option.</w:t>
      </w:r>
    </w:p>
    <w:p>
      <w:pPr>
        <w:spacing w:after="0" w:line="138" w:lineRule="exact"/>
        <w:rPr>
          <w:sz w:val="20"/>
          <w:szCs w:val="20"/>
          <w:color w:val="auto"/>
        </w:rPr>
      </w:pPr>
    </w:p>
    <w:p>
      <w:pPr>
        <w:ind w:left="900" w:right="780" w:firstLine="312"/>
        <w:spacing w:after="0" w:line="287" w:lineRule="auto"/>
        <w:rPr>
          <w:sz w:val="20"/>
          <w:szCs w:val="20"/>
          <w:color w:val="auto"/>
        </w:rPr>
      </w:pPr>
      <w:r>
        <w:rPr>
          <w:rFonts w:ascii="Times New Roman" w:cs="Times New Roman" w:eastAsia="Times New Roman" w:hAnsi="Times New Roman"/>
          <w:sz w:val="13"/>
          <w:szCs w:val="13"/>
          <w:color w:val="auto"/>
        </w:rPr>
        <w:t>(viii) If more than one share of Series D Preferred Stock is surrendered for conversion by the same holder at the same time, the number of whole shares of Common Stock issuable upon conversion of those shares of Series D Preferred Stock shall be computed on the basis of the total number of shares of Series D Preferred Stock so surrendered.</w:t>
      </w:r>
    </w:p>
    <w:p>
      <w:pPr>
        <w:spacing w:after="0" w:line="134" w:lineRule="exact"/>
        <w:rPr>
          <w:sz w:val="20"/>
          <w:szCs w:val="20"/>
          <w:color w:val="auto"/>
        </w:rPr>
      </w:pPr>
    </w:p>
    <w:p>
      <w:pPr>
        <w:ind w:left="1080" w:hanging="174"/>
        <w:spacing w:after="0"/>
        <w:tabs>
          <w:tab w:leader="none" w:pos="1080" w:val="left"/>
        </w:tabs>
        <w:numPr>
          <w:ilvl w:val="0"/>
          <w:numId w:val="2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Company Conversion Option </w:t>
      </w:r>
      <w:r>
        <w:rPr>
          <w:rFonts w:ascii="Times New Roman" w:cs="Times New Roman" w:eastAsia="Times New Roman" w:hAnsi="Times New Roman"/>
          <w:sz w:val="13"/>
          <w:szCs w:val="13"/>
          <w:color w:val="auto"/>
        </w:rPr>
        <w:t>.</w:t>
      </w:r>
    </w:p>
    <w:p>
      <w:pPr>
        <w:spacing w:after="0" w:line="188" w:lineRule="exact"/>
        <w:rPr>
          <w:rFonts w:ascii="Times New Roman" w:cs="Times New Roman" w:eastAsia="Times New Roman" w:hAnsi="Times New Roman"/>
          <w:sz w:val="13"/>
          <w:szCs w:val="13"/>
          <w:color w:val="auto"/>
        </w:rPr>
      </w:pPr>
    </w:p>
    <w:p>
      <w:pPr>
        <w:ind w:left="900" w:right="760" w:firstLine="319"/>
        <w:spacing w:after="0" w:line="281" w:lineRule="auto"/>
        <w:tabs>
          <w:tab w:leader="none" w:pos="1368" w:val="left"/>
        </w:tabs>
        <w:numPr>
          <w:ilvl w:val="1"/>
          <w:numId w:val="2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or after February 6, 2013, the Company may exercise its Conversion Option, as described below, but only if (A) the Closing Sale Price of the Common Stock equals or exceeds 130% of the then-applicable Conversion Price per share of the Series D Preferred Stock for at least 20 Trading Days in a period of 30 consecutive Trading Days (including the last Trading Day of such period) ending on the Trading Day immediately</w:t>
      </w:r>
    </w:p>
    <w:p>
      <w:pPr>
        <w:spacing w:after="0" w:line="39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316230</wp:posOffset>
            </wp:positionV>
            <wp:extent cx="4436110" cy="1524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513">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-10795</wp:posOffset>
            </wp:positionV>
            <wp:extent cx="5083810" cy="1524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514">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93" w:name="page294"/>
    <w:bookmarkEnd w:id="293"/>
    <w:p>
      <w:pPr>
        <w:ind w:left="900" w:right="680"/>
        <w:spacing w:after="0" w:line="287" w:lineRule="auto"/>
        <w:rPr>
          <w:sz w:val="20"/>
          <w:szCs w:val="20"/>
          <w:color w:val="auto"/>
        </w:rPr>
      </w:pPr>
      <w:r>
        <w:rPr>
          <w:rFonts w:ascii="Times New Roman" w:cs="Times New Roman" w:eastAsia="Times New Roman" w:hAnsi="Times New Roman"/>
          <w:sz w:val="13"/>
          <w:szCs w:val="13"/>
          <w:color w:val="auto"/>
        </w:rPr>
        <w:t>prior to the Company’s issuance of a press release announcing the exercise of its Conversion Option as described below in paragraph (iii); and (B) on or prior to the Effective Date of the exercise of its Conversion Option, the Company has either declared and paid, or declared and set apart for payment, any unpaid dividends that are in arrears on the Series D Preferred Stock.</w:t>
      </w:r>
    </w:p>
    <w:p>
      <w:pPr>
        <w:spacing w:after="0" w:line="136" w:lineRule="exact"/>
        <w:rPr>
          <w:sz w:val="20"/>
          <w:szCs w:val="20"/>
          <w:color w:val="auto"/>
        </w:rPr>
      </w:pPr>
    </w:p>
    <w:p>
      <w:pPr>
        <w:ind w:left="900" w:right="620" w:firstLine="319"/>
        <w:spacing w:after="0" w:line="276" w:lineRule="auto"/>
        <w:tabs>
          <w:tab w:leader="none" w:pos="1404" w:val="left"/>
        </w:tabs>
        <w:numPr>
          <w:ilvl w:val="1"/>
          <w:numId w:val="2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Company converts less than all of the outstanding shares of Series D Preferred Stock, the Company’s transfer agent shall select the shares by lot, on a pro rata basis or in accordance with any other method the transfer agent considers fair and appropriate. The Company may convert the Series D Preferred Stock only in a whole number of shares of Series D Preferred Stock. If a portion of a holder’s Series D Preferred Stock is selected for partial conversion by the Company and the holder converts a portion of such Series D Preferred Stock, the number of shares of Series D Preferred Stock subject to conversion by the Company shall be reduced by the number of shares that the holder converted.</w:t>
      </w:r>
    </w:p>
    <w:p>
      <w:pPr>
        <w:spacing w:after="0" w:line="144" w:lineRule="exact"/>
        <w:rPr>
          <w:rFonts w:ascii="Times New Roman" w:cs="Times New Roman" w:eastAsia="Times New Roman" w:hAnsi="Times New Roman"/>
          <w:sz w:val="13"/>
          <w:szCs w:val="13"/>
          <w:color w:val="auto"/>
        </w:rPr>
      </w:pPr>
    </w:p>
    <w:p>
      <w:pPr>
        <w:ind w:left="900" w:right="680" w:firstLine="319"/>
        <w:spacing w:after="0" w:line="273" w:lineRule="auto"/>
        <w:tabs>
          <w:tab w:leader="none" w:pos="1440" w:val="left"/>
        </w:tabs>
        <w:numPr>
          <w:ilvl w:val="1"/>
          <w:numId w:val="2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exercise its Conversion Option described above, the Company shall issue a press release for publication on the Dow Jones &amp; Company, Inc., Business Wire or Bloomberg Business News (or, if such organizations are not in existence at the time of issuance of such press release, such other news or press organization as is reasonably calculated to broadly disseminate the relevant information to the public) prior to the opening of business on the first Trading Day following any date on which the conditions described in Section 8(c)(i) are met, announcing such conversion. The Company shall also give notice by mail or by publication (with subsequent prompt notice by mail) to holders of shares of Series D Preferred Stock (not more than four Trading Days after the date of the press release) and, if required by the rules and regulations of the SEC, the Company shall file a Current Report on Form 8-K (or make such other filing on an appropriate form as may be permitted by the rules and regulations of the SEC), of the exercise of the Company’s Conversion Option announcing its intention to convert Series D Preferred Stock. The Effective Date for the Company’s Conversion Option shall be the date that is five Trading Days after the date on which the Company issues such press release.</w:t>
      </w:r>
    </w:p>
    <w:p>
      <w:pPr>
        <w:spacing w:after="0" w:line="136" w:lineRule="exact"/>
        <w:rPr>
          <w:rFonts w:ascii="Times New Roman" w:cs="Times New Roman" w:eastAsia="Times New Roman" w:hAnsi="Times New Roman"/>
          <w:sz w:val="13"/>
          <w:szCs w:val="13"/>
          <w:color w:val="auto"/>
        </w:rPr>
      </w:pPr>
    </w:p>
    <w:p>
      <w:pPr>
        <w:ind w:left="900" w:right="660" w:firstLine="319"/>
        <w:spacing w:after="0" w:line="276" w:lineRule="auto"/>
        <w:tabs>
          <w:tab w:leader="none" w:pos="1428" w:val="left"/>
        </w:tabs>
        <w:numPr>
          <w:ilvl w:val="1"/>
          <w:numId w:val="2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addition to any information required by applicable law or regulation, the press release and notice of the exercise of the Company’s Conversion Option referred to in paragraph (iii) above shall state, as appropriate: (A) the Effective Date for its Conversion Option; (B) the number of shares of Common Stock to be issued upon conversion of each share of Series D Preferred Stock; (C) the number of shares of Series D Preferred Stock to be converted; and (D) that dividends on the shares of Series D Preferred Stock to be converted shall cease to accrue on the Effective Date for the Company’s Conversion Option (and no dividends on such converted shares shall be payable except as provided in these Articles Supplementary).</w:t>
      </w:r>
    </w:p>
    <w:p>
      <w:pPr>
        <w:spacing w:after="0" w:line="142" w:lineRule="exact"/>
        <w:rPr>
          <w:rFonts w:ascii="Times New Roman" w:cs="Times New Roman" w:eastAsia="Times New Roman" w:hAnsi="Times New Roman"/>
          <w:sz w:val="13"/>
          <w:szCs w:val="13"/>
          <w:color w:val="auto"/>
        </w:rPr>
      </w:pPr>
    </w:p>
    <w:p>
      <w:pPr>
        <w:ind w:left="600" w:right="780" w:firstLine="306"/>
        <w:spacing w:after="0" w:line="308" w:lineRule="auto"/>
        <w:tabs>
          <w:tab w:leader="none" w:pos="1092" w:val="left"/>
        </w:tabs>
        <w:numPr>
          <w:ilvl w:val="0"/>
          <w:numId w:val="2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Reservation of Shares </w:t>
      </w:r>
      <w:r>
        <w:rPr>
          <w:rFonts w:ascii="Times New Roman" w:cs="Times New Roman" w:eastAsia="Times New Roman" w:hAnsi="Times New Roman"/>
          <w:sz w:val="13"/>
          <w:szCs w:val="13"/>
          <w:color w:val="auto"/>
        </w:rPr>
        <w:t>. The Company shall at all times reserve and keep available, free from preemptive rights out of the Company’s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authorized but unissued shares of capital stock, for issuance upon the conversion of shares of Series D Preferred Stock, a number</w:t>
      </w:r>
    </w:p>
    <w:p>
      <w:pPr>
        <w:spacing w:after="0" w:line="200" w:lineRule="exact"/>
        <w:rPr>
          <w:sz w:val="20"/>
          <w:szCs w:val="20"/>
          <w:color w:val="auto"/>
        </w:rPr>
      </w:pPr>
    </w:p>
    <w:p>
      <w:pPr>
        <w:spacing w:after="0" w:line="3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674370</wp:posOffset>
            </wp:positionV>
            <wp:extent cx="5083810" cy="1524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515">
                      <a:extLst>
                        <a:ext uri="{28A0092B-C50C-407E-A947-70E740481C1C}"/>
                      </a:extLst>
                    </a:blip>
                    <a:srcRect/>
                    <a:stretch>
                      <a:fillRect/>
                    </a:stretch>
                  </pic:blipFill>
                  <pic:spPr bwMode="auto">
                    <a:xfrm>
                      <a:off x="0" y="0"/>
                      <a:ext cx="5083810" cy="15240"/>
                    </a:xfrm>
                    <a:prstGeom prst="rect">
                      <a:avLst/>
                    </a:prstGeom>
                    <a:noFill/>
                  </pic:spPr>
                </pic:pic>
              </a:graphicData>
            </a:graphic>
          </wp:anchor>
        </w:drawing>
        <w:drawing>
          <wp:anchor simplePos="0" relativeHeight="251657728" behindDoc="1" locked="0" layoutInCell="0" allowOverlap="1">
            <wp:simplePos x="0" y="0"/>
            <wp:positionH relativeFrom="column">
              <wp:posOffset>384810</wp:posOffset>
            </wp:positionH>
            <wp:positionV relativeFrom="paragraph">
              <wp:posOffset>316230</wp:posOffset>
            </wp:positionV>
            <wp:extent cx="4436110" cy="1524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516">
                      <a:extLst>
                        <a:ext uri="{28A0092B-C50C-407E-A947-70E740481C1C}"/>
                      </a:extLst>
                    </a:blip>
                    <a:srcRect/>
                    <a:stretch>
                      <a:fillRect/>
                    </a:stretch>
                  </pic:blipFill>
                  <pic:spPr bwMode="auto">
                    <a:xfrm>
                      <a:off x="0" y="0"/>
                      <a:ext cx="44361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94" w:name="page295"/>
    <w:bookmarkEnd w:id="294"/>
    <w:p>
      <w:pPr>
        <w:ind w:left="600" w:right="1000"/>
        <w:spacing w:after="0" w:line="305" w:lineRule="auto"/>
        <w:rPr>
          <w:sz w:val="20"/>
          <w:szCs w:val="20"/>
          <w:color w:val="auto"/>
        </w:rPr>
      </w:pPr>
      <w:r>
        <w:rPr>
          <w:rFonts w:ascii="Times New Roman" w:cs="Times New Roman" w:eastAsia="Times New Roman" w:hAnsi="Times New Roman"/>
          <w:sz w:val="13"/>
          <w:szCs w:val="13"/>
          <w:color w:val="auto"/>
        </w:rPr>
        <w:t>of the Company’s authorized but unissued shares of Common Stock that shall from time to time be sufficient to permit the conversion of all outstanding shares of Series D Preferred Stock.</w:t>
      </w:r>
    </w:p>
    <w:p>
      <w:pPr>
        <w:spacing w:after="0" w:line="122" w:lineRule="exact"/>
        <w:rPr>
          <w:sz w:val="20"/>
          <w:szCs w:val="20"/>
          <w:color w:val="auto"/>
        </w:rPr>
      </w:pPr>
    </w:p>
    <w:p>
      <w:pPr>
        <w:jc w:val="both"/>
        <w:ind w:left="600" w:right="660" w:firstLine="306"/>
        <w:spacing w:after="0" w:line="282" w:lineRule="auto"/>
        <w:tabs>
          <w:tab w:leader="none" w:pos="1080" w:val="left"/>
        </w:tabs>
        <w:numPr>
          <w:ilvl w:val="0"/>
          <w:numId w:val="2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Compliance with Laws; Validity, etc., of Common Stock </w:t>
      </w:r>
      <w:r>
        <w:rPr>
          <w:rFonts w:ascii="Times New Roman" w:cs="Times New Roman" w:eastAsia="Times New Roman" w:hAnsi="Times New Roman"/>
          <w:sz w:val="13"/>
          <w:szCs w:val="13"/>
          <w:color w:val="auto"/>
        </w:rPr>
        <w:t>. Before the delivery of any securities upon conversion of shares of Series 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Preferred Stock, the Company shall comply with all applicable federal and state laws and regulations. All shares of Common Stock delivered upon conversion of shares of Series D Preferred Stock shall, upon delivery, be duly and validly issued, fully paid and non-assessable, free of all liens and charges and not subject to any preemptive rights.</w:t>
      </w:r>
    </w:p>
    <w:p>
      <w:pPr>
        <w:spacing w:after="0" w:line="137" w:lineRule="exact"/>
        <w:rPr>
          <w:rFonts w:ascii="Times New Roman" w:cs="Times New Roman" w:eastAsia="Times New Roman" w:hAnsi="Times New Roman"/>
          <w:sz w:val="13"/>
          <w:szCs w:val="13"/>
          <w:color w:val="auto"/>
        </w:rPr>
      </w:pPr>
    </w:p>
    <w:p>
      <w:pPr>
        <w:ind w:left="1060" w:hanging="154"/>
        <w:spacing w:after="0"/>
        <w:tabs>
          <w:tab w:leader="none" w:pos="1060" w:val="left"/>
        </w:tabs>
        <w:numPr>
          <w:ilvl w:val="0"/>
          <w:numId w:val="2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Payment of Dividends Upon Conversion; Optional Conversion </w:t>
      </w:r>
      <w:r>
        <w:rPr>
          <w:rFonts w:ascii="Times New Roman" w:cs="Times New Roman" w:eastAsia="Times New Roman" w:hAnsi="Times New Roman"/>
          <w:sz w:val="13"/>
          <w:szCs w:val="13"/>
          <w:color w:val="auto"/>
        </w:rPr>
        <w:t>.</w:t>
      </w:r>
    </w:p>
    <w:p>
      <w:pPr>
        <w:spacing w:after="0" w:line="188" w:lineRule="exact"/>
        <w:rPr>
          <w:rFonts w:ascii="Times New Roman" w:cs="Times New Roman" w:eastAsia="Times New Roman" w:hAnsi="Times New Roman"/>
          <w:sz w:val="13"/>
          <w:szCs w:val="13"/>
          <w:color w:val="auto"/>
        </w:rPr>
      </w:pPr>
    </w:p>
    <w:p>
      <w:pPr>
        <w:ind w:left="900" w:right="680" w:firstLine="319"/>
        <w:spacing w:after="0" w:line="276" w:lineRule="auto"/>
        <w:tabs>
          <w:tab w:leader="none" w:pos="1368" w:val="left"/>
        </w:tabs>
        <w:numPr>
          <w:ilvl w:val="1"/>
          <w:numId w:val="2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 holder of shares of Series D Preferred Stock exercises its conversion rights, upon delivery of the shares of Series D Preferred Stock for conversion, those shares of Series D Preferred Stock shall cease to cumulate dividends as of the end of the Conversion Date, and the holder of shares of Series D Preferred Stock shall not receive any cash payment in an amount equal to accrued and unpaid dividends on the shares of Series D Preferred Stock, except in those limited circumstances discussed below in this Section 8(f). Except as provided below in this Section 8(f), the Company shall make no payment for accrued and unpaid dividends, whether or not in arrears, on shares of Series D Preferred Stock converted at the election of holders of such shares.</w:t>
      </w:r>
    </w:p>
    <w:p>
      <w:pPr>
        <w:spacing w:after="0" w:line="144" w:lineRule="exact"/>
        <w:rPr>
          <w:rFonts w:ascii="Times New Roman" w:cs="Times New Roman" w:eastAsia="Times New Roman" w:hAnsi="Times New Roman"/>
          <w:sz w:val="13"/>
          <w:szCs w:val="13"/>
          <w:color w:val="auto"/>
        </w:rPr>
      </w:pPr>
    </w:p>
    <w:p>
      <w:pPr>
        <w:jc w:val="both"/>
        <w:ind w:left="900" w:right="620" w:firstLine="319"/>
        <w:spacing w:after="0" w:line="287" w:lineRule="auto"/>
        <w:tabs>
          <w:tab w:leader="none" w:pos="1404" w:val="left"/>
        </w:tabs>
        <w:numPr>
          <w:ilvl w:val="1"/>
          <w:numId w:val="2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Company receives a conversion notice before the close of business on a Dividend Record Date, the holder of shares of Series D Preferred Stock shall not be entitled to receive any portion of the dividend payable on such shares of converted stock on the corresponding Dividend Payment Date.</w:t>
      </w:r>
    </w:p>
    <w:p>
      <w:pPr>
        <w:spacing w:after="0" w:line="135" w:lineRule="exact"/>
        <w:rPr>
          <w:rFonts w:ascii="Times New Roman" w:cs="Times New Roman" w:eastAsia="Times New Roman" w:hAnsi="Times New Roman"/>
          <w:sz w:val="13"/>
          <w:szCs w:val="13"/>
          <w:color w:val="auto"/>
        </w:rPr>
      </w:pPr>
    </w:p>
    <w:p>
      <w:pPr>
        <w:ind w:left="900" w:right="620" w:firstLine="319"/>
        <w:spacing w:after="0" w:line="274" w:lineRule="auto"/>
        <w:tabs>
          <w:tab w:leader="none" w:pos="1440" w:val="left"/>
        </w:tabs>
        <w:numPr>
          <w:ilvl w:val="1"/>
          <w:numId w:val="2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Company receives a conversion notice after the Dividend Record Date but prior to the corresponding Dividend Payment Date, the holder of shares of Series D Preferred Stock on the Dividend Record Date will receive on that Dividend Payment Date accrued dividends on those shares of Series D Preferred Stock, notwithstanding the conversion of those shares of Series D Preferred Stock prior to that Dividend Payment Date, because that holder of shares of Series D Preferred Stock will have been the holder of record of shares of Series D Preferred Stock on the corresponding Dividend Record Date. At the time that such holder of shares of Series D Preferred Stock surrenders shares of Series D Preferred Stock for conversion, however, it shall pay to the Company an amount equal to the dividend that has accrued and that will be paid on the related Dividend Payment Date; provided that no such payment need be made if the Company has specified a Fundamental Change Repurchase Date relating to a Fundamental Change that is after a Dividend Record Date and on or prior to the Dividend Payment Date to which that Dividend Record Date relates.</w:t>
      </w:r>
    </w:p>
    <w:p>
      <w:pPr>
        <w:spacing w:after="0" w:line="132" w:lineRule="exact"/>
        <w:rPr>
          <w:rFonts w:ascii="Times New Roman" w:cs="Times New Roman" w:eastAsia="Times New Roman" w:hAnsi="Times New Roman"/>
          <w:sz w:val="13"/>
          <w:szCs w:val="13"/>
          <w:color w:val="auto"/>
        </w:rPr>
      </w:pPr>
    </w:p>
    <w:p>
      <w:pPr>
        <w:jc w:val="both"/>
        <w:ind w:left="900" w:right="820" w:firstLine="319"/>
        <w:spacing w:after="0" w:line="281" w:lineRule="auto"/>
        <w:tabs>
          <w:tab w:leader="none" w:pos="1428" w:val="left"/>
        </w:tabs>
        <w:numPr>
          <w:ilvl w:val="1"/>
          <w:numId w:val="2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holder of shares of Series D Preferred Stock is a holder of shares of Series D Preferred Stock on a Dividend Record Date and converts such shares of Series D Preferred Stock into shares of Common Stock on or after the corresponding Dividend Payment Date such holder of shares of Series D Preferred Stock shall be entitled to receive the dividend payable on such shares of Series D Preferred Stock on such</w:t>
      </w:r>
    </w:p>
    <w:p>
      <w:pPr>
        <w:spacing w:after="0" w:line="3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681990</wp:posOffset>
            </wp:positionV>
            <wp:extent cx="5083810" cy="1524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517">
                      <a:extLst>
                        <a:ext uri="{28A0092B-C50C-407E-A947-70E740481C1C}"/>
                      </a:extLst>
                    </a:blip>
                    <a:srcRect/>
                    <a:stretch>
                      <a:fillRect/>
                    </a:stretch>
                  </pic:blipFill>
                  <pic:spPr bwMode="auto">
                    <a:xfrm>
                      <a:off x="0" y="0"/>
                      <a:ext cx="5083810" cy="15240"/>
                    </a:xfrm>
                    <a:prstGeom prst="rect">
                      <a:avLst/>
                    </a:prstGeom>
                    <a:noFill/>
                  </pic:spPr>
                </pic:pic>
              </a:graphicData>
            </a:graphic>
          </wp:anchor>
        </w:drawing>
        <w:drawing>
          <wp:anchor simplePos="0" relativeHeight="251657728" behindDoc="1" locked="0" layoutInCell="0" allowOverlap="1">
            <wp:simplePos x="0" y="0"/>
            <wp:positionH relativeFrom="column">
              <wp:posOffset>384810</wp:posOffset>
            </wp:positionH>
            <wp:positionV relativeFrom="paragraph">
              <wp:posOffset>316230</wp:posOffset>
            </wp:positionV>
            <wp:extent cx="4436110" cy="1524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518">
                      <a:extLst>
                        <a:ext uri="{28A0092B-C50C-407E-A947-70E740481C1C}"/>
                      </a:extLst>
                    </a:blip>
                    <a:srcRect/>
                    <a:stretch>
                      <a:fillRect/>
                    </a:stretch>
                  </pic:blipFill>
                  <pic:spPr bwMode="auto">
                    <a:xfrm>
                      <a:off x="0" y="0"/>
                      <a:ext cx="44361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95" w:name="page296"/>
    <w:bookmarkEnd w:id="295"/>
    <w:p>
      <w:pPr>
        <w:ind w:left="900" w:right="620"/>
        <w:spacing w:after="0" w:line="305" w:lineRule="auto"/>
        <w:rPr>
          <w:sz w:val="20"/>
          <w:szCs w:val="20"/>
          <w:color w:val="auto"/>
        </w:rPr>
      </w:pPr>
      <w:r>
        <w:rPr>
          <w:rFonts w:ascii="Times New Roman" w:cs="Times New Roman" w:eastAsia="Times New Roman" w:hAnsi="Times New Roman"/>
          <w:sz w:val="13"/>
          <w:szCs w:val="13"/>
          <w:color w:val="auto"/>
        </w:rPr>
        <w:t>corresponding Dividend Payment Date, and the holder of shares of Series D Preferred Stock shall not need to include payment of the amount of such dividend upon surrender for conversion of shares of Series D Preferred Stock.</w:t>
      </w:r>
    </w:p>
    <w:p>
      <w:pPr>
        <w:spacing w:after="0" w:line="122" w:lineRule="exact"/>
        <w:rPr>
          <w:sz w:val="20"/>
          <w:szCs w:val="20"/>
          <w:color w:val="auto"/>
        </w:rPr>
      </w:pPr>
    </w:p>
    <w:p>
      <w:pPr>
        <w:ind w:left="1080" w:hanging="174"/>
        <w:spacing w:after="0"/>
        <w:tabs>
          <w:tab w:leader="none" w:pos="1080" w:val="left"/>
        </w:tabs>
        <w:numPr>
          <w:ilvl w:val="0"/>
          <w:numId w:val="2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Payment of Dividends Upon Conversion; Company Conversion Option </w:t>
      </w:r>
      <w:r>
        <w:rPr>
          <w:rFonts w:ascii="Times New Roman" w:cs="Times New Roman" w:eastAsia="Times New Roman" w:hAnsi="Times New Roman"/>
          <w:sz w:val="13"/>
          <w:szCs w:val="13"/>
          <w:color w:val="auto"/>
        </w:rPr>
        <w:t>.</w:t>
      </w:r>
    </w:p>
    <w:p>
      <w:pPr>
        <w:spacing w:after="0" w:line="188" w:lineRule="exact"/>
        <w:rPr>
          <w:rFonts w:ascii="Times New Roman" w:cs="Times New Roman" w:eastAsia="Times New Roman" w:hAnsi="Times New Roman"/>
          <w:sz w:val="13"/>
          <w:szCs w:val="13"/>
          <w:color w:val="auto"/>
        </w:rPr>
      </w:pPr>
    </w:p>
    <w:p>
      <w:pPr>
        <w:ind w:left="900" w:right="720" w:firstLine="319"/>
        <w:spacing w:after="0" w:line="287" w:lineRule="auto"/>
        <w:tabs>
          <w:tab w:leader="none" w:pos="1368" w:val="left"/>
        </w:tabs>
        <w:numPr>
          <w:ilvl w:val="1"/>
          <w:numId w:val="2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Company converts shares of Series D Preferred Stock pursuant to its Conversion Option, on or prior to the Effective Date of the Conversion Option, the Company must first declare and pay, or declare and set apart for payment, any unpaid dividends that are in arrears on Series D Preferred Stock.</w:t>
      </w:r>
    </w:p>
    <w:p>
      <w:pPr>
        <w:spacing w:after="0" w:line="135" w:lineRule="exact"/>
        <w:rPr>
          <w:rFonts w:ascii="Times New Roman" w:cs="Times New Roman" w:eastAsia="Times New Roman" w:hAnsi="Times New Roman"/>
          <w:sz w:val="13"/>
          <w:szCs w:val="13"/>
          <w:color w:val="auto"/>
        </w:rPr>
      </w:pPr>
    </w:p>
    <w:p>
      <w:pPr>
        <w:jc w:val="both"/>
        <w:ind w:left="900" w:right="680" w:firstLine="319"/>
        <w:spacing w:after="0" w:line="271" w:lineRule="auto"/>
        <w:tabs>
          <w:tab w:leader="none" w:pos="1404" w:val="left"/>
        </w:tabs>
        <w:numPr>
          <w:ilvl w:val="1"/>
          <w:numId w:val="2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Company exercises its Conversion Option and the Effective Date is after the close of business on a Dividend Payment Date and prior to the close of business on the next Dividend Record Date, the holder of shares of Series D Preferred Stock shall not be entitled to receive any portion of the dividend payable for such period on such converted shares on the corresponding Dividend Payment Date.</w:t>
      </w:r>
    </w:p>
    <w:p>
      <w:pPr>
        <w:spacing w:after="0" w:line="1" w:lineRule="exact"/>
        <w:rPr>
          <w:rFonts w:ascii="Times New Roman" w:cs="Times New Roman" w:eastAsia="Times New Roman" w:hAnsi="Times New Roman"/>
          <w:sz w:val="13"/>
          <w:szCs w:val="13"/>
          <w:color w:val="auto"/>
        </w:rPr>
      </w:pPr>
    </w:p>
    <w:p>
      <w:pPr>
        <w:ind w:left="900" w:right="740"/>
        <w:spacing w:after="0" w:line="284"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Accordingly, if the Company converts shares of Series D Preferred Stock and the effective date is after the close of business on a Dividend Payment Date and prior to the close of business on the next Dividend Record Date, holders of shares of Series D Preferred Stock shall forego the right to receive any dividends accruing from such Dividend Payment Date to the Effective Date.</w:t>
      </w:r>
    </w:p>
    <w:p>
      <w:pPr>
        <w:spacing w:after="0" w:line="137" w:lineRule="exact"/>
        <w:rPr>
          <w:rFonts w:ascii="Times New Roman" w:cs="Times New Roman" w:eastAsia="Times New Roman" w:hAnsi="Times New Roman"/>
          <w:sz w:val="13"/>
          <w:szCs w:val="13"/>
          <w:color w:val="auto"/>
        </w:rPr>
      </w:pPr>
    </w:p>
    <w:p>
      <w:pPr>
        <w:ind w:left="900" w:right="780" w:firstLine="319"/>
        <w:spacing w:after="0" w:line="281" w:lineRule="auto"/>
        <w:tabs>
          <w:tab w:leader="none" w:pos="1440" w:val="left"/>
        </w:tabs>
        <w:numPr>
          <w:ilvl w:val="1"/>
          <w:numId w:val="2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Company exercises its Conversion Option and the Effective Date is on or after the close of business on any Dividend Record Date and prior to the close of business on the corresponding Dividend Payment Date, all dividends payable for such period with respect to the shares of Series D Preferred Stock called for a conversion on such date, shall be payable on such Dividend Payment Date to the holder of such shares of Series D Preferred Stock on such Dividend Record Date.</w:t>
      </w:r>
    </w:p>
    <w:p>
      <w:pPr>
        <w:spacing w:after="0" w:line="138" w:lineRule="exact"/>
        <w:rPr>
          <w:rFonts w:ascii="Times New Roman" w:cs="Times New Roman" w:eastAsia="Times New Roman" w:hAnsi="Times New Roman"/>
          <w:sz w:val="13"/>
          <w:szCs w:val="13"/>
          <w:color w:val="auto"/>
        </w:rPr>
      </w:pPr>
    </w:p>
    <w:p>
      <w:pPr>
        <w:ind w:left="1080" w:hanging="174"/>
        <w:spacing w:after="0"/>
        <w:tabs>
          <w:tab w:leader="none" w:pos="1080" w:val="left"/>
        </w:tabs>
        <w:numPr>
          <w:ilvl w:val="0"/>
          <w:numId w:val="2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Conversion Rate Adjustments </w:t>
      </w:r>
      <w:r>
        <w:rPr>
          <w:rFonts w:ascii="Times New Roman" w:cs="Times New Roman" w:eastAsia="Times New Roman" w:hAnsi="Times New Roman"/>
          <w:sz w:val="13"/>
          <w:szCs w:val="13"/>
          <w:color w:val="auto"/>
        </w:rPr>
        <w:t>. The Company shall adjust the conversion rate from time to time as follows:</w:t>
      </w:r>
    </w:p>
    <w:p>
      <w:pPr>
        <w:spacing w:after="0" w:line="188" w:lineRule="exact"/>
        <w:rPr>
          <w:rFonts w:ascii="Times New Roman" w:cs="Times New Roman" w:eastAsia="Times New Roman" w:hAnsi="Times New Roman"/>
          <w:sz w:val="13"/>
          <w:szCs w:val="13"/>
          <w:color w:val="auto"/>
        </w:rPr>
      </w:pPr>
    </w:p>
    <w:p>
      <w:pPr>
        <w:ind w:left="900" w:right="640" w:firstLine="319"/>
        <w:spacing w:after="0" w:line="305" w:lineRule="auto"/>
        <w:tabs>
          <w:tab w:leader="none" w:pos="1368" w:val="left"/>
        </w:tabs>
        <w:numPr>
          <w:ilvl w:val="1"/>
          <w:numId w:val="2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Company issues shares of Common Stock as a dividend or distribution on shares of Common Stock to all holders of Common Stock, or if the Company effects a share split or share combination, the conversion rate shall be adjusted based on the following formula:</w:t>
      </w:r>
    </w:p>
    <w:p>
      <w:pPr>
        <w:spacing w:after="0" w:line="12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CR </w:t>
      </w:r>
      <w:r>
        <w:rPr>
          <w:rFonts w:ascii="Times New Roman" w:cs="Times New Roman" w:eastAsia="Times New Roman" w:hAnsi="Times New Roman"/>
          <w:sz w:val="8"/>
          <w:szCs w:val="8"/>
          <w:color w:val="auto"/>
        </w:rPr>
        <w:t>1</w:t>
      </w:r>
      <w:r>
        <w:rPr>
          <w:rFonts w:ascii="Times New Roman" w:cs="Times New Roman" w:eastAsia="Times New Roman" w:hAnsi="Times New Roman"/>
          <w:sz w:val="13"/>
          <w:szCs w:val="13"/>
          <w:color w:val="auto"/>
        </w:rPr>
        <w:t xml:space="preserve"> = CR </w:t>
      </w:r>
      <w:r>
        <w:rPr>
          <w:rFonts w:ascii="Times New Roman" w:cs="Times New Roman" w:eastAsia="Times New Roman" w:hAnsi="Times New Roman"/>
          <w:sz w:val="8"/>
          <w:szCs w:val="8"/>
          <w:color w:val="auto"/>
        </w:rPr>
        <w:t>0</w:t>
      </w:r>
      <w:r>
        <w:rPr>
          <w:rFonts w:ascii="Times New Roman" w:cs="Times New Roman" w:eastAsia="Times New Roman" w:hAnsi="Times New Roman"/>
          <w:sz w:val="13"/>
          <w:szCs w:val="13"/>
          <w:color w:val="auto"/>
        </w:rPr>
        <w:t xml:space="preserve"> x OS </w:t>
      </w:r>
      <w:r>
        <w:rPr>
          <w:rFonts w:ascii="Times New Roman" w:cs="Times New Roman" w:eastAsia="Times New Roman" w:hAnsi="Times New Roman"/>
          <w:sz w:val="8"/>
          <w:szCs w:val="8"/>
          <w:color w:val="auto"/>
        </w:rPr>
        <w:t>1</w:t>
      </w:r>
      <w:r>
        <w:rPr>
          <w:rFonts w:ascii="Times New Roman" w:cs="Times New Roman" w:eastAsia="Times New Roman" w:hAnsi="Times New Roman"/>
          <w:sz w:val="13"/>
          <w:szCs w:val="13"/>
          <w:color w:val="auto"/>
        </w:rPr>
        <w:t xml:space="preserve"> /OS </w:t>
      </w:r>
      <w:r>
        <w:rPr>
          <w:rFonts w:ascii="Times New Roman" w:cs="Times New Roman" w:eastAsia="Times New Roman" w:hAnsi="Times New Roman"/>
          <w:sz w:val="8"/>
          <w:szCs w:val="8"/>
          <w:color w:val="auto"/>
        </w:rPr>
        <w:t>0</w:t>
      </w:r>
    </w:p>
    <w:p>
      <w:pPr>
        <w:spacing w:after="0" w:line="1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where</w:t>
      </w:r>
    </w:p>
    <w:p>
      <w:pPr>
        <w:spacing w:after="0" w:line="187" w:lineRule="exact"/>
        <w:rPr>
          <w:sz w:val="20"/>
          <w:szCs w:val="20"/>
          <w:color w:val="auto"/>
        </w:rPr>
      </w:pPr>
    </w:p>
    <w:p>
      <w:pPr>
        <w:ind w:left="900" w:right="1000"/>
        <w:spacing w:after="0" w:line="305" w:lineRule="auto"/>
        <w:rPr>
          <w:sz w:val="20"/>
          <w:szCs w:val="20"/>
          <w:color w:val="auto"/>
        </w:rPr>
      </w:pPr>
      <w:r>
        <w:rPr>
          <w:rFonts w:ascii="Times New Roman" w:cs="Times New Roman" w:eastAsia="Times New Roman" w:hAnsi="Times New Roman"/>
          <w:sz w:val="13"/>
          <w:szCs w:val="13"/>
          <w:color w:val="auto"/>
        </w:rPr>
        <w:t xml:space="preserve">CR </w:t>
      </w:r>
      <w:r>
        <w:rPr>
          <w:rFonts w:ascii="Times New Roman" w:cs="Times New Roman" w:eastAsia="Times New Roman" w:hAnsi="Times New Roman"/>
          <w:sz w:val="8"/>
          <w:szCs w:val="8"/>
          <w:color w:val="auto"/>
        </w:rPr>
        <w:t>0</w:t>
      </w:r>
      <w:r>
        <w:rPr>
          <w:rFonts w:ascii="Times New Roman" w:cs="Times New Roman" w:eastAsia="Times New Roman" w:hAnsi="Times New Roman"/>
          <w:sz w:val="13"/>
          <w:szCs w:val="13"/>
          <w:color w:val="auto"/>
        </w:rPr>
        <w:t xml:space="preserve"> = the conversion rate in effect immediately prior to the ex-dividend date for such dividend or distribution, or the effective date of such share split or share combination;</w:t>
      </w:r>
    </w:p>
    <w:p>
      <w:pPr>
        <w:spacing w:after="0" w:line="200" w:lineRule="exact"/>
        <w:rPr>
          <w:sz w:val="20"/>
          <w:szCs w:val="20"/>
          <w:color w:val="auto"/>
        </w:rPr>
      </w:pPr>
    </w:p>
    <w:p>
      <w:pPr>
        <w:spacing w:after="0" w:line="3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674370</wp:posOffset>
            </wp:positionV>
            <wp:extent cx="5083810" cy="1524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519">
                      <a:extLst>
                        <a:ext uri="{28A0092B-C50C-407E-A947-70E740481C1C}"/>
                      </a:extLst>
                    </a:blip>
                    <a:srcRect/>
                    <a:stretch>
                      <a:fillRect/>
                    </a:stretch>
                  </pic:blipFill>
                  <pic:spPr bwMode="auto">
                    <a:xfrm>
                      <a:off x="0" y="0"/>
                      <a:ext cx="5083810" cy="15240"/>
                    </a:xfrm>
                    <a:prstGeom prst="rect">
                      <a:avLst/>
                    </a:prstGeom>
                    <a:noFill/>
                  </pic:spPr>
                </pic:pic>
              </a:graphicData>
            </a:graphic>
          </wp:anchor>
        </w:drawing>
        <w:drawing>
          <wp:anchor simplePos="0" relativeHeight="251657728" behindDoc="1" locked="0" layoutInCell="0" allowOverlap="1">
            <wp:simplePos x="0" y="0"/>
            <wp:positionH relativeFrom="column">
              <wp:posOffset>384810</wp:posOffset>
            </wp:positionH>
            <wp:positionV relativeFrom="paragraph">
              <wp:posOffset>316230</wp:posOffset>
            </wp:positionV>
            <wp:extent cx="4436110" cy="762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520">
                      <a:extLst>
                        <a:ext uri="{28A0092B-C50C-407E-A947-70E740481C1C}"/>
                      </a:extLst>
                    </a:blip>
                    <a:srcRect/>
                    <a:stretch>
                      <a:fillRect/>
                    </a:stretch>
                  </pic:blipFill>
                  <pic:spPr bwMode="auto">
                    <a:xfrm>
                      <a:off x="0" y="0"/>
                      <a:ext cx="4436110" cy="762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96" w:name="page297"/>
    <w:bookmarkEnd w:id="296"/>
    <w:p>
      <w:pPr>
        <w:ind w:left="900" w:right="660"/>
        <w:spacing w:after="0" w:line="305" w:lineRule="auto"/>
        <w:rPr>
          <w:sz w:val="20"/>
          <w:szCs w:val="20"/>
          <w:color w:val="auto"/>
        </w:rPr>
      </w:pPr>
      <w:r>
        <w:rPr>
          <w:rFonts w:ascii="Times New Roman" w:cs="Times New Roman" w:eastAsia="Times New Roman" w:hAnsi="Times New Roman"/>
          <w:sz w:val="13"/>
          <w:szCs w:val="13"/>
          <w:color w:val="auto"/>
        </w:rPr>
        <w:t xml:space="preserve">CR </w:t>
      </w:r>
      <w:r>
        <w:rPr>
          <w:rFonts w:ascii="Times New Roman" w:cs="Times New Roman" w:eastAsia="Times New Roman" w:hAnsi="Times New Roman"/>
          <w:sz w:val="8"/>
          <w:szCs w:val="8"/>
          <w:color w:val="auto"/>
        </w:rPr>
        <w:t>1</w:t>
      </w:r>
      <w:r>
        <w:rPr>
          <w:rFonts w:ascii="Times New Roman" w:cs="Times New Roman" w:eastAsia="Times New Roman" w:hAnsi="Times New Roman"/>
          <w:sz w:val="13"/>
          <w:szCs w:val="13"/>
          <w:color w:val="auto"/>
        </w:rPr>
        <w:t xml:space="preserve"> = the new conversion rate in effect immediately on and after the ex-dividend date for such dividend or distribution, or the effective date of such share split or share combination;</w:t>
      </w:r>
    </w:p>
    <w:p>
      <w:pPr>
        <w:spacing w:after="0" w:line="124" w:lineRule="exact"/>
        <w:rPr>
          <w:sz w:val="20"/>
          <w:szCs w:val="20"/>
          <w:color w:val="auto"/>
        </w:rPr>
      </w:pPr>
    </w:p>
    <w:p>
      <w:pPr>
        <w:ind w:left="900" w:right="920"/>
        <w:spacing w:after="0" w:line="305" w:lineRule="auto"/>
        <w:rPr>
          <w:sz w:val="20"/>
          <w:szCs w:val="20"/>
          <w:color w:val="auto"/>
        </w:rPr>
      </w:pPr>
      <w:r>
        <w:rPr>
          <w:rFonts w:ascii="Times New Roman" w:cs="Times New Roman" w:eastAsia="Times New Roman" w:hAnsi="Times New Roman"/>
          <w:sz w:val="13"/>
          <w:szCs w:val="13"/>
          <w:color w:val="auto"/>
        </w:rPr>
        <w:t xml:space="preserve">OS </w:t>
      </w:r>
      <w:r>
        <w:rPr>
          <w:rFonts w:ascii="Times New Roman" w:cs="Times New Roman" w:eastAsia="Times New Roman" w:hAnsi="Times New Roman"/>
          <w:sz w:val="8"/>
          <w:szCs w:val="8"/>
          <w:color w:val="auto"/>
        </w:rPr>
        <w:t>1</w:t>
      </w:r>
      <w:r>
        <w:rPr>
          <w:rFonts w:ascii="Times New Roman" w:cs="Times New Roman" w:eastAsia="Times New Roman" w:hAnsi="Times New Roman"/>
          <w:sz w:val="13"/>
          <w:szCs w:val="13"/>
          <w:color w:val="auto"/>
        </w:rPr>
        <w:t xml:space="preserve"> = the number of shares of Common Stock outstanding immediately after such dividend or distribution, or the effective date of such share split or share combination; and</w:t>
      </w:r>
    </w:p>
    <w:p>
      <w:pPr>
        <w:spacing w:after="0" w:line="124" w:lineRule="exact"/>
        <w:rPr>
          <w:sz w:val="20"/>
          <w:szCs w:val="20"/>
          <w:color w:val="auto"/>
        </w:rPr>
      </w:pPr>
    </w:p>
    <w:p>
      <w:pPr>
        <w:ind w:left="900" w:right="760"/>
        <w:spacing w:after="0" w:line="305" w:lineRule="auto"/>
        <w:rPr>
          <w:sz w:val="20"/>
          <w:szCs w:val="20"/>
          <w:color w:val="auto"/>
        </w:rPr>
      </w:pPr>
      <w:r>
        <w:rPr>
          <w:rFonts w:ascii="Times New Roman" w:cs="Times New Roman" w:eastAsia="Times New Roman" w:hAnsi="Times New Roman"/>
          <w:sz w:val="13"/>
          <w:szCs w:val="13"/>
          <w:color w:val="auto"/>
        </w:rPr>
        <w:t xml:space="preserve">OS </w:t>
      </w:r>
      <w:r>
        <w:rPr>
          <w:rFonts w:ascii="Times New Roman" w:cs="Times New Roman" w:eastAsia="Times New Roman" w:hAnsi="Times New Roman"/>
          <w:sz w:val="8"/>
          <w:szCs w:val="8"/>
          <w:color w:val="auto"/>
        </w:rPr>
        <w:t>0</w:t>
      </w:r>
      <w:r>
        <w:rPr>
          <w:rFonts w:ascii="Times New Roman" w:cs="Times New Roman" w:eastAsia="Times New Roman" w:hAnsi="Times New Roman"/>
          <w:sz w:val="13"/>
          <w:szCs w:val="13"/>
          <w:color w:val="auto"/>
        </w:rPr>
        <w:t xml:space="preserve"> = the number of shares of Common Stock outstanding immediately prior to such dividend or distribution, or the effective date of such share split or share combination.</w:t>
      </w:r>
    </w:p>
    <w:p>
      <w:pPr>
        <w:spacing w:after="0" w:line="124" w:lineRule="exact"/>
        <w:rPr>
          <w:sz w:val="20"/>
          <w:szCs w:val="20"/>
          <w:color w:val="auto"/>
        </w:rPr>
      </w:pPr>
    </w:p>
    <w:p>
      <w:pPr>
        <w:ind w:left="600" w:right="780" w:firstLine="312"/>
        <w:spacing w:after="0" w:line="281" w:lineRule="auto"/>
        <w:rPr>
          <w:sz w:val="20"/>
          <w:szCs w:val="20"/>
          <w:color w:val="auto"/>
        </w:rPr>
      </w:pPr>
      <w:r>
        <w:rPr>
          <w:rFonts w:ascii="Times New Roman" w:cs="Times New Roman" w:eastAsia="Times New Roman" w:hAnsi="Times New Roman"/>
          <w:sz w:val="13"/>
          <w:szCs w:val="13"/>
          <w:color w:val="auto"/>
        </w:rPr>
        <w:t>Any adjustment made pursuant to this paragraph (i) shall become effective at the open of business on (x) the ex-dividend date for such dividend or other distribution or (y) the date on which such split or combination becomes effective, as applicable. If any dividend or distribution described in this paragraph (i) is declared but not so paid or made, the new conversion rate shall be readjusted to the conversion rate that would then be in effect if such dividend or distribution had not been declared.</w:t>
      </w:r>
    </w:p>
    <w:p>
      <w:pPr>
        <w:spacing w:after="0" w:line="140" w:lineRule="exact"/>
        <w:rPr>
          <w:sz w:val="20"/>
          <w:szCs w:val="20"/>
          <w:color w:val="auto"/>
        </w:rPr>
      </w:pPr>
    </w:p>
    <w:p>
      <w:pPr>
        <w:ind w:left="900" w:right="640" w:firstLine="319"/>
        <w:spacing w:after="0" w:line="281" w:lineRule="auto"/>
        <w:tabs>
          <w:tab w:leader="none" w:pos="1404" w:val="left"/>
        </w:tabs>
        <w:numPr>
          <w:ilvl w:val="0"/>
          <w:numId w:val="2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Company distributes to all holders of Common Stock any rights, warrants or options entitling them, for a period expiring not more than 45 days after the date of issuance of such rights, warrants or options, to subscribe for or purchase shares of Common Stock at a price per share that is less than the Closing Sale Price per share of Common Stock on the business day immediately preceding the time of announcement of such distribution, the Company shall adjust the conversion rate based on the following formula:</w:t>
      </w:r>
    </w:p>
    <w:p>
      <w:pPr>
        <w:spacing w:after="0" w:line="14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CR </w:t>
      </w:r>
      <w:r>
        <w:rPr>
          <w:rFonts w:ascii="Times New Roman" w:cs="Times New Roman" w:eastAsia="Times New Roman" w:hAnsi="Times New Roman"/>
          <w:sz w:val="8"/>
          <w:szCs w:val="8"/>
          <w:color w:val="auto"/>
        </w:rPr>
        <w:t>1</w:t>
      </w:r>
      <w:r>
        <w:rPr>
          <w:rFonts w:ascii="Times New Roman" w:cs="Times New Roman" w:eastAsia="Times New Roman" w:hAnsi="Times New Roman"/>
          <w:sz w:val="13"/>
          <w:szCs w:val="13"/>
          <w:color w:val="auto"/>
        </w:rPr>
        <w:t xml:space="preserve"> = CR </w:t>
      </w:r>
      <w:r>
        <w:rPr>
          <w:rFonts w:ascii="Times New Roman" w:cs="Times New Roman" w:eastAsia="Times New Roman" w:hAnsi="Times New Roman"/>
          <w:sz w:val="8"/>
          <w:szCs w:val="8"/>
          <w:color w:val="auto"/>
        </w:rPr>
        <w:t>0</w:t>
      </w:r>
      <w:r>
        <w:rPr>
          <w:rFonts w:ascii="Times New Roman" w:cs="Times New Roman" w:eastAsia="Times New Roman" w:hAnsi="Times New Roman"/>
          <w:sz w:val="13"/>
          <w:szCs w:val="13"/>
          <w:color w:val="auto"/>
        </w:rPr>
        <w:t xml:space="preserve"> x (OS </w:t>
      </w:r>
      <w:r>
        <w:rPr>
          <w:rFonts w:ascii="Times New Roman" w:cs="Times New Roman" w:eastAsia="Times New Roman" w:hAnsi="Times New Roman"/>
          <w:sz w:val="8"/>
          <w:szCs w:val="8"/>
          <w:color w:val="auto"/>
        </w:rPr>
        <w:t>0</w:t>
      </w:r>
      <w:r>
        <w:rPr>
          <w:rFonts w:ascii="Times New Roman" w:cs="Times New Roman" w:eastAsia="Times New Roman" w:hAnsi="Times New Roman"/>
          <w:sz w:val="13"/>
          <w:szCs w:val="13"/>
          <w:color w:val="auto"/>
        </w:rPr>
        <w:t xml:space="preserve"> +X)/(OS </w:t>
      </w:r>
      <w:r>
        <w:rPr>
          <w:rFonts w:ascii="Times New Roman" w:cs="Times New Roman" w:eastAsia="Times New Roman" w:hAnsi="Times New Roman"/>
          <w:sz w:val="8"/>
          <w:szCs w:val="8"/>
          <w:color w:val="auto"/>
        </w:rPr>
        <w:t>0</w:t>
      </w:r>
      <w:r>
        <w:rPr>
          <w:rFonts w:ascii="Times New Roman" w:cs="Times New Roman" w:eastAsia="Times New Roman" w:hAnsi="Times New Roman"/>
          <w:sz w:val="13"/>
          <w:szCs w:val="13"/>
          <w:color w:val="auto"/>
        </w:rPr>
        <w:t xml:space="preserve"> +Y)</w:t>
      </w:r>
    </w:p>
    <w:p>
      <w:pPr>
        <w:spacing w:after="0" w:line="1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where</w:t>
      </w:r>
    </w:p>
    <w:p>
      <w:pPr>
        <w:spacing w:after="0" w:line="18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CR </w:t>
      </w:r>
      <w:r>
        <w:rPr>
          <w:rFonts w:ascii="Times New Roman" w:cs="Times New Roman" w:eastAsia="Times New Roman" w:hAnsi="Times New Roman"/>
          <w:sz w:val="8"/>
          <w:szCs w:val="8"/>
          <w:color w:val="auto"/>
        </w:rPr>
        <w:t>0</w:t>
      </w:r>
      <w:r>
        <w:rPr>
          <w:rFonts w:ascii="Times New Roman" w:cs="Times New Roman" w:eastAsia="Times New Roman" w:hAnsi="Times New Roman"/>
          <w:sz w:val="13"/>
          <w:szCs w:val="13"/>
          <w:color w:val="auto"/>
        </w:rPr>
        <w:t xml:space="preserve"> = the conversion rate in effect immediately prior to the ex-dividend date for such distribution;</w:t>
      </w:r>
    </w:p>
    <w:p>
      <w:pPr>
        <w:spacing w:after="0" w:line="18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CR </w:t>
      </w:r>
      <w:r>
        <w:rPr>
          <w:rFonts w:ascii="Times New Roman" w:cs="Times New Roman" w:eastAsia="Times New Roman" w:hAnsi="Times New Roman"/>
          <w:sz w:val="8"/>
          <w:szCs w:val="8"/>
          <w:color w:val="auto"/>
        </w:rPr>
        <w:t>1</w:t>
      </w:r>
      <w:r>
        <w:rPr>
          <w:rFonts w:ascii="Times New Roman" w:cs="Times New Roman" w:eastAsia="Times New Roman" w:hAnsi="Times New Roman"/>
          <w:sz w:val="13"/>
          <w:szCs w:val="13"/>
          <w:color w:val="auto"/>
        </w:rPr>
        <w:t xml:space="preserve"> = the new conversion rate in effect immediately on and after the ex-dividend date for such distribution;</w:t>
      </w:r>
    </w:p>
    <w:p>
      <w:pPr>
        <w:spacing w:after="0" w:line="2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OS </w:t>
      </w:r>
      <w:r>
        <w:rPr>
          <w:rFonts w:ascii="Times New Roman" w:cs="Times New Roman" w:eastAsia="Times New Roman" w:hAnsi="Times New Roman"/>
          <w:sz w:val="8"/>
          <w:szCs w:val="8"/>
          <w:color w:val="auto"/>
        </w:rPr>
        <w:t>0</w:t>
      </w:r>
      <w:r>
        <w:rPr>
          <w:rFonts w:ascii="Times New Roman" w:cs="Times New Roman" w:eastAsia="Times New Roman" w:hAnsi="Times New Roman"/>
          <w:sz w:val="13"/>
          <w:szCs w:val="13"/>
          <w:color w:val="auto"/>
        </w:rPr>
        <w:t xml:space="preserve"> = the number of shares of Common Stock outstanding immediately prior to the ex-dividend date for such distribution; X = the</w:t>
      </w:r>
    </w:p>
    <w:p>
      <w:pPr>
        <w:spacing w:after="0" w:line="18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aggregate number of shares of Common Stock issuable pursuant to such rights, warrants or options; and</w:t>
      </w:r>
    </w:p>
    <w:p>
      <w:pPr>
        <w:spacing w:after="0" w:line="103" w:lineRule="exact"/>
        <w:rPr>
          <w:sz w:val="20"/>
          <w:szCs w:val="20"/>
          <w:color w:val="auto"/>
        </w:rPr>
      </w:pPr>
    </w:p>
    <w:p>
      <w:pPr>
        <w:ind w:left="900" w:right="900"/>
        <w:spacing w:after="0" w:line="305" w:lineRule="auto"/>
        <w:rPr>
          <w:sz w:val="20"/>
          <w:szCs w:val="20"/>
          <w:color w:val="auto"/>
        </w:rPr>
      </w:pPr>
      <w:r>
        <w:rPr>
          <w:rFonts w:ascii="Times New Roman" w:cs="Times New Roman" w:eastAsia="Times New Roman" w:hAnsi="Times New Roman"/>
          <w:sz w:val="13"/>
          <w:szCs w:val="13"/>
          <w:color w:val="auto"/>
        </w:rPr>
        <w:t>Y = the number of shares of Common Stock equal to the quotient of (A) the aggregate price payable to exercise such rights, warrants or options</w:t>
      </w: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674370</wp:posOffset>
            </wp:positionV>
            <wp:extent cx="5083810" cy="1524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521">
                      <a:extLst>
                        <a:ext uri="{28A0092B-C50C-407E-A947-70E740481C1C}"/>
                      </a:extLst>
                    </a:blip>
                    <a:srcRect/>
                    <a:stretch>
                      <a:fillRect/>
                    </a:stretch>
                  </pic:blipFill>
                  <pic:spPr bwMode="auto">
                    <a:xfrm>
                      <a:off x="0" y="0"/>
                      <a:ext cx="5083810" cy="15240"/>
                    </a:xfrm>
                    <a:prstGeom prst="rect">
                      <a:avLst/>
                    </a:prstGeom>
                    <a:noFill/>
                  </pic:spPr>
                </pic:pic>
              </a:graphicData>
            </a:graphic>
          </wp:anchor>
        </w:drawing>
        <w:drawing>
          <wp:anchor simplePos="0" relativeHeight="251657728" behindDoc="1" locked="0" layoutInCell="0" allowOverlap="1">
            <wp:simplePos x="0" y="0"/>
            <wp:positionH relativeFrom="column">
              <wp:posOffset>384810</wp:posOffset>
            </wp:positionH>
            <wp:positionV relativeFrom="paragraph">
              <wp:posOffset>316230</wp:posOffset>
            </wp:positionV>
            <wp:extent cx="4436110" cy="1524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522">
                      <a:extLst>
                        <a:ext uri="{28A0092B-C50C-407E-A947-70E740481C1C}"/>
                      </a:extLst>
                    </a:blip>
                    <a:srcRect/>
                    <a:stretch>
                      <a:fillRect/>
                    </a:stretch>
                  </pic:blipFill>
                  <pic:spPr bwMode="auto">
                    <a:xfrm>
                      <a:off x="0" y="0"/>
                      <a:ext cx="44361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97" w:name="page298"/>
    <w:bookmarkEnd w:id="297"/>
    <w:p>
      <w:pPr>
        <w:ind w:left="900" w:right="740"/>
        <w:spacing w:after="0" w:line="305" w:lineRule="auto"/>
        <w:rPr>
          <w:sz w:val="20"/>
          <w:szCs w:val="20"/>
          <w:color w:val="auto"/>
        </w:rPr>
      </w:pPr>
      <w:r>
        <w:rPr>
          <w:rFonts w:ascii="Times New Roman" w:cs="Times New Roman" w:eastAsia="Times New Roman" w:hAnsi="Times New Roman"/>
          <w:sz w:val="13"/>
          <w:szCs w:val="13"/>
          <w:color w:val="auto"/>
        </w:rPr>
        <w:t>and (B) the average of the Closing Sale Price per share of Common Stock for the 10 consecutive Trading Days ending on the business day immediately preceding the date of announcement for the issuance of such rights, warrants or options.</w:t>
      </w:r>
    </w:p>
    <w:p>
      <w:pPr>
        <w:spacing w:after="0" w:line="124" w:lineRule="exact"/>
        <w:rPr>
          <w:sz w:val="20"/>
          <w:szCs w:val="20"/>
          <w:color w:val="auto"/>
        </w:rPr>
      </w:pPr>
    </w:p>
    <w:p>
      <w:pPr>
        <w:ind w:left="600" w:right="640" w:firstLine="312"/>
        <w:spacing w:after="0" w:line="270" w:lineRule="auto"/>
        <w:rPr>
          <w:sz w:val="20"/>
          <w:szCs w:val="20"/>
          <w:color w:val="auto"/>
        </w:rPr>
      </w:pPr>
      <w:r>
        <w:rPr>
          <w:rFonts w:ascii="Times New Roman" w:cs="Times New Roman" w:eastAsia="Times New Roman" w:hAnsi="Times New Roman"/>
          <w:sz w:val="13"/>
          <w:szCs w:val="13"/>
          <w:color w:val="auto"/>
        </w:rPr>
        <w:t>For purposes of this paragraph (ii), in determining whether any rights, warrants or options entitle the holders of shares of Common Stock to subscribe for or purchase shares of Common Stock at less than the applicable Closing Sale Price per share of Common Stock, and in determining the aggregate exercise or conversion price payable for such shares of Common Stock, there shall be taken into account any consideration the Company receives for such rights, warrants or options and any amount payable on exercise or conversion thereof, with the value of such consideration, if other than cash, to be determined by the Company’s board of directors. If any right, warrant or option described in this paragraph</w:t>
      </w:r>
    </w:p>
    <w:p>
      <w:pPr>
        <w:spacing w:after="0" w:line="3" w:lineRule="exact"/>
        <w:rPr>
          <w:sz w:val="20"/>
          <w:szCs w:val="20"/>
          <w:color w:val="auto"/>
        </w:rPr>
      </w:pPr>
    </w:p>
    <w:p>
      <w:pPr>
        <w:ind w:left="600" w:right="660" w:hanging="6"/>
        <w:spacing w:after="0" w:line="299" w:lineRule="auto"/>
        <w:tabs>
          <w:tab w:leader="none" w:pos="792" w:val="left"/>
        </w:tabs>
        <w:numPr>
          <w:ilvl w:val="0"/>
          <w:numId w:val="2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 not exercised or converted prior to the expiration of the exercisability or convertibility thereof, the Company shall adjust the new conversion rate to the conversion rate that would then be in effect if such right, warrant or option had not been so issued.</w:t>
      </w:r>
    </w:p>
    <w:p>
      <w:pPr>
        <w:spacing w:after="0" w:line="128" w:lineRule="exact"/>
        <w:rPr>
          <w:sz w:val="20"/>
          <w:szCs w:val="20"/>
          <w:color w:val="auto"/>
        </w:rPr>
      </w:pPr>
    </w:p>
    <w:p>
      <w:pPr>
        <w:ind w:left="900" w:right="1080" w:firstLine="319"/>
        <w:spacing w:after="0" w:line="272" w:lineRule="auto"/>
        <w:tabs>
          <w:tab w:leader="none" w:pos="1440" w:val="left"/>
        </w:tabs>
        <w:numPr>
          <w:ilvl w:val="0"/>
          <w:numId w:val="2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Company distributes shares of its capital stock, evidence of indebtedness or other assets or property to all holders of Common Stock, excluding (A) dividends, distributions, rights, warrants or options referred to in paragraph (i) or</w:t>
      </w:r>
    </w:p>
    <w:p>
      <w:pPr>
        <w:spacing w:after="0" w:line="1" w:lineRule="exact"/>
        <w:rPr>
          <w:sz w:val="20"/>
          <w:szCs w:val="20"/>
          <w:color w:val="auto"/>
        </w:rPr>
      </w:pPr>
    </w:p>
    <w:p>
      <w:pPr>
        <w:ind w:left="900"/>
        <w:spacing w:after="0"/>
        <w:tabs>
          <w:tab w:leader="none" w:pos="7620" w:val="left"/>
        </w:tabs>
        <w:rPr>
          <w:sz w:val="20"/>
          <w:szCs w:val="20"/>
          <w:color w:val="auto"/>
        </w:rPr>
      </w:pPr>
      <w:r>
        <w:rPr>
          <w:rFonts w:ascii="Times New Roman" w:cs="Times New Roman" w:eastAsia="Times New Roman" w:hAnsi="Times New Roman"/>
          <w:sz w:val="13"/>
          <w:szCs w:val="13"/>
          <w:color w:val="auto"/>
        </w:rPr>
        <w:t>(ii) above; (B) dividends or distributions paid exclusively in cash; and (C) spin-offs, as described below in this paragraph (iii)</w:t>
        <w:tab/>
        <w:t>then the</w:t>
      </w:r>
    </w:p>
    <w:p>
      <w:pPr>
        <w:spacing w:after="0" w:line="1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Company shall adjust the conversion rate based on the following formula:</w:t>
      </w:r>
    </w:p>
    <w:p>
      <w:pPr>
        <w:spacing w:after="0" w:line="18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CR </w:t>
      </w:r>
      <w:r>
        <w:rPr>
          <w:rFonts w:ascii="Times New Roman" w:cs="Times New Roman" w:eastAsia="Times New Roman" w:hAnsi="Times New Roman"/>
          <w:sz w:val="8"/>
          <w:szCs w:val="8"/>
          <w:color w:val="auto"/>
        </w:rPr>
        <w:t>1</w:t>
      </w:r>
      <w:r>
        <w:rPr>
          <w:rFonts w:ascii="Times New Roman" w:cs="Times New Roman" w:eastAsia="Times New Roman" w:hAnsi="Times New Roman"/>
          <w:sz w:val="13"/>
          <w:szCs w:val="13"/>
          <w:color w:val="auto"/>
        </w:rPr>
        <w:t xml:space="preserve"> = CR </w:t>
      </w:r>
      <w:r>
        <w:rPr>
          <w:rFonts w:ascii="Times New Roman" w:cs="Times New Roman" w:eastAsia="Times New Roman" w:hAnsi="Times New Roman"/>
          <w:sz w:val="8"/>
          <w:szCs w:val="8"/>
          <w:color w:val="auto"/>
        </w:rPr>
        <w:t>0</w:t>
      </w:r>
      <w:r>
        <w:rPr>
          <w:rFonts w:ascii="Times New Roman" w:cs="Times New Roman" w:eastAsia="Times New Roman" w:hAnsi="Times New Roman"/>
          <w:sz w:val="13"/>
          <w:szCs w:val="13"/>
          <w:color w:val="auto"/>
        </w:rPr>
        <w:t xml:space="preserve"> x SP </w:t>
      </w:r>
      <w:r>
        <w:rPr>
          <w:rFonts w:ascii="Times New Roman" w:cs="Times New Roman" w:eastAsia="Times New Roman" w:hAnsi="Times New Roman"/>
          <w:sz w:val="8"/>
          <w:szCs w:val="8"/>
          <w:color w:val="auto"/>
        </w:rPr>
        <w:t>0</w:t>
      </w:r>
      <w:r>
        <w:rPr>
          <w:rFonts w:ascii="Times New Roman" w:cs="Times New Roman" w:eastAsia="Times New Roman" w:hAnsi="Times New Roman"/>
          <w:sz w:val="13"/>
          <w:szCs w:val="13"/>
          <w:color w:val="auto"/>
        </w:rPr>
        <w:t xml:space="preserve"> /(SP </w:t>
      </w:r>
      <w:r>
        <w:rPr>
          <w:rFonts w:ascii="Times New Roman" w:cs="Times New Roman" w:eastAsia="Times New Roman" w:hAnsi="Times New Roman"/>
          <w:sz w:val="8"/>
          <w:szCs w:val="8"/>
          <w:color w:val="auto"/>
        </w:rPr>
        <w:t>0</w:t>
      </w:r>
      <w:r>
        <w:rPr>
          <w:rFonts w:ascii="Times New Roman" w:cs="Times New Roman" w:eastAsia="Times New Roman" w:hAnsi="Times New Roman"/>
          <w:sz w:val="13"/>
          <w:szCs w:val="13"/>
          <w:color w:val="auto"/>
        </w:rPr>
        <w:t xml:space="preserve"> – FMV)</w:t>
      </w:r>
    </w:p>
    <w:p>
      <w:pPr>
        <w:spacing w:after="0" w:line="1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where</w:t>
      </w:r>
    </w:p>
    <w:p>
      <w:pPr>
        <w:spacing w:after="0" w:line="18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CR </w:t>
      </w:r>
      <w:r>
        <w:rPr>
          <w:rFonts w:ascii="Times New Roman" w:cs="Times New Roman" w:eastAsia="Times New Roman" w:hAnsi="Times New Roman"/>
          <w:sz w:val="8"/>
          <w:szCs w:val="8"/>
          <w:color w:val="auto"/>
        </w:rPr>
        <w:t>0</w:t>
      </w:r>
      <w:r>
        <w:rPr>
          <w:rFonts w:ascii="Times New Roman" w:cs="Times New Roman" w:eastAsia="Times New Roman" w:hAnsi="Times New Roman"/>
          <w:sz w:val="13"/>
          <w:szCs w:val="13"/>
          <w:color w:val="auto"/>
        </w:rPr>
        <w:t xml:space="preserve"> = the conversion rate in effect immediately prior to the ex-dividend date for such distribution;</w:t>
      </w:r>
    </w:p>
    <w:p>
      <w:pPr>
        <w:spacing w:after="0" w:line="18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CR </w:t>
      </w:r>
      <w:r>
        <w:rPr>
          <w:rFonts w:ascii="Times New Roman" w:cs="Times New Roman" w:eastAsia="Times New Roman" w:hAnsi="Times New Roman"/>
          <w:sz w:val="8"/>
          <w:szCs w:val="8"/>
          <w:color w:val="auto"/>
        </w:rPr>
        <w:t>1</w:t>
      </w:r>
      <w:r>
        <w:rPr>
          <w:rFonts w:ascii="Times New Roman" w:cs="Times New Roman" w:eastAsia="Times New Roman" w:hAnsi="Times New Roman"/>
          <w:sz w:val="13"/>
          <w:szCs w:val="13"/>
          <w:color w:val="auto"/>
        </w:rPr>
        <w:t xml:space="preserve"> = the new conversion rate in effect immediately on and after the ex-dividend date for such distribution;</w:t>
      </w:r>
    </w:p>
    <w:p>
      <w:pPr>
        <w:spacing w:after="0" w:line="187" w:lineRule="exact"/>
        <w:rPr>
          <w:sz w:val="20"/>
          <w:szCs w:val="20"/>
          <w:color w:val="auto"/>
        </w:rPr>
      </w:pPr>
    </w:p>
    <w:p>
      <w:pPr>
        <w:ind w:left="900" w:right="820"/>
        <w:spacing w:after="0" w:line="305" w:lineRule="auto"/>
        <w:rPr>
          <w:sz w:val="20"/>
          <w:szCs w:val="20"/>
          <w:color w:val="auto"/>
        </w:rPr>
      </w:pPr>
      <w:r>
        <w:rPr>
          <w:rFonts w:ascii="Times New Roman" w:cs="Times New Roman" w:eastAsia="Times New Roman" w:hAnsi="Times New Roman"/>
          <w:sz w:val="13"/>
          <w:szCs w:val="13"/>
          <w:color w:val="auto"/>
        </w:rPr>
        <w:t xml:space="preserve">SP </w:t>
      </w:r>
      <w:r>
        <w:rPr>
          <w:rFonts w:ascii="Times New Roman" w:cs="Times New Roman" w:eastAsia="Times New Roman" w:hAnsi="Times New Roman"/>
          <w:sz w:val="8"/>
          <w:szCs w:val="8"/>
          <w:color w:val="auto"/>
        </w:rPr>
        <w:t>0</w:t>
      </w:r>
      <w:r>
        <w:rPr>
          <w:rFonts w:ascii="Times New Roman" w:cs="Times New Roman" w:eastAsia="Times New Roman" w:hAnsi="Times New Roman"/>
          <w:sz w:val="13"/>
          <w:szCs w:val="13"/>
          <w:color w:val="auto"/>
        </w:rPr>
        <w:t xml:space="preserve"> = the average of the Closing Sale Price per share of Common Stock for the 10 consecutive Trading Days ending on the business day immediately preceding the ex-dividend date for such distribution; and</w:t>
      </w:r>
    </w:p>
    <w:p>
      <w:pPr>
        <w:spacing w:after="0" w:line="124" w:lineRule="exact"/>
        <w:rPr>
          <w:sz w:val="20"/>
          <w:szCs w:val="20"/>
          <w:color w:val="auto"/>
        </w:rPr>
      </w:pPr>
    </w:p>
    <w:p>
      <w:pPr>
        <w:jc w:val="both"/>
        <w:ind w:left="900" w:right="720"/>
        <w:spacing w:after="0" w:line="287" w:lineRule="auto"/>
        <w:rPr>
          <w:sz w:val="20"/>
          <w:szCs w:val="20"/>
          <w:color w:val="auto"/>
        </w:rPr>
      </w:pPr>
      <w:r>
        <w:rPr>
          <w:rFonts w:ascii="Times New Roman" w:cs="Times New Roman" w:eastAsia="Times New Roman" w:hAnsi="Times New Roman"/>
          <w:sz w:val="13"/>
          <w:szCs w:val="13"/>
          <w:color w:val="auto"/>
        </w:rPr>
        <w:t>FMV = the fair market value (as determined in good faith by the Company’s board of directors) of the shares of capital stock, evidences of indebtedness, assets or property distributed with respect to each outstanding share of Common Stock on the earlier of the record date or the ex-dividend date for such distribution;</w:t>
      </w:r>
    </w:p>
    <w:p>
      <w:pPr>
        <w:spacing w:after="0" w:line="136" w:lineRule="exact"/>
        <w:rPr>
          <w:sz w:val="20"/>
          <w:szCs w:val="20"/>
          <w:color w:val="auto"/>
        </w:rPr>
      </w:pPr>
    </w:p>
    <w:p>
      <w:pPr>
        <w:ind w:left="600" w:right="740"/>
        <w:spacing w:after="0" w:line="305" w:lineRule="auto"/>
        <w:rPr>
          <w:sz w:val="20"/>
          <w:szCs w:val="20"/>
          <w:color w:val="auto"/>
        </w:rPr>
      </w:pPr>
      <w:r>
        <w:rPr>
          <w:rFonts w:ascii="Times New Roman" w:cs="Times New Roman" w:eastAsia="Times New Roman" w:hAnsi="Times New Roman"/>
          <w:sz w:val="13"/>
          <w:szCs w:val="13"/>
          <w:color w:val="auto"/>
        </w:rPr>
        <w:t>provided that if “FMV” with respect to any distribution of shares of capital stock, evidences of indebtedness or other assets or property of the Company is equal to or greater than “SP0” with respect to such distribution, then in lieu of the foregoing adjustment, adequate provision shall be</w:t>
      </w:r>
    </w:p>
    <w:p>
      <w:pPr>
        <w:spacing w:after="0" w:line="36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316230</wp:posOffset>
            </wp:positionV>
            <wp:extent cx="4436110" cy="1524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523">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-3175</wp:posOffset>
            </wp:positionV>
            <wp:extent cx="5083810" cy="1524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524">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98" w:name="page299"/>
    <w:bookmarkEnd w:id="298"/>
    <w:p>
      <w:pPr>
        <w:ind w:left="600" w:right="720"/>
        <w:spacing w:after="0" w:line="276" w:lineRule="auto"/>
        <w:rPr>
          <w:sz w:val="20"/>
          <w:szCs w:val="20"/>
          <w:color w:val="auto"/>
        </w:rPr>
      </w:pPr>
      <w:r>
        <w:rPr>
          <w:rFonts w:ascii="Times New Roman" w:cs="Times New Roman" w:eastAsia="Times New Roman" w:hAnsi="Times New Roman"/>
          <w:sz w:val="13"/>
          <w:szCs w:val="13"/>
          <w:color w:val="auto"/>
        </w:rPr>
        <w:t>made so that each holder of Series D Preferred Stock shall have the right to receive on the date such shares of capital stock, evidences of indebtedness or other assets or property of the Company are distributed to holders of Common Stock, for each share of Series D Preferred Stock, the amount of shares of capital stock, evidences of indebtedness or other assets or property of the Company such holder of Series D Preferred Stock would have received had such holder of Series D Preferred Stock owned a number of shares of Common Stock equal to a fraction the numerator of which is the product of the conversion rate in effect on the ex-dividend date for such distribution, and the aggregate liquidation preference of Series D Preferred Stock held by such holder and the denominator of which is twenty-five ($25.00).</w:t>
      </w:r>
    </w:p>
    <w:p>
      <w:pPr>
        <w:spacing w:after="0" w:line="145" w:lineRule="exact"/>
        <w:rPr>
          <w:sz w:val="20"/>
          <w:szCs w:val="20"/>
          <w:color w:val="auto"/>
        </w:rPr>
      </w:pPr>
    </w:p>
    <w:p>
      <w:pPr>
        <w:ind w:left="600" w:right="700" w:firstLine="312"/>
        <w:spacing w:after="0" w:line="305" w:lineRule="auto"/>
        <w:rPr>
          <w:sz w:val="20"/>
          <w:szCs w:val="20"/>
          <w:color w:val="auto"/>
        </w:rPr>
      </w:pPr>
      <w:r>
        <w:rPr>
          <w:rFonts w:ascii="Times New Roman" w:cs="Times New Roman" w:eastAsia="Times New Roman" w:hAnsi="Times New Roman"/>
          <w:sz w:val="13"/>
          <w:szCs w:val="13"/>
          <w:color w:val="auto"/>
        </w:rPr>
        <w:t>An adjustment to the conversion rate made pursuant to the immediately preceding paragraph shall become effective on the ex-dividend date for such distribution.</w:t>
      </w:r>
    </w:p>
    <w:p>
      <w:pPr>
        <w:spacing w:after="0" w:line="124" w:lineRule="exact"/>
        <w:rPr>
          <w:sz w:val="20"/>
          <w:szCs w:val="20"/>
          <w:color w:val="auto"/>
        </w:rPr>
      </w:pPr>
    </w:p>
    <w:p>
      <w:pPr>
        <w:jc w:val="both"/>
        <w:ind w:left="600" w:right="600" w:firstLine="312"/>
        <w:spacing w:after="0" w:line="287" w:lineRule="auto"/>
        <w:rPr>
          <w:sz w:val="20"/>
          <w:szCs w:val="20"/>
          <w:color w:val="auto"/>
        </w:rPr>
      </w:pPr>
      <w:r>
        <w:rPr>
          <w:rFonts w:ascii="Times New Roman" w:cs="Times New Roman" w:eastAsia="Times New Roman" w:hAnsi="Times New Roman"/>
          <w:sz w:val="13"/>
          <w:szCs w:val="13"/>
          <w:color w:val="auto"/>
        </w:rPr>
        <w:t>If the Company distributes to all holders of Common Stock capital stock of any class or series, or similar equity interest, of or relating to one of the Company’s subsidiaries or other business unit (a “spin-off”) the conversion rate in effect immediately before the 10th Trading Day from and including the effective date of the spin-off shall be adjusted based on the following formula:</w:t>
      </w:r>
    </w:p>
    <w:p>
      <w:pPr>
        <w:spacing w:after="0" w:line="13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CR </w:t>
      </w:r>
      <w:r>
        <w:rPr>
          <w:rFonts w:ascii="Times New Roman" w:cs="Times New Roman" w:eastAsia="Times New Roman" w:hAnsi="Times New Roman"/>
          <w:sz w:val="8"/>
          <w:szCs w:val="8"/>
          <w:color w:val="auto"/>
        </w:rPr>
        <w:t>1</w:t>
      </w:r>
      <w:r>
        <w:rPr>
          <w:rFonts w:ascii="Times New Roman" w:cs="Times New Roman" w:eastAsia="Times New Roman" w:hAnsi="Times New Roman"/>
          <w:sz w:val="13"/>
          <w:szCs w:val="13"/>
          <w:color w:val="auto"/>
        </w:rPr>
        <w:t xml:space="preserve"> = CR </w:t>
      </w:r>
      <w:r>
        <w:rPr>
          <w:rFonts w:ascii="Times New Roman" w:cs="Times New Roman" w:eastAsia="Times New Roman" w:hAnsi="Times New Roman"/>
          <w:sz w:val="8"/>
          <w:szCs w:val="8"/>
          <w:color w:val="auto"/>
        </w:rPr>
        <w:t>0</w:t>
      </w:r>
      <w:r>
        <w:rPr>
          <w:rFonts w:ascii="Times New Roman" w:cs="Times New Roman" w:eastAsia="Times New Roman" w:hAnsi="Times New Roman"/>
          <w:sz w:val="13"/>
          <w:szCs w:val="13"/>
          <w:color w:val="auto"/>
        </w:rPr>
        <w:t xml:space="preserve"> x (FMV </w:t>
      </w:r>
      <w:r>
        <w:rPr>
          <w:rFonts w:ascii="Times New Roman" w:cs="Times New Roman" w:eastAsia="Times New Roman" w:hAnsi="Times New Roman"/>
          <w:sz w:val="8"/>
          <w:szCs w:val="8"/>
          <w:color w:val="auto"/>
        </w:rPr>
        <w:t>0</w:t>
      </w:r>
      <w:r>
        <w:rPr>
          <w:rFonts w:ascii="Times New Roman" w:cs="Times New Roman" w:eastAsia="Times New Roman" w:hAnsi="Times New Roman"/>
          <w:sz w:val="13"/>
          <w:szCs w:val="13"/>
          <w:color w:val="auto"/>
        </w:rPr>
        <w:t xml:space="preserve"> +MP </w:t>
      </w:r>
      <w:r>
        <w:rPr>
          <w:rFonts w:ascii="Times New Roman" w:cs="Times New Roman" w:eastAsia="Times New Roman" w:hAnsi="Times New Roman"/>
          <w:sz w:val="8"/>
          <w:szCs w:val="8"/>
          <w:color w:val="auto"/>
        </w:rPr>
        <w:t>0</w:t>
      </w:r>
      <w:r>
        <w:rPr>
          <w:rFonts w:ascii="Times New Roman" w:cs="Times New Roman" w:eastAsia="Times New Roman" w:hAnsi="Times New Roman"/>
          <w:sz w:val="13"/>
          <w:szCs w:val="13"/>
          <w:color w:val="auto"/>
        </w:rPr>
        <w:t xml:space="preserve"> )/ MP </w:t>
      </w:r>
      <w:r>
        <w:rPr>
          <w:rFonts w:ascii="Times New Roman" w:cs="Times New Roman" w:eastAsia="Times New Roman" w:hAnsi="Times New Roman"/>
          <w:sz w:val="8"/>
          <w:szCs w:val="8"/>
          <w:color w:val="auto"/>
        </w:rPr>
        <w:t>0</w:t>
      </w:r>
    </w:p>
    <w:p>
      <w:pPr>
        <w:spacing w:after="0" w:line="1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where</w:t>
      </w:r>
    </w:p>
    <w:p>
      <w:pPr>
        <w:spacing w:after="0" w:line="187" w:lineRule="exact"/>
        <w:rPr>
          <w:sz w:val="20"/>
          <w:szCs w:val="20"/>
          <w:color w:val="auto"/>
        </w:rPr>
      </w:pPr>
    </w:p>
    <w:p>
      <w:pPr>
        <w:ind w:left="900" w:right="780"/>
        <w:spacing w:after="0" w:line="305" w:lineRule="auto"/>
        <w:rPr>
          <w:sz w:val="20"/>
          <w:szCs w:val="20"/>
          <w:color w:val="auto"/>
        </w:rPr>
      </w:pPr>
      <w:r>
        <w:rPr>
          <w:rFonts w:ascii="Times New Roman" w:cs="Times New Roman" w:eastAsia="Times New Roman" w:hAnsi="Times New Roman"/>
          <w:sz w:val="13"/>
          <w:szCs w:val="13"/>
          <w:color w:val="auto"/>
        </w:rPr>
        <w:t xml:space="preserve">CR </w:t>
      </w:r>
      <w:r>
        <w:rPr>
          <w:rFonts w:ascii="Times New Roman" w:cs="Times New Roman" w:eastAsia="Times New Roman" w:hAnsi="Times New Roman"/>
          <w:sz w:val="8"/>
          <w:szCs w:val="8"/>
          <w:color w:val="auto"/>
        </w:rPr>
        <w:t>0</w:t>
      </w:r>
      <w:r>
        <w:rPr>
          <w:rFonts w:ascii="Times New Roman" w:cs="Times New Roman" w:eastAsia="Times New Roman" w:hAnsi="Times New Roman"/>
          <w:sz w:val="13"/>
          <w:szCs w:val="13"/>
          <w:color w:val="auto"/>
        </w:rPr>
        <w:t xml:space="preserve"> = the conversion rate in effect immediately prior to the 10th Trading Day immediately following, and including, the effective date of the spin-off;</w:t>
      </w:r>
    </w:p>
    <w:p>
      <w:pPr>
        <w:spacing w:after="0" w:line="124" w:lineRule="exact"/>
        <w:rPr>
          <w:sz w:val="20"/>
          <w:szCs w:val="20"/>
          <w:color w:val="auto"/>
        </w:rPr>
      </w:pPr>
    </w:p>
    <w:p>
      <w:pPr>
        <w:ind w:left="900" w:right="680"/>
        <w:spacing w:after="0" w:line="305" w:lineRule="auto"/>
        <w:rPr>
          <w:sz w:val="20"/>
          <w:szCs w:val="20"/>
          <w:color w:val="auto"/>
        </w:rPr>
      </w:pPr>
      <w:r>
        <w:rPr>
          <w:rFonts w:ascii="Times New Roman" w:cs="Times New Roman" w:eastAsia="Times New Roman" w:hAnsi="Times New Roman"/>
          <w:sz w:val="13"/>
          <w:szCs w:val="13"/>
          <w:color w:val="auto"/>
        </w:rPr>
        <w:t xml:space="preserve">CR </w:t>
      </w:r>
      <w:r>
        <w:rPr>
          <w:rFonts w:ascii="Times New Roman" w:cs="Times New Roman" w:eastAsia="Times New Roman" w:hAnsi="Times New Roman"/>
          <w:sz w:val="8"/>
          <w:szCs w:val="8"/>
          <w:color w:val="auto"/>
        </w:rPr>
        <w:t>1</w:t>
      </w:r>
      <w:r>
        <w:rPr>
          <w:rFonts w:ascii="Times New Roman" w:cs="Times New Roman" w:eastAsia="Times New Roman" w:hAnsi="Times New Roman"/>
          <w:sz w:val="13"/>
          <w:szCs w:val="13"/>
          <w:color w:val="auto"/>
        </w:rPr>
        <w:t xml:space="preserve"> = the new conversion rate in effect immediately on and after the 10th Trading Day immediately following, and including, the effective date of the spin-off;</w:t>
      </w:r>
    </w:p>
    <w:p>
      <w:pPr>
        <w:spacing w:after="0" w:line="124" w:lineRule="exact"/>
        <w:rPr>
          <w:sz w:val="20"/>
          <w:szCs w:val="20"/>
          <w:color w:val="auto"/>
        </w:rPr>
      </w:pPr>
    </w:p>
    <w:p>
      <w:pPr>
        <w:ind w:left="900" w:right="900"/>
        <w:spacing w:after="0" w:line="305" w:lineRule="auto"/>
        <w:rPr>
          <w:sz w:val="20"/>
          <w:szCs w:val="20"/>
          <w:color w:val="auto"/>
        </w:rPr>
      </w:pPr>
      <w:r>
        <w:rPr>
          <w:rFonts w:ascii="Times New Roman" w:cs="Times New Roman" w:eastAsia="Times New Roman" w:hAnsi="Times New Roman"/>
          <w:sz w:val="13"/>
          <w:szCs w:val="13"/>
          <w:color w:val="auto"/>
        </w:rPr>
        <w:t xml:space="preserve">FMV </w:t>
      </w:r>
      <w:r>
        <w:rPr>
          <w:rFonts w:ascii="Times New Roman" w:cs="Times New Roman" w:eastAsia="Times New Roman" w:hAnsi="Times New Roman"/>
          <w:sz w:val="8"/>
          <w:szCs w:val="8"/>
          <w:color w:val="auto"/>
        </w:rPr>
        <w:t>0</w:t>
      </w:r>
      <w:r>
        <w:rPr>
          <w:rFonts w:ascii="Times New Roman" w:cs="Times New Roman" w:eastAsia="Times New Roman" w:hAnsi="Times New Roman"/>
          <w:sz w:val="13"/>
          <w:szCs w:val="13"/>
          <w:color w:val="auto"/>
        </w:rPr>
        <w:t xml:space="preserve"> = the average of the Closing Sale Prices per share of the capital stock or similar equity interest distributed to holders of Common Stock applicable to one share of Common Stock over the first 10 consecutive Trading Days after the effective date of the spin-off; and</w:t>
      </w:r>
    </w:p>
    <w:p>
      <w:pPr>
        <w:spacing w:after="0" w:line="124" w:lineRule="exact"/>
        <w:rPr>
          <w:sz w:val="20"/>
          <w:szCs w:val="20"/>
          <w:color w:val="auto"/>
        </w:rPr>
      </w:pPr>
    </w:p>
    <w:p>
      <w:pPr>
        <w:ind w:left="900" w:right="900"/>
        <w:spacing w:after="0" w:line="305" w:lineRule="auto"/>
        <w:rPr>
          <w:sz w:val="20"/>
          <w:szCs w:val="20"/>
          <w:color w:val="auto"/>
        </w:rPr>
      </w:pPr>
      <w:r>
        <w:rPr>
          <w:rFonts w:ascii="Times New Roman" w:cs="Times New Roman" w:eastAsia="Times New Roman" w:hAnsi="Times New Roman"/>
          <w:sz w:val="13"/>
          <w:szCs w:val="13"/>
          <w:color w:val="auto"/>
        </w:rPr>
        <w:t xml:space="preserve">MP </w:t>
      </w:r>
      <w:r>
        <w:rPr>
          <w:rFonts w:ascii="Times New Roman" w:cs="Times New Roman" w:eastAsia="Times New Roman" w:hAnsi="Times New Roman"/>
          <w:sz w:val="8"/>
          <w:szCs w:val="8"/>
          <w:color w:val="auto"/>
        </w:rPr>
        <w:t>0</w:t>
      </w:r>
      <w:r>
        <w:rPr>
          <w:rFonts w:ascii="Times New Roman" w:cs="Times New Roman" w:eastAsia="Times New Roman" w:hAnsi="Times New Roman"/>
          <w:sz w:val="13"/>
          <w:szCs w:val="13"/>
          <w:color w:val="auto"/>
        </w:rPr>
        <w:t xml:space="preserve"> = the average of the Closing Sale Prices per share of Common Stock over the first 10 consecutive Trading Days after the effective date of the spin-off.</w:t>
      </w:r>
    </w:p>
    <w:p>
      <w:pPr>
        <w:spacing w:after="0" w:line="124" w:lineRule="exact"/>
        <w:rPr>
          <w:sz w:val="20"/>
          <w:szCs w:val="20"/>
          <w:color w:val="auto"/>
        </w:rPr>
      </w:pPr>
    </w:p>
    <w:p>
      <w:pPr>
        <w:jc w:val="both"/>
        <w:ind w:left="600" w:right="1020" w:firstLine="312"/>
        <w:spacing w:after="0" w:line="287" w:lineRule="auto"/>
        <w:rPr>
          <w:sz w:val="20"/>
          <w:szCs w:val="20"/>
          <w:color w:val="auto"/>
        </w:rPr>
      </w:pPr>
      <w:r>
        <w:rPr>
          <w:rFonts w:ascii="Times New Roman" w:cs="Times New Roman" w:eastAsia="Times New Roman" w:hAnsi="Times New Roman"/>
          <w:sz w:val="13"/>
          <w:szCs w:val="13"/>
          <w:color w:val="auto"/>
        </w:rPr>
        <w:t>An adjustment to the conversion rate made pursuant to the immediately preceding paragraph shall occur on the 10th Trading Day from and including the effective date of the spin-off; provided that in respect of any conversion within the 10 Trading Days following the effective date of any spin-off, references within this paragraph (iii) to 10 Trading Days shall be</w:t>
      </w:r>
    </w:p>
    <w:p>
      <w:pPr>
        <w:spacing w:after="0" w:line="37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316230</wp:posOffset>
            </wp:positionV>
            <wp:extent cx="4436110" cy="1524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525">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-3175</wp:posOffset>
            </wp:positionV>
            <wp:extent cx="5083810" cy="1524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526">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99" w:name="page300"/>
    <w:bookmarkEnd w:id="299"/>
    <w:p>
      <w:pPr>
        <w:ind w:left="600" w:right="660"/>
        <w:spacing w:after="0" w:line="305" w:lineRule="auto"/>
        <w:rPr>
          <w:sz w:val="20"/>
          <w:szCs w:val="20"/>
          <w:color w:val="auto"/>
        </w:rPr>
      </w:pPr>
      <w:r>
        <w:rPr>
          <w:rFonts w:ascii="Times New Roman" w:cs="Times New Roman" w:eastAsia="Times New Roman" w:hAnsi="Times New Roman"/>
          <w:sz w:val="13"/>
          <w:szCs w:val="13"/>
          <w:color w:val="auto"/>
        </w:rPr>
        <w:t>deemed replaced with such lesser number of Trading Days as have elapsed between the effective date of such spin-off and the Conversion Date in determining the applicable conversion rate.</w:t>
      </w:r>
    </w:p>
    <w:p>
      <w:pPr>
        <w:spacing w:after="0" w:line="124" w:lineRule="exact"/>
        <w:rPr>
          <w:sz w:val="20"/>
          <w:szCs w:val="20"/>
          <w:color w:val="auto"/>
        </w:rPr>
      </w:pPr>
    </w:p>
    <w:p>
      <w:pPr>
        <w:ind w:left="600" w:right="840" w:firstLine="312"/>
        <w:spacing w:after="0" w:line="305" w:lineRule="auto"/>
        <w:rPr>
          <w:sz w:val="20"/>
          <w:szCs w:val="20"/>
          <w:color w:val="auto"/>
        </w:rPr>
      </w:pPr>
      <w:r>
        <w:rPr>
          <w:rFonts w:ascii="Times New Roman" w:cs="Times New Roman" w:eastAsia="Times New Roman" w:hAnsi="Times New Roman"/>
          <w:sz w:val="13"/>
          <w:szCs w:val="13"/>
          <w:color w:val="auto"/>
        </w:rPr>
        <w:t>If any such dividend or distribution described in this paragraph (iii) is declared but not paid or made, the new conversion rate shall be re-adjusted to be the conversion rate that would then be in effect if such dividend or distribution had not been declared.</w:t>
      </w:r>
    </w:p>
    <w:p>
      <w:pPr>
        <w:spacing w:after="0" w:line="124" w:lineRule="exact"/>
        <w:rPr>
          <w:sz w:val="20"/>
          <w:szCs w:val="20"/>
          <w:color w:val="auto"/>
        </w:rPr>
      </w:pPr>
    </w:p>
    <w:p>
      <w:pPr>
        <w:ind w:left="900" w:right="740" w:firstLine="319"/>
        <w:spacing w:after="0" w:line="278" w:lineRule="auto"/>
        <w:tabs>
          <w:tab w:leader="none" w:pos="1428" w:val="left"/>
        </w:tabs>
        <w:numPr>
          <w:ilvl w:val="0"/>
          <w:numId w:val="2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Company makes any cash dividend or distribution to all holders of outstanding shares of Common Stock (excluding any dividend or distribution in connection with the Company’s liquidation, dissolution or winding up) during any of its quarterly fiscal periods in an aggregate amount that, together with other cash dividends or distributions made during such quarterly fiscal period, exceeds the product of $0.31 (subject to adjustment) (the “reference dividend”), multiplied by the number of shares of Common Stock outstanding on the record date for such distribution, the conversion rate shall be adjusted based on the following formula:</w:t>
      </w:r>
    </w:p>
    <w:p>
      <w:pPr>
        <w:spacing w:after="0" w:line="14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CR </w:t>
      </w:r>
      <w:r>
        <w:rPr>
          <w:rFonts w:ascii="Times New Roman" w:cs="Times New Roman" w:eastAsia="Times New Roman" w:hAnsi="Times New Roman"/>
          <w:sz w:val="8"/>
          <w:szCs w:val="8"/>
          <w:color w:val="auto"/>
        </w:rPr>
        <w:t>1</w:t>
      </w:r>
      <w:r>
        <w:rPr>
          <w:rFonts w:ascii="Times New Roman" w:cs="Times New Roman" w:eastAsia="Times New Roman" w:hAnsi="Times New Roman"/>
          <w:sz w:val="13"/>
          <w:szCs w:val="13"/>
          <w:color w:val="auto"/>
        </w:rPr>
        <w:t xml:space="preserve"> = CR </w:t>
      </w:r>
      <w:r>
        <w:rPr>
          <w:rFonts w:ascii="Times New Roman" w:cs="Times New Roman" w:eastAsia="Times New Roman" w:hAnsi="Times New Roman"/>
          <w:sz w:val="8"/>
          <w:szCs w:val="8"/>
          <w:color w:val="auto"/>
        </w:rPr>
        <w:t>0</w:t>
      </w:r>
      <w:r>
        <w:rPr>
          <w:rFonts w:ascii="Times New Roman" w:cs="Times New Roman" w:eastAsia="Times New Roman" w:hAnsi="Times New Roman"/>
          <w:sz w:val="13"/>
          <w:szCs w:val="13"/>
          <w:color w:val="auto"/>
        </w:rPr>
        <w:t xml:space="preserve"> x SP </w:t>
      </w:r>
      <w:r>
        <w:rPr>
          <w:rFonts w:ascii="Times New Roman" w:cs="Times New Roman" w:eastAsia="Times New Roman" w:hAnsi="Times New Roman"/>
          <w:sz w:val="8"/>
          <w:szCs w:val="8"/>
          <w:color w:val="auto"/>
        </w:rPr>
        <w:t>0</w:t>
      </w:r>
      <w:r>
        <w:rPr>
          <w:rFonts w:ascii="Times New Roman" w:cs="Times New Roman" w:eastAsia="Times New Roman" w:hAnsi="Times New Roman"/>
          <w:sz w:val="13"/>
          <w:szCs w:val="13"/>
          <w:color w:val="auto"/>
        </w:rPr>
        <w:t xml:space="preserve"> /(SP </w:t>
      </w:r>
      <w:r>
        <w:rPr>
          <w:rFonts w:ascii="Times New Roman" w:cs="Times New Roman" w:eastAsia="Times New Roman" w:hAnsi="Times New Roman"/>
          <w:sz w:val="8"/>
          <w:szCs w:val="8"/>
          <w:color w:val="auto"/>
        </w:rPr>
        <w:t>0</w:t>
      </w:r>
      <w:r>
        <w:rPr>
          <w:rFonts w:ascii="Times New Roman" w:cs="Times New Roman" w:eastAsia="Times New Roman" w:hAnsi="Times New Roman"/>
          <w:sz w:val="13"/>
          <w:szCs w:val="13"/>
          <w:color w:val="auto"/>
        </w:rPr>
        <w:t xml:space="preserve"> – C)</w:t>
      </w:r>
    </w:p>
    <w:p>
      <w:pPr>
        <w:spacing w:after="0" w:line="1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where</w:t>
      </w:r>
    </w:p>
    <w:p>
      <w:pPr>
        <w:spacing w:after="0" w:line="2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CR </w:t>
      </w:r>
      <w:r>
        <w:rPr>
          <w:rFonts w:ascii="Times New Roman" w:cs="Times New Roman" w:eastAsia="Times New Roman" w:hAnsi="Times New Roman"/>
          <w:sz w:val="8"/>
          <w:szCs w:val="8"/>
          <w:color w:val="auto"/>
        </w:rPr>
        <w:t>0</w:t>
      </w:r>
      <w:r>
        <w:rPr>
          <w:rFonts w:ascii="Times New Roman" w:cs="Times New Roman" w:eastAsia="Times New Roman" w:hAnsi="Times New Roman"/>
          <w:sz w:val="13"/>
          <w:szCs w:val="13"/>
          <w:color w:val="auto"/>
        </w:rPr>
        <w:t xml:space="preserve"> = the conversion rate in effect immediately prior to the ex-dividend date for such distribution; CR </w:t>
      </w:r>
      <w:r>
        <w:rPr>
          <w:rFonts w:ascii="Times New Roman" w:cs="Times New Roman" w:eastAsia="Times New Roman" w:hAnsi="Times New Roman"/>
          <w:sz w:val="8"/>
          <w:szCs w:val="8"/>
          <w:color w:val="auto"/>
        </w:rPr>
        <w:t>1</w:t>
      </w:r>
      <w:r>
        <w:rPr>
          <w:rFonts w:ascii="Times New Roman" w:cs="Times New Roman" w:eastAsia="Times New Roman" w:hAnsi="Times New Roman"/>
          <w:sz w:val="13"/>
          <w:szCs w:val="13"/>
          <w:color w:val="auto"/>
        </w:rPr>
        <w:t xml:space="preserve"> = the new</w:t>
      </w:r>
    </w:p>
    <w:p>
      <w:pPr>
        <w:spacing w:after="0" w:line="18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conversion rate in effect immediately after the ex-dividend date for such distribution;</w:t>
      </w:r>
    </w:p>
    <w:p>
      <w:pPr>
        <w:spacing w:after="0" w:line="103" w:lineRule="exact"/>
        <w:rPr>
          <w:sz w:val="20"/>
          <w:szCs w:val="20"/>
          <w:color w:val="auto"/>
        </w:rPr>
      </w:pPr>
    </w:p>
    <w:p>
      <w:pPr>
        <w:ind w:left="900" w:right="820"/>
        <w:spacing w:after="0" w:line="305" w:lineRule="auto"/>
        <w:rPr>
          <w:sz w:val="20"/>
          <w:szCs w:val="20"/>
          <w:color w:val="auto"/>
        </w:rPr>
      </w:pPr>
      <w:r>
        <w:rPr>
          <w:rFonts w:ascii="Times New Roman" w:cs="Times New Roman" w:eastAsia="Times New Roman" w:hAnsi="Times New Roman"/>
          <w:sz w:val="13"/>
          <w:szCs w:val="13"/>
          <w:color w:val="auto"/>
        </w:rPr>
        <w:t xml:space="preserve">SP </w:t>
      </w:r>
      <w:r>
        <w:rPr>
          <w:rFonts w:ascii="Times New Roman" w:cs="Times New Roman" w:eastAsia="Times New Roman" w:hAnsi="Times New Roman"/>
          <w:sz w:val="8"/>
          <w:szCs w:val="8"/>
          <w:color w:val="auto"/>
        </w:rPr>
        <w:t>0</w:t>
      </w:r>
      <w:r>
        <w:rPr>
          <w:rFonts w:ascii="Times New Roman" w:cs="Times New Roman" w:eastAsia="Times New Roman" w:hAnsi="Times New Roman"/>
          <w:sz w:val="13"/>
          <w:szCs w:val="13"/>
          <w:color w:val="auto"/>
        </w:rPr>
        <w:t xml:space="preserve"> = the average of the Closing Sale Price per share of Common Stock for the 10 consecutive Trading Days ending on the business day immediately preceding the earlier of the record date or the day prior to the ex-dividend date for such distribution; and</w:t>
      </w:r>
    </w:p>
    <w:p>
      <w:pPr>
        <w:spacing w:after="0" w:line="12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C = the amount in cash per share that the Company distributes to holders of Common Stock that exceeds the reference dividend;</w:t>
      </w:r>
    </w:p>
    <w:p>
      <w:pPr>
        <w:spacing w:after="0" w:line="187" w:lineRule="exact"/>
        <w:rPr>
          <w:sz w:val="20"/>
          <w:szCs w:val="20"/>
          <w:color w:val="auto"/>
        </w:rPr>
      </w:pPr>
    </w:p>
    <w:p>
      <w:pPr>
        <w:ind w:left="600" w:right="620"/>
        <w:spacing w:after="0" w:line="276" w:lineRule="auto"/>
        <w:rPr>
          <w:sz w:val="20"/>
          <w:szCs w:val="20"/>
          <w:color w:val="auto"/>
        </w:rPr>
      </w:pPr>
      <w:r>
        <w:rPr>
          <w:rFonts w:ascii="Times New Roman" w:cs="Times New Roman" w:eastAsia="Times New Roman" w:hAnsi="Times New Roman"/>
          <w:sz w:val="13"/>
          <w:szCs w:val="13"/>
          <w:color w:val="auto"/>
        </w:rPr>
        <w:t>provided that if “C” with respect to any such cash dividend or distribution is equal to or greater than “SP0” with respect to any such cash dividend or distribution, then in lieu of the foregoing adjustment, adequate provision shall be made so that each holder of Series D Preferred Stock shall have the right to receive on the date such cash is distributed to holders of Common Stock, for each share of Series D Preferred Stock, the amount of cash such holder of Series D Preferred Stock would have received had such holder of Series D Preferred Stock owned a number of shares of Common Stock equal to a fraction the numerator of which is the product of the conversion rate in effect on the ex-dividend date for such dividend or distribution, and the aggregate principal amount of Series D Preferred Stock held by such holder and the denominator of which is twenty-five ($25.00).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674370</wp:posOffset>
            </wp:positionV>
            <wp:extent cx="5083810" cy="1524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527">
                      <a:extLst>
                        <a:ext uri="{28A0092B-C50C-407E-A947-70E740481C1C}"/>
                      </a:extLst>
                    </a:blip>
                    <a:srcRect/>
                    <a:stretch>
                      <a:fillRect/>
                    </a:stretch>
                  </pic:blipFill>
                  <pic:spPr bwMode="auto">
                    <a:xfrm>
                      <a:off x="0" y="0"/>
                      <a:ext cx="5083810" cy="15240"/>
                    </a:xfrm>
                    <a:prstGeom prst="rect">
                      <a:avLst/>
                    </a:prstGeom>
                    <a:noFill/>
                  </pic:spPr>
                </pic:pic>
              </a:graphicData>
            </a:graphic>
          </wp:anchor>
        </w:drawing>
        <w:drawing>
          <wp:anchor simplePos="0" relativeHeight="251657728" behindDoc="1" locked="0" layoutInCell="0" allowOverlap="1">
            <wp:simplePos x="0" y="0"/>
            <wp:positionH relativeFrom="column">
              <wp:posOffset>384810</wp:posOffset>
            </wp:positionH>
            <wp:positionV relativeFrom="paragraph">
              <wp:posOffset>316230</wp:posOffset>
            </wp:positionV>
            <wp:extent cx="4436110" cy="1524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528">
                      <a:extLst>
                        <a:ext uri="{28A0092B-C50C-407E-A947-70E740481C1C}"/>
                      </a:extLst>
                    </a:blip>
                    <a:srcRect/>
                    <a:stretch>
                      <a:fillRect/>
                    </a:stretch>
                  </pic:blipFill>
                  <pic:spPr bwMode="auto">
                    <a:xfrm>
                      <a:off x="0" y="0"/>
                      <a:ext cx="44361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00" w:name="page301"/>
    <w:bookmarkEnd w:id="300"/>
    <w:p>
      <w:pPr>
        <w:ind w:left="600" w:right="720" w:firstLine="312"/>
        <w:spacing w:after="0" w:line="287" w:lineRule="auto"/>
        <w:rPr>
          <w:sz w:val="20"/>
          <w:szCs w:val="20"/>
          <w:color w:val="auto"/>
        </w:rPr>
      </w:pPr>
      <w:r>
        <w:rPr>
          <w:rFonts w:ascii="Times New Roman" w:cs="Times New Roman" w:eastAsia="Times New Roman" w:hAnsi="Times New Roman"/>
          <w:sz w:val="13"/>
          <w:szCs w:val="13"/>
          <w:color w:val="auto"/>
        </w:rPr>
        <w:t>An adjustment to the conversion rate made pursuant to this paragraph (iv) shall become effective on the ex-dividend date for such dividend or distribution. If any dividend or distribution described in this paragraph (iv) is declared but not so paid or made, the new conversion rate shall be re-adjusted to the conversion rate that would then be in effect if such dividend or distribution had not been declared.</w:t>
      </w:r>
    </w:p>
    <w:p>
      <w:pPr>
        <w:spacing w:after="0" w:line="136" w:lineRule="exact"/>
        <w:rPr>
          <w:sz w:val="20"/>
          <w:szCs w:val="20"/>
          <w:color w:val="auto"/>
        </w:rPr>
      </w:pPr>
    </w:p>
    <w:p>
      <w:pPr>
        <w:ind w:left="600" w:right="540" w:firstLine="312"/>
        <w:spacing w:after="0" w:line="305" w:lineRule="auto"/>
        <w:rPr>
          <w:sz w:val="20"/>
          <w:szCs w:val="20"/>
          <w:color w:val="auto"/>
        </w:rPr>
      </w:pPr>
      <w:r>
        <w:rPr>
          <w:rFonts w:ascii="Times New Roman" w:cs="Times New Roman" w:eastAsia="Times New Roman" w:hAnsi="Times New Roman"/>
          <w:sz w:val="13"/>
          <w:szCs w:val="13"/>
          <w:color w:val="auto"/>
        </w:rPr>
        <w:t>The reference dividend amount is subject to adjustment in a manner inversely proportional to adjustments to the conversion rate; provided that no adjustment shall be made to the reference dividend amount for any adjustment made to the conversion rate under this paragraph (iv).</w:t>
      </w:r>
    </w:p>
    <w:p>
      <w:pPr>
        <w:spacing w:after="0" w:line="124" w:lineRule="exact"/>
        <w:rPr>
          <w:sz w:val="20"/>
          <w:szCs w:val="20"/>
          <w:color w:val="auto"/>
        </w:rPr>
      </w:pPr>
    </w:p>
    <w:p>
      <w:pPr>
        <w:ind w:left="600" w:right="900" w:firstLine="312"/>
        <w:spacing w:after="0" w:line="305" w:lineRule="auto"/>
        <w:rPr>
          <w:sz w:val="20"/>
          <w:szCs w:val="20"/>
          <w:color w:val="auto"/>
        </w:rPr>
      </w:pPr>
      <w:r>
        <w:rPr>
          <w:rFonts w:ascii="Times New Roman" w:cs="Times New Roman" w:eastAsia="Times New Roman" w:hAnsi="Times New Roman"/>
          <w:sz w:val="13"/>
          <w:szCs w:val="13"/>
          <w:color w:val="auto"/>
        </w:rPr>
        <w:t>Notwithstanding the foregoing, if an adjustment is required to be made under this paragraph (iv) as a result of a distribution that is not a quarterly dividend, the reference dividend amount shall be deemed to be zero.</w:t>
      </w:r>
    </w:p>
    <w:p>
      <w:pPr>
        <w:spacing w:after="0" w:line="124" w:lineRule="exact"/>
        <w:rPr>
          <w:sz w:val="20"/>
          <w:szCs w:val="20"/>
          <w:color w:val="auto"/>
        </w:rPr>
      </w:pPr>
    </w:p>
    <w:p>
      <w:pPr>
        <w:ind w:left="900" w:right="860" w:firstLine="319"/>
        <w:spacing w:after="0" w:line="281" w:lineRule="auto"/>
        <w:tabs>
          <w:tab w:leader="none" w:pos="1392" w:val="left"/>
        </w:tabs>
        <w:numPr>
          <w:ilvl w:val="0"/>
          <w:numId w:val="2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Company or any of its subsidiaries makes a payment in respect of a tender offer or exchange offer for shares of Common Stock to the extent that the cash and value of any other consideration included in the payment per share of Common Stock exceeds the Closing Sale Price per share of Common Stock on the Trading Day next succeeding the last date on which tenders or exchanges may be made pursuant to such tender offer or exchange offer, the conversion rate shall be adjusted based on the following formula:</w:t>
      </w:r>
    </w:p>
    <w:p>
      <w:pPr>
        <w:spacing w:after="0" w:line="14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CR </w:t>
      </w:r>
      <w:r>
        <w:rPr>
          <w:rFonts w:ascii="Times New Roman" w:cs="Times New Roman" w:eastAsia="Times New Roman" w:hAnsi="Times New Roman"/>
          <w:sz w:val="8"/>
          <w:szCs w:val="8"/>
          <w:color w:val="auto"/>
        </w:rPr>
        <w:t>1</w:t>
      </w:r>
      <w:r>
        <w:rPr>
          <w:rFonts w:ascii="Times New Roman" w:cs="Times New Roman" w:eastAsia="Times New Roman" w:hAnsi="Times New Roman"/>
          <w:sz w:val="13"/>
          <w:szCs w:val="13"/>
          <w:color w:val="auto"/>
        </w:rPr>
        <w:t xml:space="preserve"> = CR </w:t>
      </w:r>
      <w:r>
        <w:rPr>
          <w:rFonts w:ascii="Times New Roman" w:cs="Times New Roman" w:eastAsia="Times New Roman" w:hAnsi="Times New Roman"/>
          <w:sz w:val="8"/>
          <w:szCs w:val="8"/>
          <w:color w:val="auto"/>
        </w:rPr>
        <w:t>0</w:t>
      </w:r>
      <w:r>
        <w:rPr>
          <w:rFonts w:ascii="Times New Roman" w:cs="Times New Roman" w:eastAsia="Times New Roman" w:hAnsi="Times New Roman"/>
          <w:sz w:val="13"/>
          <w:szCs w:val="13"/>
          <w:color w:val="auto"/>
        </w:rPr>
        <w:t xml:space="preserve"> × (AC + (SP </w:t>
      </w:r>
      <w:r>
        <w:rPr>
          <w:rFonts w:ascii="Times New Roman" w:cs="Times New Roman" w:eastAsia="Times New Roman" w:hAnsi="Times New Roman"/>
          <w:sz w:val="8"/>
          <w:szCs w:val="8"/>
          <w:color w:val="auto"/>
        </w:rPr>
        <w:t>1</w:t>
      </w:r>
      <w:r>
        <w:rPr>
          <w:rFonts w:ascii="Times New Roman" w:cs="Times New Roman" w:eastAsia="Times New Roman" w:hAnsi="Times New Roman"/>
          <w:sz w:val="13"/>
          <w:szCs w:val="13"/>
          <w:color w:val="auto"/>
        </w:rPr>
        <w:t xml:space="preserve"> × OS </w:t>
      </w:r>
      <w:r>
        <w:rPr>
          <w:rFonts w:ascii="Times New Roman" w:cs="Times New Roman" w:eastAsia="Times New Roman" w:hAnsi="Times New Roman"/>
          <w:sz w:val="8"/>
          <w:szCs w:val="8"/>
          <w:color w:val="auto"/>
        </w:rPr>
        <w:t>1</w:t>
      </w:r>
      <w:r>
        <w:rPr>
          <w:rFonts w:ascii="Times New Roman" w:cs="Times New Roman" w:eastAsia="Times New Roman" w:hAnsi="Times New Roman"/>
          <w:sz w:val="13"/>
          <w:szCs w:val="13"/>
          <w:color w:val="auto"/>
        </w:rPr>
        <w:t xml:space="preserve"> ))/(SP </w:t>
      </w:r>
      <w:r>
        <w:rPr>
          <w:rFonts w:ascii="Times New Roman" w:cs="Times New Roman" w:eastAsia="Times New Roman" w:hAnsi="Times New Roman"/>
          <w:sz w:val="8"/>
          <w:szCs w:val="8"/>
          <w:color w:val="auto"/>
        </w:rPr>
        <w:t>1</w:t>
      </w:r>
      <w:r>
        <w:rPr>
          <w:rFonts w:ascii="Times New Roman" w:cs="Times New Roman" w:eastAsia="Times New Roman" w:hAnsi="Times New Roman"/>
          <w:sz w:val="13"/>
          <w:szCs w:val="13"/>
          <w:color w:val="auto"/>
        </w:rPr>
        <w:t xml:space="preserve"> × OS </w:t>
      </w:r>
      <w:r>
        <w:rPr>
          <w:rFonts w:ascii="Times New Roman" w:cs="Times New Roman" w:eastAsia="Times New Roman" w:hAnsi="Times New Roman"/>
          <w:sz w:val="8"/>
          <w:szCs w:val="8"/>
          <w:color w:val="auto"/>
        </w:rPr>
        <w:t>0</w:t>
      </w:r>
      <w:r>
        <w:rPr>
          <w:rFonts w:ascii="Times New Roman" w:cs="Times New Roman" w:eastAsia="Times New Roman" w:hAnsi="Times New Roman"/>
          <w:sz w:val="13"/>
          <w:szCs w:val="13"/>
          <w:color w:val="auto"/>
        </w:rPr>
        <w:t xml:space="preserve"> )</w:t>
      </w:r>
    </w:p>
    <w:p>
      <w:pPr>
        <w:spacing w:after="0" w:line="1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where</w:t>
      </w:r>
    </w:p>
    <w:p>
      <w:pPr>
        <w:spacing w:after="0" w:line="18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CR </w:t>
      </w:r>
      <w:r>
        <w:rPr>
          <w:rFonts w:ascii="Times New Roman" w:cs="Times New Roman" w:eastAsia="Times New Roman" w:hAnsi="Times New Roman"/>
          <w:sz w:val="8"/>
          <w:szCs w:val="8"/>
          <w:color w:val="auto"/>
        </w:rPr>
        <w:t>0</w:t>
      </w:r>
      <w:r>
        <w:rPr>
          <w:rFonts w:ascii="Times New Roman" w:cs="Times New Roman" w:eastAsia="Times New Roman" w:hAnsi="Times New Roman"/>
          <w:sz w:val="13"/>
          <w:szCs w:val="13"/>
          <w:color w:val="auto"/>
        </w:rPr>
        <w:t xml:space="preserve"> = the conversion rate in effect on the day immediately following the date such tender or exchange offer expires;</w:t>
      </w:r>
    </w:p>
    <w:p>
      <w:pPr>
        <w:spacing w:after="0" w:line="18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CR </w:t>
      </w:r>
      <w:r>
        <w:rPr>
          <w:rFonts w:ascii="Times New Roman" w:cs="Times New Roman" w:eastAsia="Times New Roman" w:hAnsi="Times New Roman"/>
          <w:sz w:val="8"/>
          <w:szCs w:val="8"/>
          <w:color w:val="auto"/>
        </w:rPr>
        <w:t>1</w:t>
      </w:r>
      <w:r>
        <w:rPr>
          <w:rFonts w:ascii="Times New Roman" w:cs="Times New Roman" w:eastAsia="Times New Roman" w:hAnsi="Times New Roman"/>
          <w:sz w:val="13"/>
          <w:szCs w:val="13"/>
          <w:color w:val="auto"/>
        </w:rPr>
        <w:t xml:space="preserve"> = the conversion rate in effect on the second day immediately following the date such tender or exchange offer expires;</w:t>
      </w:r>
    </w:p>
    <w:p>
      <w:pPr>
        <w:spacing w:after="0" w:line="187" w:lineRule="exact"/>
        <w:rPr>
          <w:sz w:val="20"/>
          <w:szCs w:val="20"/>
          <w:color w:val="auto"/>
        </w:rPr>
      </w:pPr>
    </w:p>
    <w:p>
      <w:pPr>
        <w:ind w:left="900" w:right="760"/>
        <w:spacing w:after="0" w:line="305" w:lineRule="auto"/>
        <w:rPr>
          <w:sz w:val="20"/>
          <w:szCs w:val="20"/>
          <w:color w:val="auto"/>
        </w:rPr>
      </w:pPr>
      <w:r>
        <w:rPr>
          <w:rFonts w:ascii="Times New Roman" w:cs="Times New Roman" w:eastAsia="Times New Roman" w:hAnsi="Times New Roman"/>
          <w:sz w:val="13"/>
          <w:szCs w:val="13"/>
          <w:color w:val="auto"/>
        </w:rPr>
        <w:t>AC = the aggregate value of all cash and any other consideration (as determined by the Company’s board of directors) paid or payable for shares of Common Stock purchased in such tender or exchange offer;</w:t>
      </w:r>
    </w:p>
    <w:p>
      <w:pPr>
        <w:spacing w:after="0" w:line="12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OS </w:t>
      </w:r>
      <w:r>
        <w:rPr>
          <w:rFonts w:ascii="Times New Roman" w:cs="Times New Roman" w:eastAsia="Times New Roman" w:hAnsi="Times New Roman"/>
          <w:sz w:val="8"/>
          <w:szCs w:val="8"/>
          <w:color w:val="auto"/>
        </w:rPr>
        <w:t>0</w:t>
      </w:r>
      <w:r>
        <w:rPr>
          <w:rFonts w:ascii="Times New Roman" w:cs="Times New Roman" w:eastAsia="Times New Roman" w:hAnsi="Times New Roman"/>
          <w:sz w:val="13"/>
          <w:szCs w:val="13"/>
          <w:color w:val="auto"/>
        </w:rPr>
        <w:t xml:space="preserve"> = the number of shares of Common Stock outstanding immediately prior to the date such tender or exchange offer expires;</w:t>
      </w:r>
    </w:p>
    <w:p>
      <w:pPr>
        <w:spacing w:after="0" w:line="187" w:lineRule="exact"/>
        <w:rPr>
          <w:sz w:val="20"/>
          <w:szCs w:val="20"/>
          <w:color w:val="auto"/>
        </w:rPr>
      </w:pPr>
    </w:p>
    <w:p>
      <w:pPr>
        <w:ind w:left="900" w:right="820"/>
        <w:spacing w:after="0" w:line="305" w:lineRule="auto"/>
        <w:rPr>
          <w:sz w:val="20"/>
          <w:szCs w:val="20"/>
          <w:color w:val="auto"/>
        </w:rPr>
      </w:pPr>
      <w:r>
        <w:rPr>
          <w:rFonts w:ascii="Times New Roman" w:cs="Times New Roman" w:eastAsia="Times New Roman" w:hAnsi="Times New Roman"/>
          <w:sz w:val="13"/>
          <w:szCs w:val="13"/>
          <w:color w:val="auto"/>
        </w:rPr>
        <w:t xml:space="preserve">OS </w:t>
      </w:r>
      <w:r>
        <w:rPr>
          <w:rFonts w:ascii="Times New Roman" w:cs="Times New Roman" w:eastAsia="Times New Roman" w:hAnsi="Times New Roman"/>
          <w:sz w:val="8"/>
          <w:szCs w:val="8"/>
          <w:color w:val="auto"/>
        </w:rPr>
        <w:t>1</w:t>
      </w:r>
      <w:r>
        <w:rPr>
          <w:rFonts w:ascii="Times New Roman" w:cs="Times New Roman" w:eastAsia="Times New Roman" w:hAnsi="Times New Roman"/>
          <w:sz w:val="13"/>
          <w:szCs w:val="13"/>
          <w:color w:val="auto"/>
        </w:rPr>
        <w:t xml:space="preserve"> = the number of shares of Common Stock outstanding immediately after the date such tender or exchange offer expires (after giving effect to the purchase or exchange of shares pursuant to such tender or exchange offer); and</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674370</wp:posOffset>
            </wp:positionV>
            <wp:extent cx="5083810" cy="1524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529">
                      <a:extLst>
                        <a:ext uri="{28A0092B-C50C-407E-A947-70E740481C1C}"/>
                      </a:extLst>
                    </a:blip>
                    <a:srcRect/>
                    <a:stretch>
                      <a:fillRect/>
                    </a:stretch>
                  </pic:blipFill>
                  <pic:spPr bwMode="auto">
                    <a:xfrm>
                      <a:off x="0" y="0"/>
                      <a:ext cx="5083810" cy="15240"/>
                    </a:xfrm>
                    <a:prstGeom prst="rect">
                      <a:avLst/>
                    </a:prstGeom>
                    <a:noFill/>
                  </pic:spPr>
                </pic:pic>
              </a:graphicData>
            </a:graphic>
          </wp:anchor>
        </w:drawing>
        <w:drawing>
          <wp:anchor simplePos="0" relativeHeight="251657728" behindDoc="1" locked="0" layoutInCell="0" allowOverlap="1">
            <wp:simplePos x="0" y="0"/>
            <wp:positionH relativeFrom="column">
              <wp:posOffset>384810</wp:posOffset>
            </wp:positionH>
            <wp:positionV relativeFrom="paragraph">
              <wp:posOffset>316230</wp:posOffset>
            </wp:positionV>
            <wp:extent cx="4436110" cy="1524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530">
                      <a:extLst>
                        <a:ext uri="{28A0092B-C50C-407E-A947-70E740481C1C}"/>
                      </a:extLst>
                    </a:blip>
                    <a:srcRect/>
                    <a:stretch>
                      <a:fillRect/>
                    </a:stretch>
                  </pic:blipFill>
                  <pic:spPr bwMode="auto">
                    <a:xfrm>
                      <a:off x="0" y="0"/>
                      <a:ext cx="44361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01" w:name="page302"/>
    <w:bookmarkEnd w:id="301"/>
    <w:p>
      <w:pPr>
        <w:ind w:left="900" w:right="660"/>
        <w:spacing w:after="0" w:line="305" w:lineRule="auto"/>
        <w:rPr>
          <w:sz w:val="20"/>
          <w:szCs w:val="20"/>
          <w:color w:val="auto"/>
        </w:rPr>
      </w:pPr>
      <w:r>
        <w:rPr>
          <w:rFonts w:ascii="Times New Roman" w:cs="Times New Roman" w:eastAsia="Times New Roman" w:hAnsi="Times New Roman"/>
          <w:sz w:val="13"/>
          <w:szCs w:val="13"/>
          <w:color w:val="auto"/>
        </w:rPr>
        <w:t xml:space="preserve">SP </w:t>
      </w:r>
      <w:r>
        <w:rPr>
          <w:rFonts w:ascii="Times New Roman" w:cs="Times New Roman" w:eastAsia="Times New Roman" w:hAnsi="Times New Roman"/>
          <w:sz w:val="8"/>
          <w:szCs w:val="8"/>
          <w:color w:val="auto"/>
        </w:rPr>
        <w:t>1</w:t>
      </w:r>
      <w:r>
        <w:rPr>
          <w:rFonts w:ascii="Times New Roman" w:cs="Times New Roman" w:eastAsia="Times New Roman" w:hAnsi="Times New Roman"/>
          <w:sz w:val="13"/>
          <w:szCs w:val="13"/>
          <w:color w:val="auto"/>
        </w:rPr>
        <w:t xml:space="preserve"> = the Closing Sale Price per share of Common Stock for the Trading Day immediately following the date such tender or exchange offer expires.</w:t>
      </w:r>
    </w:p>
    <w:p>
      <w:pPr>
        <w:spacing w:after="0" w:line="124" w:lineRule="exact"/>
        <w:rPr>
          <w:sz w:val="20"/>
          <w:szCs w:val="20"/>
          <w:color w:val="auto"/>
        </w:rPr>
      </w:pPr>
    </w:p>
    <w:p>
      <w:pPr>
        <w:ind w:left="600" w:right="840" w:firstLine="312"/>
        <w:spacing w:after="0" w:line="305" w:lineRule="auto"/>
        <w:rPr>
          <w:sz w:val="20"/>
          <w:szCs w:val="20"/>
          <w:color w:val="auto"/>
        </w:rPr>
      </w:pPr>
      <w:r>
        <w:rPr>
          <w:rFonts w:ascii="Times New Roman" w:cs="Times New Roman" w:eastAsia="Times New Roman" w:hAnsi="Times New Roman"/>
          <w:sz w:val="13"/>
          <w:szCs w:val="13"/>
          <w:color w:val="auto"/>
        </w:rPr>
        <w:t>If the application of the foregoing formula would result in a decrease in the conversion rate, no adjustment to the conversion rate shall be made.</w:t>
      </w:r>
    </w:p>
    <w:p>
      <w:pPr>
        <w:spacing w:after="0" w:line="124" w:lineRule="exact"/>
        <w:rPr>
          <w:sz w:val="20"/>
          <w:szCs w:val="20"/>
          <w:color w:val="auto"/>
        </w:rPr>
      </w:pPr>
    </w:p>
    <w:p>
      <w:pPr>
        <w:ind w:left="600" w:right="680" w:firstLine="312"/>
        <w:spacing w:after="0" w:line="278" w:lineRule="auto"/>
        <w:rPr>
          <w:sz w:val="20"/>
          <w:szCs w:val="20"/>
          <w:color w:val="auto"/>
        </w:rPr>
      </w:pPr>
      <w:r>
        <w:rPr>
          <w:rFonts w:ascii="Times New Roman" w:cs="Times New Roman" w:eastAsia="Times New Roman" w:hAnsi="Times New Roman"/>
          <w:sz w:val="13"/>
          <w:szCs w:val="13"/>
          <w:color w:val="auto"/>
        </w:rPr>
        <w:t>Any adjustment to the conversion rate made pursuant to this paragraph (v) shall become effective on the second day immediately following the date such tender offer or exchange offer expires. If the Company or one of its subsidiaries is obligated to purchase shares of Common Stock pursuant to any such tender or exchange offer but is permanently prevented by applicable law from effecting any such purchase or all such purchases are rescinded, the Company shall re-adjust the new conversion rate to be the conversion rate that would be in effect if such tender or exchange offer had not been made.</w:t>
      </w:r>
    </w:p>
    <w:p>
      <w:pPr>
        <w:spacing w:after="0" w:line="143" w:lineRule="exact"/>
        <w:rPr>
          <w:sz w:val="20"/>
          <w:szCs w:val="20"/>
          <w:color w:val="auto"/>
        </w:rPr>
      </w:pPr>
    </w:p>
    <w:p>
      <w:pPr>
        <w:ind w:left="900" w:right="660" w:firstLine="319"/>
        <w:spacing w:after="0" w:line="273" w:lineRule="auto"/>
        <w:tabs>
          <w:tab w:leader="none" w:pos="1428" w:val="left"/>
        </w:tabs>
        <w:numPr>
          <w:ilvl w:val="0"/>
          <w:numId w:val="2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Company has in effect a rights plan while any shares of Series D Preferred Stock remain outstanding, holders of shares of Series D Preferred Stock shall receive, upon a conversion of such shares in respect of which the Company has elected to deliver shares of Common Stock, in addition to such shares of Common Stock, rights under the Company’s stockholder rights agreement unless, prior to conversion, the rights have expired, terminated or been redeemed or unless the rights have separated from Common Stock. If the rights provided for in any rights plan that the Company’s board of directors may adopt have separated from the Common Stock in accordance with the provisions of the applicable stockholder rights agreement so that holders of shares of Series D Preferred Stock would not be entitled to receive any rights in respect of Common Stock that the Company elects to deliver upon conversion of shares of Series D Preferred Stock, the Company shall adjust the conversion rate at the time of separation as if the Company had distributed to all holders of the Company’s capital stock, evidences of indebtedness or other assets or property pursuant to paragraph (iii) above, subject to readjustment upon the subsequent expiration, termination or redemption of the rights.</w:t>
      </w:r>
    </w:p>
    <w:p>
      <w:pPr>
        <w:spacing w:after="0" w:line="136" w:lineRule="exact"/>
        <w:rPr>
          <w:rFonts w:ascii="Times New Roman" w:cs="Times New Roman" w:eastAsia="Times New Roman" w:hAnsi="Times New Roman"/>
          <w:sz w:val="13"/>
          <w:szCs w:val="13"/>
          <w:color w:val="auto"/>
        </w:rPr>
      </w:pPr>
    </w:p>
    <w:p>
      <w:pPr>
        <w:ind w:left="900" w:right="720" w:firstLine="319"/>
        <w:spacing w:after="0" w:line="281" w:lineRule="auto"/>
        <w:tabs>
          <w:tab w:leader="none" w:pos="1476" w:val="left"/>
        </w:tabs>
        <w:numPr>
          <w:ilvl w:val="0"/>
          <w:numId w:val="2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the foregoing, in the event of an adjustment to the conversion rate pursuant to paragraphs (iv) and (v) above, in no event shall the conversion rate exceed 0.6997 shares of Common Stock per $25.00 liquidation preference, subject to adjustment pursuant to paragraphs (i), (ii) and (iii) above. In no event shall the Conversion Price be reduced below $0.01, subject to adjustment for share splits and combinations and similar events.</w:t>
      </w:r>
    </w:p>
    <w:p>
      <w:pPr>
        <w:spacing w:after="0" w:line="140" w:lineRule="exact"/>
        <w:rPr>
          <w:rFonts w:ascii="Times New Roman" w:cs="Times New Roman" w:eastAsia="Times New Roman" w:hAnsi="Times New Roman"/>
          <w:sz w:val="13"/>
          <w:szCs w:val="13"/>
          <w:color w:val="auto"/>
        </w:rPr>
      </w:pPr>
    </w:p>
    <w:p>
      <w:pPr>
        <w:ind w:left="900" w:right="880" w:firstLine="319"/>
        <w:spacing w:after="0" w:line="305" w:lineRule="auto"/>
        <w:tabs>
          <w:tab w:leader="none" w:pos="1500" w:val="left"/>
        </w:tabs>
        <w:numPr>
          <w:ilvl w:val="0"/>
          <w:numId w:val="2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not make any adjustment to the conversion rate if holders of shares of Series D Preferred Stock are permitted to participate, on an as-converted basis, in the transactions described in paragraphs (i) through (vi) above.</w:t>
      </w:r>
    </w:p>
    <w:p>
      <w:pPr>
        <w:spacing w:after="0" w:line="124" w:lineRule="exact"/>
        <w:rPr>
          <w:rFonts w:ascii="Times New Roman" w:cs="Times New Roman" w:eastAsia="Times New Roman" w:hAnsi="Times New Roman"/>
          <w:sz w:val="13"/>
          <w:szCs w:val="13"/>
          <w:color w:val="auto"/>
        </w:rPr>
      </w:pPr>
    </w:p>
    <w:p>
      <w:pPr>
        <w:ind w:left="900" w:right="840" w:firstLine="319"/>
        <w:spacing w:after="0" w:line="278" w:lineRule="auto"/>
        <w:tabs>
          <w:tab w:leader="none" w:pos="1428" w:val="left"/>
        </w:tabs>
        <w:numPr>
          <w:ilvl w:val="0"/>
          <w:numId w:val="2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conversion rate shall not be adjusted except as specifically set forth in this Section 8 to these Articles Supplementary. Without limiting the foregoing, the conversion rate shall not be adjusted for (A) the issuance of any shares of Common Stock pursuant to any present or future plan providing for the reinvestment of dividends or interest payable on the Company’s securities or those of the Operating Partnership and the investment of additional optional amounts in shares of Common Stock under any plan; (B) the issuance of any shares of Common Stock or options or rights to purchase</w:t>
      </w:r>
    </w:p>
    <w:p>
      <w:pPr>
        <w:spacing w:after="0" w:line="3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666750</wp:posOffset>
            </wp:positionV>
            <wp:extent cx="5083810" cy="1524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531">
                      <a:extLst>
                        <a:ext uri="{28A0092B-C50C-407E-A947-70E740481C1C}"/>
                      </a:extLst>
                    </a:blip>
                    <a:srcRect/>
                    <a:stretch>
                      <a:fillRect/>
                    </a:stretch>
                  </pic:blipFill>
                  <pic:spPr bwMode="auto">
                    <a:xfrm>
                      <a:off x="0" y="0"/>
                      <a:ext cx="5083810" cy="15240"/>
                    </a:xfrm>
                    <a:prstGeom prst="rect">
                      <a:avLst/>
                    </a:prstGeom>
                    <a:noFill/>
                  </pic:spPr>
                </pic:pic>
              </a:graphicData>
            </a:graphic>
          </wp:anchor>
        </w:drawing>
        <w:drawing>
          <wp:anchor simplePos="0" relativeHeight="251657728" behindDoc="1" locked="0" layoutInCell="0" allowOverlap="1">
            <wp:simplePos x="0" y="0"/>
            <wp:positionH relativeFrom="column">
              <wp:posOffset>384810</wp:posOffset>
            </wp:positionH>
            <wp:positionV relativeFrom="paragraph">
              <wp:posOffset>316230</wp:posOffset>
            </wp:positionV>
            <wp:extent cx="4436110" cy="762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532">
                      <a:extLst>
                        <a:ext uri="{28A0092B-C50C-407E-A947-70E740481C1C}"/>
                      </a:extLst>
                    </a:blip>
                    <a:srcRect/>
                    <a:stretch>
                      <a:fillRect/>
                    </a:stretch>
                  </pic:blipFill>
                  <pic:spPr bwMode="auto">
                    <a:xfrm>
                      <a:off x="0" y="0"/>
                      <a:ext cx="4436110" cy="762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02" w:name="page303"/>
    <w:bookmarkEnd w:id="302"/>
    <w:p>
      <w:pPr>
        <w:ind w:left="900" w:right="680"/>
        <w:spacing w:after="0" w:line="278" w:lineRule="auto"/>
        <w:rPr>
          <w:sz w:val="20"/>
          <w:szCs w:val="20"/>
          <w:color w:val="auto"/>
        </w:rPr>
      </w:pPr>
      <w:r>
        <w:rPr>
          <w:rFonts w:ascii="Times New Roman" w:cs="Times New Roman" w:eastAsia="Times New Roman" w:hAnsi="Times New Roman"/>
          <w:sz w:val="13"/>
          <w:szCs w:val="13"/>
          <w:color w:val="auto"/>
        </w:rPr>
        <w:t>such shares pursuant to any of the Company’s present or future employee, director, trustee or consultant benefit plan, employee agreement or arrangement or program or those of the Operating Partnership; (C) the issuance of any shares of Common Stock pursuant to any option, warrant, right, or exercisable, exchangeable or convertible security outstanding as of the date shares of Series D Preferred Stock were first issued; (D) a change in the par value of Common Stock; (E) accumulated and unpaid dividends or distributions; and (F) the issuance of limited partnership units by the Operating Partnership and the issuance of shares of Common Stock or the payment of cash upon redemption thereof.</w:t>
      </w:r>
    </w:p>
    <w:p>
      <w:pPr>
        <w:spacing w:after="0" w:line="311" w:lineRule="exact"/>
        <w:rPr>
          <w:sz w:val="20"/>
          <w:szCs w:val="20"/>
          <w:color w:val="auto"/>
        </w:rPr>
      </w:pPr>
    </w:p>
    <w:p>
      <w:pPr>
        <w:ind w:left="900" w:right="640" w:firstLine="319"/>
        <w:spacing w:after="0" w:line="278" w:lineRule="auto"/>
        <w:tabs>
          <w:tab w:leader="none" w:pos="1392" w:val="left"/>
        </w:tabs>
        <w:numPr>
          <w:ilvl w:val="0"/>
          <w:numId w:val="2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adjustment in the conversion rate shall be required unless the adjustment would require an increase or decrease of at least 1% of the conversion rate. If the adjustment is not made because the adjustment does not change the conversion rate by at least 1%, then the adjustment that is not made shall be carried forward and taken into account in any future adjustment. All required calculations shall be made to the nearest cent or 1/1000th of a share, as the case may be. Notwithstanding the foregoing, if the shares of Series D Preferred Stock are called for redemption, all adjustments not previously made shall be made on the applicable redemption date.</w:t>
      </w:r>
    </w:p>
    <w:p>
      <w:pPr>
        <w:spacing w:after="0" w:line="143" w:lineRule="exact"/>
        <w:rPr>
          <w:sz w:val="20"/>
          <w:szCs w:val="20"/>
          <w:color w:val="auto"/>
        </w:rPr>
      </w:pPr>
    </w:p>
    <w:p>
      <w:pPr>
        <w:jc w:val="both"/>
        <w:ind w:left="900" w:right="600" w:firstLine="312"/>
        <w:spacing w:after="0" w:line="287" w:lineRule="auto"/>
        <w:rPr>
          <w:sz w:val="20"/>
          <w:szCs w:val="20"/>
          <w:color w:val="auto"/>
        </w:rPr>
      </w:pPr>
      <w:r>
        <w:rPr>
          <w:rFonts w:ascii="Times New Roman" w:cs="Times New Roman" w:eastAsia="Times New Roman" w:hAnsi="Times New Roman"/>
          <w:sz w:val="13"/>
          <w:szCs w:val="13"/>
          <w:color w:val="auto"/>
        </w:rPr>
        <w:t>(xi) Except as described in this Section 8 of these Articles Supplementary, the Company shall not adjust the conversion rate for any issuance of shares of Common Stock or any securities convertible into or exchangeable or exercisable for shares of Common Stock or rights to purchase shares of Common Stock or such convertible, exchangeable or exercisable securities.</w:t>
      </w:r>
    </w:p>
    <w:p>
      <w:pPr>
        <w:spacing w:after="0" w:line="134" w:lineRule="exact"/>
        <w:rPr>
          <w:sz w:val="20"/>
          <w:szCs w:val="20"/>
          <w:color w:val="auto"/>
        </w:rPr>
      </w:pPr>
    </w:p>
    <w:p>
      <w:pPr>
        <w:ind w:left="1040" w:hanging="134"/>
        <w:spacing w:after="0"/>
        <w:tabs>
          <w:tab w:leader="none" w:pos="1040" w:val="left"/>
        </w:tabs>
        <w:numPr>
          <w:ilvl w:val="0"/>
          <w:numId w:val="2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Effect of Business Combinations </w:t>
      </w:r>
      <w:r>
        <w:rPr>
          <w:rFonts w:ascii="Times New Roman" w:cs="Times New Roman" w:eastAsia="Times New Roman" w:hAnsi="Times New Roman"/>
          <w:sz w:val="13"/>
          <w:szCs w:val="13"/>
          <w:color w:val="auto"/>
        </w:rPr>
        <w:t>. In the case of the following events (each a “business combination”):</w:t>
      </w:r>
    </w:p>
    <w:p>
      <w:pPr>
        <w:spacing w:after="0" w:line="188" w:lineRule="exact"/>
        <w:rPr>
          <w:rFonts w:ascii="Times New Roman" w:cs="Times New Roman" w:eastAsia="Times New Roman" w:hAnsi="Times New Roman"/>
          <w:sz w:val="13"/>
          <w:szCs w:val="13"/>
          <w:color w:val="auto"/>
        </w:rPr>
      </w:pPr>
    </w:p>
    <w:p>
      <w:pPr>
        <w:ind w:left="900" w:right="1440" w:firstLine="319"/>
        <w:spacing w:after="0" w:line="305" w:lineRule="auto"/>
        <w:tabs>
          <w:tab w:leader="none" w:pos="1368" w:val="left"/>
        </w:tabs>
        <w:numPr>
          <w:ilvl w:val="1"/>
          <w:numId w:val="2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recapitalization, reclassification or change of Common Stock (other than changes resulting from a subdivision or combination);</w:t>
      </w:r>
    </w:p>
    <w:p>
      <w:pPr>
        <w:spacing w:after="0" w:line="124" w:lineRule="exact"/>
        <w:rPr>
          <w:rFonts w:ascii="Times New Roman" w:cs="Times New Roman" w:eastAsia="Times New Roman" w:hAnsi="Times New Roman"/>
          <w:sz w:val="13"/>
          <w:szCs w:val="13"/>
          <w:color w:val="auto"/>
        </w:rPr>
      </w:pPr>
    </w:p>
    <w:p>
      <w:pPr>
        <w:ind w:left="1420" w:hanging="201"/>
        <w:spacing w:after="0"/>
        <w:tabs>
          <w:tab w:leader="none" w:pos="1420" w:val="left"/>
        </w:tabs>
        <w:numPr>
          <w:ilvl w:val="1"/>
          <w:numId w:val="2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consolidation, merger or combination involving the Company;</w:t>
      </w:r>
    </w:p>
    <w:p>
      <w:pPr>
        <w:spacing w:after="0" w:line="187" w:lineRule="exact"/>
        <w:rPr>
          <w:sz w:val="20"/>
          <w:szCs w:val="20"/>
          <w:color w:val="auto"/>
        </w:rPr>
      </w:pPr>
    </w:p>
    <w:p>
      <w:pPr>
        <w:ind w:left="900" w:right="660" w:firstLine="312"/>
        <w:spacing w:after="0" w:line="305" w:lineRule="auto"/>
        <w:rPr>
          <w:sz w:val="20"/>
          <w:szCs w:val="20"/>
          <w:color w:val="auto"/>
        </w:rPr>
      </w:pPr>
      <w:r>
        <w:rPr>
          <w:rFonts w:ascii="Times New Roman" w:cs="Times New Roman" w:eastAsia="Times New Roman" w:hAnsi="Times New Roman"/>
          <w:sz w:val="13"/>
          <w:szCs w:val="13"/>
          <w:color w:val="auto"/>
        </w:rPr>
        <w:t>(iii) a sale, conveyance or lease to another corporation of all or substantially all of the Company’s property and assets (other than to one or more of the Company’s subsidiaries); or</w:t>
      </w:r>
    </w:p>
    <w:p>
      <w:pPr>
        <w:spacing w:after="0" w:line="12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3"/>
          <w:szCs w:val="13"/>
          <w:color w:val="auto"/>
        </w:rPr>
        <w:t>(iv) a statutory share exchange,</w:t>
      </w:r>
    </w:p>
    <w:p>
      <w:pPr>
        <w:spacing w:after="0" w:line="187" w:lineRule="exact"/>
        <w:rPr>
          <w:sz w:val="20"/>
          <w:szCs w:val="20"/>
          <w:color w:val="auto"/>
        </w:rPr>
      </w:pPr>
    </w:p>
    <w:p>
      <w:pPr>
        <w:ind w:left="600" w:right="700"/>
        <w:spacing w:after="0" w:line="275" w:lineRule="auto"/>
        <w:rPr>
          <w:sz w:val="20"/>
          <w:szCs w:val="20"/>
          <w:color w:val="auto"/>
        </w:rPr>
      </w:pPr>
      <w:r>
        <w:rPr>
          <w:rFonts w:ascii="Times New Roman" w:cs="Times New Roman" w:eastAsia="Times New Roman" w:hAnsi="Times New Roman"/>
          <w:sz w:val="13"/>
          <w:szCs w:val="13"/>
          <w:color w:val="auto"/>
        </w:rPr>
        <w:t>in each case, as a result of which holders of Common Stock are entitled to receive stock, other securities, other property or assets (including cash or any combination thereof) with respect to or in exchange for Common Stock, a holder of shares of Series D Preferred Stock shall be entitled thereafter to convert such shares of Series D Preferred Stock into the kind and amount of stock, other securities or other property or assets (including cash or any combination thereof) which the holder of shares of Series D Preferred Stock would have owned or been entitled to receive upon such business combination as if such holder of shares of Series D Preferred Stock held a number of shares of Common Stock equal to the conversion rate in effect on the effective date for such business combination, multiplied by the number of shares of Series D Preferred Stock held by</w:t>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681990</wp:posOffset>
            </wp:positionV>
            <wp:extent cx="5083810" cy="1524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533">
                      <a:extLst>
                        <a:ext uri="{28A0092B-C50C-407E-A947-70E740481C1C}"/>
                      </a:extLst>
                    </a:blip>
                    <a:srcRect/>
                    <a:stretch>
                      <a:fillRect/>
                    </a:stretch>
                  </pic:blipFill>
                  <pic:spPr bwMode="auto">
                    <a:xfrm>
                      <a:off x="0" y="0"/>
                      <a:ext cx="5083810" cy="15240"/>
                    </a:xfrm>
                    <a:prstGeom prst="rect">
                      <a:avLst/>
                    </a:prstGeom>
                    <a:noFill/>
                  </pic:spPr>
                </pic:pic>
              </a:graphicData>
            </a:graphic>
          </wp:anchor>
        </w:drawing>
        <w:drawing>
          <wp:anchor simplePos="0" relativeHeight="251657728" behindDoc="1" locked="0" layoutInCell="0" allowOverlap="1">
            <wp:simplePos x="0" y="0"/>
            <wp:positionH relativeFrom="column">
              <wp:posOffset>384810</wp:posOffset>
            </wp:positionH>
            <wp:positionV relativeFrom="paragraph">
              <wp:posOffset>316230</wp:posOffset>
            </wp:positionV>
            <wp:extent cx="4436110" cy="1524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534">
                      <a:extLst>
                        <a:ext uri="{28A0092B-C50C-407E-A947-70E740481C1C}"/>
                      </a:extLst>
                    </a:blip>
                    <a:srcRect/>
                    <a:stretch>
                      <a:fillRect/>
                    </a:stretch>
                  </pic:blipFill>
                  <pic:spPr bwMode="auto">
                    <a:xfrm>
                      <a:off x="0" y="0"/>
                      <a:ext cx="44361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03" w:name="page304"/>
    <w:bookmarkEnd w:id="303"/>
    <w:p>
      <w:pPr>
        <w:ind w:left="600" w:right="660"/>
        <w:spacing w:after="0" w:line="273" w:lineRule="auto"/>
        <w:rPr>
          <w:sz w:val="20"/>
          <w:szCs w:val="20"/>
          <w:color w:val="auto"/>
        </w:rPr>
      </w:pPr>
      <w:r>
        <w:rPr>
          <w:rFonts w:ascii="Times New Roman" w:cs="Times New Roman" w:eastAsia="Times New Roman" w:hAnsi="Times New Roman"/>
          <w:sz w:val="13"/>
          <w:szCs w:val="13"/>
          <w:color w:val="auto"/>
        </w:rPr>
        <w:t>such holder of shares of Series D Preferred Stock. If such business combination also constitutes a Fundamental Change, a holder of shares of Series D Preferred Stock converting such shares shall not receive a make-whole premium pursuant to Section 8(k) hereof if such holder does not convert its shares of Series D Preferred Stock “in connection with” (as described in Section 8(k)(i)) the relevant Fundamental Change. In the event that holders of Common Stock have the opportunity to elect the form of consideration to be received in such business combination, the Company shall make adequate provision whereby the holders of shares of Series D Preferred Stock shall have a reasonable opportunity to determine the form of consideration into which all of the shares of Series D Preferred Stock, treated as a single class, shall be convertible from and after the effective date of such business combination. Such determination shall be based on the weighted average of elections made by the holders of shares of Series D Preferred Stock who participate in such determination, shall be subject to any limitations to which all holders of Common Stock are subject, such as pro rata reductions applicable to any portion of the consideration payable in such business combination, and shall be conducted in such a manner as to be completed by the date which is the earliest of (1) the deadline for elections to be made by holders of Common Stock and (2) two business days prior to the anticipated effective date of the business combination.</w:t>
      </w:r>
    </w:p>
    <w:p>
      <w:pPr>
        <w:spacing w:after="0" w:line="134" w:lineRule="exact"/>
        <w:rPr>
          <w:sz w:val="20"/>
          <w:szCs w:val="20"/>
          <w:color w:val="auto"/>
        </w:rPr>
      </w:pPr>
    </w:p>
    <w:p>
      <w:pPr>
        <w:ind w:left="600" w:right="540" w:firstLine="312"/>
        <w:spacing w:after="0" w:line="275" w:lineRule="auto"/>
        <w:rPr>
          <w:sz w:val="20"/>
          <w:szCs w:val="20"/>
          <w:color w:val="auto"/>
        </w:rPr>
      </w:pPr>
      <w:r>
        <w:rPr>
          <w:rFonts w:ascii="Times New Roman" w:cs="Times New Roman" w:eastAsia="Times New Roman" w:hAnsi="Times New Roman"/>
          <w:sz w:val="13"/>
          <w:szCs w:val="13"/>
          <w:color w:val="auto"/>
        </w:rPr>
        <w:t>The Company shall provide notice of the opportunity to determine the form of such consideration, as well as notice of the determination made by the holders of shares of Series D Preferred Stock (and the weighted average of elections), by posting such notice with DTC and providing a copy of such notice to the Company’s transfer agent. If the effective date of a business combination is delayed beyond the initially anticipated effective date, the holders of shares of Series D Preferred Stock shall be given the opportunity to make subsequent similar determinations in regard to such delayed effective date. The Company may not become a party to any such transaction unless its terms are consistent with the preceding. None of the foregoing provisions shall affect the right of a holder of shares of Series D Preferred Stock to convert such holder’s shares of Series D Preferred Stock into shares of Common Stock prior to the effective date of such business combination.</w:t>
      </w:r>
    </w:p>
    <w:p>
      <w:pPr>
        <w:spacing w:after="0" w:line="143" w:lineRule="exact"/>
        <w:rPr>
          <w:sz w:val="20"/>
          <w:szCs w:val="20"/>
          <w:color w:val="auto"/>
        </w:rPr>
      </w:pPr>
    </w:p>
    <w:p>
      <w:pPr>
        <w:ind w:left="600" w:right="620" w:firstLine="306"/>
        <w:spacing w:after="0" w:line="277" w:lineRule="auto"/>
        <w:tabs>
          <w:tab w:leader="none" w:pos="1044" w:val="left"/>
        </w:tabs>
        <w:numPr>
          <w:ilvl w:val="0"/>
          <w:numId w:val="2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Optional Increase to Conversion Rate </w:t>
      </w:r>
      <w:r>
        <w:rPr>
          <w:rFonts w:ascii="Times New Roman" w:cs="Times New Roman" w:eastAsia="Times New Roman" w:hAnsi="Times New Roman"/>
          <w:sz w:val="13"/>
          <w:szCs w:val="13"/>
          <w:color w:val="auto"/>
        </w:rPr>
        <w:t>. To the extent permitted by law, the Company may, from time to time, increase the conversion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rate for a period of at least 20 days if the Company’s board of directors determines that such an increase would be in the Company’s best interests. Any such determination by the Company’s board of directors shall be conclusive. In addition, the Company may increase the conversion rate if the Company’s board of directors deems it advisable to avoid or diminish any income tax to holders of Common Stock resulting from any distribution of Common Stock or similar event. The Company shall give holders of shares of Series D Preferred Stock at least 15 business days’ notice of any increase in the conversion rate.</w:t>
      </w:r>
    </w:p>
    <w:p>
      <w:pPr>
        <w:spacing w:after="0" w:line="141" w:lineRule="exact"/>
        <w:rPr>
          <w:rFonts w:ascii="Times New Roman" w:cs="Times New Roman" w:eastAsia="Times New Roman" w:hAnsi="Times New Roman"/>
          <w:sz w:val="13"/>
          <w:szCs w:val="13"/>
          <w:color w:val="auto"/>
        </w:rPr>
      </w:pPr>
    </w:p>
    <w:p>
      <w:pPr>
        <w:ind w:left="600" w:right="820" w:firstLine="306"/>
        <w:spacing w:after="0" w:line="308" w:lineRule="auto"/>
        <w:tabs>
          <w:tab w:leader="none" w:pos="1080" w:val="left"/>
        </w:tabs>
        <w:numPr>
          <w:ilvl w:val="0"/>
          <w:numId w:val="2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Adjustment to Conversion Rate upon Certain Fundamental Changes </w:t>
      </w:r>
      <w:r>
        <w:rPr>
          <w:rFonts w:ascii="Times New Roman" w:cs="Times New Roman" w:eastAsia="Times New Roman" w:hAnsi="Times New Roman"/>
          <w:sz w:val="13"/>
          <w:szCs w:val="13"/>
          <w:color w:val="auto"/>
        </w:rPr>
        <w:t>. The Company shall adjust the conversion rate from time to</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time as follows:</w:t>
      </w:r>
    </w:p>
    <w:p>
      <w:pPr>
        <w:spacing w:after="0" w:line="122" w:lineRule="exact"/>
        <w:rPr>
          <w:sz w:val="20"/>
          <w:szCs w:val="20"/>
          <w:color w:val="auto"/>
        </w:rPr>
      </w:pPr>
    </w:p>
    <w:p>
      <w:pPr>
        <w:jc w:val="both"/>
        <w:ind w:left="900" w:right="740" w:firstLine="312"/>
        <w:spacing w:after="0" w:line="287" w:lineRule="auto"/>
        <w:rPr>
          <w:sz w:val="20"/>
          <w:szCs w:val="20"/>
          <w:color w:val="auto"/>
        </w:rPr>
      </w:pPr>
      <w:r>
        <w:rPr>
          <w:rFonts w:ascii="Times New Roman" w:cs="Times New Roman" w:eastAsia="Times New Roman" w:hAnsi="Times New Roman"/>
          <w:sz w:val="13"/>
          <w:szCs w:val="13"/>
          <w:color w:val="auto"/>
        </w:rPr>
        <w:t>(i) If, on or prior to February 6, 2015, a Fundamental Change takes place and a holder converts the Series D Preferred Stock in connection with such Fundamental Change, the Company shall increase, as described below, the conversion rate applicable to shares that are surrendered for conversion. A conversion of the Series D Preferred</w:t>
      </w:r>
    </w:p>
    <w:p>
      <w:pPr>
        <w:spacing w:after="0" w:line="3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316230</wp:posOffset>
            </wp:positionV>
            <wp:extent cx="4436110" cy="1524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535">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-10795</wp:posOffset>
            </wp:positionV>
            <wp:extent cx="5083810" cy="1524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536">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04" w:name="page305"/>
    <w:bookmarkEnd w:id="304"/>
    <w:p>
      <w:pPr>
        <w:jc w:val="both"/>
        <w:ind w:left="900" w:right="700"/>
        <w:spacing w:after="0" w:line="287" w:lineRule="auto"/>
        <w:rPr>
          <w:sz w:val="20"/>
          <w:szCs w:val="20"/>
          <w:color w:val="auto"/>
        </w:rPr>
      </w:pPr>
      <w:r>
        <w:rPr>
          <w:rFonts w:ascii="Times New Roman" w:cs="Times New Roman" w:eastAsia="Times New Roman" w:hAnsi="Times New Roman"/>
          <w:sz w:val="13"/>
          <w:szCs w:val="13"/>
          <w:color w:val="auto"/>
        </w:rPr>
        <w:t>Stock shall be deemed for these purposes to be “in connection with” a Fundamental Change if the Conversion Date occurs from and including the effective date of such Fundamental Change to, and including, the Fundamental Change Conversion Date (as defined in Section 8(l)(vii)) for that Fundamental Change.</w:t>
      </w:r>
    </w:p>
    <w:p>
      <w:pPr>
        <w:spacing w:after="0" w:line="136" w:lineRule="exact"/>
        <w:rPr>
          <w:sz w:val="20"/>
          <w:szCs w:val="20"/>
          <w:color w:val="auto"/>
        </w:rPr>
      </w:pPr>
    </w:p>
    <w:p>
      <w:pPr>
        <w:ind w:left="900" w:right="840" w:firstLine="319"/>
        <w:spacing w:after="0" w:line="278" w:lineRule="auto"/>
        <w:tabs>
          <w:tab w:leader="none" w:pos="1404" w:val="left"/>
        </w:tabs>
        <w:numPr>
          <w:ilvl w:val="0"/>
          <w:numId w:val="2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also give notice by mail or by publication (with subsequent prompt notice by mail) to holders of Series D Preferred Stock of the anticipated effective date of any proposed Fundamental Change which shall occur on or prior to February 6, 2015. The Company shall make this mailing or publication at least 15 days before the anticipated effective date of the Fundamental Change. In addition, no later than the third business day after the completion of such Fundamental Change, the Company shall make an additional notice announcing such completion.</w:t>
      </w:r>
    </w:p>
    <w:p>
      <w:pPr>
        <w:spacing w:after="0" w:line="142" w:lineRule="exact"/>
        <w:rPr>
          <w:rFonts w:ascii="Times New Roman" w:cs="Times New Roman" w:eastAsia="Times New Roman" w:hAnsi="Times New Roman"/>
          <w:sz w:val="13"/>
          <w:szCs w:val="13"/>
          <w:color w:val="auto"/>
        </w:rPr>
      </w:pPr>
    </w:p>
    <w:p>
      <w:pPr>
        <w:ind w:left="900" w:right="640" w:firstLine="319"/>
        <w:spacing w:after="0" w:line="273" w:lineRule="auto"/>
        <w:tabs>
          <w:tab w:leader="none" w:pos="1440" w:val="left"/>
        </w:tabs>
        <w:numPr>
          <w:ilvl w:val="0"/>
          <w:numId w:val="2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a holder elects to convert in connection with a Fundamental Change on or prior to February 6, 2015, the Company shall increase the Conversion Rate by reference to the table below, based on the date when the Fundamental Change becomes effective (the “ </w:t>
      </w:r>
      <w:r>
        <w:rPr>
          <w:rFonts w:ascii="Times New Roman" w:cs="Times New Roman" w:eastAsia="Times New Roman" w:hAnsi="Times New Roman"/>
          <w:sz w:val="13"/>
          <w:szCs w:val="13"/>
          <w:b w:val="1"/>
          <w:bCs w:val="1"/>
          <w:color w:val="auto"/>
        </w:rPr>
        <w:t xml:space="preserve">effective date </w:t>
      </w:r>
      <w:r>
        <w:rPr>
          <w:rFonts w:ascii="Times New Roman" w:cs="Times New Roman" w:eastAsia="Times New Roman" w:hAnsi="Times New Roman"/>
          <w:sz w:val="13"/>
          <w:szCs w:val="13"/>
          <w:color w:val="auto"/>
        </w:rPr>
        <w:t>”), and the applicable price. If the Fundamental Change is a transaction or series of related transactions and the consideration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(excluding cash payments for fractional shares or pursuant to statutory appraisal rights) for Common Stock in the Fundamental Change consists solely of cash, then the applicable price shall be the cash amount paid per share of Common Stock in the transaction. If the transaction is an asset sale and the consideration paid for the Company’s property and assets (or for the property and assets of the Company and its subsidiaries on a consolidated basis) consists solely of cash, then the applicable price shall be the cash amount paid for the Company’s property and assets, expressed as an amount per share of Common Stock outstanding on the effective date of the asset sale. In all other cases, the applicable price shall be the average of the Closing Sale Price per share of Common Stock for the ten consecutive Trading Days immediately preceding the effective date. The Company’s board of directors shall make appropriate adjustments, in its good faith determination, to account for any adjustment to the conversion rate that becomes effective, or any event requiring an adjustment to the conversion rate where the ex-dividend date of the event occurs, at any time during those ten consecutive Trading Days.</w:t>
      </w:r>
    </w:p>
    <w:p>
      <w:pPr>
        <w:spacing w:after="0" w:line="132" w:lineRule="exact"/>
        <w:rPr>
          <w:rFonts w:ascii="Times New Roman" w:cs="Times New Roman" w:eastAsia="Times New Roman" w:hAnsi="Times New Roman"/>
          <w:sz w:val="13"/>
          <w:szCs w:val="13"/>
          <w:color w:val="auto"/>
        </w:rPr>
      </w:pPr>
    </w:p>
    <w:p>
      <w:pPr>
        <w:ind w:left="900" w:right="740" w:firstLine="319"/>
        <w:spacing w:after="0" w:line="276" w:lineRule="auto"/>
        <w:tabs>
          <w:tab w:leader="none" w:pos="1428" w:val="left"/>
        </w:tabs>
        <w:numPr>
          <w:ilvl w:val="0"/>
          <w:numId w:val="2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following table sets forth the number of additional shares of Common Stock per $25.00 liquidation preference of Series D Preferred Stock that shall be added to the Conversion Rate applicable to Series D Preferred Stock that are converted in connection with a Fundamental Change (the “ </w:t>
      </w:r>
      <w:r>
        <w:rPr>
          <w:rFonts w:ascii="Times New Roman" w:cs="Times New Roman" w:eastAsia="Times New Roman" w:hAnsi="Times New Roman"/>
          <w:sz w:val="13"/>
          <w:szCs w:val="13"/>
          <w:b w:val="1"/>
          <w:bCs w:val="1"/>
          <w:color w:val="auto"/>
        </w:rPr>
        <w:t>make-whole premium</w:t>
      </w:r>
      <w:r>
        <w:rPr>
          <w:rFonts w:ascii="Times New Roman" w:cs="Times New Roman" w:eastAsia="Times New Roman" w:hAnsi="Times New Roman"/>
          <w:sz w:val="13"/>
          <w:szCs w:val="13"/>
          <w:color w:val="auto"/>
        </w:rPr>
        <w:t xml:space="preserve"> ”). If an event occurs that requires an adjustment to the Conversion Rate, the Company shall, on the date the Company must adjust the Conversion Rate, adjust each applicable price set forth in the column headers of the table below by multiplying the applicable price in effect immediately before the adjustment by a fraction (A) whose numerator is the Conversion Rate in effect immediately before the adjustment; and (B) whose denominator is the adjusted Conversion Rate.</w:t>
      </w:r>
    </w:p>
    <w:p>
      <w:pPr>
        <w:spacing w:after="0" w:line="145" w:lineRule="exact"/>
        <w:rPr>
          <w:sz w:val="20"/>
          <w:szCs w:val="20"/>
          <w:color w:val="auto"/>
        </w:rPr>
      </w:pPr>
    </w:p>
    <w:p>
      <w:pPr>
        <w:ind w:left="600" w:right="900" w:firstLine="312"/>
        <w:spacing w:after="0" w:line="305" w:lineRule="auto"/>
        <w:rPr>
          <w:sz w:val="20"/>
          <w:szCs w:val="20"/>
          <w:color w:val="auto"/>
        </w:rPr>
      </w:pPr>
      <w:r>
        <w:rPr>
          <w:rFonts w:ascii="Times New Roman" w:cs="Times New Roman" w:eastAsia="Times New Roman" w:hAnsi="Times New Roman"/>
          <w:sz w:val="13"/>
          <w:szCs w:val="13"/>
          <w:color w:val="auto"/>
        </w:rPr>
        <w:t>In addition, the Company shall adjust the number of additional shares in the table below in the same manner in which, and for the same events for which, the Company must adjust the Conversion Rate as described in Section 8(h).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322580</wp:posOffset>
            </wp:positionV>
            <wp:extent cx="5083810" cy="1524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537">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316230</wp:posOffset>
            </wp:positionV>
            <wp:extent cx="4436110" cy="1524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538">
                      <a:extLst>
                        <a:ext uri="{28A0092B-C50C-407E-A947-70E740481C1C}"/>
                      </a:extLst>
                    </a:blip>
                    <a:srcRect/>
                    <a:stretch>
                      <a:fillRect/>
                    </a:stretch>
                  </pic:blipFill>
                  <pic:spPr bwMode="auto">
                    <a:xfrm>
                      <a:off x="0" y="0"/>
                      <a:ext cx="44361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05" w:name="page306"/>
    <w:bookmarkEnd w:id="305"/>
    <w:p>
      <w:pPr>
        <w:ind w:left="2560"/>
        <w:spacing w:after="0"/>
        <w:rPr>
          <w:sz w:val="20"/>
          <w:szCs w:val="20"/>
          <w:color w:val="auto"/>
        </w:rPr>
      </w:pPr>
      <w:r>
        <w:rPr>
          <w:rFonts w:ascii="Times New Roman" w:cs="Times New Roman" w:eastAsia="Times New Roman" w:hAnsi="Times New Roman"/>
          <w:sz w:val="13"/>
          <w:szCs w:val="13"/>
          <w:b w:val="1"/>
          <w:bCs w:val="1"/>
          <w:color w:val="auto"/>
        </w:rPr>
        <w:t>Number of Additional Shares of Common Stock Issuable per $25.00</w:t>
      </w:r>
    </w:p>
    <w:p>
      <w:pPr>
        <w:spacing w:after="0" w:line="2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3"/>
          <w:szCs w:val="13"/>
          <w:b w:val="1"/>
          <w:bCs w:val="1"/>
          <w:color w:val="auto"/>
        </w:rPr>
        <w:t>Liquidation Preference</w:t>
      </w:r>
    </w:p>
    <w:p>
      <w:pPr>
        <w:spacing w:after="0" w:line="24" w:lineRule="exact"/>
        <w:rPr>
          <w:sz w:val="20"/>
          <w:szCs w:val="20"/>
          <w:color w:val="auto"/>
        </w:rPr>
      </w:pPr>
    </w:p>
    <w:tbl>
      <w:tblPr>
        <w:tblLayout w:type="fixed"/>
        <w:tblInd w:w="600" w:type="dxa"/>
        <w:tblCellMar>
          <w:top w:w="0" w:type="dxa"/>
          <w:left w:w="0" w:type="dxa"/>
          <w:bottom w:w="0" w:type="dxa"/>
          <w:right w:w="0" w:type="dxa"/>
        </w:tblCellMar>
      </w:tblPr>
      <w:tr>
        <w:trPr>
          <w:trHeight w:val="134"/>
        </w:trPr>
        <w:tc>
          <w:tcPr>
            <w:tcW w:w="12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Effective Date</w:t>
            </w:r>
          </w:p>
        </w:tc>
        <w:tc>
          <w:tcPr>
            <w:tcW w:w="5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w w:val="93"/>
              </w:rPr>
              <w:t>Common Stock Share Price</w:t>
            </w:r>
          </w:p>
        </w:tc>
        <w:tc>
          <w:tcPr>
            <w:tcW w:w="4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260" w:type="dxa"/>
            <w:vAlign w:val="bottom"/>
            <w:vMerge w:val="continue"/>
          </w:tcPr>
          <w:p>
            <w:pPr>
              <w:spacing w:after="0"/>
              <w:rPr>
                <w:sz w:val="7"/>
                <w:szCs w:val="7"/>
                <w:color w:val="auto"/>
              </w:rPr>
            </w:pPr>
          </w:p>
        </w:tc>
        <w:tc>
          <w:tcPr>
            <w:tcW w:w="520" w:type="dxa"/>
            <w:vAlign w:val="bottom"/>
          </w:tcPr>
          <w:p>
            <w:pPr>
              <w:jc w:val="center"/>
              <w:spacing w:after="0" w:line="89" w:lineRule="exact"/>
              <w:rPr>
                <w:sz w:val="20"/>
                <w:szCs w:val="20"/>
                <w:color w:val="auto"/>
              </w:rPr>
            </w:pPr>
            <w:r>
              <w:rPr>
                <w:rFonts w:ascii="Times New Roman" w:cs="Times New Roman" w:eastAsia="Times New Roman" w:hAnsi="Times New Roman"/>
                <w:sz w:val="10"/>
                <w:szCs w:val="10"/>
                <w:b w:val="1"/>
                <w:bCs w:val="1"/>
                <w:color w:val="auto"/>
              </w:rPr>
              <w:t>$35.73</w:t>
            </w:r>
          </w:p>
        </w:tc>
        <w:tc>
          <w:tcPr>
            <w:tcW w:w="540" w:type="dxa"/>
            <w:vAlign w:val="bottom"/>
          </w:tcPr>
          <w:p>
            <w:pPr>
              <w:jc w:val="center"/>
              <w:spacing w:after="0" w:line="89" w:lineRule="exact"/>
              <w:rPr>
                <w:sz w:val="20"/>
                <w:szCs w:val="20"/>
                <w:color w:val="auto"/>
              </w:rPr>
            </w:pPr>
            <w:r>
              <w:rPr>
                <w:rFonts w:ascii="Times New Roman" w:cs="Times New Roman" w:eastAsia="Times New Roman" w:hAnsi="Times New Roman"/>
                <w:sz w:val="10"/>
                <w:szCs w:val="10"/>
                <w:b w:val="1"/>
                <w:bCs w:val="1"/>
                <w:color w:val="auto"/>
              </w:rPr>
              <w:t>$40.00</w:t>
            </w:r>
          </w:p>
        </w:tc>
        <w:tc>
          <w:tcPr>
            <w:tcW w:w="540" w:type="dxa"/>
            <w:vAlign w:val="bottom"/>
          </w:tcPr>
          <w:p>
            <w:pPr>
              <w:ind w:left="80"/>
              <w:spacing w:after="0" w:line="89" w:lineRule="exact"/>
              <w:rPr>
                <w:sz w:val="20"/>
                <w:szCs w:val="20"/>
                <w:color w:val="auto"/>
              </w:rPr>
            </w:pPr>
            <w:r>
              <w:rPr>
                <w:rFonts w:ascii="Times New Roman" w:cs="Times New Roman" w:eastAsia="Times New Roman" w:hAnsi="Times New Roman"/>
                <w:sz w:val="10"/>
                <w:szCs w:val="10"/>
                <w:b w:val="1"/>
                <w:bCs w:val="1"/>
                <w:color w:val="auto"/>
              </w:rPr>
              <w:t>$45.00</w:t>
            </w:r>
          </w:p>
        </w:tc>
        <w:tc>
          <w:tcPr>
            <w:tcW w:w="460" w:type="dxa"/>
            <w:vAlign w:val="bottom"/>
          </w:tcPr>
          <w:p>
            <w:pPr>
              <w:ind w:left="100"/>
              <w:spacing w:after="0" w:line="89" w:lineRule="exact"/>
              <w:rPr>
                <w:sz w:val="20"/>
                <w:szCs w:val="20"/>
                <w:color w:val="auto"/>
              </w:rPr>
            </w:pPr>
            <w:r>
              <w:rPr>
                <w:rFonts w:ascii="Times New Roman" w:cs="Times New Roman" w:eastAsia="Times New Roman" w:hAnsi="Times New Roman"/>
                <w:sz w:val="10"/>
                <w:szCs w:val="10"/>
                <w:b w:val="1"/>
                <w:bCs w:val="1"/>
                <w:color w:val="auto"/>
              </w:rPr>
              <w:t>$50.00</w:t>
            </w:r>
          </w:p>
        </w:tc>
        <w:tc>
          <w:tcPr>
            <w:tcW w:w="660" w:type="dxa"/>
            <w:vAlign w:val="bottom"/>
          </w:tcPr>
          <w:p>
            <w:pPr>
              <w:ind w:left="200"/>
              <w:spacing w:after="0" w:line="89" w:lineRule="exact"/>
              <w:rPr>
                <w:sz w:val="20"/>
                <w:szCs w:val="20"/>
                <w:color w:val="auto"/>
              </w:rPr>
            </w:pPr>
            <w:r>
              <w:rPr>
                <w:rFonts w:ascii="Times New Roman" w:cs="Times New Roman" w:eastAsia="Times New Roman" w:hAnsi="Times New Roman"/>
                <w:sz w:val="10"/>
                <w:szCs w:val="10"/>
                <w:b w:val="1"/>
                <w:bCs w:val="1"/>
                <w:color w:val="auto"/>
              </w:rPr>
              <w:t>$55.00</w:t>
            </w:r>
          </w:p>
        </w:tc>
        <w:tc>
          <w:tcPr>
            <w:tcW w:w="600" w:type="dxa"/>
            <w:vAlign w:val="bottom"/>
          </w:tcPr>
          <w:p>
            <w:pPr>
              <w:jc w:val="center"/>
              <w:spacing w:after="0" w:line="89" w:lineRule="exact"/>
              <w:rPr>
                <w:sz w:val="20"/>
                <w:szCs w:val="20"/>
                <w:color w:val="auto"/>
              </w:rPr>
            </w:pPr>
            <w:r>
              <w:rPr>
                <w:rFonts w:ascii="Times New Roman" w:cs="Times New Roman" w:eastAsia="Times New Roman" w:hAnsi="Times New Roman"/>
                <w:sz w:val="10"/>
                <w:szCs w:val="10"/>
                <w:b w:val="1"/>
                <w:bCs w:val="1"/>
                <w:color w:val="auto"/>
              </w:rPr>
              <w:t>$60.00</w:t>
            </w:r>
          </w:p>
        </w:tc>
        <w:tc>
          <w:tcPr>
            <w:tcW w:w="460" w:type="dxa"/>
            <w:vAlign w:val="bottom"/>
          </w:tcPr>
          <w:p>
            <w:pPr>
              <w:ind w:left="20"/>
              <w:spacing w:after="0" w:line="89" w:lineRule="exact"/>
              <w:rPr>
                <w:sz w:val="20"/>
                <w:szCs w:val="20"/>
                <w:color w:val="auto"/>
              </w:rPr>
            </w:pPr>
            <w:r>
              <w:rPr>
                <w:rFonts w:ascii="Times New Roman" w:cs="Times New Roman" w:eastAsia="Times New Roman" w:hAnsi="Times New Roman"/>
                <w:sz w:val="10"/>
                <w:szCs w:val="10"/>
                <w:b w:val="1"/>
                <w:bCs w:val="1"/>
                <w:color w:val="auto"/>
              </w:rPr>
              <w:t>$65.00</w:t>
            </w:r>
          </w:p>
        </w:tc>
        <w:tc>
          <w:tcPr>
            <w:tcW w:w="540" w:type="dxa"/>
            <w:vAlign w:val="bottom"/>
          </w:tcPr>
          <w:p>
            <w:pPr>
              <w:ind w:left="100"/>
              <w:spacing w:after="0" w:line="89" w:lineRule="exact"/>
              <w:rPr>
                <w:sz w:val="20"/>
                <w:szCs w:val="20"/>
                <w:color w:val="auto"/>
              </w:rPr>
            </w:pPr>
            <w:r>
              <w:rPr>
                <w:rFonts w:ascii="Times New Roman" w:cs="Times New Roman" w:eastAsia="Times New Roman" w:hAnsi="Times New Roman"/>
                <w:sz w:val="10"/>
                <w:szCs w:val="10"/>
                <w:b w:val="1"/>
                <w:bCs w:val="1"/>
                <w:color w:val="auto"/>
              </w:rPr>
              <w:t>$70.00</w:t>
            </w:r>
          </w:p>
        </w:tc>
        <w:tc>
          <w:tcPr>
            <w:tcW w:w="540" w:type="dxa"/>
            <w:vAlign w:val="bottom"/>
          </w:tcPr>
          <w:p>
            <w:pPr>
              <w:ind w:left="100"/>
              <w:spacing w:after="0" w:line="89" w:lineRule="exact"/>
              <w:rPr>
                <w:sz w:val="20"/>
                <w:szCs w:val="20"/>
                <w:color w:val="auto"/>
              </w:rPr>
            </w:pPr>
            <w:r>
              <w:rPr>
                <w:rFonts w:ascii="Times New Roman" w:cs="Times New Roman" w:eastAsia="Times New Roman" w:hAnsi="Times New Roman"/>
                <w:sz w:val="10"/>
                <w:szCs w:val="10"/>
                <w:b w:val="1"/>
                <w:bCs w:val="1"/>
                <w:color w:val="auto"/>
              </w:rPr>
              <w:t>$75.00</w:t>
            </w:r>
          </w:p>
        </w:tc>
        <w:tc>
          <w:tcPr>
            <w:tcW w:w="540" w:type="dxa"/>
            <w:vAlign w:val="bottom"/>
          </w:tcPr>
          <w:p>
            <w:pPr>
              <w:ind w:left="100"/>
              <w:spacing w:after="0" w:line="89" w:lineRule="exact"/>
              <w:rPr>
                <w:sz w:val="20"/>
                <w:szCs w:val="20"/>
                <w:color w:val="auto"/>
              </w:rPr>
            </w:pPr>
            <w:r>
              <w:rPr>
                <w:rFonts w:ascii="Times New Roman" w:cs="Times New Roman" w:eastAsia="Times New Roman" w:hAnsi="Times New Roman"/>
                <w:sz w:val="10"/>
                <w:szCs w:val="10"/>
                <w:b w:val="1"/>
                <w:bCs w:val="1"/>
                <w:color w:val="auto"/>
              </w:rPr>
              <w:t>$80.00</w:t>
            </w:r>
          </w:p>
        </w:tc>
        <w:tc>
          <w:tcPr>
            <w:tcW w:w="540" w:type="dxa"/>
            <w:vAlign w:val="bottom"/>
          </w:tcPr>
          <w:p>
            <w:pPr>
              <w:ind w:left="100"/>
              <w:spacing w:after="0" w:line="89" w:lineRule="exact"/>
              <w:rPr>
                <w:sz w:val="20"/>
                <w:szCs w:val="20"/>
                <w:color w:val="auto"/>
              </w:rPr>
            </w:pPr>
            <w:r>
              <w:rPr>
                <w:rFonts w:ascii="Times New Roman" w:cs="Times New Roman" w:eastAsia="Times New Roman" w:hAnsi="Times New Roman"/>
                <w:sz w:val="10"/>
                <w:szCs w:val="10"/>
                <w:b w:val="1"/>
                <w:bCs w:val="1"/>
                <w:color w:val="auto"/>
              </w:rPr>
              <w:t>$85.00</w:t>
            </w:r>
          </w:p>
        </w:tc>
        <w:tc>
          <w:tcPr>
            <w:tcW w:w="460" w:type="dxa"/>
            <w:vAlign w:val="bottom"/>
          </w:tcPr>
          <w:p>
            <w:pPr>
              <w:ind w:left="80"/>
              <w:spacing w:after="0" w:line="89" w:lineRule="exact"/>
              <w:rPr>
                <w:sz w:val="20"/>
                <w:szCs w:val="20"/>
                <w:color w:val="auto"/>
              </w:rPr>
            </w:pPr>
            <w:r>
              <w:rPr>
                <w:rFonts w:ascii="Times New Roman" w:cs="Times New Roman" w:eastAsia="Times New Roman" w:hAnsi="Times New Roman"/>
                <w:sz w:val="10"/>
                <w:szCs w:val="10"/>
                <w:b w:val="1"/>
                <w:bCs w:val="1"/>
                <w:color w:val="auto"/>
              </w:rPr>
              <w:t>$90.00</w:t>
            </w:r>
          </w:p>
        </w:tc>
        <w:tc>
          <w:tcPr>
            <w:tcW w:w="0" w:type="dxa"/>
            <w:vAlign w:val="bottom"/>
          </w:tcPr>
          <w:p>
            <w:pPr>
              <w:spacing w:after="0"/>
              <w:rPr>
                <w:sz w:val="1"/>
                <w:szCs w:val="1"/>
                <w:color w:val="auto"/>
              </w:rPr>
            </w:pPr>
          </w:p>
        </w:tc>
      </w:tr>
      <w:tr>
        <w:trPr>
          <w:trHeight w:val="156"/>
        </w:trPr>
        <w:tc>
          <w:tcPr>
            <w:tcW w:w="1260" w:type="dxa"/>
            <w:vAlign w:val="bottom"/>
          </w:tcPr>
          <w:p>
            <w:pPr>
              <w:spacing w:after="0"/>
              <w:rPr>
                <w:sz w:val="20"/>
                <w:szCs w:val="20"/>
                <w:color w:val="auto"/>
              </w:rPr>
            </w:pPr>
            <w:r>
              <w:rPr>
                <w:rFonts w:ascii="Times New Roman" w:cs="Times New Roman" w:eastAsia="Times New Roman" w:hAnsi="Times New Roman"/>
                <w:sz w:val="13"/>
                <w:szCs w:val="13"/>
                <w:color w:val="auto"/>
              </w:rPr>
              <w:t>February 6, 2008</w:t>
            </w: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0.1042</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0.0871</w:t>
            </w:r>
          </w:p>
        </w:tc>
        <w:tc>
          <w:tcPr>
            <w:tcW w:w="5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0.0698</w:t>
            </w:r>
          </w:p>
        </w:tc>
        <w:tc>
          <w:tcPr>
            <w:tcW w:w="46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4"/>
              </w:rPr>
              <w:t>0.0573</w:t>
            </w:r>
          </w:p>
        </w:tc>
        <w:tc>
          <w:tcPr>
            <w:tcW w:w="6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0.0478</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0.0406</w:t>
            </w:r>
          </w:p>
        </w:tc>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0.0350</w:t>
            </w:r>
          </w:p>
        </w:tc>
        <w:tc>
          <w:tcPr>
            <w:tcW w:w="5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0.0305</w:t>
            </w:r>
          </w:p>
        </w:tc>
        <w:tc>
          <w:tcPr>
            <w:tcW w:w="5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0.0268</w:t>
            </w:r>
          </w:p>
        </w:tc>
        <w:tc>
          <w:tcPr>
            <w:tcW w:w="5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0.0238</w:t>
            </w:r>
          </w:p>
        </w:tc>
        <w:tc>
          <w:tcPr>
            <w:tcW w:w="5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0.0213</w:t>
            </w: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0.0192</w:t>
            </w:r>
          </w:p>
        </w:tc>
        <w:tc>
          <w:tcPr>
            <w:tcW w:w="0" w:type="dxa"/>
            <w:vAlign w:val="bottom"/>
          </w:tcPr>
          <w:p>
            <w:pPr>
              <w:spacing w:after="0"/>
              <w:rPr>
                <w:sz w:val="1"/>
                <w:szCs w:val="1"/>
                <w:color w:val="auto"/>
              </w:rPr>
            </w:pPr>
          </w:p>
        </w:tc>
      </w:tr>
      <w:tr>
        <w:trPr>
          <w:trHeight w:val="156"/>
        </w:trPr>
        <w:tc>
          <w:tcPr>
            <w:tcW w:w="1260" w:type="dxa"/>
            <w:vAlign w:val="bottom"/>
          </w:tcPr>
          <w:p>
            <w:pPr>
              <w:spacing w:after="0"/>
              <w:rPr>
                <w:sz w:val="20"/>
                <w:szCs w:val="20"/>
                <w:color w:val="auto"/>
              </w:rPr>
            </w:pPr>
            <w:r>
              <w:rPr>
                <w:rFonts w:ascii="Times New Roman" w:cs="Times New Roman" w:eastAsia="Times New Roman" w:hAnsi="Times New Roman"/>
                <w:sz w:val="13"/>
                <w:szCs w:val="13"/>
                <w:color w:val="auto"/>
              </w:rPr>
              <w:t>March 31, 2009</w:t>
            </w: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0.1042</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0.0882</w:t>
            </w:r>
          </w:p>
        </w:tc>
        <w:tc>
          <w:tcPr>
            <w:tcW w:w="5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0.0695</w:t>
            </w:r>
          </w:p>
        </w:tc>
        <w:tc>
          <w:tcPr>
            <w:tcW w:w="46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4"/>
              </w:rPr>
              <w:t>0.0560</w:t>
            </w:r>
          </w:p>
        </w:tc>
        <w:tc>
          <w:tcPr>
            <w:tcW w:w="6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0.0460</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0.0385</w:t>
            </w:r>
          </w:p>
        </w:tc>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0.0327</w:t>
            </w:r>
          </w:p>
        </w:tc>
        <w:tc>
          <w:tcPr>
            <w:tcW w:w="5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0.0282</w:t>
            </w:r>
          </w:p>
        </w:tc>
        <w:tc>
          <w:tcPr>
            <w:tcW w:w="5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0.0246</w:t>
            </w:r>
          </w:p>
        </w:tc>
        <w:tc>
          <w:tcPr>
            <w:tcW w:w="5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0.0217</w:t>
            </w:r>
          </w:p>
        </w:tc>
        <w:tc>
          <w:tcPr>
            <w:tcW w:w="5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0.0194</w:t>
            </w: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0.0174</w:t>
            </w:r>
          </w:p>
        </w:tc>
        <w:tc>
          <w:tcPr>
            <w:tcW w:w="0" w:type="dxa"/>
            <w:vAlign w:val="bottom"/>
          </w:tcPr>
          <w:p>
            <w:pPr>
              <w:spacing w:after="0"/>
              <w:rPr>
                <w:sz w:val="1"/>
                <w:szCs w:val="1"/>
                <w:color w:val="auto"/>
              </w:rPr>
            </w:pPr>
          </w:p>
        </w:tc>
      </w:tr>
      <w:tr>
        <w:trPr>
          <w:trHeight w:val="156"/>
        </w:trPr>
        <w:tc>
          <w:tcPr>
            <w:tcW w:w="1260" w:type="dxa"/>
            <w:vAlign w:val="bottom"/>
          </w:tcPr>
          <w:p>
            <w:pPr>
              <w:spacing w:after="0"/>
              <w:rPr>
                <w:sz w:val="20"/>
                <w:szCs w:val="20"/>
                <w:color w:val="auto"/>
              </w:rPr>
            </w:pPr>
            <w:r>
              <w:rPr>
                <w:rFonts w:ascii="Times New Roman" w:cs="Times New Roman" w:eastAsia="Times New Roman" w:hAnsi="Times New Roman"/>
                <w:sz w:val="13"/>
                <w:szCs w:val="13"/>
                <w:color w:val="auto"/>
              </w:rPr>
              <w:t>March 31, 2010</w:t>
            </w: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0.1042</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0.0866</w:t>
            </w:r>
          </w:p>
        </w:tc>
        <w:tc>
          <w:tcPr>
            <w:tcW w:w="5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0.0664</w:t>
            </w:r>
          </w:p>
        </w:tc>
        <w:tc>
          <w:tcPr>
            <w:tcW w:w="46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4"/>
              </w:rPr>
              <w:t>0.0520</w:t>
            </w:r>
          </w:p>
        </w:tc>
        <w:tc>
          <w:tcPr>
            <w:tcW w:w="6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0.0415</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0.0338</w:t>
            </w:r>
          </w:p>
        </w:tc>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0.0281</w:t>
            </w:r>
          </w:p>
        </w:tc>
        <w:tc>
          <w:tcPr>
            <w:tcW w:w="5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0.0237</w:t>
            </w:r>
          </w:p>
        </w:tc>
        <w:tc>
          <w:tcPr>
            <w:tcW w:w="5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0.0204</w:t>
            </w:r>
          </w:p>
        </w:tc>
        <w:tc>
          <w:tcPr>
            <w:tcW w:w="5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0.0177</w:t>
            </w:r>
          </w:p>
        </w:tc>
        <w:tc>
          <w:tcPr>
            <w:tcW w:w="5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0.0157</w:t>
            </w: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0.0140</w:t>
            </w:r>
          </w:p>
        </w:tc>
        <w:tc>
          <w:tcPr>
            <w:tcW w:w="0" w:type="dxa"/>
            <w:vAlign w:val="bottom"/>
          </w:tcPr>
          <w:p>
            <w:pPr>
              <w:spacing w:after="0"/>
              <w:rPr>
                <w:sz w:val="1"/>
                <w:szCs w:val="1"/>
                <w:color w:val="auto"/>
              </w:rPr>
            </w:pPr>
          </w:p>
        </w:tc>
      </w:tr>
      <w:tr>
        <w:trPr>
          <w:trHeight w:val="156"/>
        </w:trPr>
        <w:tc>
          <w:tcPr>
            <w:tcW w:w="1260" w:type="dxa"/>
            <w:vAlign w:val="bottom"/>
          </w:tcPr>
          <w:p>
            <w:pPr>
              <w:spacing w:after="0"/>
              <w:rPr>
                <w:sz w:val="20"/>
                <w:szCs w:val="20"/>
                <w:color w:val="auto"/>
              </w:rPr>
            </w:pPr>
            <w:r>
              <w:rPr>
                <w:rFonts w:ascii="Times New Roman" w:cs="Times New Roman" w:eastAsia="Times New Roman" w:hAnsi="Times New Roman"/>
                <w:sz w:val="13"/>
                <w:szCs w:val="13"/>
                <w:color w:val="auto"/>
              </w:rPr>
              <w:t>March 31, 2011</w:t>
            </w: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0.1042</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0.0841</w:t>
            </w:r>
          </w:p>
        </w:tc>
        <w:tc>
          <w:tcPr>
            <w:tcW w:w="5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0.0619</w:t>
            </w:r>
          </w:p>
        </w:tc>
        <w:tc>
          <w:tcPr>
            <w:tcW w:w="46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4"/>
              </w:rPr>
              <w:t>0.0461</w:t>
            </w:r>
          </w:p>
        </w:tc>
        <w:tc>
          <w:tcPr>
            <w:tcW w:w="6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0.0350</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0.0271</w:t>
            </w:r>
          </w:p>
        </w:tc>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0.0214</w:t>
            </w:r>
          </w:p>
        </w:tc>
        <w:tc>
          <w:tcPr>
            <w:tcW w:w="5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0.0174</w:t>
            </w:r>
          </w:p>
        </w:tc>
        <w:tc>
          <w:tcPr>
            <w:tcW w:w="5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0.0145</w:t>
            </w:r>
          </w:p>
        </w:tc>
        <w:tc>
          <w:tcPr>
            <w:tcW w:w="5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0.0123</w:t>
            </w:r>
          </w:p>
        </w:tc>
        <w:tc>
          <w:tcPr>
            <w:tcW w:w="5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0.0107</w:t>
            </w: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0.0095</w:t>
            </w:r>
          </w:p>
        </w:tc>
        <w:tc>
          <w:tcPr>
            <w:tcW w:w="0" w:type="dxa"/>
            <w:vAlign w:val="bottom"/>
          </w:tcPr>
          <w:p>
            <w:pPr>
              <w:spacing w:after="0"/>
              <w:rPr>
                <w:sz w:val="1"/>
                <w:szCs w:val="1"/>
                <w:color w:val="auto"/>
              </w:rPr>
            </w:pPr>
          </w:p>
        </w:tc>
      </w:tr>
      <w:tr>
        <w:trPr>
          <w:trHeight w:val="156"/>
        </w:trPr>
        <w:tc>
          <w:tcPr>
            <w:tcW w:w="1260" w:type="dxa"/>
            <w:vAlign w:val="bottom"/>
          </w:tcPr>
          <w:p>
            <w:pPr>
              <w:spacing w:after="0"/>
              <w:rPr>
                <w:sz w:val="20"/>
                <w:szCs w:val="20"/>
                <w:color w:val="auto"/>
              </w:rPr>
            </w:pPr>
            <w:r>
              <w:rPr>
                <w:rFonts w:ascii="Times New Roman" w:cs="Times New Roman" w:eastAsia="Times New Roman" w:hAnsi="Times New Roman"/>
                <w:sz w:val="13"/>
                <w:szCs w:val="13"/>
                <w:color w:val="auto"/>
              </w:rPr>
              <w:t>March 31, 2012</w:t>
            </w: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0.1042</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0.0812</w:t>
            </w:r>
          </w:p>
        </w:tc>
        <w:tc>
          <w:tcPr>
            <w:tcW w:w="5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0.0555</w:t>
            </w:r>
          </w:p>
        </w:tc>
        <w:tc>
          <w:tcPr>
            <w:tcW w:w="46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4"/>
              </w:rPr>
              <w:t>0.0371</w:t>
            </w:r>
          </w:p>
        </w:tc>
        <w:tc>
          <w:tcPr>
            <w:tcW w:w="6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0.0246</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0.0164</w:t>
            </w:r>
          </w:p>
        </w:tc>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0.0113</w:t>
            </w:r>
          </w:p>
        </w:tc>
        <w:tc>
          <w:tcPr>
            <w:tcW w:w="5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0.0082</w:t>
            </w:r>
          </w:p>
        </w:tc>
        <w:tc>
          <w:tcPr>
            <w:tcW w:w="5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0.0063</w:t>
            </w:r>
          </w:p>
        </w:tc>
        <w:tc>
          <w:tcPr>
            <w:tcW w:w="5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0.0052</w:t>
            </w:r>
          </w:p>
        </w:tc>
        <w:tc>
          <w:tcPr>
            <w:tcW w:w="5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0.0044</w:t>
            </w: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0.0039</w:t>
            </w:r>
          </w:p>
        </w:tc>
        <w:tc>
          <w:tcPr>
            <w:tcW w:w="0" w:type="dxa"/>
            <w:vAlign w:val="bottom"/>
          </w:tcPr>
          <w:p>
            <w:pPr>
              <w:spacing w:after="0"/>
              <w:rPr>
                <w:sz w:val="1"/>
                <w:szCs w:val="1"/>
                <w:color w:val="auto"/>
              </w:rPr>
            </w:pPr>
          </w:p>
        </w:tc>
      </w:tr>
      <w:tr>
        <w:trPr>
          <w:trHeight w:val="156"/>
        </w:trPr>
        <w:tc>
          <w:tcPr>
            <w:tcW w:w="1260" w:type="dxa"/>
            <w:vAlign w:val="bottom"/>
          </w:tcPr>
          <w:p>
            <w:pPr>
              <w:spacing w:after="0"/>
              <w:rPr>
                <w:sz w:val="20"/>
                <w:szCs w:val="20"/>
                <w:color w:val="auto"/>
              </w:rPr>
            </w:pPr>
            <w:r>
              <w:rPr>
                <w:rFonts w:ascii="Times New Roman" w:cs="Times New Roman" w:eastAsia="Times New Roman" w:hAnsi="Times New Roman"/>
                <w:sz w:val="13"/>
                <w:szCs w:val="13"/>
                <w:color w:val="auto"/>
              </w:rPr>
              <w:t>March 31, 2013</w:t>
            </w: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0.1042</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0.0821</w:t>
            </w:r>
          </w:p>
        </w:tc>
        <w:tc>
          <w:tcPr>
            <w:tcW w:w="5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0.0526</w:t>
            </w:r>
          </w:p>
        </w:tc>
        <w:tc>
          <w:tcPr>
            <w:tcW w:w="46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4"/>
              </w:rPr>
              <w:t>0.0279</w:t>
            </w:r>
          </w:p>
        </w:tc>
        <w:tc>
          <w:tcPr>
            <w:tcW w:w="6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0.0050</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0.0000</w:t>
            </w:r>
          </w:p>
        </w:tc>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0.0000</w:t>
            </w:r>
          </w:p>
        </w:tc>
        <w:tc>
          <w:tcPr>
            <w:tcW w:w="5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0.0000</w:t>
            </w:r>
          </w:p>
        </w:tc>
        <w:tc>
          <w:tcPr>
            <w:tcW w:w="5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0.0000</w:t>
            </w:r>
          </w:p>
        </w:tc>
        <w:tc>
          <w:tcPr>
            <w:tcW w:w="5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0.0000</w:t>
            </w:r>
          </w:p>
        </w:tc>
        <w:tc>
          <w:tcPr>
            <w:tcW w:w="5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0.0000</w:t>
            </w: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0.0000</w:t>
            </w:r>
          </w:p>
        </w:tc>
        <w:tc>
          <w:tcPr>
            <w:tcW w:w="0" w:type="dxa"/>
            <w:vAlign w:val="bottom"/>
          </w:tcPr>
          <w:p>
            <w:pPr>
              <w:spacing w:after="0"/>
              <w:rPr>
                <w:sz w:val="1"/>
                <w:szCs w:val="1"/>
                <w:color w:val="auto"/>
              </w:rPr>
            </w:pPr>
          </w:p>
        </w:tc>
      </w:tr>
      <w:tr>
        <w:trPr>
          <w:trHeight w:val="156"/>
        </w:trPr>
        <w:tc>
          <w:tcPr>
            <w:tcW w:w="1260" w:type="dxa"/>
            <w:vAlign w:val="bottom"/>
          </w:tcPr>
          <w:p>
            <w:pPr>
              <w:spacing w:after="0"/>
              <w:rPr>
                <w:sz w:val="20"/>
                <w:szCs w:val="20"/>
                <w:color w:val="auto"/>
              </w:rPr>
            </w:pPr>
            <w:r>
              <w:rPr>
                <w:rFonts w:ascii="Times New Roman" w:cs="Times New Roman" w:eastAsia="Times New Roman" w:hAnsi="Times New Roman"/>
                <w:sz w:val="13"/>
                <w:szCs w:val="13"/>
                <w:color w:val="auto"/>
              </w:rPr>
              <w:t>March 31, 2014</w:t>
            </w: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0.1042</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0.0840</w:t>
            </w:r>
          </w:p>
        </w:tc>
        <w:tc>
          <w:tcPr>
            <w:tcW w:w="5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0.0539</w:t>
            </w:r>
          </w:p>
        </w:tc>
        <w:tc>
          <w:tcPr>
            <w:tcW w:w="46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4"/>
              </w:rPr>
              <w:t>0.0288</w:t>
            </w:r>
          </w:p>
        </w:tc>
        <w:tc>
          <w:tcPr>
            <w:tcW w:w="6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0.0051</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0.0000</w:t>
            </w:r>
          </w:p>
        </w:tc>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0.0000</w:t>
            </w:r>
          </w:p>
        </w:tc>
        <w:tc>
          <w:tcPr>
            <w:tcW w:w="5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0.0000</w:t>
            </w:r>
          </w:p>
        </w:tc>
        <w:tc>
          <w:tcPr>
            <w:tcW w:w="5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0.0000</w:t>
            </w:r>
          </w:p>
        </w:tc>
        <w:tc>
          <w:tcPr>
            <w:tcW w:w="5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0.0000</w:t>
            </w:r>
          </w:p>
        </w:tc>
        <w:tc>
          <w:tcPr>
            <w:tcW w:w="5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0.0000</w:t>
            </w: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0.0000</w:t>
            </w:r>
          </w:p>
        </w:tc>
        <w:tc>
          <w:tcPr>
            <w:tcW w:w="0" w:type="dxa"/>
            <w:vAlign w:val="bottom"/>
          </w:tcPr>
          <w:p>
            <w:pPr>
              <w:spacing w:after="0"/>
              <w:rPr>
                <w:sz w:val="1"/>
                <w:szCs w:val="1"/>
                <w:color w:val="auto"/>
              </w:rPr>
            </w:pPr>
          </w:p>
        </w:tc>
      </w:tr>
      <w:tr>
        <w:trPr>
          <w:trHeight w:val="172"/>
        </w:trPr>
        <w:tc>
          <w:tcPr>
            <w:tcW w:w="1260" w:type="dxa"/>
            <w:vAlign w:val="bottom"/>
          </w:tcPr>
          <w:p>
            <w:pPr>
              <w:spacing w:after="0"/>
              <w:rPr>
                <w:sz w:val="20"/>
                <w:szCs w:val="20"/>
                <w:color w:val="auto"/>
              </w:rPr>
            </w:pPr>
            <w:r>
              <w:rPr>
                <w:rFonts w:ascii="Times New Roman" w:cs="Times New Roman" w:eastAsia="Times New Roman" w:hAnsi="Times New Roman"/>
                <w:sz w:val="13"/>
                <w:szCs w:val="13"/>
                <w:color w:val="auto"/>
              </w:rPr>
              <w:t>February 6, 2015</w:t>
            </w: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0.1042</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0.0839</w:t>
            </w:r>
          </w:p>
        </w:tc>
        <w:tc>
          <w:tcPr>
            <w:tcW w:w="5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0.0531</w:t>
            </w:r>
          </w:p>
        </w:tc>
        <w:tc>
          <w:tcPr>
            <w:tcW w:w="46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4"/>
              </w:rPr>
              <w:t>0.0279</w:t>
            </w:r>
          </w:p>
        </w:tc>
        <w:tc>
          <w:tcPr>
            <w:tcW w:w="6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0.0071</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0.0000</w:t>
            </w:r>
          </w:p>
        </w:tc>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0.0000</w:t>
            </w:r>
          </w:p>
        </w:tc>
        <w:tc>
          <w:tcPr>
            <w:tcW w:w="5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0.0000</w:t>
            </w:r>
          </w:p>
        </w:tc>
        <w:tc>
          <w:tcPr>
            <w:tcW w:w="5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0.0000</w:t>
            </w:r>
          </w:p>
        </w:tc>
        <w:tc>
          <w:tcPr>
            <w:tcW w:w="5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0.0000</w:t>
            </w:r>
          </w:p>
        </w:tc>
        <w:tc>
          <w:tcPr>
            <w:tcW w:w="5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0.0000</w:t>
            </w: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0.0000</w:t>
            </w:r>
          </w:p>
        </w:tc>
        <w:tc>
          <w:tcPr>
            <w:tcW w:w="0" w:type="dxa"/>
            <w:vAlign w:val="bottom"/>
          </w:tcPr>
          <w:p>
            <w:pPr>
              <w:spacing w:after="0"/>
              <w:rPr>
                <w:sz w:val="1"/>
                <w:szCs w:val="1"/>
                <w:color w:val="auto"/>
              </w:rPr>
            </w:pPr>
          </w:p>
        </w:tc>
      </w:tr>
    </w:tbl>
    <w:p>
      <w:pPr>
        <w:ind w:left="900" w:right="620" w:firstLine="319"/>
        <w:spacing w:after="0" w:line="274" w:lineRule="auto"/>
        <w:tabs>
          <w:tab w:leader="none" w:pos="1392" w:val="left"/>
        </w:tabs>
        <w:numPr>
          <w:ilvl w:val="1"/>
          <w:numId w:val="2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exact applicable share price and effective date may not be set forth in the table above, in which case (A) if the actual applicable share price is between two applicable prices listed in the table above, or the actual effective date is between two dates listed in the table above, the Company shall determine the number of additional shares by linear interpolation between the numbers of additional shares set forth for the two applicable prices, or for the two dates based on a 365-day year, as applicable; (B) if the actual applicable price is greater than $90.00 per share (subject to adjustment), the Company shall not increase the Conversion Rate as described above and no additional shares shall be issuable upon conversion; and (C) if the actual applicable price is less than $35.73 per share (subject to adjustment), the Company shall not increase the Conversion Rate as described above and no additional shares shall be issuable upon conversion.</w:t>
      </w:r>
    </w:p>
    <w:p>
      <w:pPr>
        <w:spacing w:after="0" w:line="146" w:lineRule="exact"/>
        <w:rPr>
          <w:rFonts w:ascii="Times New Roman" w:cs="Times New Roman" w:eastAsia="Times New Roman" w:hAnsi="Times New Roman"/>
          <w:sz w:val="13"/>
          <w:szCs w:val="13"/>
          <w:color w:val="auto"/>
        </w:rPr>
      </w:pPr>
    </w:p>
    <w:p>
      <w:pPr>
        <w:ind w:left="900" w:right="860" w:firstLine="319"/>
        <w:spacing w:after="0" w:line="286" w:lineRule="auto"/>
        <w:tabs>
          <w:tab w:leader="none" w:pos="1428" w:val="left"/>
        </w:tabs>
        <w:numPr>
          <w:ilvl w:val="1"/>
          <w:numId w:val="2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not increase the Conversion Rate as described in this Section 8(k) of these Articles Supplementary to the extent the increase will cause the Conversion Rate to exceed 0.6997, provided the Company shall adjust this maximum conversion rate in the same manner in which, and for the same events for which, the Company must adjust the Conversion Rate as described in Section 8(h).</w:t>
      </w:r>
    </w:p>
    <w:p>
      <w:pPr>
        <w:spacing w:after="0" w:line="303" w:lineRule="exact"/>
        <w:rPr>
          <w:rFonts w:ascii="Times New Roman" w:cs="Times New Roman" w:eastAsia="Times New Roman" w:hAnsi="Times New Roman"/>
          <w:sz w:val="13"/>
          <w:szCs w:val="13"/>
          <w:color w:val="auto"/>
        </w:rPr>
      </w:pPr>
    </w:p>
    <w:p>
      <w:pPr>
        <w:ind w:left="1040" w:hanging="134"/>
        <w:spacing w:after="0"/>
        <w:tabs>
          <w:tab w:leader="none" w:pos="1040" w:val="left"/>
        </w:tabs>
        <w:numPr>
          <w:ilvl w:val="0"/>
          <w:numId w:val="2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Special Conversion Right of Series D Preferred Stock upon a Fundamental Change; Company Repurchase Right.</w:t>
      </w:r>
    </w:p>
    <w:p>
      <w:pPr>
        <w:spacing w:after="0" w:line="188" w:lineRule="exact"/>
        <w:rPr>
          <w:rFonts w:ascii="Times New Roman" w:cs="Times New Roman" w:eastAsia="Times New Roman" w:hAnsi="Times New Roman"/>
          <w:sz w:val="13"/>
          <w:szCs w:val="13"/>
          <w:color w:val="auto"/>
        </w:rPr>
      </w:pPr>
    </w:p>
    <w:p>
      <w:pPr>
        <w:ind w:left="900" w:right="660" w:firstLine="319"/>
        <w:spacing w:after="0" w:line="274" w:lineRule="auto"/>
        <w:tabs>
          <w:tab w:leader="none" w:pos="1368" w:val="left"/>
        </w:tabs>
        <w:numPr>
          <w:ilvl w:val="1"/>
          <w:numId w:val="2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On or prior to February 6, 2015, in the event of a Fundamental Change, when the applicable price of Common Stock described in Section 8(k)(iii) of these Articles Supplementary is less than $35.73 per share, then each holder of Series D Preferred Stock shall have the special right (the “ </w:t>
      </w:r>
      <w:r>
        <w:rPr>
          <w:rFonts w:ascii="Times New Roman" w:cs="Times New Roman" w:eastAsia="Times New Roman" w:hAnsi="Times New Roman"/>
          <w:sz w:val="13"/>
          <w:szCs w:val="13"/>
          <w:b w:val="1"/>
          <w:bCs w:val="1"/>
          <w:color w:val="auto"/>
        </w:rPr>
        <w:t>Fundamental Change Conversion Right</w:t>
      </w:r>
      <w:r>
        <w:rPr>
          <w:rFonts w:ascii="Times New Roman" w:cs="Times New Roman" w:eastAsia="Times New Roman" w:hAnsi="Times New Roman"/>
          <w:sz w:val="13"/>
          <w:szCs w:val="13"/>
          <w:color w:val="auto"/>
        </w:rPr>
        <w:t xml:space="preserve"> ”), in addition to any other applicable conversion right, to convert some or all of the Series D Preferred Stock on the relevant Fundamental Change Conversion Date into a number of shares of Common Stock per $25.00 liquidation preference equal to such liquidation preference plus an amount equal to accrued and unpaid dividends to, but not including, such Fundamental Change Conversion Date, divided by 98% of the Market Price of Common Stock (the “ </w:t>
      </w:r>
      <w:r>
        <w:rPr>
          <w:rFonts w:ascii="Times New Roman" w:cs="Times New Roman" w:eastAsia="Times New Roman" w:hAnsi="Times New Roman"/>
          <w:sz w:val="13"/>
          <w:szCs w:val="13"/>
          <w:b w:val="1"/>
          <w:bCs w:val="1"/>
          <w:color w:val="auto"/>
        </w:rPr>
        <w:t>Fundamental Change Conversion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 xml:space="preserve">Rate </w:t>
      </w:r>
      <w:r>
        <w:rPr>
          <w:rFonts w:ascii="Times New Roman" w:cs="Times New Roman" w:eastAsia="Times New Roman" w:hAnsi="Times New Roman"/>
          <w:sz w:val="13"/>
          <w:szCs w:val="13"/>
          <w:color w:val="auto"/>
        </w:rPr>
        <w:t>”). The Market Price of Common Stock shall be determined prior to the applicable Fundamental Change Conversion Date. A holder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Series D Preferred Stock which has elected to convert such shares otherwise than pursuant to the Fundamental Change Conversion Right shall not be able to exercise the Fundamental Change Conversion Right.</w:t>
      </w:r>
    </w:p>
    <w:p>
      <w:pPr>
        <w:spacing w:after="0" w:line="200" w:lineRule="exact"/>
        <w:rPr>
          <w:sz w:val="20"/>
          <w:szCs w:val="20"/>
          <w:color w:val="auto"/>
        </w:rPr>
      </w:pPr>
    </w:p>
    <w:p>
      <w:pPr>
        <w:spacing w:after="0" w:line="2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681990</wp:posOffset>
            </wp:positionV>
            <wp:extent cx="5083810" cy="1524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539">
                      <a:extLst>
                        <a:ext uri="{28A0092B-C50C-407E-A947-70E740481C1C}"/>
                      </a:extLst>
                    </a:blip>
                    <a:srcRect/>
                    <a:stretch>
                      <a:fillRect/>
                    </a:stretch>
                  </pic:blipFill>
                  <pic:spPr bwMode="auto">
                    <a:xfrm>
                      <a:off x="0" y="0"/>
                      <a:ext cx="5083810" cy="15240"/>
                    </a:xfrm>
                    <a:prstGeom prst="rect">
                      <a:avLst/>
                    </a:prstGeom>
                    <a:noFill/>
                  </pic:spPr>
                </pic:pic>
              </a:graphicData>
            </a:graphic>
          </wp:anchor>
        </w:drawing>
        <w:drawing>
          <wp:anchor simplePos="0" relativeHeight="251657728" behindDoc="1" locked="0" layoutInCell="0" allowOverlap="1">
            <wp:simplePos x="0" y="0"/>
            <wp:positionH relativeFrom="column">
              <wp:posOffset>384810</wp:posOffset>
            </wp:positionH>
            <wp:positionV relativeFrom="paragraph">
              <wp:posOffset>316230</wp:posOffset>
            </wp:positionV>
            <wp:extent cx="4436110" cy="1524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540">
                      <a:extLst>
                        <a:ext uri="{28A0092B-C50C-407E-A947-70E740481C1C}"/>
                      </a:extLst>
                    </a:blip>
                    <a:srcRect/>
                    <a:stretch>
                      <a:fillRect/>
                    </a:stretch>
                  </pic:blipFill>
                  <pic:spPr bwMode="auto">
                    <a:xfrm>
                      <a:off x="0" y="0"/>
                      <a:ext cx="4436110" cy="1524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306" w:name="page307"/>
    <w:bookmarkEnd w:id="306"/>
    <w:p>
      <w:pPr>
        <w:ind w:left="900" w:right="680" w:firstLine="312"/>
        <w:spacing w:after="0" w:line="274" w:lineRule="auto"/>
        <w:rPr>
          <w:sz w:val="20"/>
          <w:szCs w:val="20"/>
          <w:color w:val="auto"/>
        </w:rPr>
      </w:pPr>
      <w:r>
        <w:rPr>
          <w:rFonts w:ascii="Times New Roman" w:cs="Times New Roman" w:eastAsia="Times New Roman" w:hAnsi="Times New Roman"/>
          <w:sz w:val="13"/>
          <w:szCs w:val="13"/>
          <w:color w:val="auto"/>
        </w:rPr>
        <w:t xml:space="preserve">(ii) If a holder of Series D Preferred Stock elects to convert Series D Preferred Stock as described in Section 8(l)(i) of these Articles Supplementary, the Company may elect, in lieu of that conversion, to repurchase for cash some or all of such Series D Preferred Stock at a repurchase price (the “ </w:t>
      </w:r>
      <w:r>
        <w:rPr>
          <w:rFonts w:ascii="Times New Roman" w:cs="Times New Roman" w:eastAsia="Times New Roman" w:hAnsi="Times New Roman"/>
          <w:sz w:val="13"/>
          <w:szCs w:val="13"/>
          <w:b w:val="1"/>
          <w:bCs w:val="1"/>
          <w:color w:val="auto"/>
        </w:rPr>
        <w:t>Fundamental Change Repurchase Price</w:t>
      </w:r>
      <w:r>
        <w:rPr>
          <w:rFonts w:ascii="Times New Roman" w:cs="Times New Roman" w:eastAsia="Times New Roman" w:hAnsi="Times New Roman"/>
          <w:sz w:val="13"/>
          <w:szCs w:val="13"/>
          <w:color w:val="auto"/>
        </w:rPr>
        <w:t xml:space="preserve"> ”) equal to 100% of the liquidation preference of the Series D Preferred Stock to be repurchased plus an amount equal to accrued and unpaid dividends to, but not including, such Fundamental Change Conversion Date, or the Fundamental Change Repurchase Price; provided that if the relevant Fundamental Change Conversion Date is on a date that is after a Dividend Record Date and on or prior to the corresponding Dividend Payment Date, the Company shall pay such dividends to the holder of record on the corresponding Dividend Record Date, and the Fundamental Change Repurchase Price shall be equal to 100% of the liquidation preference of the Series D Preferred Stock to be repurchased.</w:t>
      </w:r>
    </w:p>
    <w:p>
      <w:pPr>
        <w:spacing w:after="0" w:line="135" w:lineRule="exact"/>
        <w:rPr>
          <w:sz w:val="20"/>
          <w:szCs w:val="20"/>
          <w:color w:val="auto"/>
        </w:rPr>
      </w:pPr>
    </w:p>
    <w:p>
      <w:pPr>
        <w:ind w:left="900" w:right="880" w:firstLine="319"/>
        <w:spacing w:after="0" w:line="287" w:lineRule="auto"/>
        <w:tabs>
          <w:tab w:leader="none" w:pos="1440" w:val="left"/>
        </w:tabs>
        <w:numPr>
          <w:ilvl w:val="0"/>
          <w:numId w:val="2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Company elects to repurchase Series D Preferred Stock that would otherwise be converted into Common Stock on a Fundamental Change Conversion Date, such Series D Preferred Stock shall not be converted into Common Stock and the holder of such shares shall be entitled to receive the Fundamental Change Repurchase Price in cash from the Company.</w:t>
      </w:r>
    </w:p>
    <w:p>
      <w:pPr>
        <w:spacing w:after="0" w:line="135" w:lineRule="exact"/>
        <w:rPr>
          <w:rFonts w:ascii="Times New Roman" w:cs="Times New Roman" w:eastAsia="Times New Roman" w:hAnsi="Times New Roman"/>
          <w:sz w:val="13"/>
          <w:szCs w:val="13"/>
          <w:color w:val="auto"/>
        </w:rPr>
      </w:pPr>
    </w:p>
    <w:p>
      <w:pPr>
        <w:ind w:left="900" w:right="720" w:firstLine="319"/>
        <w:spacing w:after="0" w:line="274" w:lineRule="auto"/>
        <w:tabs>
          <w:tab w:leader="none" w:pos="1428" w:val="left"/>
        </w:tabs>
        <w:numPr>
          <w:ilvl w:val="0"/>
          <w:numId w:val="2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aggregate number of shares of Common Stock issuable in connection with the exercise of the Fundamental Change Conversion Right may not exceed 14.3 million shares of Common Stock (or 16.4 million shares of Common Stock if the underwriter of the Company’s offering of the Series D Preferred Stock exercises its over-allotment option in full) or such other number of shares of Common Stock as shall then be authorized and available for issuance. If the number of shares of Common Stock issuable upon such conversion would exceed 14.3 million or 16.4 million shares of Common Stock, as the case may be, or such other number of shares of Common Stock as shall then be authorized and available for issuance, the Company shall have the option to satisfy the remainder of such conversion in shares of Common Stock that are authorized for issuance in the future. The Company shall use its best efforts to have any such additional number of shares of Common Stock authorized for issuance within 180 days of the Fundamental Change Conversion Date.</w:t>
      </w:r>
    </w:p>
    <w:p>
      <w:pPr>
        <w:spacing w:after="0" w:line="135" w:lineRule="exact"/>
        <w:rPr>
          <w:rFonts w:ascii="Times New Roman" w:cs="Times New Roman" w:eastAsia="Times New Roman" w:hAnsi="Times New Roman"/>
          <w:sz w:val="13"/>
          <w:szCs w:val="13"/>
          <w:color w:val="auto"/>
        </w:rPr>
      </w:pPr>
    </w:p>
    <w:p>
      <w:pPr>
        <w:ind w:left="900" w:right="680" w:firstLine="319"/>
        <w:spacing w:after="0" w:line="274" w:lineRule="auto"/>
        <w:tabs>
          <w:tab w:leader="none" w:pos="1392" w:val="left"/>
        </w:tabs>
        <w:numPr>
          <w:ilvl w:val="0"/>
          <w:numId w:val="2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 Within 15 days after the occurrence of a Fundamental Change, the Company shall provide to the holder of Series D Preferred Stock and the Company’s transfer agent a notice of the occurrence of the Fundamental Change and of the resulting repurchase right. Such notice shall state (A) the events constituting the Fundamental Change; (B) the date of the Fundamental Change; (C) the last date on which the holder of Series D Preferred Stock may exercise the Fundamental Change Conversion Right; (D) to the extent applicable, the Fundamental Change Conversion Rate and the Fundamental Change Repurchase Price; (E) that the Company may elect to repurchase some or all of the Series D Preferred Stock as to which the Fundamental Change Conversion Right may be exercised; (F) the method of calculating the Market Price of Common Stock; (G) the Fundamental Change Conversion Date; (H) the name and address of the paying agent and the conversion agent; (I) the Conversion Rate and any adjustment to the Conversion Rate that shall result from the Fundamental Change; (J) that Series D Preferred Stock as to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681990</wp:posOffset>
            </wp:positionV>
            <wp:extent cx="5083810" cy="1524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541">
                      <a:extLst>
                        <a:ext uri="{28A0092B-C50C-407E-A947-70E740481C1C}"/>
                      </a:extLst>
                    </a:blip>
                    <a:srcRect/>
                    <a:stretch>
                      <a:fillRect/>
                    </a:stretch>
                  </pic:blipFill>
                  <pic:spPr bwMode="auto">
                    <a:xfrm>
                      <a:off x="0" y="0"/>
                      <a:ext cx="5083810" cy="15240"/>
                    </a:xfrm>
                    <a:prstGeom prst="rect">
                      <a:avLst/>
                    </a:prstGeom>
                    <a:noFill/>
                  </pic:spPr>
                </pic:pic>
              </a:graphicData>
            </a:graphic>
          </wp:anchor>
        </w:drawing>
        <w:drawing>
          <wp:anchor simplePos="0" relativeHeight="251657728" behindDoc="1" locked="0" layoutInCell="0" allowOverlap="1">
            <wp:simplePos x="0" y="0"/>
            <wp:positionH relativeFrom="column">
              <wp:posOffset>384810</wp:posOffset>
            </wp:positionH>
            <wp:positionV relativeFrom="paragraph">
              <wp:posOffset>316230</wp:posOffset>
            </wp:positionV>
            <wp:extent cx="4436110" cy="1524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542">
                      <a:extLst>
                        <a:ext uri="{28A0092B-C50C-407E-A947-70E740481C1C}"/>
                      </a:extLst>
                    </a:blip>
                    <a:srcRect/>
                    <a:stretch>
                      <a:fillRect/>
                    </a:stretch>
                  </pic:blipFill>
                  <pic:spPr bwMode="auto">
                    <a:xfrm>
                      <a:off x="0" y="0"/>
                      <a:ext cx="44361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07" w:name="page308"/>
    <w:bookmarkEnd w:id="307"/>
    <w:p>
      <w:pPr>
        <w:ind w:left="900" w:right="920"/>
        <w:spacing w:after="0" w:line="287" w:lineRule="auto"/>
        <w:rPr>
          <w:sz w:val="20"/>
          <w:szCs w:val="20"/>
          <w:color w:val="auto"/>
        </w:rPr>
      </w:pPr>
      <w:r>
        <w:rPr>
          <w:rFonts w:ascii="Times New Roman" w:cs="Times New Roman" w:eastAsia="Times New Roman" w:hAnsi="Times New Roman"/>
          <w:sz w:val="13"/>
          <w:szCs w:val="13"/>
          <w:color w:val="auto"/>
        </w:rPr>
        <w:t>which the Fundamental Change Conversion Right has been exercised may be converted at the applicable Conversion Rate, if otherwise convertible, only if the notice of exercise of the Fundamental Change Conversion Right has been properly withdrawn; and (K) the procedures that the holder of Series D Preferred Stock must follow to exercise the Fundamental Change Conversion Right.</w:t>
      </w:r>
    </w:p>
    <w:p>
      <w:pPr>
        <w:spacing w:after="0" w:line="136" w:lineRule="exact"/>
        <w:rPr>
          <w:sz w:val="20"/>
          <w:szCs w:val="20"/>
          <w:color w:val="auto"/>
        </w:rPr>
      </w:pPr>
    </w:p>
    <w:p>
      <w:pPr>
        <w:ind w:left="900" w:right="820" w:firstLine="312"/>
        <w:spacing w:after="0" w:line="278" w:lineRule="auto"/>
        <w:rPr>
          <w:sz w:val="20"/>
          <w:szCs w:val="20"/>
          <w:color w:val="auto"/>
        </w:rPr>
      </w:pPr>
      <w:r>
        <w:rPr>
          <w:rFonts w:ascii="Times New Roman" w:cs="Times New Roman" w:eastAsia="Times New Roman" w:hAnsi="Times New Roman"/>
          <w:sz w:val="13"/>
          <w:szCs w:val="13"/>
          <w:color w:val="auto"/>
        </w:rPr>
        <w:t>(vi) The Company shall also issue a press release for publication on the Dow Jones &amp; Company, Inc., Business Wire or Bloomberg Business News (or, if such organizations are not in existence at the time of issuance of such press release, such other news or press organization as is reasonably calculated to broadly disseminate the relevant information to the public), or post notice on the Company’s website, in any event prior to the opening of business on the first Trading Day following any date on which the Company provides such notice to the holders of Series D Preferred Stock.</w:t>
      </w:r>
    </w:p>
    <w:p>
      <w:pPr>
        <w:spacing w:after="0" w:line="143" w:lineRule="exact"/>
        <w:rPr>
          <w:sz w:val="20"/>
          <w:szCs w:val="20"/>
          <w:color w:val="auto"/>
        </w:rPr>
      </w:pPr>
    </w:p>
    <w:p>
      <w:pPr>
        <w:ind w:left="900" w:right="680" w:firstLine="319"/>
        <w:spacing w:after="0" w:line="274" w:lineRule="auto"/>
        <w:tabs>
          <w:tab w:leader="none" w:pos="1464" w:val="left"/>
        </w:tabs>
        <w:numPr>
          <w:ilvl w:val="0"/>
          <w:numId w:val="2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Fundamental Change Conversion Date shall be a date no less than 20 days nor more than 35 days after the date on which the Company gives the notice described in Section 8(l)(v) of these Articles Supplementary. To exercise the Fundamental Change Conversion Right, the holder of Series D Preferred Stock shall deliver, on or before the close of business on the Fundamental Change Conversion Date, the Series D Preferred Stock to be converted, duly endorsed for transfer, together with a written conversion notice completed, to the Company’s transfer agent. The conversion notice shall state (A) the relevant Fundamental Change Conversion Date; (B) the number of Series D Preferred Stock to be converted; and (C) that the Series D Preferred Stock are to be converted pursuant to the applicable provisions of the Series D Preferred Stock. Notwithstanding the foregoing, if the Series D Preferred Stock is held in global form, the conversion notice shall comply with applicable DTC procedures.</w:t>
      </w:r>
    </w:p>
    <w:p>
      <w:pPr>
        <w:spacing w:after="0" w:line="147" w:lineRule="exact"/>
        <w:rPr>
          <w:sz w:val="20"/>
          <w:szCs w:val="20"/>
          <w:color w:val="auto"/>
        </w:rPr>
      </w:pPr>
    </w:p>
    <w:p>
      <w:pPr>
        <w:ind w:left="900" w:right="780" w:firstLine="312"/>
        <w:spacing w:after="0" w:line="275" w:lineRule="auto"/>
        <w:rPr>
          <w:sz w:val="20"/>
          <w:szCs w:val="20"/>
          <w:color w:val="auto"/>
        </w:rPr>
      </w:pPr>
      <w:r>
        <w:rPr>
          <w:rFonts w:ascii="Times New Roman" w:cs="Times New Roman" w:eastAsia="Times New Roman" w:hAnsi="Times New Roman"/>
          <w:sz w:val="13"/>
          <w:szCs w:val="13"/>
          <w:color w:val="auto"/>
        </w:rPr>
        <w:t>(viii) Holders of Series D Preferred Stock may withdraw any notice of exercise of its Fundamental Change Conversion Right (in whole or in part) by a written notice of withdrawal delivered to the Company’s transfer agent prior to the close of business on the business day prior to the Fundamental Change Conversion Date. The notice of withdrawal shall state (A) the number of withdrawn shares of Series D Preferred Stock; (B) if certificated shares of Series D Preferred Stock have been issued, the certificate numbers of the withdrawn shares of Series D Preferred Stock; and (C) the number of shares of the Series D Preferred Stock, if any, which remain subject to the conversion notice. Notwithstanding the foregoing, if the Series D Preferred Stock is held in global form, the notice of withdrawal shall comply with applicable DTC procedures.</w:t>
      </w:r>
    </w:p>
    <w:p>
      <w:pPr>
        <w:spacing w:after="0" w:line="145" w:lineRule="exact"/>
        <w:rPr>
          <w:sz w:val="20"/>
          <w:szCs w:val="20"/>
          <w:color w:val="auto"/>
        </w:rPr>
      </w:pPr>
    </w:p>
    <w:p>
      <w:pPr>
        <w:jc w:val="both"/>
        <w:ind w:left="900" w:right="800" w:firstLine="319"/>
        <w:spacing w:after="0" w:line="281" w:lineRule="auto"/>
        <w:tabs>
          <w:tab w:leader="none" w:pos="1428" w:val="left"/>
        </w:tabs>
        <w:numPr>
          <w:ilvl w:val="0"/>
          <w:numId w:val="2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Series D Preferred Stock as to which the Fundamental Change Conversion Right has been properly exercised and for which the conversion notice has not been properly withdrawn shall be converted into shares of Common Stock in accordance with the Fundamental Change Conversion Right on the Fundamental Change Conversion Date, unless the Company has elected to repurchase such Series D Preferred Stock.</w:t>
      </w:r>
    </w:p>
    <w:p>
      <w:pPr>
        <w:spacing w:after="0" w:line="140" w:lineRule="exact"/>
        <w:rPr>
          <w:rFonts w:ascii="Times New Roman" w:cs="Times New Roman" w:eastAsia="Times New Roman" w:hAnsi="Times New Roman"/>
          <w:sz w:val="13"/>
          <w:szCs w:val="13"/>
          <w:color w:val="auto"/>
        </w:rPr>
      </w:pPr>
    </w:p>
    <w:p>
      <w:pPr>
        <w:ind w:left="900" w:right="640" w:firstLine="319"/>
        <w:spacing w:after="0" w:line="305" w:lineRule="auto"/>
        <w:tabs>
          <w:tab w:leader="none" w:pos="1392" w:val="left"/>
        </w:tabs>
        <w:numPr>
          <w:ilvl w:val="0"/>
          <w:numId w:val="2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holder of any shares of Series D Preferred Stock which the Company has elected to repurchase and as to which the conversion election has not been properly withdrawn shall receive payment of the Fundamental Change Repurchase Price promptly</w:t>
      </w:r>
    </w:p>
    <w:p>
      <w:pPr>
        <w:spacing w:after="0" w:line="200" w:lineRule="exact"/>
        <w:rPr>
          <w:sz w:val="20"/>
          <w:szCs w:val="20"/>
          <w:color w:val="auto"/>
        </w:rPr>
      </w:pPr>
    </w:p>
    <w:p>
      <w:pPr>
        <w:spacing w:after="0" w:line="3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674370</wp:posOffset>
            </wp:positionV>
            <wp:extent cx="5083810" cy="1524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543">
                      <a:extLst>
                        <a:ext uri="{28A0092B-C50C-407E-A947-70E740481C1C}"/>
                      </a:extLst>
                    </a:blip>
                    <a:srcRect/>
                    <a:stretch>
                      <a:fillRect/>
                    </a:stretch>
                  </pic:blipFill>
                  <pic:spPr bwMode="auto">
                    <a:xfrm>
                      <a:off x="0" y="0"/>
                      <a:ext cx="5083810" cy="15240"/>
                    </a:xfrm>
                    <a:prstGeom prst="rect">
                      <a:avLst/>
                    </a:prstGeom>
                    <a:noFill/>
                  </pic:spPr>
                </pic:pic>
              </a:graphicData>
            </a:graphic>
          </wp:anchor>
        </w:drawing>
        <w:drawing>
          <wp:anchor simplePos="0" relativeHeight="251657728" behindDoc="1" locked="0" layoutInCell="0" allowOverlap="1">
            <wp:simplePos x="0" y="0"/>
            <wp:positionH relativeFrom="column">
              <wp:posOffset>384810</wp:posOffset>
            </wp:positionH>
            <wp:positionV relativeFrom="paragraph">
              <wp:posOffset>316230</wp:posOffset>
            </wp:positionV>
            <wp:extent cx="4436110" cy="762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544">
                      <a:extLst>
                        <a:ext uri="{28A0092B-C50C-407E-A947-70E740481C1C}"/>
                      </a:extLst>
                    </a:blip>
                    <a:srcRect/>
                    <a:stretch>
                      <a:fillRect/>
                    </a:stretch>
                  </pic:blipFill>
                  <pic:spPr bwMode="auto">
                    <a:xfrm>
                      <a:off x="0" y="0"/>
                      <a:ext cx="4436110" cy="762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08" w:name="page309"/>
    <w:bookmarkEnd w:id="308"/>
    <w:p>
      <w:pPr>
        <w:ind w:left="900" w:right="540"/>
        <w:spacing w:after="0" w:line="276" w:lineRule="auto"/>
        <w:rPr>
          <w:sz w:val="20"/>
          <w:szCs w:val="20"/>
          <w:color w:val="auto"/>
        </w:rPr>
      </w:pPr>
      <w:r>
        <w:rPr>
          <w:rFonts w:ascii="Times New Roman" w:cs="Times New Roman" w:eastAsia="Times New Roman" w:hAnsi="Times New Roman"/>
          <w:sz w:val="13"/>
          <w:szCs w:val="13"/>
          <w:color w:val="auto"/>
        </w:rPr>
        <w:t>following the later of the Fundamental Change Conversion Date or the time of book-entry transfer or delivery of the Series D Preferred Stock. If the paying agent holds cash sufficient to pay the Fundamental Change Repurchase Price of the Series D Preferred Stock on the business day following the Fundamental Change Conversion Date, then (A) the Series D Preferred Stock shall cease to be outstanding and dividends shall cease to accrue (whether or not book-entry transfer of the Series D Preferred Stock is made or whether or not the Series D Preferred Stock certificate is delivered to the Company’s transfer agent); and (B) all of the other rights of the holder of Series D Preferred Stock shall terminate (other than the right to receive the Fundamental Change Repurchase Price upon delivery or transfer of the Series D Preferred Stock).</w:t>
      </w:r>
    </w:p>
    <w:p>
      <w:pPr>
        <w:spacing w:after="0" w:line="311" w:lineRule="exact"/>
        <w:rPr>
          <w:sz w:val="20"/>
          <w:szCs w:val="20"/>
          <w:color w:val="auto"/>
        </w:rPr>
      </w:pPr>
    </w:p>
    <w:p>
      <w:pPr>
        <w:ind w:left="600" w:right="740" w:firstLine="312"/>
        <w:spacing w:after="0" w:line="305" w:lineRule="auto"/>
        <w:rPr>
          <w:sz w:val="20"/>
          <w:szCs w:val="20"/>
          <w:color w:val="auto"/>
        </w:rPr>
      </w:pPr>
      <w:r>
        <w:rPr>
          <w:rFonts w:ascii="Times New Roman" w:cs="Times New Roman" w:eastAsia="Times New Roman" w:hAnsi="Times New Roman"/>
          <w:sz w:val="13"/>
          <w:szCs w:val="13"/>
          <w:color w:val="auto"/>
        </w:rPr>
        <w:t xml:space="preserve">SECTION 9. </w:t>
      </w:r>
      <w:r>
        <w:rPr>
          <w:rFonts w:ascii="Times New Roman" w:cs="Times New Roman" w:eastAsia="Times New Roman" w:hAnsi="Times New Roman"/>
          <w:sz w:val="13"/>
          <w:szCs w:val="13"/>
          <w:b w:val="1"/>
          <w:bCs w:val="1"/>
          <w:color w:val="auto"/>
        </w:rPr>
        <w:t>Record Holders</w:t>
      </w:r>
      <w:r>
        <w:rPr>
          <w:rFonts w:ascii="Times New Roman" w:cs="Times New Roman" w:eastAsia="Times New Roman" w:hAnsi="Times New Roman"/>
          <w:sz w:val="13"/>
          <w:szCs w:val="13"/>
          <w:color w:val="auto"/>
        </w:rPr>
        <w:t xml:space="preserve"> . The Company and its transfer agent may deem and treat the record holder of any Series D Preferred Stock as the true and lawful owner thereof for all purposes, and neither the Company nor its transfer agent shall be affected by any notice to the contrary.</w:t>
      </w:r>
    </w:p>
    <w:p>
      <w:pPr>
        <w:spacing w:after="0" w:line="292" w:lineRule="exact"/>
        <w:rPr>
          <w:sz w:val="20"/>
          <w:szCs w:val="20"/>
          <w:color w:val="auto"/>
        </w:rPr>
      </w:pPr>
    </w:p>
    <w:p>
      <w:pPr>
        <w:ind w:left="600" w:right="1020" w:firstLine="312"/>
        <w:spacing w:after="0" w:line="289" w:lineRule="auto"/>
        <w:rPr>
          <w:sz w:val="20"/>
          <w:szCs w:val="20"/>
          <w:color w:val="auto"/>
        </w:rPr>
      </w:pPr>
      <w:r>
        <w:rPr>
          <w:rFonts w:ascii="Times New Roman" w:cs="Times New Roman" w:eastAsia="Times New Roman" w:hAnsi="Times New Roman"/>
          <w:sz w:val="13"/>
          <w:szCs w:val="13"/>
          <w:color w:val="auto"/>
        </w:rPr>
        <w:t xml:space="preserve">SECTION 10. </w:t>
      </w:r>
      <w:r>
        <w:rPr>
          <w:rFonts w:ascii="Times New Roman" w:cs="Times New Roman" w:eastAsia="Times New Roman" w:hAnsi="Times New Roman"/>
          <w:sz w:val="13"/>
          <w:szCs w:val="13"/>
          <w:b w:val="1"/>
          <w:bCs w:val="1"/>
          <w:color w:val="auto"/>
        </w:rPr>
        <w:t>No Maturity or Sinking Fund</w:t>
      </w:r>
      <w:r>
        <w:rPr>
          <w:rFonts w:ascii="Times New Roman" w:cs="Times New Roman" w:eastAsia="Times New Roman" w:hAnsi="Times New Roman"/>
          <w:sz w:val="13"/>
          <w:szCs w:val="13"/>
          <w:color w:val="auto"/>
        </w:rPr>
        <w:t xml:space="preserve"> . The Series D Preferred Stock has no maturity date, and no sinking fund has been established for the retirement or redemption of Series D Preferred Stock; provided, however, that the Series D Preferred Stock owned by a stockholder in excess of the Ownership Limit shall be subject to the provisions of Section 5 and Section 7 of these Articles Supplementary.</w:t>
      </w:r>
    </w:p>
    <w:p>
      <w:pPr>
        <w:spacing w:after="0" w:line="132" w:lineRule="exact"/>
        <w:rPr>
          <w:sz w:val="20"/>
          <w:szCs w:val="20"/>
          <w:color w:val="auto"/>
        </w:rPr>
      </w:pPr>
    </w:p>
    <w:p>
      <w:pPr>
        <w:ind w:left="600" w:right="720" w:firstLine="312"/>
        <w:spacing w:after="0" w:line="289" w:lineRule="auto"/>
        <w:rPr>
          <w:sz w:val="20"/>
          <w:szCs w:val="20"/>
          <w:color w:val="auto"/>
        </w:rPr>
      </w:pPr>
      <w:r>
        <w:rPr>
          <w:rFonts w:ascii="Times New Roman" w:cs="Times New Roman" w:eastAsia="Times New Roman" w:hAnsi="Times New Roman"/>
          <w:sz w:val="13"/>
          <w:szCs w:val="13"/>
          <w:color w:val="auto"/>
        </w:rPr>
        <w:t xml:space="preserve">SECTION 11. </w:t>
      </w:r>
      <w:r>
        <w:rPr>
          <w:rFonts w:ascii="Times New Roman" w:cs="Times New Roman" w:eastAsia="Times New Roman" w:hAnsi="Times New Roman"/>
          <w:sz w:val="13"/>
          <w:szCs w:val="13"/>
          <w:b w:val="1"/>
          <w:bCs w:val="1"/>
          <w:color w:val="auto"/>
        </w:rPr>
        <w:t>Exclusion of Other Rights</w:t>
      </w:r>
      <w:r>
        <w:rPr>
          <w:rFonts w:ascii="Times New Roman" w:cs="Times New Roman" w:eastAsia="Times New Roman" w:hAnsi="Times New Roman"/>
          <w:sz w:val="13"/>
          <w:szCs w:val="13"/>
          <w:color w:val="auto"/>
        </w:rPr>
        <w:t xml:space="preserve"> . The Series D Preferred Stock shall not have any preferences or other rights, voting powers, restrictions, limitations as to dividends or other distributions, qualifications or terms or conditions of redemption other than expressly set forth in the Charter and these Articles Supplementary.</w:t>
      </w:r>
    </w:p>
    <w:p>
      <w:pPr>
        <w:spacing w:after="0" w:line="132" w:lineRule="exact"/>
        <w:rPr>
          <w:sz w:val="20"/>
          <w:szCs w:val="20"/>
          <w:color w:val="auto"/>
        </w:rPr>
      </w:pPr>
    </w:p>
    <w:p>
      <w:pPr>
        <w:ind w:left="600" w:right="1000" w:firstLine="312"/>
        <w:spacing w:after="0" w:line="308" w:lineRule="auto"/>
        <w:rPr>
          <w:sz w:val="20"/>
          <w:szCs w:val="20"/>
          <w:color w:val="auto"/>
        </w:rPr>
      </w:pPr>
      <w:r>
        <w:rPr>
          <w:rFonts w:ascii="Times New Roman" w:cs="Times New Roman" w:eastAsia="Times New Roman" w:hAnsi="Times New Roman"/>
          <w:sz w:val="13"/>
          <w:szCs w:val="13"/>
          <w:color w:val="auto"/>
        </w:rPr>
        <w:t xml:space="preserve">SECTION 12. </w:t>
      </w:r>
      <w:r>
        <w:rPr>
          <w:rFonts w:ascii="Times New Roman" w:cs="Times New Roman" w:eastAsia="Times New Roman" w:hAnsi="Times New Roman"/>
          <w:sz w:val="13"/>
          <w:szCs w:val="13"/>
          <w:b w:val="1"/>
          <w:bCs w:val="1"/>
          <w:color w:val="auto"/>
        </w:rPr>
        <w:t>Headings of Subdivisions</w:t>
      </w:r>
      <w:r>
        <w:rPr>
          <w:rFonts w:ascii="Times New Roman" w:cs="Times New Roman" w:eastAsia="Times New Roman" w:hAnsi="Times New Roman"/>
          <w:sz w:val="13"/>
          <w:szCs w:val="13"/>
          <w:color w:val="auto"/>
        </w:rPr>
        <w:t xml:space="preserve"> . The headings of the various subdivisions hereof are for convenience of reference only and shall not affect the interpretation of any of the provisions hereof.</w:t>
      </w:r>
    </w:p>
    <w:p>
      <w:pPr>
        <w:spacing w:after="0" w:line="120" w:lineRule="exact"/>
        <w:rPr>
          <w:sz w:val="20"/>
          <w:szCs w:val="20"/>
          <w:color w:val="auto"/>
        </w:rPr>
      </w:pPr>
    </w:p>
    <w:p>
      <w:pPr>
        <w:ind w:left="600" w:right="620" w:firstLine="312"/>
        <w:spacing w:after="0" w:line="275" w:lineRule="auto"/>
        <w:rPr>
          <w:sz w:val="20"/>
          <w:szCs w:val="20"/>
          <w:color w:val="auto"/>
        </w:rPr>
      </w:pPr>
      <w:r>
        <w:rPr>
          <w:rFonts w:ascii="Times New Roman" w:cs="Times New Roman" w:eastAsia="Times New Roman" w:hAnsi="Times New Roman"/>
          <w:sz w:val="13"/>
          <w:szCs w:val="13"/>
          <w:color w:val="auto"/>
        </w:rPr>
        <w:t xml:space="preserve">SECTION 13. </w:t>
      </w:r>
      <w:r>
        <w:rPr>
          <w:rFonts w:ascii="Times New Roman" w:cs="Times New Roman" w:eastAsia="Times New Roman" w:hAnsi="Times New Roman"/>
          <w:sz w:val="13"/>
          <w:szCs w:val="13"/>
          <w:b w:val="1"/>
          <w:bCs w:val="1"/>
          <w:color w:val="auto"/>
        </w:rPr>
        <w:t>Severability of Provisions</w:t>
      </w:r>
      <w:r>
        <w:rPr>
          <w:rFonts w:ascii="Times New Roman" w:cs="Times New Roman" w:eastAsia="Times New Roman" w:hAnsi="Times New Roman"/>
          <w:sz w:val="13"/>
          <w:szCs w:val="13"/>
          <w:color w:val="auto"/>
        </w:rPr>
        <w:t xml:space="preserve"> . If any preferences or other rights, voting powers, restrictions, limitations as to dividends or other distributions, qualifications or terms or conditions of redemption of the Series D Preferred Stock set forth in the Charter and these Articles Supplementary are invalid, unlawful or incapable of being enforced by reason of any rule of law or public policy, all other preferences or other rights, voting powers, restrictions, limitations as to dividends or other distributions, qualifications or terms or conditions of redemption of Series D Preferred Stock set forth in the Charter which can be given effect without the invalid, unlawful or unenforceable provision thereof shall, nevertheless, remain in full force and effect and no preferences or other rights, voting powers, restrictions, limitations as to dividends or other distributions, qualifications or terms or conditions of redemption of the Series D Preferred Stock herein set forth shall be deemed dependent upon any other provision thereof unless so expressed therein.</w:t>
      </w:r>
    </w:p>
    <w:p>
      <w:pPr>
        <w:spacing w:after="0" w:line="3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125730</wp:posOffset>
            </wp:positionV>
            <wp:extent cx="4436110" cy="1524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545">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575310</wp:posOffset>
            </wp:positionV>
            <wp:extent cx="5083810" cy="1524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546">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09" w:name="page310"/>
    <w:bookmarkEnd w:id="309"/>
    <w:p>
      <w:pPr>
        <w:jc w:val="both"/>
        <w:ind w:left="600" w:right="720" w:firstLine="312"/>
        <w:spacing w:after="0" w:line="289" w:lineRule="auto"/>
        <w:rPr>
          <w:sz w:val="20"/>
          <w:szCs w:val="20"/>
          <w:color w:val="auto"/>
        </w:rPr>
      </w:pPr>
      <w:r>
        <w:rPr>
          <w:rFonts w:ascii="Times New Roman" w:cs="Times New Roman" w:eastAsia="Times New Roman" w:hAnsi="Times New Roman"/>
          <w:sz w:val="13"/>
          <w:szCs w:val="13"/>
          <w:color w:val="auto"/>
        </w:rPr>
        <w:t xml:space="preserve">SECTION 14. </w:t>
      </w:r>
      <w:r>
        <w:rPr>
          <w:rFonts w:ascii="Times New Roman" w:cs="Times New Roman" w:eastAsia="Times New Roman" w:hAnsi="Times New Roman"/>
          <w:sz w:val="13"/>
          <w:szCs w:val="13"/>
          <w:b w:val="1"/>
          <w:bCs w:val="1"/>
          <w:color w:val="auto"/>
        </w:rPr>
        <w:t>No Preemptive Rights</w:t>
      </w:r>
      <w:r>
        <w:rPr>
          <w:rFonts w:ascii="Times New Roman" w:cs="Times New Roman" w:eastAsia="Times New Roman" w:hAnsi="Times New Roman"/>
          <w:sz w:val="13"/>
          <w:szCs w:val="13"/>
          <w:color w:val="auto"/>
        </w:rPr>
        <w:t xml:space="preserve"> . No holder of Series D Preferred Stock shall be entitled to any preemptive rights to subscribe for or acquire any unissued shares of capital stock of the Company (whether now or hereafter authorized) or securities of the Company convertible into or carrying a right to subscribe to or acquire shares of capital stock of the Company.</w:t>
      </w:r>
    </w:p>
    <w:p>
      <w:pPr>
        <w:spacing w:after="0" w:line="132" w:lineRule="exact"/>
        <w:rPr>
          <w:sz w:val="20"/>
          <w:szCs w:val="20"/>
          <w:color w:val="auto"/>
        </w:rPr>
      </w:pPr>
    </w:p>
    <w:p>
      <w:pPr>
        <w:ind w:left="600" w:right="660" w:firstLine="312"/>
        <w:spacing w:after="0" w:line="308" w:lineRule="auto"/>
        <w:rPr>
          <w:sz w:val="20"/>
          <w:szCs w:val="20"/>
          <w:color w:val="auto"/>
        </w:rPr>
      </w:pPr>
      <w:r>
        <w:rPr>
          <w:rFonts w:ascii="Times New Roman" w:cs="Times New Roman" w:eastAsia="Times New Roman" w:hAnsi="Times New Roman"/>
          <w:sz w:val="13"/>
          <w:szCs w:val="13"/>
          <w:b w:val="1"/>
          <w:bCs w:val="1"/>
          <w:color w:val="auto"/>
        </w:rPr>
        <w:t xml:space="preserve">FOURTH: </w:t>
      </w:r>
      <w:r>
        <w:rPr>
          <w:rFonts w:ascii="Times New Roman" w:cs="Times New Roman" w:eastAsia="Times New Roman" w:hAnsi="Times New Roman"/>
          <w:sz w:val="13"/>
          <w:szCs w:val="13"/>
          <w:color w:val="auto"/>
        </w:rPr>
        <w:t>The Series D Preferred Stock have been classified and designated by the Board of Directors under the authority contained in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Charter.</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 xml:space="preserve">FIFTH: </w:t>
      </w:r>
      <w:r>
        <w:rPr>
          <w:rFonts w:ascii="Times New Roman" w:cs="Times New Roman" w:eastAsia="Times New Roman" w:hAnsi="Times New Roman"/>
          <w:sz w:val="13"/>
          <w:szCs w:val="13"/>
          <w:color w:val="auto"/>
        </w:rPr>
        <w:t>These Articles Supplementary have been approved by the Board in the manner and by the vote required by law.</w:t>
      </w:r>
    </w:p>
    <w:p>
      <w:pPr>
        <w:spacing w:after="0" w:line="187" w:lineRule="exact"/>
        <w:rPr>
          <w:sz w:val="20"/>
          <w:szCs w:val="20"/>
          <w:color w:val="auto"/>
        </w:rPr>
      </w:pPr>
    </w:p>
    <w:p>
      <w:pPr>
        <w:ind w:left="600" w:right="1040" w:firstLine="312"/>
        <w:spacing w:after="0" w:line="308" w:lineRule="auto"/>
        <w:rPr>
          <w:sz w:val="20"/>
          <w:szCs w:val="20"/>
          <w:color w:val="auto"/>
        </w:rPr>
      </w:pPr>
      <w:r>
        <w:rPr>
          <w:rFonts w:ascii="Times New Roman" w:cs="Times New Roman" w:eastAsia="Times New Roman" w:hAnsi="Times New Roman"/>
          <w:sz w:val="13"/>
          <w:szCs w:val="13"/>
          <w:b w:val="1"/>
          <w:bCs w:val="1"/>
          <w:color w:val="auto"/>
        </w:rPr>
        <w:t xml:space="preserve">SIXTH: </w:t>
      </w:r>
      <w:r>
        <w:rPr>
          <w:rFonts w:ascii="Times New Roman" w:cs="Times New Roman" w:eastAsia="Times New Roman" w:hAnsi="Times New Roman"/>
          <w:sz w:val="13"/>
          <w:szCs w:val="13"/>
          <w:color w:val="auto"/>
        </w:rPr>
        <w:t>These Articles Supplementary shall be effective at the time the State Department of Assessments and Taxation of Maryland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accepts these Articles Supplementary for record.</w:t>
      </w:r>
    </w:p>
    <w:p>
      <w:pPr>
        <w:spacing w:after="0" w:line="120" w:lineRule="exact"/>
        <w:rPr>
          <w:sz w:val="20"/>
          <w:szCs w:val="20"/>
          <w:color w:val="auto"/>
        </w:rPr>
      </w:pPr>
    </w:p>
    <w:p>
      <w:pPr>
        <w:ind w:left="600" w:right="580" w:firstLine="312"/>
        <w:spacing w:after="0" w:line="282" w:lineRule="auto"/>
        <w:rPr>
          <w:sz w:val="20"/>
          <w:szCs w:val="20"/>
          <w:color w:val="auto"/>
        </w:rPr>
      </w:pPr>
      <w:r>
        <w:rPr>
          <w:rFonts w:ascii="Times New Roman" w:cs="Times New Roman" w:eastAsia="Times New Roman" w:hAnsi="Times New Roman"/>
          <w:sz w:val="13"/>
          <w:szCs w:val="13"/>
          <w:b w:val="1"/>
          <w:bCs w:val="1"/>
          <w:color w:val="auto"/>
        </w:rPr>
        <w:t xml:space="preserve">SEVENTH: </w:t>
      </w:r>
      <w:r>
        <w:rPr>
          <w:rFonts w:ascii="Times New Roman" w:cs="Times New Roman" w:eastAsia="Times New Roman" w:hAnsi="Times New Roman"/>
          <w:sz w:val="13"/>
          <w:szCs w:val="13"/>
          <w:color w:val="auto"/>
        </w:rPr>
        <w:t>The undersigned Chief Executive Officer of the Company acknowledges these Articles Supplementary to be the corporate act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Company and, as to all matters or facts required to be verified under oath, the undersigned Chief Executive Officer acknowledges that to the best of his knowledge, information and belief, these matters and facts are true in all material respects and that this statement is made under the penalties for perjury.</w:t>
      </w:r>
    </w:p>
    <w:p>
      <w:pPr>
        <w:spacing w:after="0" w:line="3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125730</wp:posOffset>
            </wp:positionV>
            <wp:extent cx="4436110" cy="1524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547">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575310</wp:posOffset>
            </wp:positionV>
            <wp:extent cx="5083810" cy="1524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548">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310" w:name="page311"/>
    <w:bookmarkEnd w:id="310"/>
    <w:p>
      <w:pPr>
        <w:ind w:left="600" w:right="660" w:firstLine="312"/>
        <w:spacing w:after="0" w:line="308" w:lineRule="auto"/>
        <w:rPr>
          <w:sz w:val="20"/>
          <w:szCs w:val="20"/>
          <w:color w:val="auto"/>
        </w:rPr>
      </w:pPr>
      <w:r>
        <w:rPr>
          <w:rFonts w:ascii="Times New Roman" w:cs="Times New Roman" w:eastAsia="Times New Roman" w:hAnsi="Times New Roman"/>
          <w:sz w:val="13"/>
          <w:szCs w:val="13"/>
          <w:b w:val="1"/>
          <w:bCs w:val="1"/>
          <w:color w:val="auto"/>
        </w:rPr>
        <w:t xml:space="preserve">IN WITNESS WHEREOF </w:t>
      </w:r>
      <w:r>
        <w:rPr>
          <w:rFonts w:ascii="Times New Roman" w:cs="Times New Roman" w:eastAsia="Times New Roman" w:hAnsi="Times New Roman"/>
          <w:sz w:val="13"/>
          <w:szCs w:val="13"/>
          <w:color w:val="auto"/>
        </w:rPr>
        <w:t>, the Company has caused these Articles Supplementary to be executed under seal in its name and on its behalf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by its Chief Executive Officer and attested to by its General Counsel and Assistant Secretary as of the date first written above.</w:t>
      </w:r>
    </w:p>
    <w:p>
      <w:pPr>
        <w:spacing w:after="0" w:line="12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3"/>
          <w:szCs w:val="13"/>
          <w:color w:val="auto"/>
        </w:rPr>
        <w:t>DIGITAL REALTY TRUST, INC.</w:t>
      </w:r>
    </w:p>
    <w:p>
      <w:pPr>
        <w:ind w:left="4100"/>
        <w:spacing w:after="0" w:line="199" w:lineRule="auto"/>
        <w:tabs>
          <w:tab w:leader="none" w:pos="4420" w:val="left"/>
        </w:tabs>
        <w:rPr>
          <w:sz w:val="20"/>
          <w:szCs w:val="20"/>
          <w:color w:val="auto"/>
        </w:rPr>
      </w:pPr>
      <w:r>
        <w:rPr>
          <w:rFonts w:ascii="Times New Roman" w:cs="Times New Roman" w:eastAsia="Times New Roman" w:hAnsi="Times New Roman"/>
          <w:sz w:val="13"/>
          <w:szCs w:val="13"/>
          <w:color w:val="auto"/>
        </w:rPr>
        <w:t>By:</w:t>
        <w:tab/>
        <w:t xml:space="preserve">/s/ James Trout </w:t>
      </w:r>
      <w:r>
        <w:rPr>
          <w:rFonts w:ascii="Times New Roman" w:cs="Times New Roman" w:eastAsia="Times New Roman" w:hAnsi="Times New Roman"/>
          <w:sz w:val="26"/>
          <w:szCs w:val="26"/>
          <w:color w:val="auto"/>
          <w:vertAlign w:val="superscript"/>
        </w:rPr>
        <w:t>Name:</w:t>
      </w:r>
      <w:r>
        <w:rPr>
          <w:rFonts w:ascii="Times New Roman" w:cs="Times New Roman" w:eastAsia="Times New Roman" w:hAnsi="Times New Roman"/>
          <w:sz w:val="13"/>
          <w:szCs w:val="13"/>
          <w:color w:val="auto"/>
        </w:rPr>
        <w:t>James</w:t>
      </w:r>
    </w:p>
    <w:p>
      <w:pPr>
        <w:spacing w:after="0" w:line="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3"/>
          <w:szCs w:val="13"/>
          <w:color w:val="auto"/>
        </w:rPr>
        <w:t>Trout</w:t>
      </w:r>
    </w:p>
    <w:p>
      <w:pPr>
        <w:spacing w:after="0" w:line="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3"/>
          <w:szCs w:val="13"/>
          <w:color w:val="auto"/>
        </w:rPr>
        <w:t>Title: Senior Vice President</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ATTEST:</w:t>
      </w:r>
    </w:p>
    <w:p>
      <w:pPr>
        <w:spacing w:after="0" w:line="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DIGITAL REALTY TRUST, INC.</w:t>
      </w:r>
    </w:p>
    <w:p>
      <w:pPr>
        <w:ind w:left="600"/>
        <w:spacing w:after="0" w:line="196" w:lineRule="auto"/>
        <w:tabs>
          <w:tab w:leader="none" w:pos="940" w:val="left"/>
        </w:tabs>
        <w:rPr>
          <w:sz w:val="20"/>
          <w:szCs w:val="20"/>
          <w:color w:val="auto"/>
        </w:rPr>
      </w:pPr>
      <w:r>
        <w:rPr>
          <w:rFonts w:ascii="Times New Roman" w:cs="Times New Roman" w:eastAsia="Times New Roman" w:hAnsi="Times New Roman"/>
          <w:sz w:val="13"/>
          <w:szCs w:val="13"/>
          <w:color w:val="auto"/>
        </w:rPr>
        <w:t>By:</w:t>
        <w:tab/>
        <w:t xml:space="preserve">/s/ Joshua A. Mills </w:t>
      </w:r>
      <w:r>
        <w:rPr>
          <w:rFonts w:ascii="Times New Roman" w:cs="Times New Roman" w:eastAsia="Times New Roman" w:hAnsi="Times New Roman"/>
          <w:sz w:val="26"/>
          <w:szCs w:val="26"/>
          <w:color w:val="auto"/>
          <w:vertAlign w:val="superscript"/>
        </w:rPr>
        <w:t>Name:</w:t>
      </w:r>
      <w:r>
        <w:rPr>
          <w:rFonts w:ascii="Times New Roman" w:cs="Times New Roman" w:eastAsia="Times New Roman" w:hAnsi="Times New Roman"/>
          <w:sz w:val="13"/>
          <w:szCs w:val="13"/>
          <w:color w:val="auto"/>
        </w:rPr>
        <w:t xml:space="preserve"> Joshua</w:t>
      </w:r>
    </w:p>
    <w:p>
      <w:pPr>
        <w:spacing w:after="0" w:line="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A. Mills</w:t>
      </w:r>
    </w:p>
    <w:p>
      <w:pPr>
        <w:spacing w:after="0" w:line="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Title: General Counsel and Assistant Secretary</w:t>
      </w:r>
    </w:p>
    <w:p>
      <w:pPr>
        <w:spacing w:after="0" w:line="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[Signature Page to Articles Supplementary]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116840</wp:posOffset>
            </wp:positionV>
            <wp:extent cx="4436110" cy="762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549">
                      <a:extLst>
                        <a:ext uri="{28A0092B-C50C-407E-A947-70E740481C1C}"/>
                      </a:extLst>
                    </a:blip>
                    <a:srcRect/>
                    <a:stretch>
                      <a:fillRect/>
                    </a:stretch>
                  </pic:blipFill>
                  <pic:spPr bwMode="auto">
                    <a:xfrm>
                      <a:off x="0" y="0"/>
                      <a:ext cx="4436110"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558800</wp:posOffset>
            </wp:positionV>
            <wp:extent cx="5083810" cy="1524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50">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311" w:name="page312"/>
    <w:bookmarkEnd w:id="311"/>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DIGITAL REALTY TRUST, INC. ARTICLES OF</w:t>
      </w:r>
    </w:p>
    <w:p>
      <w:pPr>
        <w:spacing w:after="0" w:line="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AMENDMENT</w:t>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Digital Realty Trust, Inc., a Maryland corporation (the “Corporation”), hereby certifies to the State Department of  Assessments and</w:t>
      </w:r>
    </w:p>
    <w:p>
      <w:pPr>
        <w:spacing w:after="0" w:line="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Taxation of Maryland that:</w:t>
      </w:r>
    </w:p>
    <w:p>
      <w:pPr>
        <w:spacing w:after="0" w:line="18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u w:val="single" w:color="auto"/>
          <w:color w:val="auto"/>
        </w:rPr>
        <w:t>FIRST</w:t>
      </w:r>
      <w:r>
        <w:rPr>
          <w:rFonts w:ascii="Times New Roman" w:cs="Times New Roman" w:eastAsia="Times New Roman" w:hAnsi="Times New Roman"/>
          <w:sz w:val="13"/>
          <w:szCs w:val="13"/>
          <w:color w:val="auto"/>
        </w:rPr>
        <w:t xml:space="preserve"> : The charter of the Corporation (the “Charter”) is hereby amended by deleting therefrom in their entirety the first two sentences of</w:t>
      </w:r>
    </w:p>
    <w:p>
      <w:pPr>
        <w:spacing w:after="0" w:line="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Section 5.1 of Article V and inserting in lieu thereof two new sentences to read as follows:</w:t>
      </w:r>
    </w:p>
    <w:p>
      <w:pPr>
        <w:spacing w:after="0" w:line="183" w:lineRule="exact"/>
        <w:rPr>
          <w:sz w:val="20"/>
          <w:szCs w:val="20"/>
          <w:color w:val="auto"/>
        </w:rPr>
      </w:pPr>
    </w:p>
    <w:p>
      <w:pPr>
        <w:jc w:val="both"/>
        <w:ind w:left="900" w:right="660"/>
        <w:spacing w:after="0" w:line="287" w:lineRule="auto"/>
        <w:rPr>
          <w:sz w:val="20"/>
          <w:szCs w:val="20"/>
          <w:color w:val="auto"/>
        </w:rPr>
      </w:pPr>
      <w:r>
        <w:rPr>
          <w:rFonts w:ascii="Times New Roman" w:cs="Times New Roman" w:eastAsia="Times New Roman" w:hAnsi="Times New Roman"/>
          <w:sz w:val="13"/>
          <w:szCs w:val="13"/>
          <w:color w:val="auto"/>
        </w:rPr>
        <w:t>The Corporation has authority to issue 175,000,000 shares of stock, consisting of 145,000,000 shares of Common Stock, $.01 par value per share (“Common Stock”), and 30,000,000 shares of Preferred Stock, $.01 par value per share (“Preferred Stock”). The aggregate par value of all authorized shares of stock having par value is $1,750,000.</w:t>
      </w:r>
    </w:p>
    <w:p>
      <w:pPr>
        <w:spacing w:after="0" w:line="136" w:lineRule="exact"/>
        <w:rPr>
          <w:sz w:val="20"/>
          <w:szCs w:val="20"/>
          <w:color w:val="auto"/>
        </w:rPr>
      </w:pPr>
    </w:p>
    <w:p>
      <w:pPr>
        <w:ind w:left="600" w:right="660" w:firstLine="312"/>
        <w:spacing w:after="0" w:line="287" w:lineRule="auto"/>
        <w:rPr>
          <w:sz w:val="20"/>
          <w:szCs w:val="20"/>
          <w:color w:val="auto"/>
        </w:rPr>
      </w:pPr>
      <w:r>
        <w:rPr>
          <w:rFonts w:ascii="Times New Roman" w:cs="Times New Roman" w:eastAsia="Times New Roman" w:hAnsi="Times New Roman"/>
          <w:sz w:val="13"/>
          <w:szCs w:val="13"/>
          <w:u w:val="single" w:color="auto"/>
          <w:color w:val="auto"/>
        </w:rPr>
        <w:t>SECOND</w:t>
      </w:r>
      <w:r>
        <w:rPr>
          <w:rFonts w:ascii="Times New Roman" w:cs="Times New Roman" w:eastAsia="Times New Roman" w:hAnsi="Times New Roman"/>
          <w:sz w:val="13"/>
          <w:szCs w:val="13"/>
          <w:color w:val="auto"/>
        </w:rPr>
        <w:t xml:space="preserve"> : The total number of shares of stock which the Corporation had authority to issue immediately prior to the foregoing amendment of the Charter was 155,000,000 shares of stock, consisting of 125,000,000 shares of Common Stock, $.01 par value per share, and 30,000,000 shares of Preferred Stock, $.01 par value per share. The aggregate par value of all authorized shares of stock having par value was $1,550,000.</w:t>
      </w:r>
    </w:p>
    <w:p>
      <w:pPr>
        <w:spacing w:after="0" w:line="136" w:lineRule="exact"/>
        <w:rPr>
          <w:sz w:val="20"/>
          <w:szCs w:val="20"/>
          <w:color w:val="auto"/>
        </w:rPr>
      </w:pPr>
    </w:p>
    <w:p>
      <w:pPr>
        <w:jc w:val="both"/>
        <w:ind w:left="600" w:right="880" w:firstLine="312"/>
        <w:spacing w:after="0" w:line="287" w:lineRule="auto"/>
        <w:rPr>
          <w:sz w:val="20"/>
          <w:szCs w:val="20"/>
          <w:color w:val="auto"/>
        </w:rPr>
      </w:pPr>
      <w:r>
        <w:rPr>
          <w:rFonts w:ascii="Times New Roman" w:cs="Times New Roman" w:eastAsia="Times New Roman" w:hAnsi="Times New Roman"/>
          <w:sz w:val="13"/>
          <w:szCs w:val="13"/>
          <w:u w:val="single" w:color="auto"/>
          <w:color w:val="auto"/>
        </w:rPr>
        <w:t>THIRD</w:t>
      </w:r>
      <w:r>
        <w:rPr>
          <w:rFonts w:ascii="Times New Roman" w:cs="Times New Roman" w:eastAsia="Times New Roman" w:hAnsi="Times New Roman"/>
          <w:sz w:val="13"/>
          <w:szCs w:val="13"/>
          <w:color w:val="auto"/>
        </w:rPr>
        <w:t xml:space="preserve"> : The total number of shares of stock which the Corporation has authority to issue pursuant to the foregoing amendment of the Charter is 175,000,000 shares of stock, consisting of 145,000,000 shares of Common Stock, $.01 par value per share, and 30,000,000 shares of Preferred Stock, $.01 par value per share. The aggregate par value of all authorized shares of stock having par value is $1,750,000.</w:t>
      </w:r>
    </w:p>
    <w:p>
      <w:pPr>
        <w:spacing w:after="0" w:line="136" w:lineRule="exact"/>
        <w:rPr>
          <w:sz w:val="20"/>
          <w:szCs w:val="20"/>
          <w:color w:val="auto"/>
        </w:rPr>
      </w:pPr>
    </w:p>
    <w:p>
      <w:pPr>
        <w:ind w:left="600" w:right="700" w:firstLine="312"/>
        <w:spacing w:after="0" w:line="305" w:lineRule="auto"/>
        <w:rPr>
          <w:sz w:val="20"/>
          <w:szCs w:val="20"/>
          <w:color w:val="auto"/>
        </w:rPr>
      </w:pPr>
      <w:r>
        <w:rPr>
          <w:rFonts w:ascii="Times New Roman" w:cs="Times New Roman" w:eastAsia="Times New Roman" w:hAnsi="Times New Roman"/>
          <w:sz w:val="13"/>
          <w:szCs w:val="13"/>
          <w:u w:val="single" w:color="auto"/>
          <w:color w:val="auto"/>
        </w:rPr>
        <w:t>FOURTH</w:t>
      </w:r>
      <w:r>
        <w:rPr>
          <w:rFonts w:ascii="Times New Roman" w:cs="Times New Roman" w:eastAsia="Times New Roman" w:hAnsi="Times New Roman"/>
          <w:sz w:val="13"/>
          <w:szCs w:val="13"/>
          <w:color w:val="auto"/>
        </w:rPr>
        <w:t xml:space="preserve"> : The information required by Section 2-607(b)(2)(i) of the Maryland General Corporation Law (the “MGCL”) is not changed by the foregoing amendment of the Charter.</w:t>
      </w:r>
    </w:p>
    <w:p>
      <w:pPr>
        <w:spacing w:after="0" w:line="124" w:lineRule="exact"/>
        <w:rPr>
          <w:sz w:val="20"/>
          <w:szCs w:val="20"/>
          <w:color w:val="auto"/>
        </w:rPr>
      </w:pPr>
    </w:p>
    <w:p>
      <w:pPr>
        <w:ind w:left="600" w:right="860" w:firstLine="312"/>
        <w:spacing w:after="0" w:line="287" w:lineRule="auto"/>
        <w:rPr>
          <w:sz w:val="20"/>
          <w:szCs w:val="20"/>
          <w:color w:val="auto"/>
        </w:rPr>
      </w:pPr>
      <w:r>
        <w:rPr>
          <w:rFonts w:ascii="Times New Roman" w:cs="Times New Roman" w:eastAsia="Times New Roman" w:hAnsi="Times New Roman"/>
          <w:sz w:val="13"/>
          <w:szCs w:val="13"/>
          <w:u w:val="single" w:color="auto"/>
          <w:color w:val="auto"/>
        </w:rPr>
        <w:t>FIFTH</w:t>
      </w:r>
      <w:r>
        <w:rPr>
          <w:rFonts w:ascii="Times New Roman" w:cs="Times New Roman" w:eastAsia="Times New Roman" w:hAnsi="Times New Roman"/>
          <w:sz w:val="13"/>
          <w:szCs w:val="13"/>
          <w:color w:val="auto"/>
        </w:rPr>
        <w:t xml:space="preserve"> : The foregoing amendment of the Charter was approved by a majority of the entire Board of Directors of the Corporation as required by law and was limited to a change expressly authorized by Section 2-105(a)(12) of the MGCL without any action by the stockholders of the Corporation.</w:t>
      </w:r>
    </w:p>
    <w:p>
      <w:pPr>
        <w:spacing w:after="0" w:line="136" w:lineRule="exact"/>
        <w:rPr>
          <w:sz w:val="20"/>
          <w:szCs w:val="20"/>
          <w:color w:val="auto"/>
        </w:rPr>
      </w:pPr>
    </w:p>
    <w:p>
      <w:pPr>
        <w:jc w:val="both"/>
        <w:ind w:left="600" w:right="860" w:firstLine="312"/>
        <w:spacing w:after="0" w:line="287" w:lineRule="auto"/>
        <w:rPr>
          <w:sz w:val="20"/>
          <w:szCs w:val="20"/>
          <w:color w:val="auto"/>
        </w:rPr>
      </w:pPr>
      <w:r>
        <w:rPr>
          <w:rFonts w:ascii="Times New Roman" w:cs="Times New Roman" w:eastAsia="Times New Roman" w:hAnsi="Times New Roman"/>
          <w:sz w:val="13"/>
          <w:szCs w:val="13"/>
          <w:u w:val="single" w:color="auto"/>
          <w:color w:val="auto"/>
        </w:rPr>
        <w:t>SIXTH</w:t>
      </w:r>
      <w:r>
        <w:rPr>
          <w:rFonts w:ascii="Times New Roman" w:cs="Times New Roman" w:eastAsia="Times New Roman" w:hAnsi="Times New Roman"/>
          <w:sz w:val="13"/>
          <w:szCs w:val="13"/>
          <w:color w:val="auto"/>
        </w:rPr>
        <w:t xml:space="preserve"> : The undersigned acknowledges these Articles of Amendment to be the corporate act of the Corporation and as to all matters or facts required to be verified under oath, the undersigned acknowledges that to the best of his knowledge, information and belief, these matters and facts are true in all material respects and that this statement is made under the penalties of perjury.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101600</wp:posOffset>
            </wp:positionV>
            <wp:extent cx="4436110" cy="1524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51">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543560</wp:posOffset>
            </wp:positionV>
            <wp:extent cx="5083810" cy="1524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52">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80" w:right="1440" w:bottom="1440" w:gutter="0" w:footer="0" w:header="0"/>
        </w:sectPr>
      </w:pPr>
    </w:p>
    <w:bookmarkStart w:id="312" w:name="page313"/>
    <w:bookmarkEnd w:id="312"/>
    <w:p>
      <w:pPr>
        <w:ind w:left="600" w:right="660" w:firstLine="312"/>
        <w:spacing w:after="0" w:line="287" w:lineRule="auto"/>
        <w:rPr>
          <w:sz w:val="20"/>
          <w:szCs w:val="20"/>
          <w:color w:val="auto"/>
        </w:rPr>
      </w:pPr>
      <w:r>
        <w:rPr>
          <w:rFonts w:ascii="Times New Roman" w:cs="Times New Roman" w:eastAsia="Times New Roman" w:hAnsi="Times New Roman"/>
          <w:sz w:val="13"/>
          <w:szCs w:val="13"/>
          <w:color w:val="auto"/>
        </w:rPr>
        <w:t>IN WITNESS WHEREOF, the Corporation has caused these Articles of Amendment to be executed under seal in its name and on its behalf by its Chief Financial Officer, Chief Investment Officer and Secretary and attested to by its General Counsel and Assistant Secretary on this 23rd day of February, 2010.</w:t>
      </w:r>
    </w:p>
    <w:p>
      <w:pPr>
        <w:spacing w:after="0" w:line="13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3"/>
          <w:szCs w:val="13"/>
          <w:color w:val="auto"/>
        </w:rPr>
        <w:t>DIGITAL REALTY TRUST, INC.</w:t>
      </w:r>
    </w:p>
    <w:p>
      <w:pPr>
        <w:spacing w:after="0" w:line="31" w:lineRule="exact"/>
        <w:rPr>
          <w:sz w:val="20"/>
          <w:szCs w:val="20"/>
          <w:color w:val="auto"/>
        </w:rPr>
      </w:pPr>
    </w:p>
    <w:p>
      <w:pPr>
        <w:ind w:left="4160"/>
        <w:spacing w:after="0"/>
        <w:tabs>
          <w:tab w:leader="none" w:pos="6920" w:val="left"/>
        </w:tabs>
        <w:rPr>
          <w:sz w:val="20"/>
          <w:szCs w:val="20"/>
          <w:color w:val="auto"/>
        </w:rPr>
      </w:pPr>
      <w:r>
        <w:rPr>
          <w:rFonts w:ascii="Times New Roman" w:cs="Times New Roman" w:eastAsia="Times New Roman" w:hAnsi="Times New Roman"/>
          <w:sz w:val="13"/>
          <w:szCs w:val="13"/>
          <w:color w:val="auto"/>
        </w:rPr>
        <w:t>By:/s/ A. William Stein</w:t>
      </w:r>
      <w:r>
        <w:rPr>
          <w:sz w:val="20"/>
          <w:szCs w:val="20"/>
          <w:color w:val="auto"/>
        </w:rPr>
        <w:tab/>
      </w:r>
      <w:r>
        <w:rPr>
          <w:rFonts w:ascii="Times New Roman" w:cs="Times New Roman" w:eastAsia="Times New Roman" w:hAnsi="Times New Roman"/>
          <w:sz w:val="13"/>
          <w:szCs w:val="13"/>
          <w:color w:val="auto"/>
        </w:rPr>
        <w:t>(SEAL) Name:A.</w:t>
      </w:r>
    </w:p>
    <w:p>
      <w:pPr>
        <w:spacing w:after="0" w:line="3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3"/>
          <w:szCs w:val="13"/>
          <w:color w:val="auto"/>
        </w:rPr>
        <w:t>William Stein</w:t>
      </w:r>
    </w:p>
    <w:p>
      <w:pPr>
        <w:spacing w:after="0" w:line="2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3"/>
          <w:szCs w:val="13"/>
          <w:color w:val="auto"/>
        </w:rPr>
        <w:t>Title: Chief Financial Officer, Chief Investment Officer and</w:t>
      </w:r>
    </w:p>
    <w:p>
      <w:pPr>
        <w:spacing w:after="0" w:line="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3"/>
          <w:szCs w:val="13"/>
          <w:color w:val="auto"/>
        </w:rPr>
        <w:t>Secretary</w:t>
      </w:r>
    </w:p>
    <w:p>
      <w:pPr>
        <w:spacing w:after="0" w:line="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ATTEST:</w:t>
      </w:r>
    </w:p>
    <w:p>
      <w:pPr>
        <w:spacing w:after="0" w:line="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DIGITAL REALTY TRUST, INC.</w:t>
      </w:r>
    </w:p>
    <w:p>
      <w:pPr>
        <w:spacing w:after="0" w:line="2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By: /s/ Joshua Mills Name: Joshua Mills</w:t>
      </w:r>
    </w:p>
    <w:p>
      <w:pPr>
        <w:spacing w:after="0" w:line="2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Title: General Counsel and Assistant Secretary</w:t>
      </w:r>
    </w:p>
    <w:p>
      <w:pPr>
        <w:spacing w:after="0" w:line="3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125730</wp:posOffset>
            </wp:positionV>
            <wp:extent cx="4436110" cy="762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53">
                      <a:extLst>
                        <a:ext uri="{28A0092B-C50C-407E-A947-70E740481C1C}"/>
                      </a:extLst>
                    </a:blip>
                    <a:srcRect/>
                    <a:stretch>
                      <a:fillRect/>
                    </a:stretch>
                  </pic:blipFill>
                  <pic:spPr bwMode="auto">
                    <a:xfrm>
                      <a:off x="0" y="0"/>
                      <a:ext cx="4436110"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567690</wp:posOffset>
            </wp:positionV>
            <wp:extent cx="5083810" cy="1524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54">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13" w:name="page314"/>
    <w:bookmarkEnd w:id="313"/>
    <w:p>
      <w:pPr>
        <w:ind w:left="3160"/>
        <w:spacing w:after="0"/>
        <w:rPr>
          <w:sz w:val="20"/>
          <w:szCs w:val="20"/>
          <w:color w:val="auto"/>
        </w:rPr>
      </w:pPr>
      <w:r>
        <w:rPr>
          <w:rFonts w:ascii="Times New Roman" w:cs="Times New Roman" w:eastAsia="Times New Roman" w:hAnsi="Times New Roman"/>
          <w:sz w:val="13"/>
          <w:szCs w:val="13"/>
          <w:b w:val="1"/>
          <w:bCs w:val="1"/>
          <w:color w:val="auto"/>
        </w:rPr>
        <w:t>DIGITAL REALTY TRUST, INC. ARTICLES</w:t>
      </w:r>
    </w:p>
    <w:p>
      <w:pPr>
        <w:spacing w:after="0" w:line="5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3"/>
          <w:szCs w:val="13"/>
          <w:b w:val="1"/>
          <w:bCs w:val="1"/>
          <w:color w:val="auto"/>
        </w:rPr>
        <w:t>SUPPLEMENTARY 11,500,000 SHARES OF</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7.000% SERIES E CUMULATIVE REDEEMABLE PREFERRED STOCK</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S</w:t>
      </w:r>
      <w:r>
        <w:rPr>
          <w:rFonts w:ascii="Times New Roman" w:cs="Times New Roman" w:eastAsia="Times New Roman" w:hAnsi="Times New Roman"/>
          <w:sz w:val="10"/>
          <w:szCs w:val="10"/>
          <w:b w:val="1"/>
          <w:bCs w:val="1"/>
          <w:color w:val="auto"/>
        </w:rPr>
        <w:t>EPTEMBER</w:t>
      </w:r>
      <w:r>
        <w:rPr>
          <w:rFonts w:ascii="Times New Roman" w:cs="Times New Roman" w:eastAsia="Times New Roman" w:hAnsi="Times New Roman"/>
          <w:sz w:val="13"/>
          <w:szCs w:val="13"/>
          <w:b w:val="1"/>
          <w:bCs w:val="1"/>
          <w:color w:val="auto"/>
        </w:rPr>
        <w:t xml:space="preserve"> 14, 2011</w:t>
      </w:r>
    </w:p>
    <w:p>
      <w:pPr>
        <w:spacing w:after="0" w:line="1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Digital Realty Trust, Inc., a Maryland corporation (the “ </w:t>
      </w:r>
      <w:r>
        <w:rPr>
          <w:rFonts w:ascii="Times New Roman" w:cs="Times New Roman" w:eastAsia="Times New Roman" w:hAnsi="Times New Roman"/>
          <w:sz w:val="13"/>
          <w:szCs w:val="13"/>
          <w:u w:val="single" w:color="auto"/>
          <w:color w:val="auto"/>
        </w:rPr>
        <w:t>Company</w:t>
      </w:r>
      <w:r>
        <w:rPr>
          <w:rFonts w:ascii="Times New Roman" w:cs="Times New Roman" w:eastAsia="Times New Roman" w:hAnsi="Times New Roman"/>
          <w:sz w:val="13"/>
          <w:szCs w:val="13"/>
          <w:color w:val="auto"/>
        </w:rPr>
        <w:t xml:space="preserve"> ”), hereby certifies to the State Department of Assessments and</w:t>
      </w:r>
    </w:p>
    <w:p>
      <w:pPr>
        <w:spacing w:after="0" w:line="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 xml:space="preserve">Taxation of Maryland (the “ </w:t>
      </w:r>
      <w:r>
        <w:rPr>
          <w:rFonts w:ascii="Times New Roman" w:cs="Times New Roman" w:eastAsia="Times New Roman" w:hAnsi="Times New Roman"/>
          <w:sz w:val="13"/>
          <w:szCs w:val="13"/>
          <w:u w:val="single" w:color="auto"/>
          <w:color w:val="auto"/>
        </w:rPr>
        <w:t>Department</w:t>
      </w:r>
      <w:r>
        <w:rPr>
          <w:rFonts w:ascii="Times New Roman" w:cs="Times New Roman" w:eastAsia="Times New Roman" w:hAnsi="Times New Roman"/>
          <w:sz w:val="13"/>
          <w:szCs w:val="13"/>
          <w:color w:val="auto"/>
        </w:rPr>
        <w:t xml:space="preserve"> ”) that:</w:t>
      </w:r>
    </w:p>
    <w:p>
      <w:pPr>
        <w:spacing w:after="0" w:line="183" w:lineRule="exact"/>
        <w:rPr>
          <w:sz w:val="20"/>
          <w:szCs w:val="20"/>
          <w:color w:val="auto"/>
        </w:rPr>
      </w:pPr>
    </w:p>
    <w:p>
      <w:pPr>
        <w:ind w:left="600" w:right="640" w:firstLine="312"/>
        <w:spacing w:after="0" w:line="272" w:lineRule="auto"/>
        <w:rPr>
          <w:sz w:val="20"/>
          <w:szCs w:val="20"/>
          <w:color w:val="auto"/>
        </w:rPr>
      </w:pPr>
      <w:r>
        <w:rPr>
          <w:rFonts w:ascii="Times New Roman" w:cs="Times New Roman" w:eastAsia="Times New Roman" w:hAnsi="Times New Roman"/>
          <w:sz w:val="13"/>
          <w:szCs w:val="13"/>
          <w:u w:val="single" w:color="auto"/>
          <w:color w:val="auto"/>
        </w:rPr>
        <w:t>FIRST</w:t>
      </w:r>
      <w:r>
        <w:rPr>
          <w:rFonts w:ascii="Times New Roman" w:cs="Times New Roman" w:eastAsia="Times New Roman" w:hAnsi="Times New Roman"/>
          <w:sz w:val="13"/>
          <w:szCs w:val="13"/>
          <w:color w:val="auto"/>
        </w:rPr>
        <w:t xml:space="preserve"> : Pursuant to the authority expressly vested in the Board of Directors of the Company (the “ </w:t>
      </w:r>
      <w:r>
        <w:rPr>
          <w:rFonts w:ascii="Times New Roman" w:cs="Times New Roman" w:eastAsia="Times New Roman" w:hAnsi="Times New Roman"/>
          <w:sz w:val="13"/>
          <w:szCs w:val="13"/>
          <w:u w:val="single" w:color="auto"/>
          <w:color w:val="auto"/>
        </w:rPr>
        <w:t>Board of Directors</w:t>
      </w:r>
      <w:r>
        <w:rPr>
          <w:rFonts w:ascii="Times New Roman" w:cs="Times New Roman" w:eastAsia="Times New Roman" w:hAnsi="Times New Roman"/>
          <w:sz w:val="13"/>
          <w:szCs w:val="13"/>
          <w:color w:val="auto"/>
        </w:rPr>
        <w:t xml:space="preserve"> ”) by Article IV of the Articles of Amendment and Restatement of the Company filed with the Department on October 26, 2004 (the “ </w:t>
      </w:r>
      <w:r>
        <w:rPr>
          <w:rFonts w:ascii="Times New Roman" w:cs="Times New Roman" w:eastAsia="Times New Roman" w:hAnsi="Times New Roman"/>
          <w:sz w:val="13"/>
          <w:szCs w:val="13"/>
          <w:u w:val="single" w:color="auto"/>
          <w:color w:val="auto"/>
        </w:rPr>
        <w:t>Charter</w:t>
      </w:r>
      <w:r>
        <w:rPr>
          <w:rFonts w:ascii="Times New Roman" w:cs="Times New Roman" w:eastAsia="Times New Roman" w:hAnsi="Times New Roman"/>
          <w:sz w:val="13"/>
          <w:szCs w:val="13"/>
          <w:color w:val="auto"/>
        </w:rPr>
        <w:t xml:space="preserve"> ”) and Section 2-105 of the Maryland General Corporation Law (the “ </w:t>
      </w:r>
      <w:r>
        <w:rPr>
          <w:rFonts w:ascii="Times New Roman" w:cs="Times New Roman" w:eastAsia="Times New Roman" w:hAnsi="Times New Roman"/>
          <w:sz w:val="13"/>
          <w:szCs w:val="13"/>
          <w:u w:val="single" w:color="auto"/>
          <w:color w:val="auto"/>
        </w:rPr>
        <w:t>MGCL</w:t>
      </w:r>
      <w:r>
        <w:rPr>
          <w:rFonts w:ascii="Times New Roman" w:cs="Times New Roman" w:eastAsia="Times New Roman" w:hAnsi="Times New Roman"/>
          <w:sz w:val="13"/>
          <w:szCs w:val="13"/>
          <w:color w:val="auto"/>
        </w:rPr>
        <w:t xml:space="preserve"> ”), the Board of Directors, by resolutions duly adopted on January 4, 2011 and July 25, 2011, has authorized the issuance, classification and designation of a number of shares of the authorized but unissued preferred stock of the Company, par value $0.01 per share (“ </w:t>
      </w:r>
      <w:r>
        <w:rPr>
          <w:rFonts w:ascii="Times New Roman" w:cs="Times New Roman" w:eastAsia="Times New Roman" w:hAnsi="Times New Roman"/>
          <w:sz w:val="13"/>
          <w:szCs w:val="13"/>
          <w:u w:val="single" w:color="auto"/>
          <w:color w:val="auto"/>
        </w:rPr>
        <w:t>Preferred Stock</w:t>
      </w:r>
      <w:r>
        <w:rPr>
          <w:rFonts w:ascii="Times New Roman" w:cs="Times New Roman" w:eastAsia="Times New Roman" w:hAnsi="Times New Roman"/>
          <w:sz w:val="13"/>
          <w:szCs w:val="13"/>
          <w:color w:val="auto"/>
        </w:rPr>
        <w:t xml:space="preserve"> ”), as a separate class of Preferred Stock, that, on the date of issue, have a liquidation value of up to $250,000,000 (plus up to an additional 15% to cover any underwriter over-allotment option), and, pursuant to the powers contained in the Bylaws of the Company and the MGCL, appointed a committee (the “ </w:t>
      </w:r>
      <w:r>
        <w:rPr>
          <w:rFonts w:ascii="Times New Roman" w:cs="Times New Roman" w:eastAsia="Times New Roman" w:hAnsi="Times New Roman"/>
          <w:sz w:val="13"/>
          <w:szCs w:val="13"/>
          <w:u w:val="single" w:color="auto"/>
          <w:color w:val="auto"/>
        </w:rPr>
        <w:t>Committee</w:t>
      </w:r>
      <w:r>
        <w:rPr>
          <w:rFonts w:ascii="Times New Roman" w:cs="Times New Roman" w:eastAsia="Times New Roman" w:hAnsi="Times New Roman"/>
          <w:sz w:val="13"/>
          <w:szCs w:val="13"/>
          <w:color w:val="auto"/>
        </w:rPr>
        <w:t xml:space="preserve"> ”) of the Board of Directors and delegated to the Committee, to the fullest extent permitted by the MGCL and the Charter and Bylaws of the Company, among other things, all powers of the Board of Directors with respect to (i) setting the number of shares of the Preferred Stock to be classified and designated, provided that in no event shall the liquidation value of such shares exceed $250,000,000 (plus up to an additional 15% to cover any underwriter over- allotment option), (ii) choosing the cumulative dividend percentage for the Preferred Stock, (iii) selecting the dates on which dividends will be paid on the Preferred Stock, (iv) establishing the price per share for the Preferred Stock, (v) authorizing, approving and filing these Articles Supplementary with the Department and (vi) authorizing and approving all such other actions as the Committee may deem necessary or desirable in connection with the classification, authorization, issuance, offer, and sale of the Preferred Stock.</w:t>
      </w:r>
    </w:p>
    <w:p>
      <w:pPr>
        <w:spacing w:after="0" w:line="137" w:lineRule="exact"/>
        <w:rPr>
          <w:sz w:val="20"/>
          <w:szCs w:val="20"/>
          <w:color w:val="auto"/>
        </w:rPr>
      </w:pPr>
    </w:p>
    <w:p>
      <w:pPr>
        <w:ind w:left="600" w:right="900" w:firstLine="312"/>
        <w:spacing w:after="0" w:line="276" w:lineRule="auto"/>
        <w:rPr>
          <w:sz w:val="20"/>
          <w:szCs w:val="20"/>
          <w:color w:val="auto"/>
        </w:rPr>
      </w:pPr>
      <w:r>
        <w:rPr>
          <w:rFonts w:ascii="Times New Roman" w:cs="Times New Roman" w:eastAsia="Times New Roman" w:hAnsi="Times New Roman"/>
          <w:sz w:val="13"/>
          <w:szCs w:val="13"/>
          <w:u w:val="single" w:color="auto"/>
          <w:color w:val="auto"/>
        </w:rPr>
        <w:t>SECOND</w:t>
      </w:r>
      <w:r>
        <w:rPr>
          <w:rFonts w:ascii="Times New Roman" w:cs="Times New Roman" w:eastAsia="Times New Roman" w:hAnsi="Times New Roman"/>
          <w:sz w:val="13"/>
          <w:szCs w:val="13"/>
          <w:color w:val="auto"/>
        </w:rPr>
        <w:t xml:space="preserve"> : The Committee has unanimously adopted resolutions classifying and designating the Preferred Stock as a separate class of Preferred Stock to be known as the “7.000% Series E Cumulative Redeemable Preferred Stock,” setting the preferences, conversion and other rights, voting powers, restrictions, limitations as to dividends and other distributions, transfers, qualifications, terms and conditions of redemption and other terms and conditions of such 7.000% Series E Cumulative Redeemable Preferred Stock, and authorizing the issuance of up to 10,000,000 (plus up to an additional 15% to cover any underwriter over-allotment option) shares of 7.000% Series E Cumulative Redeemable Preferred Stock.</w:t>
      </w:r>
    </w:p>
    <w:p>
      <w:pPr>
        <w:spacing w:after="0" w:line="145" w:lineRule="exact"/>
        <w:rPr>
          <w:sz w:val="20"/>
          <w:szCs w:val="20"/>
          <w:color w:val="auto"/>
        </w:rPr>
      </w:pPr>
    </w:p>
    <w:p>
      <w:pPr>
        <w:ind w:left="600" w:right="700" w:firstLine="312"/>
        <w:spacing w:after="0" w:line="278" w:lineRule="auto"/>
        <w:rPr>
          <w:sz w:val="20"/>
          <w:szCs w:val="20"/>
          <w:color w:val="auto"/>
        </w:rPr>
      </w:pPr>
      <w:r>
        <w:rPr>
          <w:rFonts w:ascii="Times New Roman" w:cs="Times New Roman" w:eastAsia="Times New Roman" w:hAnsi="Times New Roman"/>
          <w:sz w:val="13"/>
          <w:szCs w:val="13"/>
          <w:u w:val="single" w:color="auto"/>
          <w:color w:val="auto"/>
        </w:rPr>
        <w:t>THIRD</w:t>
      </w:r>
      <w:r>
        <w:rPr>
          <w:rFonts w:ascii="Times New Roman" w:cs="Times New Roman" w:eastAsia="Times New Roman" w:hAnsi="Times New Roman"/>
          <w:sz w:val="13"/>
          <w:szCs w:val="13"/>
          <w:color w:val="auto"/>
        </w:rPr>
        <w:t xml:space="preserve"> : The designation, number of shares, preferences, rights, voting powers, restrictions, limitations as to dividends and other distributions, qualifications, terms and conditions of redemption and other terms and conditions of the separate class of Preferred Stock of the Company designated as the 7.000% Series E Cumulative Redeemable Preferred Stock are as follows, which upon any restatement of the Charter shall be made a part of or incorporated by reference into the Charter with any necessary or appropriate changes to the enumeration or lettering of Sections or subsections thereof:</w:t>
      </w:r>
    </w:p>
    <w:p>
      <w:pPr>
        <w:spacing w:after="0" w:line="143" w:lineRule="exact"/>
        <w:rPr>
          <w:sz w:val="20"/>
          <w:szCs w:val="20"/>
          <w:color w:val="auto"/>
        </w:rPr>
      </w:pPr>
    </w:p>
    <w:p>
      <w:pPr>
        <w:ind w:left="600" w:right="1000" w:firstLine="312"/>
        <w:spacing w:after="0" w:line="305" w:lineRule="auto"/>
        <w:rPr>
          <w:sz w:val="20"/>
          <w:szCs w:val="20"/>
          <w:color w:val="auto"/>
        </w:rPr>
      </w:pPr>
      <w:r>
        <w:rPr>
          <w:rFonts w:ascii="Times New Roman" w:cs="Times New Roman" w:eastAsia="Times New Roman" w:hAnsi="Times New Roman"/>
          <w:sz w:val="13"/>
          <w:szCs w:val="13"/>
          <w:color w:val="auto"/>
        </w:rPr>
        <w:t xml:space="preserve">Section 1. </w:t>
      </w:r>
      <w:r>
        <w:rPr>
          <w:rFonts w:ascii="Times New Roman" w:cs="Times New Roman" w:eastAsia="Times New Roman" w:hAnsi="Times New Roman"/>
          <w:sz w:val="13"/>
          <w:szCs w:val="13"/>
          <w:u w:val="single" w:color="auto"/>
          <w:color w:val="auto"/>
        </w:rPr>
        <w:t>Designation and Number</w:t>
      </w:r>
      <w:r>
        <w:rPr>
          <w:rFonts w:ascii="Times New Roman" w:cs="Times New Roman" w:eastAsia="Times New Roman" w:hAnsi="Times New Roman"/>
          <w:sz w:val="13"/>
          <w:szCs w:val="13"/>
          <w:color w:val="auto"/>
        </w:rPr>
        <w:t xml:space="preserve"> . A series of Preferred Stock, designated the “7.000% Series E Cumulative Redeemable Preferred Stock” (the “ </w:t>
      </w:r>
      <w:r>
        <w:rPr>
          <w:rFonts w:ascii="Times New Roman" w:cs="Times New Roman" w:eastAsia="Times New Roman" w:hAnsi="Times New Roman"/>
          <w:sz w:val="13"/>
          <w:szCs w:val="13"/>
          <w:u w:val="single" w:color="auto"/>
          <w:color w:val="auto"/>
        </w:rPr>
        <w:t>Series E Preferred Stock</w:t>
      </w:r>
      <w:r>
        <w:rPr>
          <w:rFonts w:ascii="Times New Roman" w:cs="Times New Roman" w:eastAsia="Times New Roman" w:hAnsi="Times New Roman"/>
          <w:sz w:val="13"/>
          <w:szCs w:val="13"/>
          <w:color w:val="auto"/>
        </w:rPr>
        <w:t xml:space="preserve"> ”), is hereby established. The number of shares of Series E Preferred Stock shall be 11,500,000.</w:t>
      </w:r>
    </w:p>
    <w:p>
      <w:pPr>
        <w:spacing w:after="0" w:line="124" w:lineRule="exact"/>
        <w:rPr>
          <w:sz w:val="20"/>
          <w:szCs w:val="20"/>
          <w:color w:val="auto"/>
        </w:rPr>
      </w:pPr>
    </w:p>
    <w:p>
      <w:pPr>
        <w:ind w:left="600" w:right="620" w:firstLine="312"/>
        <w:spacing w:after="0" w:line="281" w:lineRule="auto"/>
        <w:rPr>
          <w:sz w:val="20"/>
          <w:szCs w:val="20"/>
          <w:color w:val="auto"/>
        </w:rPr>
      </w:pPr>
      <w:r>
        <w:rPr>
          <w:rFonts w:ascii="Times New Roman" w:cs="Times New Roman" w:eastAsia="Times New Roman" w:hAnsi="Times New Roman"/>
          <w:sz w:val="13"/>
          <w:szCs w:val="13"/>
          <w:color w:val="auto"/>
        </w:rPr>
        <w:t xml:space="preserve">Section 2. </w:t>
      </w:r>
      <w:r>
        <w:rPr>
          <w:rFonts w:ascii="Times New Roman" w:cs="Times New Roman" w:eastAsia="Times New Roman" w:hAnsi="Times New Roman"/>
          <w:sz w:val="13"/>
          <w:szCs w:val="13"/>
          <w:u w:val="single" w:color="auto"/>
          <w:color w:val="auto"/>
        </w:rPr>
        <w:t>Rank</w:t>
      </w:r>
      <w:r>
        <w:rPr>
          <w:rFonts w:ascii="Times New Roman" w:cs="Times New Roman" w:eastAsia="Times New Roman" w:hAnsi="Times New Roman"/>
          <w:sz w:val="13"/>
          <w:szCs w:val="13"/>
          <w:color w:val="auto"/>
        </w:rPr>
        <w:t xml:space="preserve"> . The Series E Preferred Stock will, with respect to dividend rights and rights upon voluntary or involuntary liquidation, dissolution or winding up of the Company, rank: (a) senior to all classes or series of the Company’s common stock, par value $0.01 per share (the “ </w:t>
      </w:r>
      <w:r>
        <w:rPr>
          <w:rFonts w:ascii="Times New Roman" w:cs="Times New Roman" w:eastAsia="Times New Roman" w:hAnsi="Times New Roman"/>
          <w:sz w:val="13"/>
          <w:szCs w:val="13"/>
          <w:u w:val="single" w:color="auto"/>
          <w:color w:val="auto"/>
        </w:rPr>
        <w:t>Common Stock</w:t>
      </w:r>
      <w:r>
        <w:rPr>
          <w:rFonts w:ascii="Times New Roman" w:cs="Times New Roman" w:eastAsia="Times New Roman" w:hAnsi="Times New Roman"/>
          <w:sz w:val="13"/>
          <w:szCs w:val="13"/>
          <w:color w:val="auto"/>
        </w:rPr>
        <w:t xml:space="preserve"> ”), and all classes or series of capital stock of the Company now or hereafter authorized, issued or outstanding expressly designated as ranking junior to the Series E Preferred Stock as to dividend rights and rights upon voluntary or involuntary liquidation,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104140</wp:posOffset>
            </wp:positionV>
            <wp:extent cx="4436110" cy="1524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55">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546100</wp:posOffset>
            </wp:positionV>
            <wp:extent cx="5083810" cy="1524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56">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80" w:right="1440" w:bottom="1440" w:gutter="0" w:footer="0" w:header="0"/>
        </w:sectPr>
      </w:pPr>
    </w:p>
    <w:bookmarkStart w:id="314" w:name="page315"/>
    <w:bookmarkEnd w:id="314"/>
    <w:p>
      <w:pPr>
        <w:ind w:left="600" w:right="700"/>
        <w:spacing w:after="0" w:line="274" w:lineRule="auto"/>
        <w:rPr>
          <w:sz w:val="20"/>
          <w:szCs w:val="20"/>
          <w:color w:val="auto"/>
        </w:rPr>
      </w:pPr>
      <w:r>
        <w:rPr>
          <w:rFonts w:ascii="Times New Roman" w:cs="Times New Roman" w:eastAsia="Times New Roman" w:hAnsi="Times New Roman"/>
          <w:sz w:val="13"/>
          <w:szCs w:val="13"/>
          <w:color w:val="auto"/>
        </w:rPr>
        <w:t xml:space="preserve">dissolution or winding up of the Company; (b) on parity with the Series C Cumulative Convertible Preferred Stock, par value $0.01 per share, and the Series D Cumulative Convertible Preferred Stock, par value $0.01 per share, of the Company and with any class or series of capital stock of the Company expressly designated as ranking on parity with the Series E Preferred Stock as to dividend rights and rights upon voluntary or involuntary liquidation, dissolution or winding up of the Company; and (c) junior to any class or series of capital stock of the Company expressly designated as ranking senior to the Series E Preferred Stock as to dividend rights and rights upon voluntary or involuntary liquidation, dissolution or winding up of the Company. The term “ </w:t>
      </w:r>
      <w:r>
        <w:rPr>
          <w:rFonts w:ascii="Times New Roman" w:cs="Times New Roman" w:eastAsia="Times New Roman" w:hAnsi="Times New Roman"/>
          <w:sz w:val="13"/>
          <w:szCs w:val="13"/>
          <w:u w:val="single" w:color="auto"/>
          <w:color w:val="auto"/>
        </w:rPr>
        <w:t>capital stock</w:t>
      </w:r>
      <w:r>
        <w:rPr>
          <w:rFonts w:ascii="Times New Roman" w:cs="Times New Roman" w:eastAsia="Times New Roman" w:hAnsi="Times New Roman"/>
          <w:sz w:val="13"/>
          <w:szCs w:val="13"/>
          <w:color w:val="auto"/>
        </w:rPr>
        <w:t xml:space="preserve"> ” does not include convertible or exchangeable debt securities, which will rank senior to the Series E Preferred Stock prior to conversion or exchange. The Series E Preferred Stock will also rank junior in right of payment to the Company’s other existing and future debt obligations.</w:t>
      </w:r>
    </w:p>
    <w:p>
      <w:pPr>
        <w:spacing w:after="0" w:line="13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Section 3. </w:t>
      </w:r>
      <w:r>
        <w:rPr>
          <w:rFonts w:ascii="Times New Roman" w:cs="Times New Roman" w:eastAsia="Times New Roman" w:hAnsi="Times New Roman"/>
          <w:sz w:val="13"/>
          <w:szCs w:val="13"/>
          <w:u w:val="single" w:color="auto"/>
          <w:color w:val="auto"/>
        </w:rPr>
        <w:t>Dividends</w:t>
      </w:r>
      <w:r>
        <w:rPr>
          <w:rFonts w:ascii="Times New Roman" w:cs="Times New Roman" w:eastAsia="Times New Roman" w:hAnsi="Times New Roman"/>
          <w:sz w:val="13"/>
          <w:szCs w:val="13"/>
          <w:color w:val="auto"/>
        </w:rPr>
        <w:t xml:space="preserve"> .</w:t>
      </w:r>
    </w:p>
    <w:p>
      <w:pPr>
        <w:spacing w:after="0" w:line="187" w:lineRule="exact"/>
        <w:rPr>
          <w:sz w:val="20"/>
          <w:szCs w:val="20"/>
          <w:color w:val="auto"/>
        </w:rPr>
      </w:pPr>
    </w:p>
    <w:p>
      <w:pPr>
        <w:ind w:left="600" w:right="640" w:firstLine="306"/>
        <w:spacing w:after="0" w:line="271" w:lineRule="auto"/>
        <w:tabs>
          <w:tab w:leader="none" w:pos="1092" w:val="left"/>
        </w:tabs>
        <w:numPr>
          <w:ilvl w:val="0"/>
          <w:numId w:val="2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Subject to the preferential rights of the holders of any class or series of capital stock of the Company ranking senior to the Series E Preferred Stock as to dividends, the holders of shares of the Series E Preferred Stock shall be entitled to receive, when, as and if authorized by the Board of Directors and declared by the Company, out of funds legally available for the payment of dividends, cumulative cash dividends at the rate of 7.000% per annum of the $25.00 liquidation preference per share of the Series E Preferred Stock (equivalent to a fixed annual amount of $1.75 per share of the Series E Preferred Stock). Such dividends shall accrue and be cumulative from and including the first date on which any shares of Series E Preferred Stock are issued (the “ </w:t>
      </w:r>
      <w:r>
        <w:rPr>
          <w:rFonts w:ascii="Times New Roman" w:cs="Times New Roman" w:eastAsia="Times New Roman" w:hAnsi="Times New Roman"/>
          <w:sz w:val="13"/>
          <w:szCs w:val="13"/>
          <w:u w:val="single" w:color="auto"/>
          <w:color w:val="auto"/>
        </w:rPr>
        <w:t>Original Issue Date</w:t>
      </w:r>
      <w:r>
        <w:rPr>
          <w:rFonts w:ascii="Times New Roman" w:cs="Times New Roman" w:eastAsia="Times New Roman" w:hAnsi="Times New Roman"/>
          <w:sz w:val="13"/>
          <w:szCs w:val="13"/>
          <w:color w:val="auto"/>
        </w:rPr>
        <w:t xml:space="preserve"> ”) and shall be payable quarterly in arrears on each Dividend Payment Date (as defined below), commencing December 30, 2011;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 that if any Dividend Payment Date is not a Business Day (as defined below), then the dividend which would otherwise have been payable on such Dividend Payment Date may be paid on the next succeeding Business Day, except that, if such Business Day is in the next succeeding calendar year, such payment shall be made on the immediately preceding Business Day, in each case with the same force and effect as if paid on such Dividend Payment Date, and no interest or additional dividends or other sums shall accrue on the amount so payable from such Dividend Payment Date to such next succeeding Business Day. The amount of any dividend payable on the Series E Preferred Stock for any partial Dividend Period (as defined below) shall be prorated and computed on the basis of a 360-day year consisting of twelve 30-day months. Dividends will be payable to holders of record as they appear in the stockholder records of the Company at the close of business on the applicable Dividend Record Date (as defined below). Notwithstanding any provision to the contrary contained herein, each outstanding share of Series E Preferred Stock shall be entitled to receive a dividend with respect to any Dividend Record Date equal to the dividend paid with respect to each other share of Series E Preferred Stock that is outstanding on such date. “ </w:t>
      </w:r>
      <w:r>
        <w:rPr>
          <w:rFonts w:ascii="Times New Roman" w:cs="Times New Roman" w:eastAsia="Times New Roman" w:hAnsi="Times New Roman"/>
          <w:sz w:val="13"/>
          <w:szCs w:val="13"/>
          <w:u w:val="single" w:color="auto"/>
          <w:color w:val="auto"/>
        </w:rPr>
        <w:t>Dividend Record Date</w:t>
      </w:r>
      <w:r>
        <w:rPr>
          <w:rFonts w:ascii="Times New Roman" w:cs="Times New Roman" w:eastAsia="Times New Roman" w:hAnsi="Times New Roman"/>
          <w:sz w:val="13"/>
          <w:szCs w:val="13"/>
          <w:color w:val="auto"/>
        </w:rPr>
        <w:t xml:space="preserve"> ” shall mean the date designated by the Board of Directors for the payment of dividends that is not more than 35 or fewer than 10 days prior to the applicable Dividend Payment Date. “ </w:t>
      </w:r>
      <w:r>
        <w:rPr>
          <w:rFonts w:ascii="Times New Roman" w:cs="Times New Roman" w:eastAsia="Times New Roman" w:hAnsi="Times New Roman"/>
          <w:sz w:val="13"/>
          <w:szCs w:val="13"/>
          <w:u w:val="single" w:color="auto"/>
          <w:color w:val="auto"/>
        </w:rPr>
        <w:t>Dividend Payment Date</w:t>
      </w:r>
      <w:r>
        <w:rPr>
          <w:rFonts w:ascii="Times New Roman" w:cs="Times New Roman" w:eastAsia="Times New Roman" w:hAnsi="Times New Roman"/>
          <w:sz w:val="13"/>
          <w:szCs w:val="13"/>
          <w:color w:val="auto"/>
        </w:rPr>
        <w:t xml:space="preserve"> ” shall mean the last calendar day of each March, June, September and December, commencing on December 30, 2011. “ </w:t>
      </w:r>
      <w:r>
        <w:rPr>
          <w:rFonts w:ascii="Times New Roman" w:cs="Times New Roman" w:eastAsia="Times New Roman" w:hAnsi="Times New Roman"/>
          <w:sz w:val="13"/>
          <w:szCs w:val="13"/>
          <w:u w:val="single" w:color="auto"/>
          <w:color w:val="auto"/>
        </w:rPr>
        <w:t>Dividend Period</w:t>
      </w:r>
      <w:r>
        <w:rPr>
          <w:rFonts w:ascii="Times New Roman" w:cs="Times New Roman" w:eastAsia="Times New Roman" w:hAnsi="Times New Roman"/>
          <w:sz w:val="13"/>
          <w:szCs w:val="13"/>
          <w:color w:val="auto"/>
        </w:rPr>
        <w:t xml:space="preserve"> ” shall mean the respective periods commencing on and including the first day of January, April, July and October of each year and ending on and including the day preceding the first day of the next succeeding Dividend Period (other than the initial Dividend Period, which shall commence on the Original Issue Date and end on and include December 31, 2011, and other than the Dividend Period during which any shares of Series E Preferred Stock shall be redeemed pursuant to Section 5 or Section 6, which shall end on and include the day preceding the call date with respect to the shares of Series E Preferred Stock being redeemed).</w:t>
      </w:r>
    </w:p>
    <w:p>
      <w:pPr>
        <w:spacing w:after="0" w:line="307" w:lineRule="exact"/>
        <w:rPr>
          <w:sz w:val="20"/>
          <w:szCs w:val="20"/>
          <w:color w:val="auto"/>
        </w:rPr>
      </w:pPr>
    </w:p>
    <w:p>
      <w:pPr>
        <w:ind w:left="600" w:right="900" w:firstLine="312"/>
        <w:spacing w:after="0" w:line="305" w:lineRule="auto"/>
        <w:rPr>
          <w:sz w:val="20"/>
          <w:szCs w:val="20"/>
          <w:color w:val="auto"/>
        </w:rPr>
      </w:pPr>
      <w:r>
        <w:rPr>
          <w:rFonts w:ascii="Times New Roman" w:cs="Times New Roman" w:eastAsia="Times New Roman" w:hAnsi="Times New Roman"/>
          <w:sz w:val="13"/>
          <w:szCs w:val="13"/>
          <w:color w:val="auto"/>
        </w:rPr>
        <w:t xml:space="preserve">The term “ </w:t>
      </w:r>
      <w:r>
        <w:rPr>
          <w:rFonts w:ascii="Times New Roman" w:cs="Times New Roman" w:eastAsia="Times New Roman" w:hAnsi="Times New Roman"/>
          <w:sz w:val="13"/>
          <w:szCs w:val="13"/>
          <w:u w:val="single" w:color="auto"/>
          <w:color w:val="auto"/>
        </w:rPr>
        <w:t>Business Day</w:t>
      </w:r>
      <w:r>
        <w:rPr>
          <w:rFonts w:ascii="Times New Roman" w:cs="Times New Roman" w:eastAsia="Times New Roman" w:hAnsi="Times New Roman"/>
          <w:sz w:val="13"/>
          <w:szCs w:val="13"/>
          <w:color w:val="auto"/>
        </w:rPr>
        <w:t xml:space="preserve"> ” shall mean each day, other than a Saturday or a Sunday, which is not a day on which banking institutions in New York, New York are authorized or required by law, regulation or executive order to close.</w:t>
      </w:r>
    </w:p>
    <w:p>
      <w:pPr>
        <w:spacing w:after="0" w:line="124" w:lineRule="exact"/>
        <w:rPr>
          <w:sz w:val="20"/>
          <w:szCs w:val="20"/>
          <w:color w:val="auto"/>
        </w:rPr>
      </w:pPr>
    </w:p>
    <w:p>
      <w:pPr>
        <w:ind w:left="600" w:right="720" w:firstLine="306"/>
        <w:spacing w:after="0" w:line="287" w:lineRule="auto"/>
        <w:tabs>
          <w:tab w:leader="none" w:pos="1092" w:val="left"/>
        </w:tabs>
        <w:numPr>
          <w:ilvl w:val="0"/>
          <w:numId w:val="2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anything contained herein to the contrary, dividends on the Series E Preferred Stock shall accrue whether or not the Company has earnings, whether or not there are funds legally available for the payment of such dividends, and whether or not such dividends are authorized or declared.</w:t>
      </w:r>
    </w:p>
    <w:p>
      <w:pPr>
        <w:spacing w:after="0" w:line="135" w:lineRule="exact"/>
        <w:rPr>
          <w:rFonts w:ascii="Times New Roman" w:cs="Times New Roman" w:eastAsia="Times New Roman" w:hAnsi="Times New Roman"/>
          <w:sz w:val="13"/>
          <w:szCs w:val="13"/>
          <w:color w:val="auto"/>
        </w:rPr>
      </w:pPr>
    </w:p>
    <w:p>
      <w:pPr>
        <w:ind w:left="600" w:right="660" w:firstLine="306"/>
        <w:spacing w:after="0" w:line="281" w:lineRule="auto"/>
        <w:tabs>
          <w:tab w:leader="none" w:pos="1080" w:val="left"/>
        </w:tabs>
        <w:numPr>
          <w:ilvl w:val="0"/>
          <w:numId w:val="2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provided in Section 3(d) below, no dividends shall be declared and paid or declared and set apart for payment, and no other distribution of cash or other property may be declared and made, directly or indirectly, on or with respect to, any shares of Common Stock or shares of any other class or series of capital stock of the Company ranking, as to dividends, on parity with or junior to the Series E Preferred Stock (other than a</w:t>
      </w: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674370</wp:posOffset>
            </wp:positionV>
            <wp:extent cx="5083810" cy="1524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57">
                      <a:extLst>
                        <a:ext uri="{28A0092B-C50C-407E-A947-70E740481C1C}"/>
                      </a:extLst>
                    </a:blip>
                    <a:srcRect/>
                    <a:stretch>
                      <a:fillRect/>
                    </a:stretch>
                  </pic:blipFill>
                  <pic:spPr bwMode="auto">
                    <a:xfrm>
                      <a:off x="0" y="0"/>
                      <a:ext cx="5083810" cy="15240"/>
                    </a:xfrm>
                    <a:prstGeom prst="rect">
                      <a:avLst/>
                    </a:prstGeom>
                    <a:noFill/>
                  </pic:spPr>
                </pic:pic>
              </a:graphicData>
            </a:graphic>
          </wp:anchor>
        </w:drawing>
        <w:drawing>
          <wp:anchor simplePos="0" relativeHeight="251657728" behindDoc="1" locked="0" layoutInCell="0" allowOverlap="1">
            <wp:simplePos x="0" y="0"/>
            <wp:positionH relativeFrom="column">
              <wp:posOffset>384810</wp:posOffset>
            </wp:positionH>
            <wp:positionV relativeFrom="paragraph">
              <wp:posOffset>316230</wp:posOffset>
            </wp:positionV>
            <wp:extent cx="4436110" cy="762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58">
                      <a:extLst>
                        <a:ext uri="{28A0092B-C50C-407E-A947-70E740481C1C}"/>
                      </a:extLst>
                    </a:blip>
                    <a:srcRect/>
                    <a:stretch>
                      <a:fillRect/>
                    </a:stretch>
                  </pic:blipFill>
                  <pic:spPr bwMode="auto">
                    <a:xfrm>
                      <a:off x="0" y="0"/>
                      <a:ext cx="4436110" cy="762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15" w:name="page316"/>
    <w:bookmarkEnd w:id="315"/>
    <w:p>
      <w:pPr>
        <w:ind w:left="600" w:right="620"/>
        <w:spacing w:after="0" w:line="274" w:lineRule="auto"/>
        <w:rPr>
          <w:sz w:val="20"/>
          <w:szCs w:val="20"/>
          <w:color w:val="auto"/>
        </w:rPr>
      </w:pPr>
      <w:r>
        <w:rPr>
          <w:rFonts w:ascii="Times New Roman" w:cs="Times New Roman" w:eastAsia="Times New Roman" w:hAnsi="Times New Roman"/>
          <w:sz w:val="13"/>
          <w:szCs w:val="13"/>
          <w:color w:val="auto"/>
        </w:rPr>
        <w:t>dividend paid in shares of Common Stock or in shares of any other class or series of capital stock ranking junior to the Series E Preferred Stock as to dividends and upon liquidation) for any period, nor shall any shares of Common Stock or any other shares of any other class or series of capital stock of the Company ranking, as to dividends or upon liquidation, on parity with or junior to the Series E Preferred Stock be redeemed, purchased or otherwise acquired for any consideration, nor shall any funds be paid or made available for a sinking fund for the redemption of such shares, and no other distribution of cash or other property may be made, directly or indirectly, on or with respect thereto by the Company (except by conversion into or exchange for other shares of any class or series of capital stock of the Company ranking junior to the Series E Preferred Stock as to dividends and upon liquidation, and except for the acquisition of shares made pursuant to the provisions of Article VI of the Charter or Section 9 hereof), unless full cumulative dividends on the Series E Preferred Stock for all past dividend periods shall have been or contemporaneously are (i) declared and paid in cash or (ii) declared and a sum sufficient for the payment thereof in cash is set apart for such payment.</w:t>
      </w:r>
    </w:p>
    <w:p>
      <w:pPr>
        <w:spacing w:after="0" w:line="301" w:lineRule="exact"/>
        <w:rPr>
          <w:sz w:val="20"/>
          <w:szCs w:val="20"/>
          <w:color w:val="auto"/>
        </w:rPr>
      </w:pPr>
    </w:p>
    <w:p>
      <w:pPr>
        <w:ind w:left="600" w:right="640" w:firstLine="306"/>
        <w:spacing w:after="0" w:line="274" w:lineRule="auto"/>
        <w:tabs>
          <w:tab w:leader="none" w:pos="1092" w:val="left"/>
        </w:tabs>
        <w:numPr>
          <w:ilvl w:val="0"/>
          <w:numId w:val="2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When dividends are not paid in full (and a sum sufficient for such full payment is not so set apart) on the Series E Preferred Stock and the shares of any other class or series of capital stock ranking, as to dividends, on parity with the Series E Preferred Stock, all dividends declared upon the Series E Preferred Stock and each such other class or series of capital stock ranking, as to dividends, on parity with the Series E Preferred Stock shall be declared pro rata so that the amount of dividends declared per share of Series E Preferred Stock and such other class or series of capital stock shall in all cases bear to each other the same ratio that accrued dividends per share on the Series E Preferred Stock and such other class or series of capital stock (which shall not include any accrual in respect of unpaid dividends on such other class or series of capital stock for prior dividend periods if such other class or series of capital stock does not have a cumulative dividend) bear to each other. No interest, or sum of money in lieu of interest, shall be payable in respect of any dividend payment or payments on the Series E Preferred Stock which may be in arrears.</w:t>
      </w:r>
    </w:p>
    <w:p>
      <w:pPr>
        <w:spacing w:after="0" w:line="303" w:lineRule="exact"/>
        <w:rPr>
          <w:rFonts w:ascii="Times New Roman" w:cs="Times New Roman" w:eastAsia="Times New Roman" w:hAnsi="Times New Roman"/>
          <w:sz w:val="13"/>
          <w:szCs w:val="13"/>
          <w:color w:val="auto"/>
        </w:rPr>
      </w:pPr>
    </w:p>
    <w:p>
      <w:pPr>
        <w:jc w:val="both"/>
        <w:ind w:left="600" w:right="700" w:firstLine="306"/>
        <w:spacing w:after="0" w:line="281" w:lineRule="auto"/>
        <w:tabs>
          <w:tab w:leader="none" w:pos="1092" w:val="left"/>
        </w:tabs>
        <w:numPr>
          <w:ilvl w:val="0"/>
          <w:numId w:val="2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Holders of shares of Series E Preferred Stock shall not be entitled to any dividend, whether payable in cash, property or shares of stock, in excess of full cumulative dividends on the Series E Preferred Stock as provided herein. Any dividend payment made on the Series E Preferred Stock shall first be credited against the earliest accrued but unpaid dividends due with respect to such shares which remain payable. Accrued but unpaid distributions on the Series E Preferred Stock will accumulate as of the Dividend Payment Date on which they first become payable.</w:t>
      </w:r>
    </w:p>
    <w:p>
      <w:pPr>
        <w:spacing w:after="0" w:line="14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Section 4. </w:t>
      </w:r>
      <w:r>
        <w:rPr>
          <w:rFonts w:ascii="Times New Roman" w:cs="Times New Roman" w:eastAsia="Times New Roman" w:hAnsi="Times New Roman"/>
          <w:sz w:val="13"/>
          <w:szCs w:val="13"/>
          <w:u w:val="single" w:color="auto"/>
          <w:color w:val="auto"/>
        </w:rPr>
        <w:t>Liquidation Preference</w:t>
      </w:r>
      <w:r>
        <w:rPr>
          <w:rFonts w:ascii="Times New Roman" w:cs="Times New Roman" w:eastAsia="Times New Roman" w:hAnsi="Times New Roman"/>
          <w:sz w:val="13"/>
          <w:szCs w:val="13"/>
          <w:color w:val="auto"/>
        </w:rPr>
        <w:t xml:space="preserve"> .</w:t>
      </w:r>
    </w:p>
    <w:p>
      <w:pPr>
        <w:spacing w:after="0" w:line="187" w:lineRule="exact"/>
        <w:rPr>
          <w:sz w:val="20"/>
          <w:szCs w:val="20"/>
          <w:color w:val="auto"/>
        </w:rPr>
      </w:pPr>
    </w:p>
    <w:p>
      <w:pPr>
        <w:ind w:left="600" w:right="620" w:firstLine="306"/>
        <w:spacing w:after="0" w:line="272" w:lineRule="auto"/>
        <w:tabs>
          <w:tab w:leader="none" w:pos="1092" w:val="left"/>
        </w:tabs>
        <w:numPr>
          <w:ilvl w:val="0"/>
          <w:numId w:val="2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any voluntary or involuntary liquidation, dissolution or winding up of the Company, before any distribution or payment shall be made to holders of shares of Common Stock or any other class or series of capital stock of the Company ranking, as to rights upon any voluntary or involuntary liquidation, dissolution or winding up of the Company, junior to the Series E Preferred Stock, the holders of shares of Series E Preferred Stock shall be entitled to be paid out of the assets of the Company legally available for distribution to its stockholders, after payment of or provision for the debts and other liabilities of the Company, a liquidation preference of $25.00 per share, plus an amount equal to any accrued and unpaid dividends (whether or not authorized or declared) to but excluding the date of payment. In the event that, upon such voluntary or involuntary liquidation, dissolution or winding up, the available assets of the Company are insufficient to pay the full amount of the liquidating distributions on all outstanding shares of Series E Preferred Stock and the corresponding amounts payable on all shares of other classes or series of capital stock of the Company ranking, as to liquidation rights, on parity with the Series E Preferred Stock in the distribution of assets, then the holders of the Series E Preferred Stock and each such other class or series of shares of capital stock ranking, as to voluntary or involuntary liquidation rights, on parity with the Series E Preferred Stock shall share ratably in any such distribution of assets in proportion to the full liquidating distributions to which they would otherwise be respectively entitled. Written notice of any such voluntary or involuntary liquidation, dissolution or winding up of the Company, stating the payment date or dates when, and the place or places where, the amounts distributable in such circumstances shall be payable, shall be given by first class mail, postage pre-paid, not fewer than 30 or more than 60 days prior to the payment date stated therein, to each record holder of shares of Series E Preferred Stock at the respective addresses of such holders as the same shall appear on the stock transfer records of the Company. After payment of the full amount of the liquidating distributions to which they are entitled, the holders of Series E Preferred Stock will have no right or claim to any of the remaining assets of the Company. The consolidation or merger of the Company with or into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674370</wp:posOffset>
            </wp:positionV>
            <wp:extent cx="5083810" cy="1524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59">
                      <a:extLst>
                        <a:ext uri="{28A0092B-C50C-407E-A947-70E740481C1C}"/>
                      </a:extLst>
                    </a:blip>
                    <a:srcRect/>
                    <a:stretch>
                      <a:fillRect/>
                    </a:stretch>
                  </pic:blipFill>
                  <pic:spPr bwMode="auto">
                    <a:xfrm>
                      <a:off x="0" y="0"/>
                      <a:ext cx="5083810" cy="15240"/>
                    </a:xfrm>
                    <a:prstGeom prst="rect">
                      <a:avLst/>
                    </a:prstGeom>
                    <a:noFill/>
                  </pic:spPr>
                </pic:pic>
              </a:graphicData>
            </a:graphic>
          </wp:anchor>
        </w:drawing>
        <w:drawing>
          <wp:anchor simplePos="0" relativeHeight="251657728" behindDoc="1" locked="0" layoutInCell="0" allowOverlap="1">
            <wp:simplePos x="0" y="0"/>
            <wp:positionH relativeFrom="column">
              <wp:posOffset>384810</wp:posOffset>
            </wp:positionH>
            <wp:positionV relativeFrom="paragraph">
              <wp:posOffset>316230</wp:posOffset>
            </wp:positionV>
            <wp:extent cx="4436110" cy="1524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60">
                      <a:extLst>
                        <a:ext uri="{28A0092B-C50C-407E-A947-70E740481C1C}"/>
                      </a:extLst>
                    </a:blip>
                    <a:srcRect/>
                    <a:stretch>
                      <a:fillRect/>
                    </a:stretch>
                  </pic:blipFill>
                  <pic:spPr bwMode="auto">
                    <a:xfrm>
                      <a:off x="0" y="0"/>
                      <a:ext cx="44361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16" w:name="page317"/>
    <w:bookmarkEnd w:id="316"/>
    <w:p>
      <w:pPr>
        <w:ind w:left="600" w:right="1140"/>
        <w:spacing w:after="0" w:line="305" w:lineRule="auto"/>
        <w:rPr>
          <w:sz w:val="20"/>
          <w:szCs w:val="20"/>
          <w:color w:val="auto"/>
        </w:rPr>
      </w:pPr>
      <w:r>
        <w:rPr>
          <w:rFonts w:ascii="Times New Roman" w:cs="Times New Roman" w:eastAsia="Times New Roman" w:hAnsi="Times New Roman"/>
          <w:sz w:val="13"/>
          <w:szCs w:val="13"/>
          <w:color w:val="auto"/>
        </w:rPr>
        <w:t>corporation, trust or entity, or the voluntary sale, lease, transfer or conveyance of all or substantially all of the property or business of the Company, shall not be deemed to constitute a liquidation, dissolution or winding up of the Company.</w:t>
      </w:r>
    </w:p>
    <w:p>
      <w:pPr>
        <w:spacing w:after="0" w:line="124" w:lineRule="exact"/>
        <w:rPr>
          <w:sz w:val="20"/>
          <w:szCs w:val="20"/>
          <w:color w:val="auto"/>
        </w:rPr>
      </w:pPr>
    </w:p>
    <w:p>
      <w:pPr>
        <w:ind w:left="1080" w:hanging="174"/>
        <w:spacing w:after="0"/>
        <w:tabs>
          <w:tab w:leader="none" w:pos="1080" w:val="left"/>
        </w:tabs>
        <w:numPr>
          <w:ilvl w:val="0"/>
          <w:numId w:val="2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determining whether a distribution (other than upon voluntary or involuntary liquidation), by dividend, redemption or other</w:t>
      </w:r>
    </w:p>
    <w:p>
      <w:pPr>
        <w:spacing w:after="0" w:line="22" w:lineRule="exact"/>
        <w:rPr>
          <w:rFonts w:ascii="Times New Roman" w:cs="Times New Roman" w:eastAsia="Times New Roman" w:hAnsi="Times New Roman"/>
          <w:sz w:val="13"/>
          <w:szCs w:val="13"/>
          <w:color w:val="auto"/>
        </w:rPr>
      </w:pPr>
    </w:p>
    <w:p>
      <w:pPr>
        <w:ind w:left="600" w:right="720"/>
        <w:spacing w:after="0" w:line="284"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acquisition of shares of capital stock of the Company or otherwise, is permitted under the MGCL, amounts that would be needed, if the Company were to be dissolved at the time of the distribution, to satisfy the preferential rights upon dissolution of holders of shares of Series E Preferred Stock shall not be added to the Company’s total liabilities.</w:t>
      </w:r>
    </w:p>
    <w:p>
      <w:pPr>
        <w:spacing w:after="0" w:line="13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Section 5. </w:t>
      </w:r>
      <w:r>
        <w:rPr>
          <w:rFonts w:ascii="Times New Roman" w:cs="Times New Roman" w:eastAsia="Times New Roman" w:hAnsi="Times New Roman"/>
          <w:sz w:val="13"/>
          <w:szCs w:val="13"/>
          <w:u w:val="single" w:color="auto"/>
          <w:color w:val="auto"/>
        </w:rPr>
        <w:t>Redemption</w:t>
      </w:r>
      <w:r>
        <w:rPr>
          <w:rFonts w:ascii="Times New Roman" w:cs="Times New Roman" w:eastAsia="Times New Roman" w:hAnsi="Times New Roman"/>
          <w:sz w:val="13"/>
          <w:szCs w:val="13"/>
          <w:color w:val="auto"/>
        </w:rPr>
        <w:t xml:space="preserve"> .</w:t>
      </w:r>
    </w:p>
    <w:p>
      <w:pPr>
        <w:spacing w:after="0" w:line="187" w:lineRule="exact"/>
        <w:rPr>
          <w:sz w:val="20"/>
          <w:szCs w:val="20"/>
          <w:color w:val="auto"/>
        </w:rPr>
      </w:pPr>
    </w:p>
    <w:p>
      <w:pPr>
        <w:ind w:left="600" w:right="820" w:firstLine="306"/>
        <w:spacing w:after="0" w:line="278" w:lineRule="auto"/>
        <w:tabs>
          <w:tab w:leader="none" w:pos="1080" w:val="left"/>
        </w:tabs>
        <w:numPr>
          <w:ilvl w:val="0"/>
          <w:numId w:val="2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Shares of Series E Preferred Stock shall not be redeemable prior to September 15, 2016 except as set forth in Section 6 or to preserve the status of the Company as a REIT (as defined in Section 9(a)) for United States federal income tax purposes. In addition, the Series E Preferred Stock shall be subject to the provisions of Section 9 pursuant to which Series E Preferred Stock owned by a stockholder in excess of the Ownership Limit (as defined in Section 9(a)) shall automatically be transferred to a Trust (as defined in Section 9(a)) for the exclusive benefit of a Charitable Beneficiary (as defined in Section 9(a)).</w:t>
      </w:r>
    </w:p>
    <w:p>
      <w:pPr>
        <w:spacing w:after="0" w:line="143" w:lineRule="exact"/>
        <w:rPr>
          <w:sz w:val="20"/>
          <w:szCs w:val="20"/>
          <w:color w:val="auto"/>
        </w:rPr>
      </w:pPr>
    </w:p>
    <w:p>
      <w:pPr>
        <w:ind w:left="600" w:right="720" w:firstLine="312"/>
        <w:spacing w:after="0" w:line="272" w:lineRule="auto"/>
        <w:rPr>
          <w:sz w:val="20"/>
          <w:szCs w:val="20"/>
          <w:color w:val="auto"/>
        </w:rPr>
      </w:pPr>
      <w:r>
        <w:rPr>
          <w:rFonts w:ascii="Times New Roman" w:cs="Times New Roman" w:eastAsia="Times New Roman" w:hAnsi="Times New Roman"/>
          <w:sz w:val="13"/>
          <w:szCs w:val="13"/>
          <w:color w:val="auto"/>
        </w:rPr>
        <w:t>(b) On and after September 15, 2016, the Company, at its option upon not fewer than 30 or more than 60 days’ written notice, may redeem the Series E Preferred Stock, in whole or in part, at any time or from time to time, for cash at a redemption price of</w:t>
      </w:r>
    </w:p>
    <w:p>
      <w:pPr>
        <w:spacing w:after="0" w:line="1" w:lineRule="exact"/>
        <w:rPr>
          <w:sz w:val="20"/>
          <w:szCs w:val="20"/>
          <w:color w:val="auto"/>
        </w:rPr>
      </w:pPr>
    </w:p>
    <w:p>
      <w:pPr>
        <w:ind w:left="600" w:right="600"/>
        <w:spacing w:after="0" w:line="271" w:lineRule="auto"/>
        <w:rPr>
          <w:sz w:val="20"/>
          <w:szCs w:val="20"/>
          <w:color w:val="auto"/>
        </w:rPr>
      </w:pPr>
      <w:r>
        <w:rPr>
          <w:rFonts w:ascii="Times New Roman" w:cs="Times New Roman" w:eastAsia="Times New Roman" w:hAnsi="Times New Roman"/>
          <w:sz w:val="13"/>
          <w:szCs w:val="13"/>
          <w:color w:val="auto"/>
        </w:rPr>
        <w:t xml:space="preserve">$25.00 per share, plus all accrued and unpaid dividends (whether or not declared) thereon up to but not including the date fixed for redemption, without interest, to the extent the Company has funds legally available therefor (the “ </w:t>
      </w:r>
      <w:r>
        <w:rPr>
          <w:rFonts w:ascii="Times New Roman" w:cs="Times New Roman" w:eastAsia="Times New Roman" w:hAnsi="Times New Roman"/>
          <w:sz w:val="13"/>
          <w:szCs w:val="13"/>
          <w:u w:val="single" w:color="auto"/>
          <w:color w:val="auto"/>
        </w:rPr>
        <w:t>Redemption Right</w:t>
      </w:r>
      <w:r>
        <w:rPr>
          <w:rFonts w:ascii="Times New Roman" w:cs="Times New Roman" w:eastAsia="Times New Roman" w:hAnsi="Times New Roman"/>
          <w:sz w:val="13"/>
          <w:szCs w:val="13"/>
          <w:color w:val="auto"/>
        </w:rPr>
        <w:t xml:space="preserve"> ”). If fewer than all of the outstanding shares of Series E Preferred Stock are to be redeemed, the shares of Series E Preferred Stock to be redeemed shall be redeemed pro rata (as nearly as may be practicable without creating fractional shares) by lot or by any other equitable method determined by the Company that will not result in a violation of the Ownership Limit or the Aggregate Stock Ownership Limit (each as defined in Section 9(a)). If redemption is to be by lot and, as a result, any holder of shares of Series E Preferred Stock would have actual ownership, Beneficial Ownership or Constructive Ownership (each as defined in Section 9(a)) in excess of the Ownership Limit (as defined in Section 9(a)), the Aggregate Stock Ownership Limit (as defined in Section 9(a)), or such other limit as permitted by the Board of Directors or the Committee pursuant to Section 9(i), because such holder’s shares of Series E Preferred Stock were not redeemed, or were only redeemed in part, then, except as otherwise provided in the Charter, the Company shall redeem the requisite number of shares of Series E Preferred Stock of such holder such that no holder will hold an amount of Series E Preferred Stock in excess of the applicable ownership limit, subsequent to such redemption. Holders of Series E Preferred Stock to be redeemed shall surrender such Series E Preferred Stock at the place designated in such notice and shall be entitled to the redemption price of $25.00 per share and any accrued and unpaid dividends payable upon such redemption following such surrender. If (i) notice of redemption of any shares of Series E Preferred Stock has been given, (ii) the funds necessary for such redemption have been set aside by the Company in trust for the benefit of the holders of any shares of Series E Preferred Stock so called for redemption, and (iii) irrevocable instructions have been given to pay the redemption price and all accrued and unpaid dividends, then from and after the redemption date, dividends shall cease to accrue on such shares of Series E Preferred Stock, such shares of Series E Preferred Stock shall no longer be deemed outstanding, and all rights of the holders of such shares shall terminate, except the right to receive the redemption price plus any accrued and unpaid dividends payable upon such redemption, without interest. So long as full cumulative dividends on the Series E Preferred Stock for all past dividend periods shall have been or contemporaneously are (i) declared and paid in cash, or (ii) declared and a sum sufficient for the payment thereof in cash is set apart for payment, nothing herein shall prevent or restrict the Company’s right or ability to purchase, from time to time, either at a public or a private sale, all or any part of the Series E Preferred Stock at such price or prices as the Company may determine, subject to the provisions of applicable law, including the repurchase of shares of Series E Preferred Stock in open-market transactions duly authorized by the Board of Directors.</w:t>
      </w:r>
    </w:p>
    <w:p>
      <w:pPr>
        <w:spacing w:after="0" w:line="135" w:lineRule="exact"/>
        <w:rPr>
          <w:sz w:val="20"/>
          <w:szCs w:val="20"/>
          <w:color w:val="auto"/>
        </w:rPr>
      </w:pPr>
    </w:p>
    <w:p>
      <w:pPr>
        <w:ind w:left="600" w:right="700" w:firstLine="306"/>
        <w:spacing w:after="0" w:line="281" w:lineRule="auto"/>
        <w:tabs>
          <w:tab w:leader="none" w:pos="1080" w:val="left"/>
        </w:tabs>
        <w:numPr>
          <w:ilvl w:val="0"/>
          <w:numId w:val="2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event of any redemption of the Series E Preferred Stock in order to preserve the status of the Company as a REIT for United States federal income tax purposes, such redemption shall be made in accordance with the terms and conditions set forth in this Section 5 of these Articles Supplementary. If the Company calls for redemption any shares of Series E Preferred Stock pursuant to and in accordance with this Section 5(c), then the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674370</wp:posOffset>
            </wp:positionV>
            <wp:extent cx="5083810" cy="1524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61">
                      <a:extLst>
                        <a:ext uri="{28A0092B-C50C-407E-A947-70E740481C1C}"/>
                      </a:extLst>
                    </a:blip>
                    <a:srcRect/>
                    <a:stretch>
                      <a:fillRect/>
                    </a:stretch>
                  </pic:blipFill>
                  <pic:spPr bwMode="auto">
                    <a:xfrm>
                      <a:off x="0" y="0"/>
                      <a:ext cx="5083810" cy="15240"/>
                    </a:xfrm>
                    <a:prstGeom prst="rect">
                      <a:avLst/>
                    </a:prstGeom>
                    <a:noFill/>
                  </pic:spPr>
                </pic:pic>
              </a:graphicData>
            </a:graphic>
          </wp:anchor>
        </w:drawing>
        <w:drawing>
          <wp:anchor simplePos="0" relativeHeight="251657728" behindDoc="1" locked="0" layoutInCell="0" allowOverlap="1">
            <wp:simplePos x="0" y="0"/>
            <wp:positionH relativeFrom="column">
              <wp:posOffset>384810</wp:posOffset>
            </wp:positionH>
            <wp:positionV relativeFrom="paragraph">
              <wp:posOffset>316230</wp:posOffset>
            </wp:positionV>
            <wp:extent cx="4436110" cy="1524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62">
                      <a:extLst>
                        <a:ext uri="{28A0092B-C50C-407E-A947-70E740481C1C}"/>
                      </a:extLst>
                    </a:blip>
                    <a:srcRect/>
                    <a:stretch>
                      <a:fillRect/>
                    </a:stretch>
                  </pic:blipFill>
                  <pic:spPr bwMode="auto">
                    <a:xfrm>
                      <a:off x="0" y="0"/>
                      <a:ext cx="44361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17" w:name="page318"/>
    <w:bookmarkEnd w:id="317"/>
    <w:p>
      <w:pPr>
        <w:ind w:left="600"/>
        <w:spacing w:after="0" w:line="305" w:lineRule="auto"/>
        <w:rPr>
          <w:sz w:val="20"/>
          <w:szCs w:val="20"/>
          <w:color w:val="auto"/>
        </w:rPr>
      </w:pPr>
      <w:r>
        <w:rPr>
          <w:rFonts w:ascii="Times New Roman" w:cs="Times New Roman" w:eastAsia="Times New Roman" w:hAnsi="Times New Roman"/>
          <w:sz w:val="13"/>
          <w:szCs w:val="13"/>
          <w:color w:val="auto"/>
        </w:rPr>
        <w:t>redemption price for such shares will be an amount in cash equal to $25.00 per share together with all accrued and unpaid excluding the dated fixed for redemption.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dividends to but</w:t>
      </w:r>
    </w:p>
    <w:p>
      <w:pPr>
        <w:spacing w:after="0" w:line="354" w:lineRule="exact"/>
        <w:rPr>
          <w:sz w:val="20"/>
          <w:szCs w:val="20"/>
          <w:color w:val="auto"/>
        </w:rPr>
      </w:pPr>
    </w:p>
    <w:p>
      <w:pPr>
        <w:sectPr>
          <w:pgSz w:w="11900" w:h="16840" w:orient="portrait"/>
          <w:cols w:equalWidth="0" w:num="2">
            <w:col w:w="7020" w:space="100"/>
            <w:col w:w="1900"/>
          </w:cols>
          <w:pgMar w:left="1440" w:top="558" w:right="1440" w:bottom="1440" w:gutter="0" w:footer="0" w:header="0"/>
        </w:sectPr>
      </w:pPr>
    </w:p>
    <w:p>
      <w:pPr>
        <w:ind w:left="900"/>
        <w:spacing w:after="0"/>
        <w:rPr>
          <w:sz w:val="20"/>
          <w:szCs w:val="20"/>
          <w:color w:val="auto"/>
        </w:rPr>
      </w:pPr>
      <w:r>
        <w:rPr>
          <w:rFonts w:ascii="Times New Roman" w:cs="Times New Roman" w:eastAsia="Times New Roman" w:hAnsi="Times New Roman"/>
          <w:sz w:val="13"/>
          <w:szCs w:val="13"/>
          <w:color w:val="auto"/>
        </w:rPr>
        <w:t>(d) Unless full cumulative dividends on the Series E Preferred Stock for all past dividend periods shall have been or  contemporaneously are</w:t>
      </w:r>
    </w:p>
    <w:p>
      <w:pPr>
        <w:sectPr>
          <w:pgSz w:w="11900" w:h="16840" w:orient="portrait"/>
          <w:cols w:equalWidth="0" w:num="1">
            <w:col w:w="9020"/>
          </w:cols>
          <w:pgMar w:left="1440" w:top="558" w:right="1440" w:bottom="1440" w:gutter="0" w:footer="0" w:header="0"/>
          <w:type w:val="continuous"/>
        </w:sectPr>
      </w:pPr>
    </w:p>
    <w:p>
      <w:pPr>
        <w:spacing w:after="0" w:line="22" w:lineRule="exact"/>
        <w:rPr>
          <w:sz w:val="20"/>
          <w:szCs w:val="20"/>
          <w:color w:val="auto"/>
        </w:rPr>
      </w:pPr>
    </w:p>
    <w:p>
      <w:pPr>
        <w:ind w:left="760" w:hanging="166"/>
        <w:spacing w:after="0"/>
        <w:tabs>
          <w:tab w:leader="none" w:pos="760" w:val="left"/>
        </w:tabs>
        <w:numPr>
          <w:ilvl w:val="0"/>
          <w:numId w:val="2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declared and paid in cash, or (ii) declared and a sum sufficient for the payment thereof in cash is set apart for payment, no shares of Series E</w:t>
      </w:r>
    </w:p>
    <w:p>
      <w:pPr>
        <w:spacing w:after="0" w:line="18" w:lineRule="exact"/>
        <w:rPr>
          <w:rFonts w:ascii="Times New Roman" w:cs="Times New Roman" w:eastAsia="Times New Roman" w:hAnsi="Times New Roman"/>
          <w:sz w:val="13"/>
          <w:szCs w:val="13"/>
          <w:color w:val="auto"/>
        </w:rPr>
      </w:pPr>
    </w:p>
    <w:p>
      <w:pPr>
        <w:ind w:left="600" w:right="640"/>
        <w:spacing w:after="0" w:line="273"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Preferred Stock shall be redeemed pursuant to the Redemption Right or Special Optional Redemption Right (defined below) unless all outstanding shares of Series E Preferred Stock are simultaneously redeemed, and the Company shall not purchase or otherwise acquire directly or indirectly any shares of Series E Preferred Stock or any class or series of capital stock of the Company ranking, as to dividends or upon liquidation, on parity with or junior to the Series E Preferred Stock (except by conversion into or exchange for shares of capital stock of the Company ranking, as to dividends and upon liquidation, junior to the Series E Preferred Stock);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 that the foregoing shall not prevent the purchase of Series E Preferred Stock, or any other class or series of capital stock of the Company ranking, as to dividends or upon liquidation, on parity with or junior to the Series E Preferred Stock, by the Company in accordance with the terms of Sections 5(c) and 9 of these Articles Supplementary or otherwise, in order to ensure that the Company remains qualified as a REIT for United States federal income tax purposes, or the purchase or acquisition of Series E Preferred Stock pursuant to a purchase or exchange offer made on the same terms to holders of all outstanding shares of Series E Preferred Stock.</w:t>
      </w:r>
    </w:p>
    <w:p>
      <w:pPr>
        <w:spacing w:after="0" w:line="302" w:lineRule="exact"/>
        <w:rPr>
          <w:rFonts w:ascii="Times New Roman" w:cs="Times New Roman" w:eastAsia="Times New Roman" w:hAnsi="Times New Roman"/>
          <w:sz w:val="13"/>
          <w:szCs w:val="13"/>
          <w:color w:val="auto"/>
        </w:rPr>
      </w:pPr>
    </w:p>
    <w:p>
      <w:pPr>
        <w:ind w:left="600" w:right="600" w:firstLine="306"/>
        <w:spacing w:after="0" w:line="272" w:lineRule="auto"/>
        <w:tabs>
          <w:tab w:leader="none" w:pos="1080" w:val="left"/>
        </w:tabs>
        <w:numPr>
          <w:ilvl w:val="1"/>
          <w:numId w:val="2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Notice of redemption pursuant to the Redemption Right will be given by publication in a newspaper of general circulation in the City of New York, such publication to be made once a week for two successive weeks commencing not fewer than 30 or more than 60 days prior to the redemption date. A similar notice will be mailed by the Company, postage prepaid, not fewer than 30 or more than 60 days prior to the redemption date, addressed to the respective holders of record of the Series E Preferred Stock to be redeemed at their respective addresses as they appear on the transfer records of the Company. No failure to give or defect in such notice shall affect the validity of the proceedings for the redemption of any Series E Preferred Stock except as to the holder to whom such notice was defective or not given. In addition to any information required by law or by the applicable rules of any exchange upon which the Series E Preferred Stock may be listed or admitted to trading, each such notice shall state: (i) the redemption date; (ii) the redemption price; (iii) the number of shares of Series E Preferred Stock to be redeemed; (iv) the place or places where the certificates, if any, representing shares of Series E Preferred Stock are to be surrendered for payment of the redemption price; (v) procedures for surrendering noncertificated shares of Series E Preferred Stock for payment of the redemption price; (vi) that dividends on the shares of Series E Preferred Stock to be redeemed will cease to accumulate on such redemption date; and (vii) that payment of the redemption price and any accumulated and unpaid dividends will be made upon presentation and surrender of such Series E Preferred Stock. If fewer than all of the shares of Series E Preferred Stock held by any holder are to be redeemed, the notice mailed to such holder shall also specify the number of shares of Series E Preferred Stock held by such holder to be redeemed. Notwithstanding anything else to the contrary in these Articles Supplementary, the Company shall not be required to provide notice to the holder of Series E Preferred Stock in the event such holder’s Series E Preferred Stock is redeemed in accordance with Sections 5(c) and 9 of these Articles Supplementary to preserve the Company’s status as a REIT.</w:t>
      </w:r>
    </w:p>
    <w:p>
      <w:pPr>
        <w:spacing w:after="0" w:line="134" w:lineRule="exact"/>
        <w:rPr>
          <w:rFonts w:ascii="Times New Roman" w:cs="Times New Roman" w:eastAsia="Times New Roman" w:hAnsi="Times New Roman"/>
          <w:sz w:val="13"/>
          <w:szCs w:val="13"/>
          <w:color w:val="auto"/>
        </w:rPr>
      </w:pPr>
    </w:p>
    <w:p>
      <w:pPr>
        <w:ind w:left="600" w:right="580" w:firstLine="306"/>
        <w:spacing w:after="0" w:line="276" w:lineRule="auto"/>
        <w:tabs>
          <w:tab w:leader="none" w:pos="1068" w:val="left"/>
        </w:tabs>
        <w:numPr>
          <w:ilvl w:val="1"/>
          <w:numId w:val="2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 redemption date falls after a Dividend Record Date and on or prior to the corresponding Dividend Payment Date, each holder of Series E Preferred Stock at the close of business of such Dividend Record Date shall be entitled to the dividend payable on such shares on the corresponding Dividend Payment Date notwithstanding the redemption of such shares on or prior to such Dividend Payment Date, and each holder of Series E Preferred Stock that surrenders its shares on such redemption date will be entitled to the dividends accruing after the end of the Dividend Period to which such Dividend Payment Date relates up to but excluding the redemption date. Except as provided herein, the Company shall make no payment or allowance for unpaid dividends, whether or not in arrears, on Series E Preferred Stock for which a notice of redemption has been given.</w:t>
      </w:r>
    </w:p>
    <w:p>
      <w:pPr>
        <w:spacing w:after="0" w:line="312" w:lineRule="exact"/>
        <w:rPr>
          <w:rFonts w:ascii="Times New Roman" w:cs="Times New Roman" w:eastAsia="Times New Roman" w:hAnsi="Times New Roman"/>
          <w:sz w:val="13"/>
          <w:szCs w:val="13"/>
          <w:color w:val="auto"/>
        </w:rPr>
      </w:pPr>
    </w:p>
    <w:p>
      <w:pPr>
        <w:ind w:left="1080" w:hanging="174"/>
        <w:spacing w:after="0"/>
        <w:tabs>
          <w:tab w:leader="none" w:pos="1080" w:val="left"/>
        </w:tabs>
        <w:numPr>
          <w:ilvl w:val="1"/>
          <w:numId w:val="2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shares of the Series E Preferred Stock redeemed or repurchased pursuant to this Section 5, or otherwise acquired in any other</w:t>
      </w:r>
    </w:p>
    <w:p>
      <w:pPr>
        <w:spacing w:after="0" w:line="22" w:lineRule="exact"/>
        <w:rPr>
          <w:sz w:val="20"/>
          <w:szCs w:val="20"/>
          <w:color w:val="auto"/>
        </w:rPr>
      </w:pPr>
    </w:p>
    <w:p>
      <w:pPr>
        <w:ind w:left="600" w:right="1200"/>
        <w:spacing w:after="0" w:line="299" w:lineRule="auto"/>
        <w:rPr>
          <w:sz w:val="20"/>
          <w:szCs w:val="20"/>
          <w:color w:val="auto"/>
        </w:rPr>
      </w:pPr>
      <w:r>
        <w:rPr>
          <w:rFonts w:ascii="Times New Roman" w:cs="Times New Roman" w:eastAsia="Times New Roman" w:hAnsi="Times New Roman"/>
          <w:sz w:val="13"/>
          <w:szCs w:val="13"/>
          <w:color w:val="auto"/>
        </w:rPr>
        <w:t>manner by the Company, shall be retired and shall be restored to the status of authorized but unissued shares of Preferred Stock, without designation as to series or class.</w:t>
      </w:r>
    </w:p>
    <w:p>
      <w:pPr>
        <w:spacing w:after="0" w:line="128" w:lineRule="exact"/>
        <w:rPr>
          <w:sz w:val="20"/>
          <w:szCs w:val="20"/>
          <w:color w:val="auto"/>
        </w:rPr>
      </w:pPr>
    </w:p>
    <w:p>
      <w:pPr>
        <w:ind w:left="600" w:right="1040" w:firstLine="306"/>
        <w:spacing w:after="0" w:line="305" w:lineRule="auto"/>
        <w:tabs>
          <w:tab w:leader="none" w:pos="1092" w:val="left"/>
        </w:tabs>
        <w:numPr>
          <w:ilvl w:val="0"/>
          <w:numId w:val="2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Series E Preferred Stock shall have no stated maturity and shall not be subject to any sinking fund or mandatory redemption;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 that the Series E Preferred Stock owned by a stockholder in excess of</w:t>
      </w:r>
    </w:p>
    <w:p>
      <w:pPr>
        <w:spacing w:after="0" w:line="200" w:lineRule="exact"/>
        <w:rPr>
          <w:sz w:val="20"/>
          <w:szCs w:val="20"/>
          <w:color w:val="auto"/>
        </w:rPr>
      </w:pPr>
    </w:p>
    <w:p>
      <w:pPr>
        <w:spacing w:after="0" w:line="2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316230</wp:posOffset>
            </wp:positionV>
            <wp:extent cx="4436110" cy="762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63">
                      <a:extLst>
                        <a:ext uri="{28A0092B-C50C-407E-A947-70E740481C1C}"/>
                      </a:extLst>
                    </a:blip>
                    <a:srcRect/>
                    <a:stretch>
                      <a:fillRect/>
                    </a:stretch>
                  </pic:blipFill>
                  <pic:spPr bwMode="auto">
                    <a:xfrm>
                      <a:off x="0" y="0"/>
                      <a:ext cx="4436110"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-64135</wp:posOffset>
            </wp:positionV>
            <wp:extent cx="5083810" cy="1524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64">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type w:val="continuous"/>
        </w:sectPr>
      </w:pPr>
    </w:p>
    <w:bookmarkStart w:id="318" w:name="page319"/>
    <w:bookmarkEnd w:id="318"/>
    <w:p>
      <w:pPr>
        <w:ind w:left="600"/>
        <w:spacing w:after="0"/>
        <w:rPr>
          <w:sz w:val="20"/>
          <w:szCs w:val="20"/>
          <w:color w:val="auto"/>
        </w:rPr>
      </w:pPr>
      <w:r>
        <w:rPr>
          <w:rFonts w:ascii="Times New Roman" w:cs="Times New Roman" w:eastAsia="Times New Roman" w:hAnsi="Times New Roman"/>
          <w:sz w:val="13"/>
          <w:szCs w:val="13"/>
          <w:color w:val="auto"/>
        </w:rPr>
        <w:t>the applicable ownership limit shall be subject to the provisions of this Section 5 and Section 9 of these Articles Supplementary.</w:t>
      </w:r>
    </w:p>
    <w:p>
      <w:pPr>
        <w:spacing w:after="0" w:line="18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Section 6. Special Optional Redemption by the Company.</w:t>
      </w:r>
    </w:p>
    <w:p>
      <w:pPr>
        <w:spacing w:after="0" w:line="187" w:lineRule="exact"/>
        <w:rPr>
          <w:sz w:val="20"/>
          <w:szCs w:val="20"/>
          <w:color w:val="auto"/>
        </w:rPr>
      </w:pPr>
    </w:p>
    <w:p>
      <w:pPr>
        <w:ind w:left="600" w:right="660" w:firstLine="306"/>
        <w:spacing w:after="0" w:line="273" w:lineRule="auto"/>
        <w:tabs>
          <w:tab w:leader="none" w:pos="1092" w:val="left"/>
        </w:tabs>
        <w:numPr>
          <w:ilvl w:val="0"/>
          <w:numId w:val="2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Upon the occurrence of a Change of Control (as defined below), the Company will have the option upon written notice mailed by the Company, postage pre-paid, no fewer than 30 nor more than 60 days prior to the redemption date and addressed to the holders of record of shares of the Series E Preferred Stock to be redeemed at their respective addresses as they appear on the share transfer records of the Company, to redeem shares of the Series E Preferred Stock, in whole or in part within 120 days after the first date on which such Change of Control occurred, for cash at $25.00 per share plus accrued and unpaid dividends, if any, to, but not including, the redemption date (“ </w:t>
      </w:r>
      <w:r>
        <w:rPr>
          <w:rFonts w:ascii="Times New Roman" w:cs="Times New Roman" w:eastAsia="Times New Roman" w:hAnsi="Times New Roman"/>
          <w:sz w:val="13"/>
          <w:szCs w:val="13"/>
          <w:u w:val="single" w:color="auto"/>
          <w:color w:val="auto"/>
        </w:rPr>
        <w:t>Special Optional Redemption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Right</w:t>
      </w:r>
      <w:r>
        <w:rPr>
          <w:rFonts w:ascii="Times New Roman" w:cs="Times New Roman" w:eastAsia="Times New Roman" w:hAnsi="Times New Roman"/>
          <w:sz w:val="13"/>
          <w:szCs w:val="13"/>
          <w:color w:val="auto"/>
        </w:rPr>
        <w:t xml:space="preserve"> ”). No failure to give such notice or any defect thereto or in the mailing thereof shall affect the validity of the proceedings for the redemption of any shares of Series E Preferred Stock except as to the holder to whom notice was defective or not given. If, prior to the Change of Control Conversion Date (as defined below), the Company has provided or provides notice of redemption with respect to the Series E Preferred Stock (whether pursuant to the Redemption Right or the Special Optional Redemption Right), the holders of shares of Series E Preferred Stock will not have the conversion right described below in Section 8.</w:t>
      </w:r>
    </w:p>
    <w:p>
      <w:pPr>
        <w:spacing w:after="0" w:line="13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3"/>
          <w:szCs w:val="13"/>
          <w:color w:val="auto"/>
        </w:rPr>
        <w:t xml:space="preserve">A “ </w:t>
      </w:r>
      <w:r>
        <w:rPr>
          <w:rFonts w:ascii="Times New Roman" w:cs="Times New Roman" w:eastAsia="Times New Roman" w:hAnsi="Times New Roman"/>
          <w:sz w:val="13"/>
          <w:szCs w:val="13"/>
          <w:u w:val="single" w:color="auto"/>
          <w:color w:val="auto"/>
        </w:rPr>
        <w:t>Change of Control</w:t>
      </w:r>
      <w:r>
        <w:rPr>
          <w:rFonts w:ascii="Times New Roman" w:cs="Times New Roman" w:eastAsia="Times New Roman" w:hAnsi="Times New Roman"/>
          <w:sz w:val="13"/>
          <w:szCs w:val="13"/>
          <w:color w:val="auto"/>
        </w:rPr>
        <w:t xml:space="preserve"> ” is when, after the original issuance of the Series E Preferred Stock, the following have occurred and are</w:t>
      </w:r>
    </w:p>
    <w:p>
      <w:pPr>
        <w:spacing w:after="0" w:line="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continuing:</w:t>
      </w:r>
    </w:p>
    <w:p>
      <w:pPr>
        <w:spacing w:after="0" w:line="183" w:lineRule="exact"/>
        <w:rPr>
          <w:sz w:val="20"/>
          <w:szCs w:val="20"/>
          <w:color w:val="auto"/>
        </w:rPr>
      </w:pPr>
    </w:p>
    <w:p>
      <w:pPr>
        <w:ind w:left="600" w:right="720" w:firstLine="607"/>
        <w:spacing w:after="0" w:line="276" w:lineRule="auto"/>
        <w:tabs>
          <w:tab w:leader="none" w:pos="1368" w:val="left"/>
        </w:tabs>
        <w:numPr>
          <w:ilvl w:val="0"/>
          <w:numId w:val="2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acquisition by any person, including any syndicate or group deemed to be a “person” under Section 13(d)(3) of the Securities Exchange Act of 1934, as amended (the “ </w:t>
      </w:r>
      <w:r>
        <w:rPr>
          <w:rFonts w:ascii="Times New Roman" w:cs="Times New Roman" w:eastAsia="Times New Roman" w:hAnsi="Times New Roman"/>
          <w:sz w:val="13"/>
          <w:szCs w:val="13"/>
          <w:u w:val="single" w:color="auto"/>
          <w:color w:val="auto"/>
        </w:rPr>
        <w:t>Exchange Act</w:t>
      </w:r>
      <w:r>
        <w:rPr>
          <w:rFonts w:ascii="Times New Roman" w:cs="Times New Roman" w:eastAsia="Times New Roman" w:hAnsi="Times New Roman"/>
          <w:sz w:val="13"/>
          <w:szCs w:val="13"/>
          <w:color w:val="auto"/>
        </w:rPr>
        <w:t xml:space="preserve"> ”), of beneficial ownership, directly or indirectly, through a purchase, merger or other acquisition transaction or series of purchases, mergers or other acquisition transactions of stock of the Company entitling that person to exercise more than 50% of the total voting power of all stock of the Company entitled to vote generally in the election of the Company’s directors (except that such person will be deemed to have beneficial ownership of all securities that such person has the right to acquire, whether such right is currently exercisable or is exercisable only upon the occurrence of a subsequent condition); and</w:t>
      </w:r>
    </w:p>
    <w:p>
      <w:pPr>
        <w:spacing w:after="0" w:line="145" w:lineRule="exact"/>
        <w:rPr>
          <w:sz w:val="20"/>
          <w:szCs w:val="20"/>
          <w:color w:val="auto"/>
        </w:rPr>
      </w:pPr>
    </w:p>
    <w:p>
      <w:pPr>
        <w:ind w:left="600" w:right="740" w:firstLine="612"/>
        <w:spacing w:after="0" w:line="281" w:lineRule="auto"/>
        <w:rPr>
          <w:sz w:val="20"/>
          <w:szCs w:val="20"/>
          <w:color w:val="auto"/>
        </w:rPr>
      </w:pPr>
      <w:r>
        <w:rPr>
          <w:rFonts w:ascii="Times New Roman" w:cs="Times New Roman" w:eastAsia="Times New Roman" w:hAnsi="Times New Roman"/>
          <w:sz w:val="13"/>
          <w:szCs w:val="13"/>
          <w:color w:val="auto"/>
        </w:rPr>
        <w:t xml:space="preserve">(ii) following the closing of any transaction referred to in (i) above, neither the Company nor the acquiring or surviving entity has a class of common securities (or American Depositary Receipts representing such securities) listed on the New York Stock Exchange (the “ </w:t>
      </w:r>
      <w:r>
        <w:rPr>
          <w:rFonts w:ascii="Times New Roman" w:cs="Times New Roman" w:eastAsia="Times New Roman" w:hAnsi="Times New Roman"/>
          <w:sz w:val="13"/>
          <w:szCs w:val="13"/>
          <w:u w:val="single" w:color="auto"/>
          <w:color w:val="auto"/>
        </w:rPr>
        <w:t>NYSE</w:t>
      </w:r>
      <w:r>
        <w:rPr>
          <w:rFonts w:ascii="Times New Roman" w:cs="Times New Roman" w:eastAsia="Times New Roman" w:hAnsi="Times New Roman"/>
          <w:sz w:val="13"/>
          <w:szCs w:val="13"/>
          <w:color w:val="auto"/>
        </w:rPr>
        <w:t xml:space="preserve"> ”), the NYSE Amex Equities (the “ </w:t>
      </w:r>
      <w:r>
        <w:rPr>
          <w:rFonts w:ascii="Times New Roman" w:cs="Times New Roman" w:eastAsia="Times New Roman" w:hAnsi="Times New Roman"/>
          <w:sz w:val="13"/>
          <w:szCs w:val="13"/>
          <w:u w:val="single" w:color="auto"/>
          <w:color w:val="auto"/>
        </w:rPr>
        <w:t>NYSE Amex</w:t>
      </w:r>
      <w:r>
        <w:rPr>
          <w:rFonts w:ascii="Times New Roman" w:cs="Times New Roman" w:eastAsia="Times New Roman" w:hAnsi="Times New Roman"/>
          <w:sz w:val="13"/>
          <w:szCs w:val="13"/>
          <w:color w:val="auto"/>
        </w:rPr>
        <w:t xml:space="preserve"> ”), or the NASDAQ Stock Market (“ </w:t>
      </w:r>
      <w:r>
        <w:rPr>
          <w:rFonts w:ascii="Times New Roman" w:cs="Times New Roman" w:eastAsia="Times New Roman" w:hAnsi="Times New Roman"/>
          <w:sz w:val="13"/>
          <w:szCs w:val="13"/>
          <w:u w:val="single" w:color="auto"/>
          <w:color w:val="auto"/>
        </w:rPr>
        <w:t>NASDAQ</w:t>
      </w:r>
      <w:r>
        <w:rPr>
          <w:rFonts w:ascii="Times New Roman" w:cs="Times New Roman" w:eastAsia="Times New Roman" w:hAnsi="Times New Roman"/>
          <w:sz w:val="13"/>
          <w:szCs w:val="13"/>
          <w:color w:val="auto"/>
        </w:rPr>
        <w:t xml:space="preserve"> ”), or listed or quoted on an exchange or quotation system that is a successor to the NYSE, the NYSE Amex or NASDAQ.</w:t>
      </w:r>
    </w:p>
    <w:p>
      <w:pPr>
        <w:spacing w:after="0" w:line="140" w:lineRule="exact"/>
        <w:rPr>
          <w:sz w:val="20"/>
          <w:szCs w:val="20"/>
          <w:color w:val="auto"/>
        </w:rPr>
      </w:pPr>
    </w:p>
    <w:p>
      <w:pPr>
        <w:ind w:left="600" w:right="640" w:firstLine="306"/>
        <w:spacing w:after="0" w:line="272" w:lineRule="auto"/>
        <w:tabs>
          <w:tab w:leader="none" w:pos="1092" w:val="left"/>
        </w:tabs>
        <w:numPr>
          <w:ilvl w:val="0"/>
          <w:numId w:val="2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addition to any information required by law or by the applicable rules of any exchange upon which the Series E Preferred Stock may be listed or admitted to trading, such notice shall state: (i) the redemption date; (ii) the redemption price; (iii) the number of shares of Series E Preferred Stock to be redeemed; (iv) the place or places where the certificates, if any, representing shares of Series E Preferred Stock are to be surrendered for payment of the redemption price; (v) procedures for surrendering noncertificated shares of Series E Preferred Stock for payment of the redemption price; (vi) that dividends on the shares of Series E Preferred Stock to be redeemed will cease to accumulate on the redemption date; (vii) that payment of the redemption price and any accumulated and unpaid dividends will be made upon presentation and surrender of such Series E Preferred Stock; (viii) that the shares of Series E Preferred Stock are being redeemed pursuant to the Special Optional Redemption Right in connection with the occurrence of a Change of Control and a brief description of the transaction or transactions constituting such Change of Control; and (ix) that holders of the shares of Series E Preferred Stock to which the notice relates will not be able to tender such shares of Series E Preferred Stock for conversion in connection with the Change of Control and each share of Series E Preferred Stock tendered for conversion that is selected, prior to the Change of Control Conversion Date, for redemption will be redeemed on the related redemption date instead of converted on the Change of Control Conversion Date. If fewer than all of the shares of Series E Preferred Stock held by any holder are to be redeemed, the notice mailed to such holder shall also specify the number of shares of Series E Preferred Stock held by such holder to be redeemed.</w:t>
      </w:r>
    </w:p>
    <w:p>
      <w:pPr>
        <w:spacing w:after="0" w:line="138" w:lineRule="exact"/>
        <w:rPr>
          <w:sz w:val="20"/>
          <w:szCs w:val="20"/>
          <w:color w:val="auto"/>
        </w:rPr>
      </w:pPr>
    </w:p>
    <w:p>
      <w:pPr>
        <w:ind w:left="600" w:right="660" w:firstLine="612"/>
        <w:spacing w:after="0" w:line="305" w:lineRule="auto"/>
        <w:rPr>
          <w:sz w:val="20"/>
          <w:szCs w:val="20"/>
          <w:color w:val="auto"/>
        </w:rPr>
      </w:pPr>
      <w:r>
        <w:rPr>
          <w:rFonts w:ascii="Times New Roman" w:cs="Times New Roman" w:eastAsia="Times New Roman" w:hAnsi="Times New Roman"/>
          <w:sz w:val="13"/>
          <w:szCs w:val="13"/>
          <w:color w:val="auto"/>
        </w:rPr>
        <w:t>If fewer than all of the outstanding shares of Series E Preferred Stock are to be redeemed pursuant to the Special Optional Redemption Right, the shares to be redeemed shall be selected pro rata (as nearly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322580</wp:posOffset>
            </wp:positionV>
            <wp:extent cx="5083810" cy="1524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65">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316230</wp:posOffset>
            </wp:positionV>
            <wp:extent cx="4436110" cy="762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66">
                      <a:extLst>
                        <a:ext uri="{28A0092B-C50C-407E-A947-70E740481C1C}"/>
                      </a:extLst>
                    </a:blip>
                    <a:srcRect/>
                    <a:stretch>
                      <a:fillRect/>
                    </a:stretch>
                  </pic:blipFill>
                  <pic:spPr bwMode="auto">
                    <a:xfrm>
                      <a:off x="0" y="0"/>
                      <a:ext cx="4436110" cy="762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19" w:name="page320"/>
    <w:bookmarkEnd w:id="319"/>
    <w:p>
      <w:pPr>
        <w:ind w:left="600" w:right="640"/>
        <w:spacing w:after="0" w:line="274" w:lineRule="auto"/>
        <w:rPr>
          <w:sz w:val="20"/>
          <w:szCs w:val="20"/>
          <w:color w:val="auto"/>
        </w:rPr>
      </w:pPr>
      <w:r>
        <w:rPr>
          <w:rFonts w:ascii="Times New Roman" w:cs="Times New Roman" w:eastAsia="Times New Roman" w:hAnsi="Times New Roman"/>
          <w:sz w:val="13"/>
          <w:szCs w:val="13"/>
          <w:color w:val="auto"/>
        </w:rPr>
        <w:t>practicable without creating fractional shares) by lot or in such other equitable method determined by the Company that will not result in a violation of the Ownership Limit or the Aggregate Stock Ownership Limit (each as defined in Section 9(a)). If such redemption pursuant to the Special Optional Redemption Right is to be by lot and, as a result, any holder of shares of Series E Preferred Stock would have actual ownership, Beneficial Ownership or Constructive Ownership (each as defined in Section 9(a)) in excess of the Ownership Limit (as defined in Section 9(a)), the Aggregate Stock Ownership Limit (as defined in Section 9(a)), or such limit as permitted by the Board of Directors or a committee thereof pursuant to Section 9(i), because such holder’s shares of Series E Preferred Stock were not redeemed, or were only redeemed in part then, except as otherwise provided in the Charter, the Company shall redeem the requisite number of shares of Series E Preferred Stock of such holder such that no holder will hold an amount of Series E Preferred Stock in excess of the applicable ownership limit, subsequent to such redemption.</w:t>
      </w:r>
    </w:p>
    <w:p>
      <w:pPr>
        <w:spacing w:after="0" w:line="135" w:lineRule="exact"/>
        <w:rPr>
          <w:sz w:val="20"/>
          <w:szCs w:val="20"/>
          <w:color w:val="auto"/>
        </w:rPr>
      </w:pPr>
    </w:p>
    <w:p>
      <w:pPr>
        <w:ind w:left="600" w:right="680" w:firstLine="306"/>
        <w:spacing w:after="0" w:line="270" w:lineRule="auto"/>
        <w:tabs>
          <w:tab w:leader="none" w:pos="1092" w:val="left"/>
        </w:tabs>
        <w:numPr>
          <w:ilvl w:val="0"/>
          <w:numId w:val="2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Company has given a notice of redemption pursuant to the Special Optional Redemption Right and has set aside sufficient funds for the redemption in trust for the benefit of the holders of the Series E Preferred Stock called for redemption, then from and after the redemption date, those shares of Series E Preferred Stock will be treated as no longer being outstanding, no further dividends will accrue and all other rights of the holders of those shares of Series E Preferred Stock will terminate. The holders of those shares of Series E Preferred Stock will retain their right to receive the redemption price for their shares and any accrued and unpaid dividends through, but not including, the redemption date, without interest. So long as full cumulative dividends on the Series E Preferred Stock for all past dividend periods shall have been or contemporaneously are (i) declared and paid in cash, or (ii) declared and a sum sufficient for the payment thereof in cash is set apart for payment, nothing herein shall prevent or restrict the Company’s right or ability to purchase, from time to time, either at a public or a private sale, all or any</w:t>
      </w:r>
    </w:p>
    <w:p>
      <w:pPr>
        <w:spacing w:after="0" w:line="3" w:lineRule="exact"/>
        <w:rPr>
          <w:sz w:val="20"/>
          <w:szCs w:val="20"/>
          <w:color w:val="auto"/>
        </w:rPr>
      </w:pPr>
    </w:p>
    <w:p>
      <w:pPr>
        <w:ind w:left="600" w:right="740"/>
        <w:spacing w:after="0" w:line="299" w:lineRule="auto"/>
        <w:rPr>
          <w:sz w:val="20"/>
          <w:szCs w:val="20"/>
          <w:color w:val="auto"/>
        </w:rPr>
      </w:pPr>
      <w:r>
        <w:rPr>
          <w:rFonts w:ascii="Times New Roman" w:cs="Times New Roman" w:eastAsia="Times New Roman" w:hAnsi="Times New Roman"/>
          <w:sz w:val="13"/>
          <w:szCs w:val="13"/>
          <w:color w:val="auto"/>
        </w:rPr>
        <w:t>part of the Series E Preferred Stock at such price or prices as the Company may determine, subject to the provisions of applicable law, including the repurchase of shares of Series E Preferred Stock in open-market transactions duly authorized by the Board of Directors.</w:t>
      </w:r>
    </w:p>
    <w:p>
      <w:pPr>
        <w:spacing w:after="0" w:line="116" w:lineRule="exact"/>
        <w:rPr>
          <w:sz w:val="20"/>
          <w:szCs w:val="20"/>
          <w:color w:val="auto"/>
        </w:rPr>
      </w:pPr>
    </w:p>
    <w:p>
      <w:pPr>
        <w:ind w:left="600" w:right="660" w:firstLine="312"/>
        <w:spacing w:after="0" w:line="276" w:lineRule="auto"/>
        <w:rPr>
          <w:sz w:val="20"/>
          <w:szCs w:val="20"/>
          <w:color w:val="auto"/>
        </w:rPr>
      </w:pPr>
      <w:r>
        <w:rPr>
          <w:rFonts w:ascii="Times New Roman" w:cs="Times New Roman" w:eastAsia="Times New Roman" w:hAnsi="Times New Roman"/>
          <w:sz w:val="13"/>
          <w:szCs w:val="13"/>
          <w:color w:val="auto"/>
        </w:rPr>
        <w:t>(d) The holders of Series E Preferred Stock at the close of business on a Dividend Record Date will be entitled to receive the dividend payable with respect to the Series E Preferred Stock on the corresponding Dividend Payment Date notwithstanding the redemption of the Series E Preferred Stock pursuant to the Special Optional Redemption Right between such Dividend Record Date and the corresponding Dividend Payment Date or the Company’s default in the payment of the dividend due. Except as provided herein, the Company shall make no payment or allowance for unpaid dividends, whether or not in arrears, on Series E Preferred Stock for which a notice of redemption pursuant to the Special Optional Redemption Right has been given.</w:t>
      </w:r>
    </w:p>
    <w:p>
      <w:pPr>
        <w:spacing w:after="0" w:line="145" w:lineRule="exact"/>
        <w:rPr>
          <w:sz w:val="20"/>
          <w:szCs w:val="20"/>
          <w:color w:val="auto"/>
        </w:rPr>
      </w:pPr>
    </w:p>
    <w:p>
      <w:pPr>
        <w:ind w:left="600" w:right="1060" w:firstLine="306"/>
        <w:spacing w:after="0" w:line="287" w:lineRule="auto"/>
        <w:tabs>
          <w:tab w:leader="none" w:pos="1092" w:val="left"/>
        </w:tabs>
        <w:numPr>
          <w:ilvl w:val="0"/>
          <w:numId w:val="2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shares of the Series E Preferred Stock redeemed or repurchased pursuant to this Section 6, or otherwise acquired in any other manner by the Company, shall be retired and shall be restored to the status of authorized but unissued shares of Preferred Stock, without designation as to series or class.</w:t>
      </w:r>
    </w:p>
    <w:p>
      <w:pPr>
        <w:spacing w:after="0" w:line="13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Section 7. </w:t>
      </w:r>
      <w:r>
        <w:rPr>
          <w:rFonts w:ascii="Times New Roman" w:cs="Times New Roman" w:eastAsia="Times New Roman" w:hAnsi="Times New Roman"/>
          <w:sz w:val="13"/>
          <w:szCs w:val="13"/>
          <w:u w:val="single" w:color="auto"/>
          <w:color w:val="auto"/>
        </w:rPr>
        <w:t>Voting Rights</w:t>
      </w:r>
      <w:r>
        <w:rPr>
          <w:rFonts w:ascii="Times New Roman" w:cs="Times New Roman" w:eastAsia="Times New Roman" w:hAnsi="Times New Roman"/>
          <w:sz w:val="13"/>
          <w:szCs w:val="13"/>
          <w:color w:val="auto"/>
        </w:rPr>
        <w:t xml:space="preserve"> .</w:t>
      </w:r>
    </w:p>
    <w:p>
      <w:pPr>
        <w:spacing w:after="0" w:line="18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(a) Holders of the Series E Preferred Stock shall not have any voting rights, except as set forth in this Section 7.</w:t>
      </w:r>
    </w:p>
    <w:p>
      <w:pPr>
        <w:spacing w:after="0" w:line="187" w:lineRule="exact"/>
        <w:rPr>
          <w:sz w:val="20"/>
          <w:szCs w:val="20"/>
          <w:color w:val="auto"/>
        </w:rPr>
      </w:pPr>
    </w:p>
    <w:p>
      <w:pPr>
        <w:ind w:left="600" w:right="620" w:firstLine="312"/>
        <w:spacing w:after="0" w:line="275" w:lineRule="auto"/>
        <w:rPr>
          <w:sz w:val="20"/>
          <w:szCs w:val="20"/>
          <w:color w:val="auto"/>
        </w:rPr>
      </w:pPr>
      <w:r>
        <w:rPr>
          <w:rFonts w:ascii="Times New Roman" w:cs="Times New Roman" w:eastAsia="Times New Roman" w:hAnsi="Times New Roman"/>
          <w:sz w:val="13"/>
          <w:szCs w:val="13"/>
          <w:color w:val="auto"/>
        </w:rPr>
        <w:t xml:space="preserve">(b) Whenever dividends on any shares of Series E Preferred Stock shall be in arrears for six or more consecutive or non- consecutive quarterly periods (a “ </w:t>
      </w:r>
      <w:r>
        <w:rPr>
          <w:rFonts w:ascii="Times New Roman" w:cs="Times New Roman" w:eastAsia="Times New Roman" w:hAnsi="Times New Roman"/>
          <w:sz w:val="13"/>
          <w:szCs w:val="13"/>
          <w:u w:val="single" w:color="auto"/>
          <w:color w:val="auto"/>
        </w:rPr>
        <w:t>Preferred Dividend Default</w:t>
      </w:r>
      <w:r>
        <w:rPr>
          <w:rFonts w:ascii="Times New Roman" w:cs="Times New Roman" w:eastAsia="Times New Roman" w:hAnsi="Times New Roman"/>
          <w:sz w:val="13"/>
          <w:szCs w:val="13"/>
          <w:color w:val="auto"/>
        </w:rPr>
        <w:t xml:space="preserve"> ”), the holders of such Series E Preferred Stock (voting together as a single class with all other classes or series of preferred stock of the Company upon which like voting rights have been conferred and are exercisable (“ </w:t>
      </w:r>
      <w:r>
        <w:rPr>
          <w:rFonts w:ascii="Times New Roman" w:cs="Times New Roman" w:eastAsia="Times New Roman" w:hAnsi="Times New Roman"/>
          <w:sz w:val="13"/>
          <w:szCs w:val="13"/>
          <w:u w:val="single" w:color="auto"/>
          <w:color w:val="auto"/>
        </w:rPr>
        <w:t>Parity Preferred</w:t>
      </w:r>
      <w:r>
        <w:rPr>
          <w:rFonts w:ascii="Times New Roman" w:cs="Times New Roman" w:eastAsia="Times New Roman" w:hAnsi="Times New Roman"/>
          <w:sz w:val="13"/>
          <w:szCs w:val="13"/>
          <w:color w:val="auto"/>
        </w:rPr>
        <w:t xml:space="preserve"> ”), including the Series C Cumulative Convertible Preferred Stock and the Series D Cumulative Convertible Preferred Stock of the Company) shall be entitled to vote for the election of a total of two additional directors of the Company (the “ </w:t>
      </w:r>
      <w:r>
        <w:rPr>
          <w:rFonts w:ascii="Times New Roman" w:cs="Times New Roman" w:eastAsia="Times New Roman" w:hAnsi="Times New Roman"/>
          <w:sz w:val="13"/>
          <w:szCs w:val="13"/>
          <w:u w:val="single" w:color="auto"/>
          <w:color w:val="auto"/>
        </w:rPr>
        <w:t>Preferred Directors</w:t>
      </w:r>
      <w:r>
        <w:rPr>
          <w:rFonts w:ascii="Times New Roman" w:cs="Times New Roman" w:eastAsia="Times New Roman" w:hAnsi="Times New Roman"/>
          <w:sz w:val="13"/>
          <w:szCs w:val="13"/>
          <w:color w:val="auto"/>
        </w:rPr>
        <w:t xml:space="preserve"> ”) until all dividends accumulated on such Series E Preferred Stock and Parity Preferred for the past dividend periods shall have been fully paid or declared and a sum sufficient for the payment thereof is set aside for payment. In such case, the entire Board of Directors will be increased by two directors.</w:t>
      </w:r>
    </w:p>
    <w:p>
      <w:pPr>
        <w:spacing w:after="0" w:line="133" w:lineRule="exact"/>
        <w:rPr>
          <w:sz w:val="20"/>
          <w:szCs w:val="20"/>
          <w:color w:val="auto"/>
        </w:rPr>
      </w:pPr>
    </w:p>
    <w:p>
      <w:pPr>
        <w:ind w:left="600" w:right="780" w:firstLine="306"/>
        <w:spacing w:after="0" w:line="271" w:lineRule="auto"/>
        <w:tabs>
          <w:tab w:leader="none" w:pos="1080" w:val="left"/>
        </w:tabs>
        <w:numPr>
          <w:ilvl w:val="1"/>
          <w:numId w:val="2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Preferred Directors will be elected by a plurality of the votes cast in the election for a one-year term and each Preferred Director will serve until his or her successor is duly elected and qualified or until such Preferred Director’s right to hold the office terminates, whichever occurs earlier, subject to such Preferred Director’s earlier death, disqualification, resignation or removal. The election will take place at (i) either</w:t>
      </w:r>
    </w:p>
    <w:p>
      <w:pPr>
        <w:spacing w:after="0" w:line="1" w:lineRule="exact"/>
        <w:rPr>
          <w:rFonts w:ascii="Times New Roman" w:cs="Times New Roman" w:eastAsia="Times New Roman" w:hAnsi="Times New Roman"/>
          <w:sz w:val="13"/>
          <w:szCs w:val="13"/>
          <w:color w:val="auto"/>
        </w:rPr>
      </w:pPr>
    </w:p>
    <w:p>
      <w:pPr>
        <w:ind w:left="820" w:hanging="226"/>
        <w:spacing w:after="0"/>
        <w:tabs>
          <w:tab w:leader="none" w:pos="820" w:val="left"/>
        </w:tabs>
        <w:numPr>
          <w:ilvl w:val="0"/>
          <w:numId w:val="2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special meeting</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666750</wp:posOffset>
            </wp:positionV>
            <wp:extent cx="5083810" cy="1524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67">
                      <a:extLst>
                        <a:ext uri="{28A0092B-C50C-407E-A947-70E740481C1C}"/>
                      </a:extLst>
                    </a:blip>
                    <a:srcRect/>
                    <a:stretch>
                      <a:fillRect/>
                    </a:stretch>
                  </pic:blipFill>
                  <pic:spPr bwMode="auto">
                    <a:xfrm>
                      <a:off x="0" y="0"/>
                      <a:ext cx="5083810" cy="15240"/>
                    </a:xfrm>
                    <a:prstGeom prst="rect">
                      <a:avLst/>
                    </a:prstGeom>
                    <a:noFill/>
                  </pic:spPr>
                </pic:pic>
              </a:graphicData>
            </a:graphic>
          </wp:anchor>
        </w:drawing>
        <w:drawing>
          <wp:anchor simplePos="0" relativeHeight="251657728" behindDoc="1" locked="0" layoutInCell="0" allowOverlap="1">
            <wp:simplePos x="0" y="0"/>
            <wp:positionH relativeFrom="column">
              <wp:posOffset>384810</wp:posOffset>
            </wp:positionH>
            <wp:positionV relativeFrom="paragraph">
              <wp:posOffset>316230</wp:posOffset>
            </wp:positionV>
            <wp:extent cx="4436110" cy="762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68">
                      <a:extLst>
                        <a:ext uri="{28A0092B-C50C-407E-A947-70E740481C1C}"/>
                      </a:extLst>
                    </a:blip>
                    <a:srcRect/>
                    <a:stretch>
                      <a:fillRect/>
                    </a:stretch>
                  </pic:blipFill>
                  <pic:spPr bwMode="auto">
                    <a:xfrm>
                      <a:off x="0" y="0"/>
                      <a:ext cx="4436110" cy="762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20" w:name="page321"/>
    <w:bookmarkEnd w:id="320"/>
    <w:p>
      <w:pPr>
        <w:ind w:left="600" w:right="660"/>
        <w:spacing w:after="0" w:line="275" w:lineRule="auto"/>
        <w:rPr>
          <w:sz w:val="20"/>
          <w:szCs w:val="20"/>
          <w:color w:val="auto"/>
        </w:rPr>
      </w:pPr>
      <w:r>
        <w:rPr>
          <w:rFonts w:ascii="Times New Roman" w:cs="Times New Roman" w:eastAsia="Times New Roman" w:hAnsi="Times New Roman"/>
          <w:sz w:val="13"/>
          <w:szCs w:val="13"/>
          <w:color w:val="auto"/>
        </w:rPr>
        <w:t>called in accordance with Section 7(d) below if the request is received more than 90 days before the date fixed for the Company’s next annual or special meeting of stockholders or (B) the next annual or special meeting of stockholders if the request is received within 90 days of the date fixed for the Company’s next annual or special meeting of stockholders, and (ii) at each subsequent annual meeting of stockholders, or special meeting held in place thereof, until all such dividends in arrears on the Series E Preferred Stock and each such class or series of outstanding Parity Preferred have been paid in full. A dividend in respect of Series E Preferred Stock shall be considered timely made if made within two Business Days after the applicable Dividend Payment Date if at the time of such late payment date there shall not be any prior quarterly dividend periods in respect of which full dividends were not timely made at the applicable Dividend Payment Date.</w:t>
      </w:r>
    </w:p>
    <w:p>
      <w:pPr>
        <w:spacing w:after="0" w:line="145" w:lineRule="exact"/>
        <w:rPr>
          <w:sz w:val="20"/>
          <w:szCs w:val="20"/>
          <w:color w:val="auto"/>
        </w:rPr>
      </w:pPr>
    </w:p>
    <w:p>
      <w:pPr>
        <w:ind w:left="600" w:right="660" w:firstLine="306"/>
        <w:spacing w:after="0" w:line="271" w:lineRule="auto"/>
        <w:tabs>
          <w:tab w:leader="none" w:pos="1092" w:val="left"/>
        </w:tabs>
        <w:numPr>
          <w:ilvl w:val="0"/>
          <w:numId w:val="2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any time when such voting rights shall have vested, a proper officer of the Company shall call or cause to be called, upon written request of holders of record of at least 10% of the outstanding shares of Series E Preferred Stock and Parity Preferred, a special meeting of the holders of Series E Preferred Stock and each class or series of Parity Preferred by mailing or causing to be mailed to such holders a notice of such special meeting to be held not fewer than ten or more than 45 days after the date such notice is given. The record date for determining holders of the Series E Preferred Stock and Parity Preferred entitled to notice of and to vote at such special meeting will be the close of business on the third Business Day preceding the day on which such notice is mailed. At any such annual or special meeting, all of the holders of the Series E Preferred Stock and Parity Preferred, by plurality vote, voting together as a single class without regard to class or series will be entitled to elect two directors on the basis of one vote per $25.00 of liquidation preference to which such Series E Preferred Stock and Parity Preferred are entitled by their terms (excluding amounts in respect of accumulated and unpaid dividends) and not cumulatively. The holder or holders of one-third of the Series E Preferred Stock and Parity Preferred voting as a single class then outstanding, present in person or by proxy, will constitute a quorum for the election of the Preferred Directors except as otherwise provided by law. Notice of all meetings at which holders of the Series E Preferred Stock and the Parity Preferred shall be entitled to vote will be given to such holders at their addresses as they appear in the transfer records. At any such meeting or adjournment thereof in the absence of a quorum, subject to the provisions of any applicable law, a majority of the holders of the Series E Preferred Stock and Parity Preferred voting as a single class present in person or by proxy shall have the power to adjourn the meeting for the election of the Preferred Directors, without notice other than an announcement at the meeting, until a quorum is present. If a Preferred Dividend Default shall terminate after the notice of a special meeting has been given but before such special meeting has been held, the Company shall, as soon as practicable after such termination, mail or cause to be mailed notice of such termination to holders of the Series E Preferred Stock and the Parity Preferred that would have been entitled to vote at such special meeting.</w:t>
      </w:r>
    </w:p>
    <w:p>
      <w:pPr>
        <w:spacing w:after="0" w:line="143" w:lineRule="exact"/>
        <w:rPr>
          <w:sz w:val="20"/>
          <w:szCs w:val="20"/>
          <w:color w:val="auto"/>
        </w:rPr>
      </w:pPr>
    </w:p>
    <w:p>
      <w:pPr>
        <w:ind w:left="600" w:right="640" w:firstLine="312"/>
        <w:spacing w:after="0" w:line="274" w:lineRule="auto"/>
        <w:rPr>
          <w:sz w:val="20"/>
          <w:szCs w:val="20"/>
          <w:color w:val="auto"/>
        </w:rPr>
      </w:pPr>
      <w:r>
        <w:rPr>
          <w:rFonts w:ascii="Times New Roman" w:cs="Times New Roman" w:eastAsia="Times New Roman" w:hAnsi="Times New Roman"/>
          <w:sz w:val="13"/>
          <w:szCs w:val="13"/>
          <w:color w:val="auto"/>
        </w:rPr>
        <w:t>(e) If and when all accumulated dividends on such Series E Preferred Stock and all classes or series of Parity Preferred for the past dividend periods shall have been fully paid or declared and a sum sufficient for the payment thereof is set aside for payment, the right of the holders of Series E Preferred Stock and the Parity Preferred to elect such additional two directors shall immediately cease (subject to revesting in the event of each and every Preferred Dividend Default), and the term of office of each Preferred Director so elected shall terminate and the entire Board of Directors shall be reduced accordingly. Any Preferred Director may be removed at any time with or without cause by the vote of, and shall not be removed otherwise than by the vote of, the holders of record of a majority of the outstanding Series E Preferred Stock and the Parity Preferred entitled to vote thereon when they have the voting rights set forth in Section 7(b) (voting as a single class). So long as a Preferred Dividend Default shall continue, any vacancy in the office of a Preferred Director may be filled by written consent of the Preferred Director remaining in office, or if</w:t>
      </w:r>
    </w:p>
    <w:p>
      <w:pPr>
        <w:spacing w:after="0" w:line="151" w:lineRule="exact"/>
        <w:rPr>
          <w:sz w:val="20"/>
          <w:szCs w:val="20"/>
          <w:color w:val="auto"/>
        </w:rPr>
      </w:pPr>
    </w:p>
    <w:p>
      <w:pPr>
        <w:ind w:left="600" w:right="660"/>
        <w:spacing w:after="0" w:line="284" w:lineRule="auto"/>
        <w:rPr>
          <w:sz w:val="20"/>
          <w:szCs w:val="20"/>
          <w:color w:val="auto"/>
        </w:rPr>
      </w:pPr>
      <w:r>
        <w:rPr>
          <w:rFonts w:ascii="Times New Roman" w:cs="Times New Roman" w:eastAsia="Times New Roman" w:hAnsi="Times New Roman"/>
          <w:sz w:val="13"/>
          <w:szCs w:val="13"/>
          <w:color w:val="auto"/>
        </w:rPr>
        <w:t>none remains in office, by a vote of the holders of record of a majority of the outstanding Series E Preferred Stock when they have the voting rights described above (voting as a single class with all other classes or series of Parity Preferred). Each of the Preferred Directors shall be entitled to one vote on any matter.</w:t>
      </w:r>
    </w:p>
    <w:p>
      <w:pPr>
        <w:spacing w:after="0" w:line="126" w:lineRule="exact"/>
        <w:rPr>
          <w:sz w:val="20"/>
          <w:szCs w:val="20"/>
          <w:color w:val="auto"/>
        </w:rPr>
      </w:pPr>
    </w:p>
    <w:p>
      <w:pPr>
        <w:ind w:left="600" w:right="800" w:firstLine="306"/>
        <w:spacing w:after="0" w:line="276" w:lineRule="auto"/>
        <w:tabs>
          <w:tab w:leader="none" w:pos="1068" w:val="left"/>
        </w:tabs>
        <w:numPr>
          <w:ilvl w:val="0"/>
          <w:numId w:val="2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So long as any shares of Series E Preferred Stock remain outstanding, the affirmative vote or consent of the holders of two-thirds of the shares of Series E Preferred Stock and each other class or series of preferred stock ranking on parity with the Series E Preferred Stock with respect to the payment of dividends and the distribution of assets upon liquidation, dissolution or winding up of the Company upon which like voting rights have been conferred outstanding at the time, given in person or by proxy, either in writing or at a meeting (voting as a single class) will be required to: (i) authorize, create or issue, or increase the number of authorized or issued shares of, any class or series of capital stock ranking senior to the Series E Preferred Stock with respect to payment of dividends or the distribution of assets upon</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681990</wp:posOffset>
            </wp:positionV>
            <wp:extent cx="5083810" cy="1524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69">
                      <a:extLst>
                        <a:ext uri="{28A0092B-C50C-407E-A947-70E740481C1C}"/>
                      </a:extLst>
                    </a:blip>
                    <a:srcRect/>
                    <a:stretch>
                      <a:fillRect/>
                    </a:stretch>
                  </pic:blipFill>
                  <pic:spPr bwMode="auto">
                    <a:xfrm>
                      <a:off x="0" y="0"/>
                      <a:ext cx="5083810" cy="15240"/>
                    </a:xfrm>
                    <a:prstGeom prst="rect">
                      <a:avLst/>
                    </a:prstGeom>
                    <a:noFill/>
                  </pic:spPr>
                </pic:pic>
              </a:graphicData>
            </a:graphic>
          </wp:anchor>
        </w:drawing>
        <w:drawing>
          <wp:anchor simplePos="0" relativeHeight="251657728" behindDoc="1" locked="0" layoutInCell="0" allowOverlap="1">
            <wp:simplePos x="0" y="0"/>
            <wp:positionH relativeFrom="column">
              <wp:posOffset>384810</wp:posOffset>
            </wp:positionH>
            <wp:positionV relativeFrom="paragraph">
              <wp:posOffset>316230</wp:posOffset>
            </wp:positionV>
            <wp:extent cx="4436110" cy="1524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70">
                      <a:extLst>
                        <a:ext uri="{28A0092B-C50C-407E-A947-70E740481C1C}"/>
                      </a:extLst>
                    </a:blip>
                    <a:srcRect/>
                    <a:stretch>
                      <a:fillRect/>
                    </a:stretch>
                  </pic:blipFill>
                  <pic:spPr bwMode="auto">
                    <a:xfrm>
                      <a:off x="0" y="0"/>
                      <a:ext cx="44361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21" w:name="page322"/>
    <w:bookmarkEnd w:id="321"/>
    <w:p>
      <w:pPr>
        <w:ind w:left="600" w:right="640"/>
        <w:spacing w:after="0" w:line="270" w:lineRule="auto"/>
        <w:rPr>
          <w:sz w:val="20"/>
          <w:szCs w:val="20"/>
          <w:color w:val="auto"/>
        </w:rPr>
      </w:pPr>
      <w:r>
        <w:rPr>
          <w:rFonts w:ascii="Times New Roman" w:cs="Times New Roman" w:eastAsia="Times New Roman" w:hAnsi="Times New Roman"/>
          <w:sz w:val="13"/>
          <w:szCs w:val="13"/>
          <w:color w:val="auto"/>
        </w:rPr>
        <w:t xml:space="preserve">liquidation, dissolution or winding up of the Company or reclassify any authorized shares of capital stock of the Company into such capital stock, or create, authorize or issue any obligation or security convertible into or evidencing the right to purchase any such capital stock; or (ii) amend, alter or repeal the provisions of the Charter or the terms of the Series E Preferred Stock, whether by merger, consolidation, transfer or conveyance of all or substantially all of its assets or otherwise (an “ </w:t>
      </w:r>
      <w:r>
        <w:rPr>
          <w:rFonts w:ascii="Times New Roman" w:cs="Times New Roman" w:eastAsia="Times New Roman" w:hAnsi="Times New Roman"/>
          <w:sz w:val="13"/>
          <w:szCs w:val="13"/>
          <w:u w:val="single" w:color="auto"/>
          <w:color w:val="auto"/>
        </w:rPr>
        <w:t>Event</w:t>
      </w:r>
      <w:r>
        <w:rPr>
          <w:rFonts w:ascii="Times New Roman" w:cs="Times New Roman" w:eastAsia="Times New Roman" w:hAnsi="Times New Roman"/>
          <w:sz w:val="13"/>
          <w:szCs w:val="13"/>
          <w:color w:val="auto"/>
        </w:rPr>
        <w:t xml:space="preserve"> ”), so as to materially and adversely affect any right, preference, privilege or voting power of the Series E Preferred Stock; </w:t>
      </w:r>
      <w:r>
        <w:rPr>
          <w:rFonts w:ascii="Times New Roman" w:cs="Times New Roman" w:eastAsia="Times New Roman" w:hAnsi="Times New Roman"/>
          <w:sz w:val="13"/>
          <w:szCs w:val="13"/>
          <w:u w:val="single" w:color="auto"/>
          <w:color w:val="auto"/>
        </w:rPr>
        <w:t>provided however</w:t>
      </w:r>
      <w:r>
        <w:rPr>
          <w:rFonts w:ascii="Times New Roman" w:cs="Times New Roman" w:eastAsia="Times New Roman" w:hAnsi="Times New Roman"/>
          <w:sz w:val="13"/>
          <w:szCs w:val="13"/>
          <w:color w:val="auto"/>
        </w:rPr>
        <w:t xml:space="preserve"> , with respect to the occurrence of any of the Events set forth in (ii) above, so long as the Series E Preferred Stock remains outstanding with the terms thereof materially unchanged, taking into account that, upon the occurrence of an Event, the Company may not be the surviving entity, the occurrence of such Event shall not be deemed to materially and adversely affect such rights, preferences, privileges or voting power of Series E Preferred Stock, and in such case such holders shall not have any voting rights with respect to the occurrence of any of the Events set forth in (ii) above. In addition, if the holders of the Series E Preferred Stock receive the greater of the full trading price of the Series E Preferred Stock on the date of an Event set forth in (ii) above or the</w:t>
      </w:r>
    </w:p>
    <w:p>
      <w:pPr>
        <w:spacing w:after="0" w:line="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$25.00 liquidation preference per share of the Series E Preferred Stock pursuant to the occurrence of any of the Events set forth in</w:t>
      </w:r>
    </w:p>
    <w:p>
      <w:pPr>
        <w:spacing w:after="0" w:line="17" w:lineRule="exact"/>
        <w:rPr>
          <w:sz w:val="20"/>
          <w:szCs w:val="20"/>
          <w:color w:val="auto"/>
        </w:rPr>
      </w:pPr>
    </w:p>
    <w:p>
      <w:pPr>
        <w:ind w:left="600" w:right="620" w:hanging="6"/>
        <w:spacing w:after="0" w:line="271" w:lineRule="auto"/>
        <w:tabs>
          <w:tab w:leader="none" w:pos="792" w:val="left"/>
        </w:tabs>
        <w:numPr>
          <w:ilvl w:val="0"/>
          <w:numId w:val="2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above, then such holders shall not have any voting rights with respect to the Events set forth in (ii) above. Holders of shares of Series E Preferred Stock shall not be entitled to vote with respect to (A) any increase in the total number of authorized shares of Common Stock or Preferred Stock of the Company, or (B) any increase in the number of authorized shares of Series E Preferred Stock or the creation or issuance of any other class or series of capital stock, or (C) any increase in the number of authorized shares of any other class or series of capital stock, in each case referred to in clause (A), (B) or (C) above ranking on parity with or junior to the Series E Preferred Stock with respect to the payment of dividends and the distribution of assets upon liquidation, dissolution or winding up of the Company. Except as set forth herein, holders of the Series E Preferred Stock shall not have any voting rights with respect to, and the consent of the holders of the Series E Preferred Stock shall not be required for, the taking of any corporate action, including an Event, regardless of the effect that such corporate action or Event may have upon the powers, preferences, voting power or other rights or privileges of the Series E Preferred Stock.</w:t>
      </w:r>
    </w:p>
    <w:p>
      <w:pPr>
        <w:spacing w:after="0" w:line="135" w:lineRule="exact"/>
        <w:rPr>
          <w:rFonts w:ascii="Times New Roman" w:cs="Times New Roman" w:eastAsia="Times New Roman" w:hAnsi="Times New Roman"/>
          <w:sz w:val="13"/>
          <w:szCs w:val="13"/>
          <w:color w:val="auto"/>
        </w:rPr>
      </w:pPr>
    </w:p>
    <w:p>
      <w:pPr>
        <w:ind w:left="600" w:right="740" w:firstLine="306"/>
        <w:spacing w:after="0" w:line="287" w:lineRule="auto"/>
        <w:tabs>
          <w:tab w:leader="none" w:pos="1092" w:val="left"/>
        </w:tabs>
        <w:numPr>
          <w:ilvl w:val="1"/>
          <w:numId w:val="2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foregoing voting provisions of this Section 7 shall not apply if, at or prior to the time when the act with respect to which such vote would otherwise be required shall be effected, all outstanding shares of Series E Preferred Stock shall have been redeemed or called for redemption upon proper notice and sufficient funds, in cash, shall have been deposited in trust to effect such redemption.</w:t>
      </w:r>
    </w:p>
    <w:p>
      <w:pPr>
        <w:spacing w:after="0" w:line="136" w:lineRule="exact"/>
        <w:rPr>
          <w:sz w:val="20"/>
          <w:szCs w:val="20"/>
          <w:color w:val="auto"/>
        </w:rPr>
      </w:pPr>
    </w:p>
    <w:p>
      <w:pPr>
        <w:ind w:left="600" w:right="1240" w:firstLine="312"/>
        <w:spacing w:after="0" w:line="305" w:lineRule="auto"/>
        <w:rPr>
          <w:sz w:val="20"/>
          <w:szCs w:val="20"/>
          <w:color w:val="auto"/>
        </w:rPr>
      </w:pPr>
      <w:r>
        <w:rPr>
          <w:rFonts w:ascii="Times New Roman" w:cs="Times New Roman" w:eastAsia="Times New Roman" w:hAnsi="Times New Roman"/>
          <w:sz w:val="13"/>
          <w:szCs w:val="13"/>
          <w:color w:val="auto"/>
        </w:rPr>
        <w:t>(h) In any matter in which the Series E Preferred Stock may vote (as expressly provided herein), each share of Series E Preferred Stock shall be entitled to one vote per $25.00 of liquidation preference.</w:t>
      </w:r>
    </w:p>
    <w:p>
      <w:pPr>
        <w:spacing w:after="0" w:line="124" w:lineRule="exact"/>
        <w:rPr>
          <w:sz w:val="20"/>
          <w:szCs w:val="20"/>
          <w:color w:val="auto"/>
        </w:rPr>
      </w:pPr>
    </w:p>
    <w:p>
      <w:pPr>
        <w:ind w:left="600" w:right="1300" w:firstLine="312"/>
        <w:spacing w:after="0" w:line="305" w:lineRule="auto"/>
        <w:rPr>
          <w:sz w:val="20"/>
          <w:szCs w:val="20"/>
          <w:color w:val="auto"/>
        </w:rPr>
      </w:pPr>
      <w:r>
        <w:rPr>
          <w:rFonts w:ascii="Times New Roman" w:cs="Times New Roman" w:eastAsia="Times New Roman" w:hAnsi="Times New Roman"/>
          <w:sz w:val="13"/>
          <w:szCs w:val="13"/>
          <w:color w:val="auto"/>
        </w:rPr>
        <w:t>Section 8. Conversion. The shares of Series E Preferred Stock are not convertible into or exchangeable for any other property or securities of the Company, except as provided in this Section 8.</w:t>
      </w:r>
    </w:p>
    <w:p>
      <w:pPr>
        <w:spacing w:after="0" w:line="124" w:lineRule="exact"/>
        <w:rPr>
          <w:sz w:val="20"/>
          <w:szCs w:val="20"/>
          <w:color w:val="auto"/>
        </w:rPr>
      </w:pPr>
    </w:p>
    <w:p>
      <w:pPr>
        <w:ind w:left="600" w:right="680" w:firstLine="306"/>
        <w:spacing w:after="0" w:line="270" w:lineRule="auto"/>
        <w:tabs>
          <w:tab w:leader="none" w:pos="1080" w:val="left"/>
        </w:tabs>
        <w:numPr>
          <w:ilvl w:val="1"/>
          <w:numId w:val="2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Upon the occurrence of a Change of Control, each holder of shares of Series E Preferred Stock shall have the right, unless, prior to the Change of Control Conversion Date, the Company has provided or provides notice of its election to redeem the Series E Preferred Stock pursuant to the Redemption Right or Special Optional Redemption Right, to convert some or all of the Series E Preferred Stock held by such holder (the “ </w:t>
      </w:r>
      <w:r>
        <w:rPr>
          <w:rFonts w:ascii="Times New Roman" w:cs="Times New Roman" w:eastAsia="Times New Roman" w:hAnsi="Times New Roman"/>
          <w:sz w:val="13"/>
          <w:szCs w:val="13"/>
          <w:u w:val="single" w:color="auto"/>
          <w:color w:val="auto"/>
        </w:rPr>
        <w:t>Change of Control Conversion Right</w:t>
      </w:r>
      <w:r>
        <w:rPr>
          <w:rFonts w:ascii="Times New Roman" w:cs="Times New Roman" w:eastAsia="Times New Roman" w:hAnsi="Times New Roman"/>
          <w:sz w:val="13"/>
          <w:szCs w:val="13"/>
          <w:color w:val="auto"/>
        </w:rPr>
        <w:t xml:space="preserve"> ”) on the Change of Control Conversion Date into a number of shares of Common Stock, per share of Series E Preferred Stock to be converted (the “ </w:t>
      </w:r>
      <w:r>
        <w:rPr>
          <w:rFonts w:ascii="Times New Roman" w:cs="Times New Roman" w:eastAsia="Times New Roman" w:hAnsi="Times New Roman"/>
          <w:sz w:val="13"/>
          <w:szCs w:val="13"/>
          <w:u w:val="single" w:color="auto"/>
          <w:color w:val="auto"/>
        </w:rPr>
        <w:t>Common Stock Conversion Consideration</w:t>
      </w:r>
      <w:r>
        <w:rPr>
          <w:rFonts w:ascii="Times New Roman" w:cs="Times New Roman" w:eastAsia="Times New Roman" w:hAnsi="Times New Roman"/>
          <w:sz w:val="13"/>
          <w:szCs w:val="13"/>
          <w:color w:val="auto"/>
        </w:rPr>
        <w:t xml:space="preserve"> ”) equal to the lesser of (A) the quotient obtained by dividing</w:t>
      </w:r>
    </w:p>
    <w:p>
      <w:pPr>
        <w:spacing w:after="0" w:line="2" w:lineRule="exact"/>
        <w:rPr>
          <w:rFonts w:ascii="Times New Roman" w:cs="Times New Roman" w:eastAsia="Times New Roman" w:hAnsi="Times New Roman"/>
          <w:sz w:val="13"/>
          <w:szCs w:val="13"/>
          <w:color w:val="auto"/>
        </w:rPr>
      </w:pPr>
    </w:p>
    <w:p>
      <w:pPr>
        <w:ind w:left="600" w:right="760" w:hanging="6"/>
        <w:spacing w:after="0" w:line="269" w:lineRule="auto"/>
        <w:tabs>
          <w:tab w:leader="none" w:pos="756" w:val="left"/>
        </w:tabs>
        <w:numPr>
          <w:ilvl w:val="0"/>
          <w:numId w:val="2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sum of (x) the $25.00 liquidation preference per share of Series E Preferred Stock to be converted plus (y) the amount of any accrued and unpaid dividends to, but not including, the Change of Control Conversion Date (unless the Change of Control Conversion Date is after a Dividend Record Date and prior to the corresponding Dividend Payment Date, in which case no additional amount for such accrued and unpaid</w:t>
      </w:r>
    </w:p>
    <w:p>
      <w:pPr>
        <w:spacing w:after="0" w:line="1" w:lineRule="exact"/>
        <w:rPr>
          <w:sz w:val="20"/>
          <w:szCs w:val="20"/>
          <w:color w:val="auto"/>
        </w:rPr>
      </w:pPr>
    </w:p>
    <w:p>
      <w:pPr>
        <w:ind w:left="600" w:right="860"/>
        <w:spacing w:after="0" w:line="299" w:lineRule="auto"/>
        <w:rPr>
          <w:sz w:val="20"/>
          <w:szCs w:val="20"/>
          <w:color w:val="auto"/>
        </w:rPr>
      </w:pPr>
      <w:r>
        <w:rPr>
          <w:rFonts w:ascii="Times New Roman" w:cs="Times New Roman" w:eastAsia="Times New Roman" w:hAnsi="Times New Roman"/>
          <w:sz w:val="13"/>
          <w:szCs w:val="13"/>
          <w:color w:val="auto"/>
        </w:rPr>
        <w:t xml:space="preserve">dividends will be included in such sum) by (ii) the Common Stock Price (as defined herein) and (B) 0.8378 (the “ </w:t>
      </w:r>
      <w:r>
        <w:rPr>
          <w:rFonts w:ascii="Times New Roman" w:cs="Times New Roman" w:eastAsia="Times New Roman" w:hAnsi="Times New Roman"/>
          <w:sz w:val="13"/>
          <w:szCs w:val="13"/>
          <w:u w:val="single" w:color="auto"/>
          <w:color w:val="auto"/>
        </w:rPr>
        <w:t>Share Cap</w:t>
      </w:r>
      <w:r>
        <w:rPr>
          <w:rFonts w:ascii="Times New Roman" w:cs="Times New Roman" w:eastAsia="Times New Roman" w:hAnsi="Times New Roman"/>
          <w:sz w:val="13"/>
          <w:szCs w:val="13"/>
          <w:color w:val="auto"/>
        </w:rPr>
        <w:t xml:space="preserve"> ”), subject to the immediately succeeding paragraph.</w:t>
      </w:r>
    </w:p>
    <w:p>
      <w:pPr>
        <w:spacing w:after="0" w:line="116" w:lineRule="exact"/>
        <w:rPr>
          <w:sz w:val="20"/>
          <w:szCs w:val="20"/>
          <w:color w:val="auto"/>
        </w:rPr>
      </w:pPr>
    </w:p>
    <w:p>
      <w:pPr>
        <w:ind w:left="600" w:right="740" w:firstLine="612"/>
        <w:spacing w:after="0" w:line="278" w:lineRule="auto"/>
        <w:rPr>
          <w:sz w:val="20"/>
          <w:szCs w:val="20"/>
          <w:color w:val="auto"/>
        </w:rPr>
      </w:pPr>
      <w:r>
        <w:rPr>
          <w:rFonts w:ascii="Times New Roman" w:cs="Times New Roman" w:eastAsia="Times New Roman" w:hAnsi="Times New Roman"/>
          <w:sz w:val="13"/>
          <w:szCs w:val="13"/>
          <w:color w:val="auto"/>
        </w:rPr>
        <w:t xml:space="preserve">The Share Cap is subject to pro rata adjustments for any share splits (including those effected pursuant to a distribution of the Common Stock), subdivisions or combinations (in each case, a “ </w:t>
      </w:r>
      <w:r>
        <w:rPr>
          <w:rFonts w:ascii="Times New Roman" w:cs="Times New Roman" w:eastAsia="Times New Roman" w:hAnsi="Times New Roman"/>
          <w:sz w:val="13"/>
          <w:szCs w:val="13"/>
          <w:u w:val="single" w:color="auto"/>
          <w:color w:val="auto"/>
        </w:rPr>
        <w:t>Share Split</w:t>
      </w:r>
      <w:r>
        <w:rPr>
          <w:rFonts w:ascii="Times New Roman" w:cs="Times New Roman" w:eastAsia="Times New Roman" w:hAnsi="Times New Roman"/>
          <w:sz w:val="13"/>
          <w:szCs w:val="13"/>
          <w:color w:val="auto"/>
        </w:rPr>
        <w:t xml:space="preserve"> ”) with respect to the Common Stock as follows: the adjusted Share Cap as the result of a Share Split shall be the number of shares of Common Stock that is equivalent to the product obtained by multiplying (i) the Share Cap in effect immediately prior to such Share Split by (ii) a fraction, the numerator of which is the number of shares of Common Stock outstanding after giving effect to such Share Split and the denominator of which is the number of shares of Common Stock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681990</wp:posOffset>
            </wp:positionV>
            <wp:extent cx="5083810" cy="1524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71">
                      <a:extLst>
                        <a:ext uri="{28A0092B-C50C-407E-A947-70E740481C1C}"/>
                      </a:extLst>
                    </a:blip>
                    <a:srcRect/>
                    <a:stretch>
                      <a:fillRect/>
                    </a:stretch>
                  </pic:blipFill>
                  <pic:spPr bwMode="auto">
                    <a:xfrm>
                      <a:off x="0" y="0"/>
                      <a:ext cx="5083810" cy="15240"/>
                    </a:xfrm>
                    <a:prstGeom prst="rect">
                      <a:avLst/>
                    </a:prstGeom>
                    <a:noFill/>
                  </pic:spPr>
                </pic:pic>
              </a:graphicData>
            </a:graphic>
          </wp:anchor>
        </w:drawing>
        <w:drawing>
          <wp:anchor simplePos="0" relativeHeight="251657728" behindDoc="1" locked="0" layoutInCell="0" allowOverlap="1">
            <wp:simplePos x="0" y="0"/>
            <wp:positionH relativeFrom="column">
              <wp:posOffset>384810</wp:posOffset>
            </wp:positionH>
            <wp:positionV relativeFrom="paragraph">
              <wp:posOffset>316230</wp:posOffset>
            </wp:positionV>
            <wp:extent cx="4436110" cy="1524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72">
                      <a:extLst>
                        <a:ext uri="{28A0092B-C50C-407E-A947-70E740481C1C}"/>
                      </a:extLst>
                    </a:blip>
                    <a:srcRect/>
                    <a:stretch>
                      <a:fillRect/>
                    </a:stretch>
                  </pic:blipFill>
                  <pic:spPr bwMode="auto">
                    <a:xfrm>
                      <a:off x="0" y="0"/>
                      <a:ext cx="44361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22" w:name="page323"/>
    <w:bookmarkEnd w:id="322"/>
    <w:p>
      <w:pPr>
        <w:ind w:left="600" w:right="700"/>
        <w:spacing w:after="0" w:line="275" w:lineRule="auto"/>
        <w:rPr>
          <w:sz w:val="20"/>
          <w:szCs w:val="20"/>
          <w:color w:val="auto"/>
        </w:rPr>
      </w:pPr>
      <w:r>
        <w:rPr>
          <w:rFonts w:ascii="Times New Roman" w:cs="Times New Roman" w:eastAsia="Times New Roman" w:hAnsi="Times New Roman"/>
          <w:sz w:val="13"/>
          <w:szCs w:val="13"/>
          <w:color w:val="auto"/>
        </w:rPr>
        <w:t xml:space="preserve">immediately prior to such Share Split. For the avoidance of doubt, subject to the immediately succeeding sentence, the aggregate number of shares of Common Stock (or equivalent Alternative Conversion Consideration (as defined below), as applicable) issuable in connection with the exercise of the Change of Control Conversion Right shall not exceed 8,378,000 shares of Common Stock (or equivalent Alternative Conversion Consideration, as applicable), subject to increase to the extent the underwriters’ over- allotment option to purchase additional shares of Series E Preferred Stock in the initial public offering of Series E Preferred Stock is exercised, not to exceed 9,634,700 shares of Common Stock in total (or equivalent Alternative Conversion Consideration, as applicable) (the “ </w:t>
      </w:r>
      <w:r>
        <w:rPr>
          <w:rFonts w:ascii="Times New Roman" w:cs="Times New Roman" w:eastAsia="Times New Roman" w:hAnsi="Times New Roman"/>
          <w:sz w:val="13"/>
          <w:szCs w:val="13"/>
          <w:u w:val="single" w:color="auto"/>
          <w:color w:val="auto"/>
        </w:rPr>
        <w:t>Exchange Cap</w:t>
      </w:r>
      <w:r>
        <w:rPr>
          <w:rFonts w:ascii="Times New Roman" w:cs="Times New Roman" w:eastAsia="Times New Roman" w:hAnsi="Times New Roman"/>
          <w:sz w:val="13"/>
          <w:szCs w:val="13"/>
          <w:color w:val="auto"/>
        </w:rPr>
        <w:t xml:space="preserve"> ”). The Exchange Cap is subject to pro rata adjustments for any Share Splits on the same basis as the corresponding adjustment to the Share Cap.</w:t>
      </w:r>
    </w:p>
    <w:p>
      <w:pPr>
        <w:spacing w:after="0" w:line="145" w:lineRule="exact"/>
        <w:rPr>
          <w:sz w:val="20"/>
          <w:szCs w:val="20"/>
          <w:color w:val="auto"/>
        </w:rPr>
      </w:pPr>
    </w:p>
    <w:p>
      <w:pPr>
        <w:ind w:left="600" w:right="640" w:firstLine="612"/>
        <w:spacing w:after="0" w:line="275" w:lineRule="auto"/>
        <w:rPr>
          <w:sz w:val="20"/>
          <w:szCs w:val="20"/>
          <w:color w:val="auto"/>
        </w:rPr>
      </w:pPr>
      <w:r>
        <w:rPr>
          <w:rFonts w:ascii="Times New Roman" w:cs="Times New Roman" w:eastAsia="Times New Roman" w:hAnsi="Times New Roman"/>
          <w:sz w:val="13"/>
          <w:szCs w:val="13"/>
          <w:color w:val="auto"/>
        </w:rPr>
        <w:t xml:space="preserve">In the case of a Change of Control pursuant to which shares of Common Stock shall be converted into cash, securities or other property or assets (including any combination thereof) (the “ </w:t>
      </w:r>
      <w:r>
        <w:rPr>
          <w:rFonts w:ascii="Times New Roman" w:cs="Times New Roman" w:eastAsia="Times New Roman" w:hAnsi="Times New Roman"/>
          <w:sz w:val="13"/>
          <w:szCs w:val="13"/>
          <w:u w:val="single" w:color="auto"/>
          <w:color w:val="auto"/>
        </w:rPr>
        <w:t>Alternative Form Consideration</w:t>
      </w:r>
      <w:r>
        <w:rPr>
          <w:rFonts w:ascii="Times New Roman" w:cs="Times New Roman" w:eastAsia="Times New Roman" w:hAnsi="Times New Roman"/>
          <w:sz w:val="13"/>
          <w:szCs w:val="13"/>
          <w:color w:val="auto"/>
        </w:rPr>
        <w:t xml:space="preserve"> ”), a holder of shares of Series E Preferred Stock shall receive upon conversion of such shares of Series E Preferred Stock the kind and amount of Alternative Form Consideration which such holder would have owned or been entitled to receive upon the Change of Control had such holder held a number of shares of Common Stock equal to the Common Stock Conversion Consideration immediately prior to the effective time of the Change of Control (the “ </w:t>
      </w:r>
      <w:r>
        <w:rPr>
          <w:rFonts w:ascii="Times New Roman" w:cs="Times New Roman" w:eastAsia="Times New Roman" w:hAnsi="Times New Roman"/>
          <w:sz w:val="13"/>
          <w:szCs w:val="13"/>
          <w:u w:val="single" w:color="auto"/>
          <w:color w:val="auto"/>
        </w:rPr>
        <w:t>Alternative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Conversion Consideration</w:t>
      </w:r>
      <w:r>
        <w:rPr>
          <w:rFonts w:ascii="Times New Roman" w:cs="Times New Roman" w:eastAsia="Times New Roman" w:hAnsi="Times New Roman"/>
          <w:sz w:val="13"/>
          <w:szCs w:val="13"/>
          <w:color w:val="auto"/>
        </w:rPr>
        <w:t xml:space="preserve"> ”; and the Common Stock Conversion Consideration or the Alternative Conversion Consideration, as may be applicable to a Change of Control, shall be referred to herein as the “ </w:t>
      </w:r>
      <w:r>
        <w:rPr>
          <w:rFonts w:ascii="Times New Roman" w:cs="Times New Roman" w:eastAsia="Times New Roman" w:hAnsi="Times New Roman"/>
          <w:sz w:val="13"/>
          <w:szCs w:val="13"/>
          <w:u w:val="single" w:color="auto"/>
          <w:color w:val="auto"/>
        </w:rPr>
        <w:t>Conversion Consideration</w:t>
      </w:r>
      <w:r>
        <w:rPr>
          <w:rFonts w:ascii="Times New Roman" w:cs="Times New Roman" w:eastAsia="Times New Roman" w:hAnsi="Times New Roman"/>
          <w:sz w:val="13"/>
          <w:szCs w:val="13"/>
          <w:color w:val="auto"/>
        </w:rPr>
        <w:t xml:space="preserve"> ”).</w:t>
      </w:r>
    </w:p>
    <w:p>
      <w:pPr>
        <w:spacing w:after="0" w:line="145" w:lineRule="exact"/>
        <w:rPr>
          <w:sz w:val="20"/>
          <w:szCs w:val="20"/>
          <w:color w:val="auto"/>
        </w:rPr>
      </w:pPr>
    </w:p>
    <w:p>
      <w:pPr>
        <w:ind w:left="600" w:right="640" w:firstLine="612"/>
        <w:spacing w:after="0" w:line="276" w:lineRule="auto"/>
        <w:rPr>
          <w:sz w:val="20"/>
          <w:szCs w:val="20"/>
          <w:color w:val="auto"/>
        </w:rPr>
      </w:pPr>
      <w:r>
        <w:rPr>
          <w:rFonts w:ascii="Times New Roman" w:cs="Times New Roman" w:eastAsia="Times New Roman" w:hAnsi="Times New Roman"/>
          <w:sz w:val="13"/>
          <w:szCs w:val="13"/>
          <w:color w:val="auto"/>
        </w:rPr>
        <w:t>In the event that holders of Common Stock have the opportunity to elect the form of consideration to be received in the Change of Control, the Conversion Consideration will be deemed to be the kind and amount of consideration actually received by holders of a majority of the Common Stock that voted for such an election (if electing between two types of consideration) or holders of a plurality of the Common Stock that voted for such an election (if electing between more than two types of consideration), as the case may be, and will be subject to any limitations to which all holders of Common Stock are subject, including, without limitation, pro rata reductions applicable to any portion of the consideration payable in the Change of Control.</w:t>
      </w:r>
    </w:p>
    <w:p>
      <w:pPr>
        <w:spacing w:after="0" w:line="145" w:lineRule="exact"/>
        <w:rPr>
          <w:sz w:val="20"/>
          <w:szCs w:val="20"/>
          <w:color w:val="auto"/>
        </w:rPr>
      </w:pPr>
    </w:p>
    <w:p>
      <w:pPr>
        <w:ind w:left="600" w:right="700" w:firstLine="612"/>
        <w:spacing w:after="0" w:line="287" w:lineRule="auto"/>
        <w:rPr>
          <w:sz w:val="20"/>
          <w:szCs w:val="20"/>
          <w:color w:val="auto"/>
        </w:rPr>
      </w:pPr>
      <w:r>
        <w:rPr>
          <w:rFonts w:ascii="Times New Roman" w:cs="Times New Roman" w:eastAsia="Times New Roman" w:hAnsi="Times New Roman"/>
          <w:sz w:val="13"/>
          <w:szCs w:val="13"/>
          <w:color w:val="auto"/>
        </w:rPr>
        <w:t xml:space="preserve">The “ </w:t>
      </w:r>
      <w:r>
        <w:rPr>
          <w:rFonts w:ascii="Times New Roman" w:cs="Times New Roman" w:eastAsia="Times New Roman" w:hAnsi="Times New Roman"/>
          <w:sz w:val="13"/>
          <w:szCs w:val="13"/>
          <w:u w:val="single" w:color="auto"/>
          <w:color w:val="auto"/>
        </w:rPr>
        <w:t>Change of Control Conversion Date</w:t>
      </w:r>
      <w:r>
        <w:rPr>
          <w:rFonts w:ascii="Times New Roman" w:cs="Times New Roman" w:eastAsia="Times New Roman" w:hAnsi="Times New Roman"/>
          <w:sz w:val="13"/>
          <w:szCs w:val="13"/>
          <w:color w:val="auto"/>
        </w:rPr>
        <w:t xml:space="preserve"> ” shall be a Business Day set forth in the notice of Change of Control provided in accordance with Section 8(c) below that is no less than 20 days nor more than 35 days after the date on which the Company provides such notice pursuant to Section 8(c).</w:t>
      </w:r>
    </w:p>
    <w:p>
      <w:pPr>
        <w:spacing w:after="0" w:line="136" w:lineRule="exact"/>
        <w:rPr>
          <w:sz w:val="20"/>
          <w:szCs w:val="20"/>
          <w:color w:val="auto"/>
        </w:rPr>
      </w:pPr>
    </w:p>
    <w:p>
      <w:pPr>
        <w:ind w:left="600" w:right="640" w:firstLine="612"/>
        <w:spacing w:after="0" w:line="274" w:lineRule="auto"/>
        <w:rPr>
          <w:sz w:val="20"/>
          <w:szCs w:val="20"/>
          <w:color w:val="auto"/>
        </w:rPr>
      </w:pPr>
      <w:r>
        <w:rPr>
          <w:rFonts w:ascii="Times New Roman" w:cs="Times New Roman" w:eastAsia="Times New Roman" w:hAnsi="Times New Roman"/>
          <w:sz w:val="13"/>
          <w:szCs w:val="13"/>
          <w:color w:val="auto"/>
        </w:rPr>
        <w:t xml:space="preserve">The “ </w:t>
      </w:r>
      <w:r>
        <w:rPr>
          <w:rFonts w:ascii="Times New Roman" w:cs="Times New Roman" w:eastAsia="Times New Roman" w:hAnsi="Times New Roman"/>
          <w:sz w:val="13"/>
          <w:szCs w:val="13"/>
          <w:u w:val="single" w:color="auto"/>
          <w:color w:val="auto"/>
        </w:rPr>
        <w:t>Common Stock Price</w:t>
      </w:r>
      <w:r>
        <w:rPr>
          <w:rFonts w:ascii="Times New Roman" w:cs="Times New Roman" w:eastAsia="Times New Roman" w:hAnsi="Times New Roman"/>
          <w:sz w:val="13"/>
          <w:szCs w:val="13"/>
          <w:color w:val="auto"/>
        </w:rPr>
        <w:t xml:space="preserve"> ” shall be (i) if the consideration to be received in the Change of Control by the holders of Common Stock is solely cash, the amount of cash consideration per share of Common Stock or (ii) if the consideration to be received in the Change of Control by holders of Common Stock is other than solely cash (x) the average of the closing sale prices per share of Common Stock (or, if no closing sale price is reported, the average of the closing bid and ask prices or, if more than one in either case, the average of the average closing bid and the average closing ask prices) for the ten consecutive trading days immediately preceding, but not including, the effective date of the Change of Control as reported on the principal U.S. securities exchange on which the Common Stock is then traded, or (y) the average of the last quoted bid prices for the Common Stock in the over-the-counter market as reported by Pink Sheets LLC or similar organization for the ten consecutive trading days immediately preceding, but not including, the effective date of the Change of Control, if the Common Stock is not then listed for trading on a</w:t>
      </w:r>
    </w:p>
    <w:p>
      <w:pPr>
        <w:spacing w:after="0" w:line="15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U.S. securities exchange.</w:t>
      </w:r>
    </w:p>
    <w:p>
      <w:pPr>
        <w:spacing w:after="0" w:line="171" w:lineRule="exact"/>
        <w:rPr>
          <w:sz w:val="20"/>
          <w:szCs w:val="20"/>
          <w:color w:val="auto"/>
        </w:rPr>
      </w:pPr>
    </w:p>
    <w:p>
      <w:pPr>
        <w:ind w:left="600" w:right="980" w:firstLine="306"/>
        <w:spacing w:after="0" w:line="305" w:lineRule="auto"/>
        <w:tabs>
          <w:tab w:leader="none" w:pos="1092" w:val="left"/>
        </w:tabs>
        <w:numPr>
          <w:ilvl w:val="0"/>
          <w:numId w:val="2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fractional shares of Common Stock shall be issued upon the conversion of Series E Preferred Stock. In lieu of fractional shares, holders shall be entitled to receive the cash value of such fractional shares based on the Common Stock Price.</w:t>
      </w:r>
    </w:p>
    <w:p>
      <w:pPr>
        <w:spacing w:after="0" w:line="124" w:lineRule="exact"/>
        <w:rPr>
          <w:rFonts w:ascii="Times New Roman" w:cs="Times New Roman" w:eastAsia="Times New Roman" w:hAnsi="Times New Roman"/>
          <w:sz w:val="13"/>
          <w:szCs w:val="13"/>
          <w:color w:val="auto"/>
        </w:rPr>
      </w:pPr>
    </w:p>
    <w:p>
      <w:pPr>
        <w:ind w:left="600" w:right="720" w:firstLine="306"/>
        <w:spacing w:after="0" w:line="276" w:lineRule="auto"/>
        <w:tabs>
          <w:tab w:leader="none" w:pos="1080" w:val="left"/>
        </w:tabs>
        <w:numPr>
          <w:ilvl w:val="0"/>
          <w:numId w:val="2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Within 15 days following the occurrence of a Change of Control, a notice of occurrence of the Change of Control, describing the resulting Change of Control Conversion Right, shall be delivered to the holders of record of the shares of Series E Preferred Stock at their addresses as they appear on the Company’s share transfer records and notice shall be provided to the Company’s transfer agent. No failure to give such notice or any defect thereto or in the mailing thereof shall affect the validity of the proceedings for the conversion of any share of Series E Preferred Stock except as to the holder to whom notice was defective or not given. Each notice shall state: (i) the events constituting the Change of Control; (ii) the date of the Change of Control; (iii) the last date on which the holders of Series E Preferred Stock</w:t>
      </w:r>
    </w:p>
    <w:p>
      <w:pPr>
        <w:spacing w:after="0" w:line="200" w:lineRule="exact"/>
        <w:rPr>
          <w:sz w:val="20"/>
          <w:szCs w:val="20"/>
          <w:color w:val="auto"/>
        </w:rPr>
      </w:pPr>
    </w:p>
    <w:p>
      <w:pPr>
        <w:spacing w:after="0" w:line="2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674370</wp:posOffset>
            </wp:positionV>
            <wp:extent cx="5083810" cy="1524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73">
                      <a:extLst>
                        <a:ext uri="{28A0092B-C50C-407E-A947-70E740481C1C}"/>
                      </a:extLst>
                    </a:blip>
                    <a:srcRect/>
                    <a:stretch>
                      <a:fillRect/>
                    </a:stretch>
                  </pic:blipFill>
                  <pic:spPr bwMode="auto">
                    <a:xfrm>
                      <a:off x="0" y="0"/>
                      <a:ext cx="5083810" cy="15240"/>
                    </a:xfrm>
                    <a:prstGeom prst="rect">
                      <a:avLst/>
                    </a:prstGeom>
                    <a:noFill/>
                  </pic:spPr>
                </pic:pic>
              </a:graphicData>
            </a:graphic>
          </wp:anchor>
        </w:drawing>
        <w:drawing>
          <wp:anchor simplePos="0" relativeHeight="251657728" behindDoc="1" locked="0" layoutInCell="0" allowOverlap="1">
            <wp:simplePos x="0" y="0"/>
            <wp:positionH relativeFrom="column">
              <wp:posOffset>384810</wp:posOffset>
            </wp:positionH>
            <wp:positionV relativeFrom="paragraph">
              <wp:posOffset>316230</wp:posOffset>
            </wp:positionV>
            <wp:extent cx="4436110" cy="762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74">
                      <a:extLst>
                        <a:ext uri="{28A0092B-C50C-407E-A947-70E740481C1C}"/>
                      </a:extLst>
                    </a:blip>
                    <a:srcRect/>
                    <a:stretch>
                      <a:fillRect/>
                    </a:stretch>
                  </pic:blipFill>
                  <pic:spPr bwMode="auto">
                    <a:xfrm>
                      <a:off x="0" y="0"/>
                      <a:ext cx="4436110" cy="762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23" w:name="page324"/>
    <w:bookmarkEnd w:id="323"/>
    <w:p>
      <w:pPr>
        <w:ind w:left="600" w:right="680"/>
        <w:spacing w:after="0" w:line="274" w:lineRule="auto"/>
        <w:rPr>
          <w:sz w:val="20"/>
          <w:szCs w:val="20"/>
          <w:color w:val="auto"/>
        </w:rPr>
      </w:pPr>
      <w:r>
        <w:rPr>
          <w:rFonts w:ascii="Times New Roman" w:cs="Times New Roman" w:eastAsia="Times New Roman" w:hAnsi="Times New Roman"/>
          <w:sz w:val="13"/>
          <w:szCs w:val="13"/>
          <w:color w:val="auto"/>
        </w:rPr>
        <w:t>may exercise their Change of Control Conversion Right; (iv) the method and period for calculating the Common Stock Price; (v) the Change of Control Conversion Date, which shall be a Business Day occurring within 20 to 35 days following the date of such notice; (vi) that if, prior to the Change of Control Conversion Date, the Company has provided or provides notice of its election to redeem all or any portion of the Series E Preferred Stock, the holder will not be able to convert shares of Series E Preferred Stock designated for redemption and such shares of Series E Preferred Stock shall be redeemed on the related redemption date, even if they have already been tendered for conversion pursuant to the Change of Control Conversion Right; (vii) if applicable, the type and amount of Alternative Conversion Consideration entitled to be received per share of Series E Preferred Stock; (viii) the name and address of the paying agent and the conversion agent; and (ix) the procedures that the holders of Series E Preferred Stock must follow to exercise the Change of Control Conversion Right.</w:t>
      </w:r>
    </w:p>
    <w:p>
      <w:pPr>
        <w:spacing w:after="0" w:line="135" w:lineRule="exact"/>
        <w:rPr>
          <w:sz w:val="20"/>
          <w:szCs w:val="20"/>
          <w:color w:val="auto"/>
        </w:rPr>
      </w:pPr>
    </w:p>
    <w:p>
      <w:pPr>
        <w:ind w:left="600" w:right="600" w:firstLine="306"/>
        <w:spacing w:after="0" w:line="278" w:lineRule="auto"/>
        <w:tabs>
          <w:tab w:leader="none" w:pos="1092" w:val="left"/>
        </w:tabs>
        <w:numPr>
          <w:ilvl w:val="1"/>
          <w:numId w:val="2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issue a press release for publication on the Dow Jones &amp; Company, Inc., Business Wire, PR Newswire or Bloomberg Business News (or, if such organizations are not in existence at the time of issuance of such press release, such other news or press organization as is reasonably calculated to broadly disseminate the relevant information to the public), or post notice on the Company’s website, in any event prior to the opening of business on the first Business Day following any date on which the Company provides notice pursuant to Section 8(c) above to the holders of Series E Preferred Stock.</w:t>
      </w:r>
    </w:p>
    <w:p>
      <w:pPr>
        <w:spacing w:after="0" w:line="142" w:lineRule="exact"/>
        <w:rPr>
          <w:rFonts w:ascii="Times New Roman" w:cs="Times New Roman" w:eastAsia="Times New Roman" w:hAnsi="Times New Roman"/>
          <w:sz w:val="13"/>
          <w:szCs w:val="13"/>
          <w:color w:val="auto"/>
        </w:rPr>
      </w:pPr>
    </w:p>
    <w:p>
      <w:pPr>
        <w:jc w:val="both"/>
        <w:ind w:left="600" w:right="680" w:firstLine="306"/>
        <w:spacing w:after="0" w:line="271" w:lineRule="auto"/>
        <w:tabs>
          <w:tab w:leader="none" w:pos="1080" w:val="left"/>
        </w:tabs>
        <w:numPr>
          <w:ilvl w:val="1"/>
          <w:numId w:val="2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order to exercise the Change of Control Conversion Right, a holder of shares of Series E Preferred Stock shall be required to deliver, on or before the close of business on the Change of Control Conversion Date, the certificates (if any) representing the shares of Series E Preferred Stock to be converted, duly endorsed for transfer, together with a written conversion notice completed, to the Company’s transfer agent. Such notice shall state: (i) the relevant Change of Control Conversion Date;</w:t>
      </w:r>
    </w:p>
    <w:p>
      <w:pPr>
        <w:ind w:left="600" w:right="680" w:hanging="6"/>
        <w:spacing w:after="0" w:line="284" w:lineRule="auto"/>
        <w:tabs>
          <w:tab w:leader="none" w:pos="794" w:val="left"/>
        </w:tabs>
        <w:numPr>
          <w:ilvl w:val="0"/>
          <w:numId w:val="2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number of shares of Series E Preferred Stock to be converted; and (iii) that the shares of Series E Preferred Stock are to be converted pursuant to the applicable provisions of these Articles Supplementary. Notwithstanding the foregoing, if the shares of Series E Preferred Stock are held in global form, such notice shall comply with applicable procedures of The Depository Trust Company (“ </w:t>
      </w:r>
      <w:r>
        <w:rPr>
          <w:rFonts w:ascii="Times New Roman" w:cs="Times New Roman" w:eastAsia="Times New Roman" w:hAnsi="Times New Roman"/>
          <w:sz w:val="13"/>
          <w:szCs w:val="13"/>
          <w:u w:val="single" w:color="auto"/>
          <w:color w:val="auto"/>
        </w:rPr>
        <w:t>DTC</w:t>
      </w:r>
      <w:r>
        <w:rPr>
          <w:rFonts w:ascii="Times New Roman" w:cs="Times New Roman" w:eastAsia="Times New Roman" w:hAnsi="Times New Roman"/>
          <w:sz w:val="13"/>
          <w:szCs w:val="13"/>
          <w:color w:val="auto"/>
        </w:rPr>
        <w:t xml:space="preserve"> ”).</w:t>
      </w:r>
    </w:p>
    <w:p>
      <w:pPr>
        <w:spacing w:after="0" w:line="137" w:lineRule="exact"/>
        <w:rPr>
          <w:rFonts w:ascii="Times New Roman" w:cs="Times New Roman" w:eastAsia="Times New Roman" w:hAnsi="Times New Roman"/>
          <w:sz w:val="13"/>
          <w:szCs w:val="13"/>
          <w:color w:val="auto"/>
        </w:rPr>
      </w:pPr>
    </w:p>
    <w:p>
      <w:pPr>
        <w:ind w:left="600" w:right="600" w:firstLine="306"/>
        <w:spacing w:after="0" w:line="276" w:lineRule="auto"/>
        <w:tabs>
          <w:tab w:leader="none" w:pos="1068" w:val="left"/>
        </w:tabs>
        <w:numPr>
          <w:ilvl w:val="1"/>
          <w:numId w:val="2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Holders of Series E Preferred Stock may withdraw any notice of exercise of a Change of Control Conversion Right (in whole or in part) by a written notice of withdrawal delivered to the Company’s transfer agent prior to the close of business on the Business Day prior to the Change of Control Conversion Date. The notice of withdrawal must state: (i) the number of withdrawn shares of Series E Preferred Stock; (ii) if certificated shares of Series E Preferred Stock have been issued, the certificate numbers of the shares of withdrawn Series E Preferred Stock; and (iii) the number of shares of Series E Preferred Stock, if any, which remain subject to the conversion notice. Notwithstanding the foregoing, if the shares of Series E Preferred Stock are held in global form, the notice of withdrawal shall comply with applicable procedures of DTC.</w:t>
      </w:r>
    </w:p>
    <w:p>
      <w:pPr>
        <w:spacing w:after="0" w:line="144" w:lineRule="exact"/>
        <w:rPr>
          <w:rFonts w:ascii="Times New Roman" w:cs="Times New Roman" w:eastAsia="Times New Roman" w:hAnsi="Times New Roman"/>
          <w:sz w:val="13"/>
          <w:szCs w:val="13"/>
          <w:color w:val="auto"/>
        </w:rPr>
      </w:pPr>
    </w:p>
    <w:p>
      <w:pPr>
        <w:ind w:left="600" w:right="640" w:firstLine="306"/>
        <w:spacing w:after="0" w:line="274" w:lineRule="auto"/>
        <w:tabs>
          <w:tab w:leader="none" w:pos="1092" w:val="left"/>
        </w:tabs>
        <w:numPr>
          <w:ilvl w:val="1"/>
          <w:numId w:val="2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Shares of Series E Preferred Stock as to which the Change of Control Conversion Right has been properly exercised and for which the conversion notice has not been properly withdrawn shall be converted into the applicable Conversion Consideration in accordance with the Change of Control Conversion Right on the Change of Control Conversion Date, unless, prior to the Change of Control Conversion Date, the Company has provided or provides notice of its election to redeem such shares of Series E Preferred Stock, whether pursuant to its Redemption Right or Special Optional Redemption Right. If the Company elects to redeem shares of Series E Preferred Stock that would otherwise be converted into the applicable Conversion Consideration on a Change of Control Conversion Date, such shares of Series E Preferred Stock shall not be so converted and the holders of such shares shall be entitled to receive on the applicable redemption date $25.00 per share, plus any accrued and unpaid dividends thereon to, but not including, the redemption date.</w:t>
      </w:r>
    </w:p>
    <w:p>
      <w:pPr>
        <w:spacing w:after="0" w:line="135" w:lineRule="exact"/>
        <w:rPr>
          <w:rFonts w:ascii="Times New Roman" w:cs="Times New Roman" w:eastAsia="Times New Roman" w:hAnsi="Times New Roman"/>
          <w:sz w:val="13"/>
          <w:szCs w:val="13"/>
          <w:color w:val="auto"/>
        </w:rPr>
      </w:pPr>
    </w:p>
    <w:p>
      <w:pPr>
        <w:ind w:left="600" w:right="1020" w:firstLine="306"/>
        <w:spacing w:after="0" w:line="305" w:lineRule="auto"/>
        <w:tabs>
          <w:tab w:leader="none" w:pos="1092" w:val="left"/>
        </w:tabs>
        <w:numPr>
          <w:ilvl w:val="1"/>
          <w:numId w:val="2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deliver the applicable Conversion Consideration no later than the third Business Day following the Change of Control Conversion Date.</w:t>
      </w:r>
    </w:p>
    <w:p>
      <w:pPr>
        <w:spacing w:after="0" w:line="124" w:lineRule="exact"/>
        <w:rPr>
          <w:rFonts w:ascii="Times New Roman" w:cs="Times New Roman" w:eastAsia="Times New Roman" w:hAnsi="Times New Roman"/>
          <w:sz w:val="13"/>
          <w:szCs w:val="13"/>
          <w:color w:val="auto"/>
        </w:rPr>
      </w:pPr>
    </w:p>
    <w:p>
      <w:pPr>
        <w:ind w:left="600" w:right="620" w:firstLine="306"/>
        <w:spacing w:after="0" w:line="281" w:lineRule="auto"/>
        <w:tabs>
          <w:tab w:leader="none" w:pos="1068" w:val="left"/>
        </w:tabs>
        <w:numPr>
          <w:ilvl w:val="1"/>
          <w:numId w:val="2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anything to the contrary contained herein, no holder of shares of Series E Preferred Stock will be entitled to convert such shares of Series E Preferred Stock into shares of Common Stock to the extent that receipt of such shares of Common Stock would cause the holder of such shares of Common Stock (or any other person) to have actual ownership, Beneficial Ownership or Constructive Ownership (each as defined in Section 9(a)) in excess of the Ownership Limit (as defined in Section 9(a)), the Aggregate Stock Ownership Limit (as defined in Section 9(a)),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674370</wp:posOffset>
            </wp:positionV>
            <wp:extent cx="5083810" cy="1524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75">
                      <a:extLst>
                        <a:ext uri="{28A0092B-C50C-407E-A947-70E740481C1C}"/>
                      </a:extLst>
                    </a:blip>
                    <a:srcRect/>
                    <a:stretch>
                      <a:fillRect/>
                    </a:stretch>
                  </pic:blipFill>
                  <pic:spPr bwMode="auto">
                    <a:xfrm>
                      <a:off x="0" y="0"/>
                      <a:ext cx="5083810" cy="15240"/>
                    </a:xfrm>
                    <a:prstGeom prst="rect">
                      <a:avLst/>
                    </a:prstGeom>
                    <a:noFill/>
                  </pic:spPr>
                </pic:pic>
              </a:graphicData>
            </a:graphic>
          </wp:anchor>
        </w:drawing>
        <w:drawing>
          <wp:anchor simplePos="0" relativeHeight="251657728" behindDoc="1" locked="0" layoutInCell="0" allowOverlap="1">
            <wp:simplePos x="0" y="0"/>
            <wp:positionH relativeFrom="column">
              <wp:posOffset>384810</wp:posOffset>
            </wp:positionH>
            <wp:positionV relativeFrom="paragraph">
              <wp:posOffset>316230</wp:posOffset>
            </wp:positionV>
            <wp:extent cx="4436110" cy="1524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76">
                      <a:extLst>
                        <a:ext uri="{28A0092B-C50C-407E-A947-70E740481C1C}"/>
                      </a:extLst>
                    </a:blip>
                    <a:srcRect/>
                    <a:stretch>
                      <a:fillRect/>
                    </a:stretch>
                  </pic:blipFill>
                  <pic:spPr bwMode="auto">
                    <a:xfrm>
                      <a:off x="0" y="0"/>
                      <a:ext cx="44361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24" w:name="page325"/>
    <w:bookmarkEnd w:id="324"/>
    <w:p>
      <w:pPr>
        <w:ind w:left="600"/>
        <w:spacing w:after="0"/>
        <w:rPr>
          <w:sz w:val="20"/>
          <w:szCs w:val="20"/>
          <w:color w:val="auto"/>
        </w:rPr>
      </w:pPr>
      <w:r>
        <w:rPr>
          <w:rFonts w:ascii="Times New Roman" w:cs="Times New Roman" w:eastAsia="Times New Roman" w:hAnsi="Times New Roman"/>
          <w:sz w:val="13"/>
          <w:szCs w:val="13"/>
          <w:color w:val="auto"/>
        </w:rPr>
        <w:t>such other limit as permitted by the Board of Directors or the Committee pursuant to Section 9(i).</w:t>
      </w:r>
    </w:p>
    <w:p>
      <w:pPr>
        <w:spacing w:after="0" w:line="17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Section 9. </w:t>
      </w:r>
      <w:r>
        <w:rPr>
          <w:rFonts w:ascii="Times New Roman" w:cs="Times New Roman" w:eastAsia="Times New Roman" w:hAnsi="Times New Roman"/>
          <w:sz w:val="13"/>
          <w:szCs w:val="13"/>
          <w:u w:val="single" w:color="auto"/>
          <w:color w:val="auto"/>
        </w:rPr>
        <w:t>Restrictions on Ownership and Transfer to Preserve Tax Benefit</w:t>
      </w:r>
      <w:r>
        <w:rPr>
          <w:rFonts w:ascii="Times New Roman" w:cs="Times New Roman" w:eastAsia="Times New Roman" w:hAnsi="Times New Roman"/>
          <w:sz w:val="13"/>
          <w:szCs w:val="13"/>
          <w:color w:val="auto"/>
        </w:rPr>
        <w:t xml:space="preserve"> .</w:t>
      </w:r>
    </w:p>
    <w:p>
      <w:pPr>
        <w:spacing w:after="0" w:line="163" w:lineRule="exact"/>
        <w:rPr>
          <w:sz w:val="20"/>
          <w:szCs w:val="20"/>
          <w:color w:val="auto"/>
        </w:rPr>
      </w:pPr>
    </w:p>
    <w:p>
      <w:pPr>
        <w:ind w:left="600" w:right="1080" w:firstLine="312"/>
        <w:spacing w:after="0" w:line="305" w:lineRule="auto"/>
        <w:rPr>
          <w:sz w:val="20"/>
          <w:szCs w:val="20"/>
          <w:color w:val="auto"/>
        </w:rPr>
      </w:pPr>
      <w:r>
        <w:rPr>
          <w:rFonts w:ascii="Times New Roman" w:cs="Times New Roman" w:eastAsia="Times New Roman" w:hAnsi="Times New Roman"/>
          <w:sz w:val="13"/>
          <w:szCs w:val="13"/>
          <w:color w:val="auto"/>
        </w:rPr>
        <w:t xml:space="preserve">(a) </w:t>
      </w:r>
      <w:r>
        <w:rPr>
          <w:rFonts w:ascii="Times New Roman" w:cs="Times New Roman" w:eastAsia="Times New Roman" w:hAnsi="Times New Roman"/>
          <w:sz w:val="13"/>
          <w:szCs w:val="13"/>
          <w:u w:val="single" w:color="auto"/>
          <w:color w:val="auto"/>
        </w:rPr>
        <w:t>Definitions</w:t>
      </w:r>
      <w:r>
        <w:rPr>
          <w:rFonts w:ascii="Times New Roman" w:cs="Times New Roman" w:eastAsia="Times New Roman" w:hAnsi="Times New Roman"/>
          <w:sz w:val="13"/>
          <w:szCs w:val="13"/>
          <w:color w:val="auto"/>
        </w:rPr>
        <w:t xml:space="preserve"> . For the purposes of Section 5 and this Section 9 of these Articles Supplementary, the following terms shall have the following meanings:</w:t>
      </w:r>
    </w:p>
    <w:p>
      <w:pPr>
        <w:spacing w:after="0" w:line="11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Aggregate Stock Ownership Limit</w:t>
      </w:r>
      <w:r>
        <w:rPr>
          <w:rFonts w:ascii="Times New Roman" w:cs="Times New Roman" w:eastAsia="Times New Roman" w:hAnsi="Times New Roman"/>
          <w:sz w:val="13"/>
          <w:szCs w:val="13"/>
          <w:color w:val="auto"/>
        </w:rPr>
        <w:t xml:space="preserve"> ” has the meaning set forth in Article 6 of the Charter.</w:t>
      </w:r>
    </w:p>
    <w:p>
      <w:pPr>
        <w:spacing w:after="0" w:line="174" w:lineRule="exact"/>
        <w:rPr>
          <w:sz w:val="20"/>
          <w:szCs w:val="20"/>
          <w:color w:val="auto"/>
        </w:rPr>
      </w:pPr>
    </w:p>
    <w:p>
      <w:pPr>
        <w:ind w:left="900" w:right="740" w:firstLine="312"/>
        <w:spacing w:after="0" w:line="281"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Beneficial Ownership</w:t>
      </w:r>
      <w:r>
        <w:rPr>
          <w:rFonts w:ascii="Times New Roman" w:cs="Times New Roman" w:eastAsia="Times New Roman" w:hAnsi="Times New Roman"/>
          <w:sz w:val="13"/>
          <w:szCs w:val="13"/>
          <w:color w:val="auto"/>
        </w:rPr>
        <w:t xml:space="preserve"> ” shall mean ownership of Series E Preferred Stock by a Person who is or would be treated as an owner of such Series E Preferred Stock either actually or constructively through the application of Section 544 of the Code, as modified by Sections 856(h)(1)(B) and 856(h)(3) of the Code. The terms “ </w:t>
      </w:r>
      <w:r>
        <w:rPr>
          <w:rFonts w:ascii="Times New Roman" w:cs="Times New Roman" w:eastAsia="Times New Roman" w:hAnsi="Times New Roman"/>
          <w:sz w:val="13"/>
          <w:szCs w:val="13"/>
          <w:u w:val="single" w:color="auto"/>
          <w:color w:val="auto"/>
        </w:rPr>
        <w:t>Beneficial Owner</w:t>
      </w:r>
      <w:r>
        <w:rPr>
          <w:rFonts w:ascii="Times New Roman" w:cs="Times New Roman" w:eastAsia="Times New Roman" w:hAnsi="Times New Roman"/>
          <w:sz w:val="13"/>
          <w:szCs w:val="13"/>
          <w:color w:val="auto"/>
        </w:rPr>
        <w:t xml:space="preserve"> ,” “ </w:t>
      </w:r>
      <w:r>
        <w:rPr>
          <w:rFonts w:ascii="Times New Roman" w:cs="Times New Roman" w:eastAsia="Times New Roman" w:hAnsi="Times New Roman"/>
          <w:sz w:val="13"/>
          <w:szCs w:val="13"/>
          <w:u w:val="single" w:color="auto"/>
          <w:color w:val="auto"/>
        </w:rPr>
        <w:t>Beneficially Owns</w:t>
      </w:r>
      <w:r>
        <w:rPr>
          <w:rFonts w:ascii="Times New Roman" w:cs="Times New Roman" w:eastAsia="Times New Roman" w:hAnsi="Times New Roman"/>
          <w:sz w:val="13"/>
          <w:szCs w:val="13"/>
          <w:color w:val="auto"/>
        </w:rPr>
        <w:t xml:space="preserve"> ” and “ </w:t>
      </w:r>
      <w:r>
        <w:rPr>
          <w:rFonts w:ascii="Times New Roman" w:cs="Times New Roman" w:eastAsia="Times New Roman" w:hAnsi="Times New Roman"/>
          <w:sz w:val="13"/>
          <w:szCs w:val="13"/>
          <w:u w:val="single" w:color="auto"/>
          <w:color w:val="auto"/>
        </w:rPr>
        <w:t>Beneficially Owned</w:t>
      </w:r>
      <w:r>
        <w:rPr>
          <w:rFonts w:ascii="Times New Roman" w:cs="Times New Roman" w:eastAsia="Times New Roman" w:hAnsi="Times New Roman"/>
          <w:sz w:val="13"/>
          <w:szCs w:val="13"/>
          <w:color w:val="auto"/>
        </w:rPr>
        <w:t xml:space="preserve"> ” shall have the correlative meanings.</w:t>
      </w:r>
    </w:p>
    <w:p>
      <w:pPr>
        <w:spacing w:after="0" w:line="10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Capital Stock</w:t>
      </w:r>
      <w:r>
        <w:rPr>
          <w:rFonts w:ascii="Times New Roman" w:cs="Times New Roman" w:eastAsia="Times New Roman" w:hAnsi="Times New Roman"/>
          <w:sz w:val="13"/>
          <w:szCs w:val="13"/>
          <w:color w:val="auto"/>
        </w:rPr>
        <w:t xml:space="preserve"> ” has the meaning set forth in Article 6 of the Charter.</w:t>
      </w:r>
    </w:p>
    <w:p>
      <w:pPr>
        <w:spacing w:after="0" w:line="175" w:lineRule="exact"/>
        <w:rPr>
          <w:sz w:val="20"/>
          <w:szCs w:val="20"/>
          <w:color w:val="auto"/>
        </w:rPr>
      </w:pPr>
    </w:p>
    <w:p>
      <w:pPr>
        <w:ind w:left="900" w:right="620" w:firstLine="312"/>
        <w:spacing w:after="0" w:line="272"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Charitable Beneficiary</w:t>
      </w:r>
      <w:r>
        <w:rPr>
          <w:rFonts w:ascii="Times New Roman" w:cs="Times New Roman" w:eastAsia="Times New Roman" w:hAnsi="Times New Roman"/>
          <w:sz w:val="13"/>
          <w:szCs w:val="13"/>
          <w:color w:val="auto"/>
        </w:rPr>
        <w:t xml:space="preserve"> ” shall mean one or more beneficiaries of a Trust, as determined pursuant to Section 9(c)(vi) of these Articles Supplementary, each of which shall be an organization described in Sections 170(b)(1)(A), 170(c)(2) and 501(c)</w:t>
      </w:r>
    </w:p>
    <w:p>
      <w:pPr>
        <w:spacing w:after="0" w:line="1" w:lineRule="exact"/>
        <w:rPr>
          <w:sz w:val="20"/>
          <w:szCs w:val="20"/>
          <w:color w:val="auto"/>
        </w:rPr>
      </w:pPr>
    </w:p>
    <w:p>
      <w:pPr>
        <w:ind w:left="1100" w:hanging="194"/>
        <w:spacing w:after="0"/>
        <w:tabs>
          <w:tab w:leader="none" w:pos="1100" w:val="left"/>
        </w:tabs>
        <w:numPr>
          <w:ilvl w:val="0"/>
          <w:numId w:val="2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of the Code.</w:t>
      </w:r>
    </w:p>
    <w:p>
      <w:pPr>
        <w:spacing w:after="0" w:line="159" w:lineRule="exact"/>
        <w:rPr>
          <w:rFonts w:ascii="Times New Roman" w:cs="Times New Roman" w:eastAsia="Times New Roman" w:hAnsi="Times New Roman"/>
          <w:sz w:val="13"/>
          <w:szCs w:val="13"/>
          <w:color w:val="auto"/>
        </w:rPr>
      </w:pPr>
    </w:p>
    <w:p>
      <w:pPr>
        <w:ind w:left="900" w:right="800" w:firstLine="312"/>
        <w:spacing w:after="0" w:line="305"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Code</w:t>
      </w:r>
      <w:r>
        <w:rPr>
          <w:rFonts w:ascii="Times New Roman" w:cs="Times New Roman" w:eastAsia="Times New Roman" w:hAnsi="Times New Roman"/>
          <w:sz w:val="13"/>
          <w:szCs w:val="13"/>
          <w:color w:val="auto"/>
        </w:rPr>
        <w:t xml:space="preserve"> ” shall mean the Internal Revenue Code of 1986, as amended. All section references to the Code shall include any successor provisions thereof as may be adopted from time to time.</w:t>
      </w:r>
    </w:p>
    <w:p>
      <w:pPr>
        <w:spacing w:after="0" w:line="88" w:lineRule="exact"/>
        <w:rPr>
          <w:rFonts w:ascii="Times New Roman" w:cs="Times New Roman" w:eastAsia="Times New Roman" w:hAnsi="Times New Roman"/>
          <w:sz w:val="13"/>
          <w:szCs w:val="13"/>
          <w:color w:val="auto"/>
        </w:rPr>
      </w:pPr>
    </w:p>
    <w:p>
      <w:pPr>
        <w:ind w:left="900" w:right="720" w:firstLine="312"/>
        <w:spacing w:after="0" w:line="281"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Constructive Ownership</w:t>
      </w:r>
      <w:r>
        <w:rPr>
          <w:rFonts w:ascii="Times New Roman" w:cs="Times New Roman" w:eastAsia="Times New Roman" w:hAnsi="Times New Roman"/>
          <w:sz w:val="13"/>
          <w:szCs w:val="13"/>
          <w:color w:val="auto"/>
        </w:rPr>
        <w:t xml:space="preserve"> ” shall mean ownership of Series E Preferred Stock by a Person who is or would be treated as an owner of such Series E Preferred Stock either actually or constructively through the application of Section 318 of the Code, as modified by Section 856(d)(5) of the Code. The terms “ </w:t>
      </w:r>
      <w:r>
        <w:rPr>
          <w:rFonts w:ascii="Times New Roman" w:cs="Times New Roman" w:eastAsia="Times New Roman" w:hAnsi="Times New Roman"/>
          <w:sz w:val="13"/>
          <w:szCs w:val="13"/>
          <w:u w:val="single" w:color="auto"/>
          <w:color w:val="auto"/>
        </w:rPr>
        <w:t>Constructive Owner</w:t>
      </w:r>
      <w:r>
        <w:rPr>
          <w:rFonts w:ascii="Times New Roman" w:cs="Times New Roman" w:eastAsia="Times New Roman" w:hAnsi="Times New Roman"/>
          <w:sz w:val="13"/>
          <w:szCs w:val="13"/>
          <w:color w:val="auto"/>
        </w:rPr>
        <w:t xml:space="preserve"> ,” “ </w:t>
      </w:r>
      <w:r>
        <w:rPr>
          <w:rFonts w:ascii="Times New Roman" w:cs="Times New Roman" w:eastAsia="Times New Roman" w:hAnsi="Times New Roman"/>
          <w:sz w:val="13"/>
          <w:szCs w:val="13"/>
          <w:u w:val="single" w:color="auto"/>
          <w:color w:val="auto"/>
        </w:rPr>
        <w:t>Constructively Owns</w:t>
      </w:r>
      <w:r>
        <w:rPr>
          <w:rFonts w:ascii="Times New Roman" w:cs="Times New Roman" w:eastAsia="Times New Roman" w:hAnsi="Times New Roman"/>
          <w:sz w:val="13"/>
          <w:szCs w:val="13"/>
          <w:color w:val="auto"/>
        </w:rPr>
        <w:t xml:space="preserve"> ” and “ </w:t>
      </w:r>
      <w:r>
        <w:rPr>
          <w:rFonts w:ascii="Times New Roman" w:cs="Times New Roman" w:eastAsia="Times New Roman" w:hAnsi="Times New Roman"/>
          <w:sz w:val="13"/>
          <w:szCs w:val="13"/>
          <w:u w:val="single" w:color="auto"/>
          <w:color w:val="auto"/>
        </w:rPr>
        <w:t>Constructively Owned</w:t>
      </w:r>
      <w:r>
        <w:rPr>
          <w:rFonts w:ascii="Times New Roman" w:cs="Times New Roman" w:eastAsia="Times New Roman" w:hAnsi="Times New Roman"/>
          <w:sz w:val="13"/>
          <w:szCs w:val="13"/>
          <w:color w:val="auto"/>
        </w:rPr>
        <w:t xml:space="preserve"> ” shall have the correlative meanings.</w:t>
      </w:r>
    </w:p>
    <w:p>
      <w:pPr>
        <w:spacing w:after="0" w:line="128" w:lineRule="exact"/>
        <w:rPr>
          <w:sz w:val="20"/>
          <w:szCs w:val="20"/>
          <w:color w:val="auto"/>
        </w:rPr>
      </w:pPr>
    </w:p>
    <w:p>
      <w:pPr>
        <w:ind w:left="900" w:right="720" w:firstLine="312"/>
        <w:spacing w:after="0" w:line="281"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Individual</w:t>
      </w:r>
      <w:r>
        <w:rPr>
          <w:rFonts w:ascii="Times New Roman" w:cs="Times New Roman" w:eastAsia="Times New Roman" w:hAnsi="Times New Roman"/>
          <w:sz w:val="13"/>
          <w:szCs w:val="13"/>
          <w:color w:val="auto"/>
        </w:rPr>
        <w:t xml:space="preserve"> ” means an individual, a trust qualified under Section 401(a) or 501(c)(17) of the Code, a portion of a trust permanently set aside for or to be used exclusively for the purposes described in Section 642(c) of the Code, or a private foundation within the meaning of Section 509(a) of the Code, provided that a trust described in Section 401(a) of the Code and exempt from tax under Section 501(a) of the Code shall be excluded from this definition.</w:t>
      </w:r>
    </w:p>
    <w:p>
      <w:pPr>
        <w:spacing w:after="0" w:line="12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IRS</w:t>
      </w:r>
      <w:r>
        <w:rPr>
          <w:rFonts w:ascii="Times New Roman" w:cs="Times New Roman" w:eastAsia="Times New Roman" w:hAnsi="Times New Roman"/>
          <w:sz w:val="13"/>
          <w:szCs w:val="13"/>
          <w:color w:val="auto"/>
        </w:rPr>
        <w:t xml:space="preserve"> ” means the United States Internal Revenue Service.</w:t>
      </w:r>
    </w:p>
    <w:p>
      <w:pPr>
        <w:spacing w:after="0" w:line="163" w:lineRule="exact"/>
        <w:rPr>
          <w:sz w:val="20"/>
          <w:szCs w:val="20"/>
          <w:color w:val="auto"/>
        </w:rPr>
      </w:pPr>
    </w:p>
    <w:p>
      <w:pPr>
        <w:ind w:left="900" w:right="640" w:firstLine="312"/>
        <w:spacing w:after="0" w:line="278"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Market Price</w:t>
      </w:r>
      <w:r>
        <w:rPr>
          <w:rFonts w:ascii="Times New Roman" w:cs="Times New Roman" w:eastAsia="Times New Roman" w:hAnsi="Times New Roman"/>
          <w:sz w:val="13"/>
          <w:szCs w:val="13"/>
          <w:color w:val="auto"/>
        </w:rPr>
        <w:t xml:space="preserve"> ” shall mean the last reported sales price reported on the NYSE of the Series E Preferred Stock on the Trading Day immediately preceding the relevant date, or if the Series E Preferred Stock is not then traded on the NYSE, the last reported sales price of the Series E Preferred Stock on the Trading Day immediately preceding the relevant date as reported on any exchange or quotation system over which the Series E Preferred Stock may be traded, or if the Series E Preferred Stock is not then traded over any exchange or quotation system, the market price of the Series E Preferred Stock on the relevant date as determined in good faith by the Board of Directors of the Company.</w:t>
      </w:r>
    </w:p>
    <w:p>
      <w:pPr>
        <w:spacing w:after="0" w:line="299" w:lineRule="exact"/>
        <w:rPr>
          <w:sz w:val="20"/>
          <w:szCs w:val="20"/>
          <w:color w:val="auto"/>
        </w:rPr>
      </w:pPr>
    </w:p>
    <w:p>
      <w:pPr>
        <w:jc w:val="both"/>
        <w:ind w:left="900" w:right="640" w:firstLine="312"/>
        <w:spacing w:after="0" w:line="287"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Ownership Limit</w:t>
      </w:r>
      <w:r>
        <w:rPr>
          <w:rFonts w:ascii="Times New Roman" w:cs="Times New Roman" w:eastAsia="Times New Roman" w:hAnsi="Times New Roman"/>
          <w:sz w:val="13"/>
          <w:szCs w:val="13"/>
          <w:color w:val="auto"/>
        </w:rPr>
        <w:t xml:space="preserve"> ” shall mean 9.8% (by value or number of shares, whichever is more restrictive) of the outstanding shares of Series E Preferred Stock of the Company. The number and value of shares of outstanding Series E Preferred Stock of the Company shall be determined by the Board of Directors in good faith, which determination shall be conclusive for all purposes hereof.</w:t>
      </w:r>
    </w:p>
    <w:p>
      <w:pPr>
        <w:spacing w:after="0" w:line="124" w:lineRule="exact"/>
        <w:rPr>
          <w:sz w:val="20"/>
          <w:szCs w:val="20"/>
          <w:color w:val="auto"/>
        </w:rPr>
      </w:pPr>
    </w:p>
    <w:p>
      <w:pPr>
        <w:ind w:left="900" w:right="700" w:firstLine="312"/>
        <w:spacing w:after="0" w:line="278"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Person</w:t>
      </w:r>
      <w:r>
        <w:rPr>
          <w:rFonts w:ascii="Times New Roman" w:cs="Times New Roman" w:eastAsia="Times New Roman" w:hAnsi="Times New Roman"/>
          <w:sz w:val="13"/>
          <w:szCs w:val="13"/>
          <w:color w:val="auto"/>
        </w:rPr>
        <w:t xml:space="preserve"> ” shall mean an Individual, corporation, partnership, limited liability company, estate, trust (including a trust qualified under Section 401(a) or 501(c)(17) of the Code), association, joint stock company or other entity; but does not include an underwriter acting in a capacity as such in a public offering of shares of Series E Preferred Stock provided that the ownership of such shares of Series E Preferred Stock by such underwriter would not result in the Company being “closely held” within the meaning of Section 856(h) of the Code, or otherwise result in the Company failing to qualify as a REIT.</w:t>
      </w:r>
    </w:p>
    <w:p>
      <w:pPr>
        <w:spacing w:after="0" w:line="106" w:lineRule="exact"/>
        <w:rPr>
          <w:sz w:val="20"/>
          <w:szCs w:val="20"/>
          <w:color w:val="auto"/>
        </w:rPr>
      </w:pPr>
    </w:p>
    <w:p>
      <w:pPr>
        <w:ind w:left="900" w:right="640" w:firstLine="312"/>
        <w:spacing w:after="0" w:line="281"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Purported Beneficial Transferee</w:t>
      </w:r>
      <w:r>
        <w:rPr>
          <w:rFonts w:ascii="Times New Roman" w:cs="Times New Roman" w:eastAsia="Times New Roman" w:hAnsi="Times New Roman"/>
          <w:sz w:val="13"/>
          <w:szCs w:val="13"/>
          <w:color w:val="auto"/>
        </w:rPr>
        <w:t xml:space="preserve"> ” shall mean, with respect to any purported Transfer (or other event) which results in a transfer to a Trust, as provided in Section 9(b)(ii) of these Articles Supplementary, the Purported Record Transferee, unless the Purported Record Transferee would have acquired or owned shares of Series E Preferred Stock for another Person who is the beneficial transferee or beneficial owner of such shares, in which case the Purported Beneficial Transferee shall be such Person.</w:t>
      </w:r>
    </w:p>
    <w:p>
      <w:pPr>
        <w:spacing w:after="0" w:line="3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125730</wp:posOffset>
            </wp:positionV>
            <wp:extent cx="4436110" cy="1524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77">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575310</wp:posOffset>
            </wp:positionV>
            <wp:extent cx="5083810" cy="1524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78">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25" w:name="page326"/>
    <w:bookmarkEnd w:id="325"/>
    <w:p>
      <w:pPr>
        <w:ind w:left="900" w:right="740" w:firstLine="312"/>
        <w:spacing w:after="0" w:line="287"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Purported Record Transferee</w:t>
      </w:r>
      <w:r>
        <w:rPr>
          <w:rFonts w:ascii="Times New Roman" w:cs="Times New Roman" w:eastAsia="Times New Roman" w:hAnsi="Times New Roman"/>
          <w:sz w:val="13"/>
          <w:szCs w:val="13"/>
          <w:color w:val="auto"/>
        </w:rPr>
        <w:t xml:space="preserve"> ” shall mean, with respect to any purported Transfer (or other event) which results in a transfer to a Trust, as provided in Section 9(b)(ii) of these Articles Supplementary, the record holder of the Series E Preferred Stock if such Transfer had been valid under Section 9(b)(i) of these Articles Supplementary.</w:t>
      </w:r>
    </w:p>
    <w:p>
      <w:pPr>
        <w:spacing w:after="0" w:line="13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REIT</w:t>
      </w:r>
      <w:r>
        <w:rPr>
          <w:rFonts w:ascii="Times New Roman" w:cs="Times New Roman" w:eastAsia="Times New Roman" w:hAnsi="Times New Roman"/>
          <w:sz w:val="13"/>
          <w:szCs w:val="13"/>
          <w:color w:val="auto"/>
        </w:rPr>
        <w:t xml:space="preserve"> ” shall mean a real estate investment trust under Sections 856 through 860 of the Code.</w:t>
      </w:r>
    </w:p>
    <w:p>
      <w:pPr>
        <w:spacing w:after="0" w:line="186" w:lineRule="exact"/>
        <w:rPr>
          <w:sz w:val="20"/>
          <w:szCs w:val="20"/>
          <w:color w:val="auto"/>
        </w:rPr>
      </w:pPr>
    </w:p>
    <w:p>
      <w:pPr>
        <w:ind w:left="900" w:right="1040" w:firstLine="312"/>
        <w:spacing w:after="0" w:line="305"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Restriction Termination Date</w:t>
      </w:r>
      <w:r>
        <w:rPr>
          <w:rFonts w:ascii="Times New Roman" w:cs="Times New Roman" w:eastAsia="Times New Roman" w:hAnsi="Times New Roman"/>
          <w:sz w:val="13"/>
          <w:szCs w:val="13"/>
          <w:color w:val="auto"/>
        </w:rPr>
        <w:t xml:space="preserve"> ” shall mean the first day after the date hereof on which the Board of Directors of the Company determines that it is no longer in the best interests of the Company to attempt to, or continue to, qualify as a REIT.</w:t>
      </w:r>
    </w:p>
    <w:p>
      <w:pPr>
        <w:spacing w:after="0" w:line="124" w:lineRule="exact"/>
        <w:rPr>
          <w:sz w:val="20"/>
          <w:szCs w:val="20"/>
          <w:color w:val="auto"/>
        </w:rPr>
      </w:pPr>
    </w:p>
    <w:p>
      <w:pPr>
        <w:ind w:left="900" w:right="680" w:firstLine="312"/>
        <w:spacing w:after="0" w:line="281"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Trading Day</w:t>
      </w:r>
      <w:r>
        <w:rPr>
          <w:rFonts w:ascii="Times New Roman" w:cs="Times New Roman" w:eastAsia="Times New Roman" w:hAnsi="Times New Roman"/>
          <w:sz w:val="13"/>
          <w:szCs w:val="13"/>
          <w:color w:val="auto"/>
        </w:rPr>
        <w:t xml:space="preserve"> ” means a day during which trading in securities generally occurs on the NYSE or, if the Common Stock is not quoted on the NYSE, then a day during which trading in securities generally occurs on the principal U.S. securities exchange on which the Common Stock is listed or, if the Common Stock is not listed on a U.S. national or regional securities exchange, then on the principal other market on which the Common Stock is then traded or quoted.</w:t>
      </w:r>
    </w:p>
    <w:p>
      <w:pPr>
        <w:spacing w:after="0" w:line="140" w:lineRule="exact"/>
        <w:rPr>
          <w:sz w:val="20"/>
          <w:szCs w:val="20"/>
          <w:color w:val="auto"/>
        </w:rPr>
      </w:pPr>
    </w:p>
    <w:p>
      <w:pPr>
        <w:ind w:left="900" w:right="640" w:firstLine="312"/>
        <w:spacing w:after="0" w:line="275"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Transfer</w:t>
      </w:r>
      <w:r>
        <w:rPr>
          <w:rFonts w:ascii="Times New Roman" w:cs="Times New Roman" w:eastAsia="Times New Roman" w:hAnsi="Times New Roman"/>
          <w:sz w:val="13"/>
          <w:szCs w:val="13"/>
          <w:color w:val="auto"/>
        </w:rPr>
        <w:t xml:space="preserve"> ” shall mean any sale, issuance, transfer, gift, assignment, devise or other disposition of Series E Preferred Stock as well as any other event that causes any Person to Beneficially Own or Constructively Own Series E Preferred Stock, including (i) the granting of any option or entering into any agreement for the sale, transfer or other disposition of Series E Preferred Stock or (ii) the sale, transfer, assignment or other disposition of any securities (or rights convertible into or exchangeable for Series E Preferred Stock), whether voluntary or involuntary, whether such transfer has occurred of record or beneficially or Beneficially or Constructively (including but not limited to transfers of interests in other entities which result in changes in Beneficial or Constructive Ownership of Series E Preferred Stock), and whether such transfer has occurred by operation of law or otherwise.</w:t>
      </w:r>
    </w:p>
    <w:p>
      <w:pPr>
        <w:spacing w:after="0" w:line="14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Trust</w:t>
      </w:r>
      <w:r>
        <w:rPr>
          <w:rFonts w:ascii="Times New Roman" w:cs="Times New Roman" w:eastAsia="Times New Roman" w:hAnsi="Times New Roman"/>
          <w:sz w:val="13"/>
          <w:szCs w:val="13"/>
          <w:color w:val="auto"/>
        </w:rPr>
        <w:t xml:space="preserve"> ” shall mean each of the trusts provided for in Section 9(c) of these Articles Supplementary.</w:t>
      </w:r>
    </w:p>
    <w:p>
      <w:pPr>
        <w:spacing w:after="0" w:line="187" w:lineRule="exact"/>
        <w:rPr>
          <w:sz w:val="20"/>
          <w:szCs w:val="20"/>
          <w:color w:val="auto"/>
        </w:rPr>
      </w:pPr>
    </w:p>
    <w:p>
      <w:pPr>
        <w:ind w:left="900" w:right="1060" w:firstLine="312"/>
        <w:spacing w:after="0" w:line="305"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Trustee</w:t>
      </w:r>
      <w:r>
        <w:rPr>
          <w:rFonts w:ascii="Times New Roman" w:cs="Times New Roman" w:eastAsia="Times New Roman" w:hAnsi="Times New Roman"/>
          <w:sz w:val="13"/>
          <w:szCs w:val="13"/>
          <w:color w:val="auto"/>
        </w:rPr>
        <w:t xml:space="preserve"> ” shall mean any Person unaffiliated with the Company, or a Purported Beneficial Transferee, or a Purported Record Transferee, that is appointed by the Company to serve as trustee of a Trust.</w:t>
      </w:r>
    </w:p>
    <w:p>
      <w:pPr>
        <w:spacing w:after="0" w:line="124" w:lineRule="exact"/>
        <w:rPr>
          <w:sz w:val="20"/>
          <w:szCs w:val="20"/>
          <w:color w:val="auto"/>
        </w:rPr>
      </w:pPr>
    </w:p>
    <w:p>
      <w:pPr>
        <w:ind w:left="1080" w:hanging="174"/>
        <w:spacing w:after="0"/>
        <w:tabs>
          <w:tab w:leader="none" w:pos="1080" w:val="left"/>
        </w:tabs>
        <w:numPr>
          <w:ilvl w:val="0"/>
          <w:numId w:val="2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Restriction on Ownership and Transfers</w:t>
      </w:r>
      <w:r>
        <w:rPr>
          <w:rFonts w:ascii="Times New Roman" w:cs="Times New Roman" w:eastAsia="Times New Roman" w:hAnsi="Times New Roman"/>
          <w:sz w:val="13"/>
          <w:szCs w:val="13"/>
          <w:color w:val="auto"/>
        </w:rPr>
        <w:t xml:space="preserve"> .</w:t>
      </w:r>
    </w:p>
    <w:p>
      <w:pPr>
        <w:spacing w:after="0" w:line="186" w:lineRule="exact"/>
        <w:rPr>
          <w:rFonts w:ascii="Times New Roman" w:cs="Times New Roman" w:eastAsia="Times New Roman" w:hAnsi="Times New Roman"/>
          <w:sz w:val="13"/>
          <w:szCs w:val="13"/>
          <w:color w:val="auto"/>
        </w:rPr>
      </w:pPr>
    </w:p>
    <w:p>
      <w:pPr>
        <w:ind w:left="1380" w:hanging="161"/>
        <w:spacing w:after="0"/>
        <w:tabs>
          <w:tab w:leader="none" w:pos="1380" w:val="left"/>
        </w:tabs>
        <w:numPr>
          <w:ilvl w:val="1"/>
          <w:numId w:val="2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Prior to the Restriction Termination Date, but subject to Section 9(l):</w:t>
      </w:r>
    </w:p>
    <w:p>
      <w:pPr>
        <w:spacing w:after="0" w:line="187" w:lineRule="exact"/>
        <w:rPr>
          <w:sz w:val="20"/>
          <w:szCs w:val="20"/>
          <w:color w:val="auto"/>
        </w:rPr>
      </w:pPr>
    </w:p>
    <w:p>
      <w:pPr>
        <w:ind w:left="1220" w:right="720" w:firstLine="311"/>
        <w:spacing w:after="0" w:line="281" w:lineRule="auto"/>
        <w:tabs>
          <w:tab w:leader="none" w:pos="1736" w:val="left"/>
        </w:tabs>
        <w:numPr>
          <w:ilvl w:val="0"/>
          <w:numId w:val="2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provided in Section 9(i) of these Articles Supplementary, (1) no Person shall Beneficially Own shares of Series E Preferred Stock in excess of the Ownership Limit and (2) no Person shall Beneficially Own shares of Series E Preferred Stock that, taking into account any other Capital Stock Beneficially Owned by such Person, would result in such Person Beneficially Owning Capital Stock in excess of the Aggregate Stock Ownership Limit;</w:t>
      </w:r>
    </w:p>
    <w:p>
      <w:pPr>
        <w:spacing w:after="0" w:line="140" w:lineRule="exact"/>
        <w:rPr>
          <w:sz w:val="20"/>
          <w:szCs w:val="20"/>
          <w:color w:val="auto"/>
        </w:rPr>
      </w:pPr>
    </w:p>
    <w:p>
      <w:pPr>
        <w:ind w:left="1220" w:right="700" w:firstLine="312"/>
        <w:spacing w:after="0" w:line="281" w:lineRule="auto"/>
        <w:rPr>
          <w:sz w:val="20"/>
          <w:szCs w:val="20"/>
          <w:color w:val="auto"/>
        </w:rPr>
      </w:pPr>
      <w:r>
        <w:rPr>
          <w:rFonts w:ascii="Times New Roman" w:cs="Times New Roman" w:eastAsia="Times New Roman" w:hAnsi="Times New Roman"/>
          <w:sz w:val="13"/>
          <w:szCs w:val="13"/>
          <w:color w:val="auto"/>
        </w:rPr>
        <w:t>(B) except as provided in Section 9(i) of these Articles Supplementary, (1) no Person shall Constructively Own shares of Series E Preferred Stock in excess of the Ownership Limit and (2) no Person shall Constructively Own shares of Series E Preferred Stock that, taking into account any other Capital Stock Constructively Owned by such Person, would result in such Person Constructively Owning Capital Stock in excess of the Aggregate Stock Ownership Limit;</w:t>
      </w:r>
    </w:p>
    <w:p>
      <w:pPr>
        <w:spacing w:after="0" w:line="140" w:lineRule="exact"/>
        <w:rPr>
          <w:sz w:val="20"/>
          <w:szCs w:val="20"/>
          <w:color w:val="auto"/>
        </w:rPr>
      </w:pPr>
    </w:p>
    <w:p>
      <w:pPr>
        <w:ind w:left="1220" w:right="700" w:firstLine="311"/>
        <w:spacing w:after="0" w:line="276" w:lineRule="auto"/>
        <w:tabs>
          <w:tab w:leader="none" w:pos="1736" w:val="left"/>
        </w:tabs>
        <w:numPr>
          <w:ilvl w:val="0"/>
          <w:numId w:val="2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Person shall Beneficially Own or Constructively Own Series E Preferred Stock which, taking into account any other Capital Stock of the Company Beneficially or Constructively Owned by such Person, would result in the Company being “closely held” within the meaning of Section 856(h) of the Code, or otherwise failing to qualify as a REIT (including but not limited to Beneficial or Constructive Ownership that would result in the Company owning (actually or Constructively) an interest in a tenant that is described in Section 856(d)(2)(B) of the Code if the income derived by the Company (either directly or indirectly through one or more subsidiaries) from such tenant would cause the Company to fail to satisfy any of the gross income requirements of Section 856(c) of the Code).</w:t>
      </w:r>
    </w:p>
    <w:p>
      <w:pPr>
        <w:spacing w:after="0" w:line="200" w:lineRule="exact"/>
        <w:rPr>
          <w:sz w:val="20"/>
          <w:szCs w:val="20"/>
          <w:color w:val="auto"/>
        </w:rPr>
      </w:pPr>
    </w:p>
    <w:p>
      <w:pPr>
        <w:spacing w:after="0" w:line="2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125730</wp:posOffset>
            </wp:positionV>
            <wp:extent cx="4436110" cy="1524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79">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575310</wp:posOffset>
            </wp:positionV>
            <wp:extent cx="5083810" cy="1524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80">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26" w:name="page327"/>
    <w:bookmarkEnd w:id="326"/>
    <w:p>
      <w:pPr>
        <w:ind w:left="600" w:right="640" w:firstLine="607"/>
        <w:spacing w:after="0" w:line="274" w:lineRule="auto"/>
        <w:tabs>
          <w:tab w:leader="none" w:pos="1404" w:val="left"/>
        </w:tabs>
        <w:numPr>
          <w:ilvl w:val="0"/>
          <w:numId w:val="2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prior to the Restriction Termination Date, any Transfer or other event occurs that, if effective, would result in any Person Beneficially or Constructively Owning Series E Preferred Stock in violation of Section 9(b)(i) of these Articles Supplementary, (A) then that number of shares of Series E Preferred Stock that otherwise would cause such Person to violate Section 9(b)(i) of these Articles Supplementary (rounded up to the nearest whole share) shall be automatically transferred to a Trust for the benefit of a Charitable Beneficiary, as described in Section 9(c), effective as of the close of business on the Business Day prior to the date of such Transfer or other event, and such Purported Beneficial Transferee shall thereafter have no rights in such shares or (B) if, for any reason, the transfer to the Trust described in clause (A) of this sentence is not automatically effective as provided therein to prevent any Person from Beneficially or Constructively Owning Series E Preferred Stock in violation of Section 9(b)(i) of these Articles Supplementary, then the Transfer of that number of shares of Series E Preferred Stock that otherwise would cause any Person to violate Section 9(b)(i) shall be void ab initio, and the Purported Beneficial Transferee shall have no rights in such shares.</w:t>
      </w:r>
    </w:p>
    <w:p>
      <w:pPr>
        <w:spacing w:after="0" w:line="301" w:lineRule="exact"/>
        <w:rPr>
          <w:sz w:val="20"/>
          <w:szCs w:val="20"/>
          <w:color w:val="auto"/>
        </w:rPr>
      </w:pPr>
    </w:p>
    <w:p>
      <w:pPr>
        <w:ind w:left="600" w:right="720" w:firstLine="612"/>
        <w:spacing w:after="0" w:line="287" w:lineRule="auto"/>
        <w:rPr>
          <w:sz w:val="20"/>
          <w:szCs w:val="20"/>
          <w:color w:val="auto"/>
        </w:rPr>
      </w:pPr>
      <w:r>
        <w:rPr>
          <w:rFonts w:ascii="Times New Roman" w:cs="Times New Roman" w:eastAsia="Times New Roman" w:hAnsi="Times New Roman"/>
          <w:sz w:val="13"/>
          <w:szCs w:val="13"/>
          <w:color w:val="auto"/>
        </w:rPr>
        <w:t>(iii) Subject to Section 9(l) and prior to the Restriction Termination Date, any Transfer of Series E Preferred Stock that, if effective, would result in the capital stock of the Company being beneficially owned by fewer than 100 Persons (determined without reference to any rules of attribution) shall be void ab initio, and the intended transferee shall acquire no rights in such Series E Preferred Stock.</w:t>
      </w:r>
    </w:p>
    <w:p>
      <w:pPr>
        <w:spacing w:after="0" w:line="136" w:lineRule="exact"/>
        <w:rPr>
          <w:sz w:val="20"/>
          <w:szCs w:val="20"/>
          <w:color w:val="auto"/>
        </w:rPr>
      </w:pPr>
    </w:p>
    <w:p>
      <w:pPr>
        <w:ind w:left="1080" w:hanging="174"/>
        <w:spacing w:after="0"/>
        <w:tabs>
          <w:tab w:leader="none" w:pos="1080" w:val="left"/>
        </w:tabs>
        <w:numPr>
          <w:ilvl w:val="0"/>
          <w:numId w:val="2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Transfers of Series E Preferred Stock in Trust</w:t>
      </w:r>
      <w:r>
        <w:rPr>
          <w:rFonts w:ascii="Times New Roman" w:cs="Times New Roman" w:eastAsia="Times New Roman" w:hAnsi="Times New Roman"/>
          <w:sz w:val="13"/>
          <w:szCs w:val="13"/>
          <w:color w:val="auto"/>
        </w:rPr>
        <w:t xml:space="preserve"> .</w:t>
      </w:r>
    </w:p>
    <w:p>
      <w:pPr>
        <w:spacing w:after="0" w:line="186" w:lineRule="exact"/>
        <w:rPr>
          <w:rFonts w:ascii="Times New Roman" w:cs="Times New Roman" w:eastAsia="Times New Roman" w:hAnsi="Times New Roman"/>
          <w:sz w:val="13"/>
          <w:szCs w:val="13"/>
          <w:color w:val="auto"/>
        </w:rPr>
      </w:pPr>
    </w:p>
    <w:p>
      <w:pPr>
        <w:ind w:left="600" w:right="740" w:firstLine="607"/>
        <w:spacing w:after="0" w:line="276" w:lineRule="auto"/>
        <w:tabs>
          <w:tab w:leader="none" w:pos="1368" w:val="left"/>
        </w:tabs>
        <w:numPr>
          <w:ilvl w:val="1"/>
          <w:numId w:val="2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any purported Transfer or other event described in Section 9(b)(ii) of these Articles Supplementary, such Series E Preferred Stock shall be deemed to have been transferred to the Trustee in his capacity as trustee of a Trust for the exclusive benefit of one or more Charitable Beneficiaries. Such transfer to the Trustee shall be deemed to be effective as of the close of business on the Business Day prior to the purported Transfer or other event that results in a transfer to the Trust pursuant to Section 9(b)(ii). The Trustee shall be appointed by the Company and shall be a Person unaffiliated with the Company, any Purported Beneficial Transferee or any Purported Record Transferee. Each Charitable Beneficiary shall be designated by the Company as provided in Section 9(c)(vi) of these Articles Supplementary.</w:t>
      </w:r>
    </w:p>
    <w:p>
      <w:pPr>
        <w:spacing w:after="0" w:line="144" w:lineRule="exact"/>
        <w:rPr>
          <w:rFonts w:ascii="Times New Roman" w:cs="Times New Roman" w:eastAsia="Times New Roman" w:hAnsi="Times New Roman"/>
          <w:sz w:val="13"/>
          <w:szCs w:val="13"/>
          <w:color w:val="auto"/>
        </w:rPr>
      </w:pPr>
    </w:p>
    <w:p>
      <w:pPr>
        <w:ind w:left="600" w:right="820" w:firstLine="607"/>
        <w:spacing w:after="0" w:line="278" w:lineRule="auto"/>
        <w:tabs>
          <w:tab w:leader="none" w:pos="1404" w:val="left"/>
        </w:tabs>
        <w:numPr>
          <w:ilvl w:val="1"/>
          <w:numId w:val="2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Series E Preferred Stock held by the Trustee shall be issued and outstanding Series E Preferred Stock of the Company. The Purported Beneficial Transferee or Purported Record Transferee shall have no rights in the shares of the Series E Preferred Stock held by the Trustee. The Purported Beneficial Transferee or Purported Record Transferee shall not benefit economically from ownership of any shares held in trust by the Trustee, shall have no rights to dividends and shall not possess any rights to vote or other rights attributable to the shares of Series E Preferred Stock held in the Trust.</w:t>
      </w:r>
    </w:p>
    <w:p>
      <w:pPr>
        <w:spacing w:after="0" w:line="143" w:lineRule="exact"/>
        <w:rPr>
          <w:sz w:val="20"/>
          <w:szCs w:val="20"/>
          <w:color w:val="auto"/>
        </w:rPr>
      </w:pPr>
    </w:p>
    <w:p>
      <w:pPr>
        <w:ind w:left="600" w:right="700" w:firstLine="612"/>
        <w:spacing w:after="0" w:line="273" w:lineRule="auto"/>
        <w:rPr>
          <w:sz w:val="20"/>
          <w:szCs w:val="20"/>
          <w:color w:val="auto"/>
        </w:rPr>
      </w:pPr>
      <w:r>
        <w:rPr>
          <w:rFonts w:ascii="Times New Roman" w:cs="Times New Roman" w:eastAsia="Times New Roman" w:hAnsi="Times New Roman"/>
          <w:sz w:val="13"/>
          <w:szCs w:val="13"/>
          <w:color w:val="auto"/>
        </w:rPr>
        <w:t xml:space="preserve">(iii) The Trustee shall have all voting rights and rights to dividends with respect to Series E Preferred Stock held in the Trust, which rights shall be exercised for the exclusive benefit of the Charitable Beneficiary. Any dividend or distribution paid to or on behalf of the Purported Record Transferee or Purported Beneficial Transferee prior to the discovery by the Company that shares of Series E Preferred Stock have been transferred to the Trustee shall be paid to the Trustee upon demand, and any dividend or distribution declared but unpaid shall be paid when due to the Trustee with respect to such Series E Preferred Stock. Any dividends or distributions so paid over to the Trustee shall be held in trust for the Charitable Beneficiary. The Purported Record Transferee and Purported Beneficial Transferee shall have no voting rights with respect to the Series E Preferred Stock held in the Trust and, subject to Maryland law, effective as of the date the Series E Preferred Stock has been transferred to the Trustee, the Trustee shall have the authority (at the Trustee’s sole discretion) (A) to rescind as void any vote cast by a Purported Record Transferee with respect to such Series E Preferred Stock prior to the discovery by the Company that the Series E Preferred Stock has been transferred to the Trustee and (B) to recast such vote in accordance with the desires of the Trustee acting for the benefit of the Charitable Beneficiary;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 that if the Company has already taken irreversible corporate action, then the Trustee shall not have the authority to rescind and recast such vote.</w:t>
      </w:r>
    </w:p>
    <w:p>
      <w:pPr>
        <w:spacing w:after="0" w:line="3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125730</wp:posOffset>
            </wp:positionV>
            <wp:extent cx="4436110" cy="762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81">
                      <a:extLst>
                        <a:ext uri="{28A0092B-C50C-407E-A947-70E740481C1C}"/>
                      </a:extLst>
                    </a:blip>
                    <a:srcRect/>
                    <a:stretch>
                      <a:fillRect/>
                    </a:stretch>
                  </pic:blipFill>
                  <pic:spPr bwMode="auto">
                    <a:xfrm>
                      <a:off x="0" y="0"/>
                      <a:ext cx="4436110"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567690</wp:posOffset>
            </wp:positionV>
            <wp:extent cx="5083810" cy="1524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82">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27" w:name="page328"/>
    <w:bookmarkEnd w:id="327"/>
    <w:p>
      <w:pPr>
        <w:ind w:left="600" w:right="620"/>
        <w:spacing w:after="0" w:line="281" w:lineRule="auto"/>
        <w:rPr>
          <w:sz w:val="20"/>
          <w:szCs w:val="20"/>
          <w:color w:val="auto"/>
        </w:rPr>
      </w:pPr>
      <w:r>
        <w:rPr>
          <w:rFonts w:ascii="Times New Roman" w:cs="Times New Roman" w:eastAsia="Times New Roman" w:hAnsi="Times New Roman"/>
          <w:sz w:val="13"/>
          <w:szCs w:val="13"/>
          <w:color w:val="auto"/>
        </w:rPr>
        <w:t>Notwithstanding any other provision of these Articles Supplementary to the contrary, until the Company has received notification that the Series E Preferred Stock has been transferred into a Trust, the Company shall be entitled to rely on its share transfer and other stockholder records for purposes of preparing lists of stockholders entitled to vote at meetings, determining the validity and authority of proxies and otherwise conducting votes of stockholders.</w:t>
      </w:r>
    </w:p>
    <w:p>
      <w:pPr>
        <w:spacing w:after="0" w:line="140" w:lineRule="exact"/>
        <w:rPr>
          <w:sz w:val="20"/>
          <w:szCs w:val="20"/>
          <w:color w:val="auto"/>
        </w:rPr>
      </w:pPr>
    </w:p>
    <w:p>
      <w:pPr>
        <w:ind w:left="600" w:right="640" w:firstLine="607"/>
        <w:spacing w:after="0" w:line="271" w:lineRule="auto"/>
        <w:tabs>
          <w:tab w:leader="none" w:pos="1428" w:val="left"/>
        </w:tabs>
        <w:numPr>
          <w:ilvl w:val="1"/>
          <w:numId w:val="2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Within twenty (20) days of receiving notice from the Company that shares of Series E Preferred Stock have been transferred to the Trust, the Trustee of the Trust shall sell the shares of Series E Preferred Stock held in the Trust to a Person, designated by the Trustee, whose ownership of the shares of Series E Preferred Stock will not violate the ownership limitations set forth in Section 9(b)(i). Upon such sale, the interest of the Charitable Beneficiary in the shares of Series E Preferred Stock sold shall terminate and the Trustee shall distribute the net proceeds of the sale to the Purported Record Transferee and to the Charitable Beneficiary as provided in this Section 9(c)(iv). The Purported Record Transferee shall receive the lesser of (A) the price paid by the Purported Record Transferee for the shares of Series E Preferred Stock in the transaction that resulted in such transfer to the Trust (or, if the event which resulted in the transfer to the Trust did not involve a purchase of such shares of Series E Preferred Stock at Market Price, the Market Price of such shares of Series E Preferred Stock on the day of the event which resulted in the transfer of such shares of Series E Preferred Stock to the Trust) and (B) the price per share received by the Trustee (net of any commissions and other expenses of sale) from the sale or other disposition of the shares of Series E Preferred Stock held in the Trust. The Trustee may reduce the amount payable to the Purported Record Transferee by the amount of dividends and distributions which have been paid to the Purported Record Transferee and are owed by the Purported Record Transferee to the Trustee pursuant to Section 9(c)(iii). Any net sales proceeds in excess of the amount payable to the Purported Record Transferee shall be immediately paid to the Charitable Beneficiary together with any dividends or other distributions thereon. If, prior to the discovery by the Company that shares of such Series E Preferred Stock have been transferred to the Trustee, such shares of Series E Preferred Stock are sold by a Purported Record Transferee then (1) such shares of Series E Preferred Stock shall be deemed to have been sold on behalf of the Trust and (2) to the extent that the Purported Record Transferee received an amount for such shares of Series E Preferred Stock that exceeds the amount that such Purported Record Transferee was entitled to receive pursuant to this Section 9(c)(iv), such excess shall be paid to the Trustee upon demand.</w:t>
      </w:r>
    </w:p>
    <w:p>
      <w:pPr>
        <w:spacing w:after="0" w:line="142" w:lineRule="exact"/>
        <w:rPr>
          <w:rFonts w:ascii="Times New Roman" w:cs="Times New Roman" w:eastAsia="Times New Roman" w:hAnsi="Times New Roman"/>
          <w:sz w:val="13"/>
          <w:szCs w:val="13"/>
          <w:color w:val="auto"/>
        </w:rPr>
      </w:pPr>
    </w:p>
    <w:p>
      <w:pPr>
        <w:ind w:left="600" w:right="660" w:firstLine="607"/>
        <w:spacing w:after="0" w:line="273" w:lineRule="auto"/>
        <w:tabs>
          <w:tab w:leader="none" w:pos="1392" w:val="left"/>
        </w:tabs>
        <w:numPr>
          <w:ilvl w:val="1"/>
          <w:numId w:val="2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Series E Preferred Stock transferred to the Trustee shall be deemed to have been offered for sale to the Company, or its designee, at a price per share equal to the lesser of (A) the price paid by the Purported Record Transferee for the shares of Series E Preferred Stock in the transaction that resulted in such transfer to the Trust (or, if the event which resulted in the transfer to the Trust did not involve a purchase of such shares of Series E Preferred Stock at Market Price, the Market Price of such shares of Series E Preferred Stock on the day of the event which resulted in the transfer of such shares of Series E Preferred Stock to the Trust) and (B) the Market Price on the date the Company, or its designee, accepts such offer. The Company may reduce the amount payable to the Purported Record Transferee by the amount of dividends and distributions which have been paid to the Purported Record Transferee and are owed by the Purported Record Transferee to the Trustee pursuant to Section 9(c)(iii). The Company shall have the right to accept such offer until the Trustee has sold the shares of Series E Preferred Stock held in the Trust pursuant to Section 9(c)(iv). Upon such a sale to the Company, the interest of the Charitable Beneficiary in the shares of Series E Preferred Stock sold shall terminate and the Trustee shall distribute the net proceeds of the sale to the Purported Record Transferee and any dividends or other distributions held by the Trustee with respect to such Series E Preferred Stock shall thereupon be paid to the Charitable Beneficiary.</w:t>
      </w:r>
    </w:p>
    <w:p>
      <w:pPr>
        <w:spacing w:after="0" w:line="302" w:lineRule="exact"/>
        <w:rPr>
          <w:rFonts w:ascii="Times New Roman" w:cs="Times New Roman" w:eastAsia="Times New Roman" w:hAnsi="Times New Roman"/>
          <w:sz w:val="13"/>
          <w:szCs w:val="13"/>
          <w:color w:val="auto"/>
        </w:rPr>
      </w:pPr>
    </w:p>
    <w:p>
      <w:pPr>
        <w:ind w:left="600" w:right="1120" w:firstLine="607"/>
        <w:spacing w:after="0" w:line="287" w:lineRule="auto"/>
        <w:tabs>
          <w:tab w:leader="none" w:pos="1428" w:val="left"/>
        </w:tabs>
        <w:numPr>
          <w:ilvl w:val="1"/>
          <w:numId w:val="2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written notice to the Trustee, the Company shall designate one or more nonprofit organizations to be the Charitable Beneficiary of the interest in the Trust such that the Series E Preferred Stock held in the Trust would not violate the restrictions set forth in Section 9(b)(i) in the hands of such Charitable Beneficiary.</w:t>
      </w:r>
    </w:p>
    <w:p>
      <w:pPr>
        <w:spacing w:after="0" w:line="135" w:lineRule="exact"/>
        <w:rPr>
          <w:rFonts w:ascii="Times New Roman" w:cs="Times New Roman" w:eastAsia="Times New Roman" w:hAnsi="Times New Roman"/>
          <w:sz w:val="13"/>
          <w:szCs w:val="13"/>
          <w:color w:val="auto"/>
        </w:rPr>
      </w:pPr>
    </w:p>
    <w:p>
      <w:pPr>
        <w:ind w:left="600" w:right="780" w:firstLine="306"/>
        <w:spacing w:after="0" w:line="287" w:lineRule="auto"/>
        <w:tabs>
          <w:tab w:leader="none" w:pos="1092" w:val="left"/>
        </w:tabs>
        <w:numPr>
          <w:ilvl w:val="0"/>
          <w:numId w:val="2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Remedies For Breach</w:t>
      </w:r>
      <w:r>
        <w:rPr>
          <w:rFonts w:ascii="Times New Roman" w:cs="Times New Roman" w:eastAsia="Times New Roman" w:hAnsi="Times New Roman"/>
          <w:sz w:val="13"/>
          <w:szCs w:val="13"/>
          <w:color w:val="auto"/>
        </w:rPr>
        <w:t xml:space="preserve"> . If the Board of Directors or a committee thereof or other designees if permitted by the MGCL shall at any time determine in good faith that a Transfer or other event has taken place in violation of Section 9(b) of these Articles Supplementary or that a Person intends to acquire, has attempted to acquire or may</w:t>
      </w:r>
    </w:p>
    <w:p>
      <w:pPr>
        <w:spacing w:after="0" w:line="3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125730</wp:posOffset>
            </wp:positionV>
            <wp:extent cx="4436110" cy="1524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83">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575310</wp:posOffset>
            </wp:positionV>
            <wp:extent cx="5083810" cy="1524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84">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28" w:name="page329"/>
    <w:bookmarkEnd w:id="328"/>
    <w:p>
      <w:pPr>
        <w:ind w:left="600" w:right="620"/>
        <w:spacing w:after="0" w:line="274" w:lineRule="auto"/>
        <w:rPr>
          <w:sz w:val="20"/>
          <w:szCs w:val="20"/>
          <w:color w:val="auto"/>
        </w:rPr>
      </w:pPr>
      <w:r>
        <w:rPr>
          <w:rFonts w:ascii="Times New Roman" w:cs="Times New Roman" w:eastAsia="Times New Roman" w:hAnsi="Times New Roman"/>
          <w:sz w:val="13"/>
          <w:szCs w:val="13"/>
          <w:color w:val="auto"/>
        </w:rPr>
        <w:t xml:space="preserve">acquire beneficial ownership (determined without reference to any rules of attribution), Beneficial Ownership or Constructive Ownership of any shares of Series E Preferred Stock of the Company in violation of Section 9(b) of these Articles Supplementary, the Board of Directors or the Committee or other designees if permitted by the MGCL shall take such action as it deems advisable to refuse to give effect or to prevent such Transfer, including, but not limited to, causing the Company to redeem shares of Series E Preferred Stock, refusing to give effect to such Transfer on the books of the Company or instituting proceedings to enjoin such Transfer;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 that any Transfers (or, in the case of events other than a Transfer, ownership or Constructive Ownership or Beneficial Ownership) in violation of Section 9(b)(i) of these Articles Supplementary, shall automatically result in the transfer to a Trust as described in Section 9(b)(ii) and any Transfer in violation of Section 9(b)(iii) shall automatically be void ab initio irrespective of any action (or non-action) by the Board of Directors.</w:t>
      </w:r>
    </w:p>
    <w:p>
      <w:pPr>
        <w:spacing w:after="0" w:line="135" w:lineRule="exact"/>
        <w:rPr>
          <w:sz w:val="20"/>
          <w:szCs w:val="20"/>
          <w:color w:val="auto"/>
        </w:rPr>
      </w:pPr>
    </w:p>
    <w:p>
      <w:pPr>
        <w:ind w:left="600" w:right="660" w:firstLine="306"/>
        <w:spacing w:after="0" w:line="278" w:lineRule="auto"/>
        <w:tabs>
          <w:tab w:leader="none" w:pos="1080" w:val="left"/>
        </w:tabs>
        <w:numPr>
          <w:ilvl w:val="0"/>
          <w:numId w:val="2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Notice of Restricted Transfer</w:t>
      </w:r>
      <w:r>
        <w:rPr>
          <w:rFonts w:ascii="Times New Roman" w:cs="Times New Roman" w:eastAsia="Times New Roman" w:hAnsi="Times New Roman"/>
          <w:sz w:val="13"/>
          <w:szCs w:val="13"/>
          <w:color w:val="auto"/>
        </w:rPr>
        <w:t xml:space="preserve"> . Any Person who acquires or attempts to acquire shares of Series E Preferred Stock in violation of Section 9(b) of these Articles Supplementary, or any Person who is a Purported Beneficial Transferee such that an automatic transfer to a Trust results under Section 9(b)(ii) of these Articles Supplementary, shall immediately give written notice to the Company of such event and shall provide to the Company such other information as the Company may request in order to determine the effect, if any, of such Transfer or attempted Transfer on the Company’s status as a REIT.</w:t>
      </w:r>
    </w:p>
    <w:p>
      <w:pPr>
        <w:spacing w:after="0" w:line="142" w:lineRule="exact"/>
        <w:rPr>
          <w:rFonts w:ascii="Times New Roman" w:cs="Times New Roman" w:eastAsia="Times New Roman" w:hAnsi="Times New Roman"/>
          <w:sz w:val="13"/>
          <w:szCs w:val="13"/>
          <w:color w:val="auto"/>
        </w:rPr>
      </w:pPr>
    </w:p>
    <w:p>
      <w:pPr>
        <w:ind w:left="600" w:right="640" w:firstLine="306"/>
        <w:spacing w:after="0" w:line="281" w:lineRule="auto"/>
        <w:tabs>
          <w:tab w:leader="none" w:pos="1056" w:val="left"/>
        </w:tabs>
        <w:numPr>
          <w:ilvl w:val="0"/>
          <w:numId w:val="2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Owners Required To Provide Information</w:t>
      </w:r>
      <w:r>
        <w:rPr>
          <w:rFonts w:ascii="Times New Roman" w:cs="Times New Roman" w:eastAsia="Times New Roman" w:hAnsi="Times New Roman"/>
          <w:sz w:val="13"/>
          <w:szCs w:val="13"/>
          <w:color w:val="auto"/>
        </w:rPr>
        <w:t xml:space="preserve"> . Prior to the Restriction Termination Date each Person who is a beneficial owner or Beneficial Owner or Constructive Owner of Series E Preferred Stock and each Person (including the stockholder of record) who is holding Series E Preferred Stock for a beneficial owner or Beneficial Owner or Constructive Owner shall provide to the Company such information that the Company may request, in good faith, in order to determine the Company’s status as a REIT.</w:t>
      </w:r>
    </w:p>
    <w:p>
      <w:pPr>
        <w:spacing w:after="0" w:line="140" w:lineRule="exact"/>
        <w:rPr>
          <w:sz w:val="20"/>
          <w:szCs w:val="20"/>
          <w:color w:val="auto"/>
        </w:rPr>
      </w:pPr>
    </w:p>
    <w:p>
      <w:pPr>
        <w:ind w:left="600" w:right="640" w:firstLine="312"/>
        <w:spacing w:after="0" w:line="287" w:lineRule="auto"/>
        <w:rPr>
          <w:sz w:val="20"/>
          <w:szCs w:val="20"/>
          <w:color w:val="auto"/>
        </w:rPr>
      </w:pPr>
      <w:r>
        <w:rPr>
          <w:rFonts w:ascii="Times New Roman" w:cs="Times New Roman" w:eastAsia="Times New Roman" w:hAnsi="Times New Roman"/>
          <w:sz w:val="13"/>
          <w:szCs w:val="13"/>
          <w:color w:val="auto"/>
        </w:rPr>
        <w:t xml:space="preserve">(g) </w:t>
      </w:r>
      <w:r>
        <w:rPr>
          <w:rFonts w:ascii="Times New Roman" w:cs="Times New Roman" w:eastAsia="Times New Roman" w:hAnsi="Times New Roman"/>
          <w:sz w:val="13"/>
          <w:szCs w:val="13"/>
          <w:u w:val="single" w:color="auto"/>
          <w:color w:val="auto"/>
        </w:rPr>
        <w:t>Remedies Not Limited</w:t>
      </w:r>
      <w:r>
        <w:rPr>
          <w:rFonts w:ascii="Times New Roman" w:cs="Times New Roman" w:eastAsia="Times New Roman" w:hAnsi="Times New Roman"/>
          <w:sz w:val="13"/>
          <w:szCs w:val="13"/>
          <w:color w:val="auto"/>
        </w:rPr>
        <w:t xml:space="preserve"> . Nothing contained in these Articles Supplementary (but subject to Section 9(l) of these Articles Supplementary) shall limit the authority of the Board of Directors to take such other action as it deems necessary or advisable to protect the Company and the interests of its stockholders by preservation of the Company’s status as a REIT.</w:t>
      </w:r>
    </w:p>
    <w:p>
      <w:pPr>
        <w:spacing w:after="0" w:line="136" w:lineRule="exact"/>
        <w:rPr>
          <w:sz w:val="20"/>
          <w:szCs w:val="20"/>
          <w:color w:val="auto"/>
        </w:rPr>
      </w:pPr>
    </w:p>
    <w:p>
      <w:pPr>
        <w:ind w:left="600" w:right="620" w:firstLine="306"/>
        <w:spacing w:after="0" w:line="273" w:lineRule="auto"/>
        <w:tabs>
          <w:tab w:leader="none" w:pos="1092" w:val="left"/>
        </w:tabs>
        <w:numPr>
          <w:ilvl w:val="0"/>
          <w:numId w:val="2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Ambiguity</w:t>
      </w:r>
      <w:r>
        <w:rPr>
          <w:rFonts w:ascii="Times New Roman" w:cs="Times New Roman" w:eastAsia="Times New Roman" w:hAnsi="Times New Roman"/>
          <w:sz w:val="13"/>
          <w:szCs w:val="13"/>
          <w:color w:val="auto"/>
        </w:rPr>
        <w:t xml:space="preserve"> . In the case of an ambiguity in the application of any of the provisions of this Section 9 of these Articles Supplementary, including any definition contained in Section 9(a), the Board of Directors shall have the power to determine the application of the provisions of this Section 9 with respect to any situation based on the facts known to it (subject, however, to the provisions of Section 9(l) of these Articles Supplementary). In the event Section 9 requires an action by the Board of Directors and these Articles Supplementary fail to provide specific guidance with respect to such action, the Board of Directors shall have the power to determine the action to be taken so long as such action is not contrary to the provisions of Section 9. Absent a decision to the contrary by the Board of Directors (which the Board of Directors may make in its sole and absolute discretion), if a Person would have (but for the remedies set forth in Section 9(b)) acquired Beneficial or Constructive Ownership of Series E Preferred Stock in violation of Section 9(b)(i), such remedies (as applicable) shall apply first to the shares of Series E Preferred Stock which, but for such remedies, would have been actually owned by such Person, and second to shares of Series E Preferred Stock, which, but for such remedies, would have been Beneficially Owned or Constructively Owned (but not actually owned) by such Person, pro rata among the Persons who actually own such shares of Series E Preferred Stock based upon the relative number of the shares of Series E Preferred Stock held by each such Person.</w:t>
      </w:r>
    </w:p>
    <w:p>
      <w:pPr>
        <w:spacing w:after="0" w:line="132" w:lineRule="exact"/>
        <w:rPr>
          <w:rFonts w:ascii="Times New Roman" w:cs="Times New Roman" w:eastAsia="Times New Roman" w:hAnsi="Times New Roman"/>
          <w:sz w:val="13"/>
          <w:szCs w:val="13"/>
          <w:color w:val="auto"/>
        </w:rPr>
      </w:pPr>
    </w:p>
    <w:p>
      <w:pPr>
        <w:ind w:left="1040" w:hanging="134"/>
        <w:spacing w:after="0"/>
        <w:tabs>
          <w:tab w:leader="none" w:pos="1040" w:val="left"/>
        </w:tabs>
        <w:numPr>
          <w:ilvl w:val="0"/>
          <w:numId w:val="2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Exceptions</w:t>
      </w:r>
      <w:r>
        <w:rPr>
          <w:rFonts w:ascii="Times New Roman" w:cs="Times New Roman" w:eastAsia="Times New Roman" w:hAnsi="Times New Roman"/>
          <w:sz w:val="13"/>
          <w:szCs w:val="13"/>
          <w:color w:val="auto"/>
        </w:rPr>
        <w:t xml:space="preserve"> .</w:t>
      </w:r>
    </w:p>
    <w:p>
      <w:pPr>
        <w:spacing w:after="0" w:line="186" w:lineRule="exact"/>
        <w:rPr>
          <w:rFonts w:ascii="Times New Roman" w:cs="Times New Roman" w:eastAsia="Times New Roman" w:hAnsi="Times New Roman"/>
          <w:sz w:val="13"/>
          <w:szCs w:val="13"/>
          <w:color w:val="auto"/>
        </w:rPr>
      </w:pPr>
    </w:p>
    <w:p>
      <w:pPr>
        <w:ind w:left="600" w:right="660" w:firstLine="607"/>
        <w:spacing w:after="0" w:line="281" w:lineRule="auto"/>
        <w:tabs>
          <w:tab w:leader="none" w:pos="1368" w:val="left"/>
        </w:tabs>
        <w:numPr>
          <w:ilvl w:val="1"/>
          <w:numId w:val="2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Section 9(b)(i)(C), the Board of Directors, in its sole discretion, may exempt (prospectively or retroactively) a Person from the limitation on a Person Beneficially Owning shares of Series E Preferred Stock in violation of Section 9(b)(i)(A) if the Board of Directors determines that such exemption will not cause any Individual’s Beneficial Ownership of shares of Capital Stock to violate the Aggregate Stock Ownership Limit and that such exemption will not cause the Company to fail to qualify as a REIT under the Code.</w:t>
      </w:r>
    </w:p>
    <w:p>
      <w:pPr>
        <w:spacing w:after="0" w:line="140" w:lineRule="exact"/>
        <w:rPr>
          <w:rFonts w:ascii="Times New Roman" w:cs="Times New Roman" w:eastAsia="Times New Roman" w:hAnsi="Times New Roman"/>
          <w:sz w:val="13"/>
          <w:szCs w:val="13"/>
          <w:color w:val="auto"/>
        </w:rPr>
      </w:pPr>
    </w:p>
    <w:p>
      <w:pPr>
        <w:ind w:left="1400" w:hanging="193"/>
        <w:spacing w:after="0"/>
        <w:tabs>
          <w:tab w:leader="none" w:pos="1400" w:val="left"/>
        </w:tabs>
        <w:numPr>
          <w:ilvl w:val="1"/>
          <w:numId w:val="2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Section 9(b)(i)(C), the Board of Directors in its sole discretion, may exempt (prospectively or retroactively)</w:t>
      </w:r>
    </w:p>
    <w:p>
      <w:pPr>
        <w:spacing w:after="0" w:line="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a Person from the limitation on a Person Constructively Owning shares of Series E</w:t>
      </w:r>
    </w:p>
    <w:p>
      <w:pPr>
        <w:spacing w:after="0" w:line="3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430530</wp:posOffset>
            </wp:positionV>
            <wp:extent cx="4436110" cy="1524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85">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354330</wp:posOffset>
            </wp:positionV>
            <wp:extent cx="5083810" cy="1524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86">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29" w:name="page330"/>
    <w:bookmarkEnd w:id="329"/>
    <w:p>
      <w:pPr>
        <w:ind w:left="600" w:right="640"/>
        <w:spacing w:after="0" w:line="305" w:lineRule="auto"/>
        <w:rPr>
          <w:sz w:val="20"/>
          <w:szCs w:val="20"/>
          <w:color w:val="auto"/>
        </w:rPr>
      </w:pPr>
      <w:r>
        <w:rPr>
          <w:rFonts w:ascii="Times New Roman" w:cs="Times New Roman" w:eastAsia="Times New Roman" w:hAnsi="Times New Roman"/>
          <w:sz w:val="13"/>
          <w:szCs w:val="13"/>
          <w:color w:val="auto"/>
        </w:rPr>
        <w:t>Preferred Stock in violation of Section 9(b)(i)(B), if the Board of Directors determines that such ownership would not cause the Company to fail to qualify as a REIT under the Code.</w:t>
      </w:r>
    </w:p>
    <w:p>
      <w:pPr>
        <w:spacing w:after="0" w:line="124" w:lineRule="exact"/>
        <w:rPr>
          <w:sz w:val="20"/>
          <w:szCs w:val="20"/>
          <w:color w:val="auto"/>
        </w:rPr>
      </w:pPr>
    </w:p>
    <w:p>
      <w:pPr>
        <w:ind w:left="600" w:right="740" w:firstLine="612"/>
        <w:spacing w:after="0" w:line="276" w:lineRule="auto"/>
        <w:rPr>
          <w:sz w:val="20"/>
          <w:szCs w:val="20"/>
          <w:color w:val="auto"/>
        </w:rPr>
      </w:pPr>
      <w:r>
        <w:rPr>
          <w:rFonts w:ascii="Times New Roman" w:cs="Times New Roman" w:eastAsia="Times New Roman" w:hAnsi="Times New Roman"/>
          <w:sz w:val="13"/>
          <w:szCs w:val="13"/>
          <w:color w:val="auto"/>
        </w:rPr>
        <w:t xml:space="preserve">(iii) Subject to Section 9(b)(i)(C) and the remainder of this Section 9(i)(iii), the Board of Directors may from time to time increase or decrease the Ownership Limit;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 that the decreased Ownership Limit will not be effective for any Person whose percentage ownership of Series E Preferred Stock is in excess of such decreased Ownership Limit until such time as such Person’s percentage of Series E Preferred Stock equals or falls below the decreased Ownership Limit, but any further acquisition of Series E Preferred Stock in excess of such percentage ownership of Series E Preferred Stock will be in violation of the Ownership Limit, and, provided further, that the new Ownership Limit would not allow five or fewer Persons to Beneficially Own more than 49% in value of the outstanding capital stock of the Company.</w:t>
      </w:r>
    </w:p>
    <w:p>
      <w:pPr>
        <w:spacing w:after="0" w:line="145" w:lineRule="exact"/>
        <w:rPr>
          <w:sz w:val="20"/>
          <w:szCs w:val="20"/>
          <w:color w:val="auto"/>
        </w:rPr>
      </w:pPr>
    </w:p>
    <w:p>
      <w:pPr>
        <w:ind w:left="600" w:right="700" w:firstLine="607"/>
        <w:spacing w:after="0" w:line="271" w:lineRule="auto"/>
        <w:tabs>
          <w:tab w:leader="none" w:pos="1428" w:val="left"/>
        </w:tabs>
        <w:numPr>
          <w:ilvl w:val="1"/>
          <w:numId w:val="2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granting a Person an exemption under Section 9(i)(i) or (ii) above, the Board of Directors may require such Person to make certain representations or undertakings or to agree that any violation or attempted violation of such representations or undertakings (or other action which is contrary to the restrictions contained in Section 9(b) of these Articles Supplementary) will result in such Series E Preferred Stock being transferred to a Trust in accordance with Section 9(b)(ii) of these Articles Supplementary. In granting any exception pursuant to Section 9(i)</w:t>
      </w:r>
    </w:p>
    <w:p>
      <w:pPr>
        <w:jc w:val="both"/>
        <w:ind w:left="600" w:right="860" w:hanging="6"/>
        <w:spacing w:after="0" w:line="284" w:lineRule="auto"/>
        <w:tabs>
          <w:tab w:leader="none" w:pos="757" w:val="left"/>
        </w:tabs>
        <w:numPr>
          <w:ilvl w:val="0"/>
          <w:numId w:val="2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or (ii) of these Articles Supplementary, the Board of Directors may require a ruling from the IRS, or an opinion of counsel, in either case in form and substance satisfactory to the Board of Directors in its sole discretion, as it may deem necessary or advisable in order to determine or ensure the Company’s status as a REIT.</w:t>
      </w:r>
    </w:p>
    <w:p>
      <w:pPr>
        <w:spacing w:after="0" w:line="138" w:lineRule="exact"/>
        <w:rPr>
          <w:sz w:val="20"/>
          <w:szCs w:val="20"/>
          <w:color w:val="auto"/>
        </w:rPr>
      </w:pPr>
    </w:p>
    <w:p>
      <w:pPr>
        <w:ind w:left="600" w:right="1200" w:firstLine="312"/>
        <w:spacing w:after="0" w:line="305" w:lineRule="auto"/>
        <w:rPr>
          <w:sz w:val="20"/>
          <w:szCs w:val="20"/>
          <w:color w:val="auto"/>
        </w:rPr>
      </w:pPr>
      <w:r>
        <w:rPr>
          <w:rFonts w:ascii="Times New Roman" w:cs="Times New Roman" w:eastAsia="Times New Roman" w:hAnsi="Times New Roman"/>
          <w:sz w:val="13"/>
          <w:szCs w:val="13"/>
          <w:color w:val="auto"/>
        </w:rPr>
        <w:t>(j)</w:t>
      </w:r>
      <w:r>
        <w:rPr>
          <w:rFonts w:ascii="Times New Roman" w:cs="Times New Roman" w:eastAsia="Times New Roman" w:hAnsi="Times New Roman"/>
          <w:sz w:val="13"/>
          <w:szCs w:val="13"/>
          <w:u w:val="single" w:color="auto"/>
          <w:color w:val="auto"/>
        </w:rPr>
        <w:t>Legends</w:t>
      </w:r>
      <w:r>
        <w:rPr>
          <w:rFonts w:ascii="Times New Roman" w:cs="Times New Roman" w:eastAsia="Times New Roman" w:hAnsi="Times New Roman"/>
          <w:sz w:val="13"/>
          <w:szCs w:val="13"/>
          <w:color w:val="auto"/>
        </w:rPr>
        <w:t xml:space="preserve"> . Each certificate for Series E Preferred Stock shall bear substantially the following legends in addition to any legends required to comply with federal and state securities laws:</w:t>
      </w:r>
    </w:p>
    <w:p>
      <w:pPr>
        <w:spacing w:after="0" w:line="12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3"/>
          <w:szCs w:val="13"/>
          <w:b w:val="1"/>
          <w:bCs w:val="1"/>
          <w:color w:val="auto"/>
        </w:rPr>
        <w:t>Classes of Stock</w:t>
      </w:r>
    </w:p>
    <w:p>
      <w:pPr>
        <w:spacing w:after="0" w:line="189" w:lineRule="exact"/>
        <w:rPr>
          <w:sz w:val="20"/>
          <w:szCs w:val="20"/>
          <w:color w:val="auto"/>
        </w:rPr>
      </w:pPr>
    </w:p>
    <w:p>
      <w:pPr>
        <w:ind w:left="1220" w:right="780"/>
        <w:spacing w:after="0" w:line="272" w:lineRule="auto"/>
        <w:rPr>
          <w:sz w:val="20"/>
          <w:szCs w:val="20"/>
          <w:color w:val="auto"/>
        </w:rPr>
      </w:pPr>
      <w:r>
        <w:rPr>
          <w:rFonts w:ascii="Times New Roman" w:cs="Times New Roman" w:eastAsia="Times New Roman" w:hAnsi="Times New Roman"/>
          <w:sz w:val="13"/>
          <w:szCs w:val="13"/>
          <w:color w:val="auto"/>
        </w:rPr>
        <w:t>“THE COMPANY IS AUTHORIZED TO ISSUE CAPITAL STOCK OF MORE THAN ONE CLASS, CONSISTING OF COMMON STOCK AND ONE OR MORE CLASSES OF PREFERRED STOCK. THE BOARD OF DIRECTORS IS AUTHORIZED TO DETERMINE THE PREFERENCES, LIMITATIONS AND RELATIVE RIGHTS OF ANY CLASS OF THE PREFERRED STOCK BEFORE THE ISSUANCE OF SHARES OF SUCH CLASS OF PREFERRED STOCK. THE COMPANY WILL FURNISH, WITHOUT CHARGE, TO ANY STOCKHOLDER MAKING A WRITTEN REQUEST THEREFOR, A COPY OF THE COMPANY’S CHARTER AND A WRITTEN STATEMENT OF THE DESIGNATIONS, RELATIVE RIGHTS, PREFERENCES, CONVERSION OR OTHER RIGHTS, VOTING POWERS, RESTRICTIONS, LIMITATIONS AS TO DIVIDENDS AND OTHER DISTRIBUTIONS, QUALIFICATIONS AND TERMS AND CONDITIONS OF REDEMPTION OF THE STOCK OF EACH CLASS WHICH THE COMPANY HAS THE AUTHORITY TO ISSUE AND, IF THE COMPANY IS AUTHORIZED TO ISSUE ANY PREFERRED OR SPECIAL CLASS IN SERIES, (i) THE DIFFERENCES IN THE RELATIVE RIGHTS AND PREFERENCES BETWEEN THE SHARES OF EACH SERIES TO THE EXTENT SET, AND (ii) THE AUTHORITY OF THE BOARD OF DIRECTORS TO SET SUCH RIGHTS AND PREFERENCES OF SUBSEQUENT SERIES. REQUESTS FOR SUCH WRITTEN STATEMENT MAY BE DIRECTED TO THE SECRETARY OF THE COMPANY AT ITS PRINCIPAL OFFICE.”</w:t>
      </w:r>
    </w:p>
    <w:p>
      <w:pPr>
        <w:spacing w:after="0" w:line="13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3"/>
          <w:szCs w:val="13"/>
          <w:b w:val="1"/>
          <w:bCs w:val="1"/>
          <w:color w:val="auto"/>
        </w:rPr>
        <w:t>Restriction on Ownership and Transfer</w:t>
      </w:r>
    </w:p>
    <w:p>
      <w:pPr>
        <w:spacing w:after="0" w:line="189" w:lineRule="exact"/>
        <w:rPr>
          <w:sz w:val="20"/>
          <w:szCs w:val="20"/>
          <w:color w:val="auto"/>
        </w:rPr>
      </w:pPr>
    </w:p>
    <w:p>
      <w:pPr>
        <w:ind w:left="1220" w:right="680"/>
        <w:spacing w:after="0" w:line="275" w:lineRule="auto"/>
        <w:rPr>
          <w:sz w:val="20"/>
          <w:szCs w:val="20"/>
          <w:color w:val="auto"/>
        </w:rPr>
      </w:pPr>
      <w:r>
        <w:rPr>
          <w:rFonts w:ascii="Times New Roman" w:cs="Times New Roman" w:eastAsia="Times New Roman" w:hAnsi="Times New Roman"/>
          <w:sz w:val="13"/>
          <w:szCs w:val="13"/>
          <w:color w:val="auto"/>
        </w:rPr>
        <w:t>“THE SHARES OF THE COMPANY’S 7.000% SERIES E CUMULATIVE REDEEMABLE PREFERRED STOCK (“SERIES E PREFERRED STOCK”) REPRESENTED BY THIS CERTIFICATE ARE SUBJECT TO RESTRICTIONS ON BENEFICIAL AND CONSTRUCTIVE OWNERSHIP AND TRANSFER FOR THE PURPOSE OF THE COMPANY’S MAINTENANCE OF ITS STATUS AS A REAL ESTATE INVESTMENT TRUST UNDER THE INTERNAL REVENUE CODE OF 1986, AS AMENDED (THE “CODE”). SUBJECT TO CERTAIN FURTHER RESTRICTIONS AND EXCEPT AS EXPRESSLY PROVIDED IN THE ARTICLES SUPPLEMENTARY FOR THE SERIES E PREFERRED STOCK, (i) NO PERSON MAY BENEFICIALLY OR CONSTRUCTIVELY OWN SHARES OF SERIES E PREFERRED STOCK IN</w:t>
      </w:r>
    </w:p>
    <w:p>
      <w:pPr>
        <w:spacing w:after="0" w:line="3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316230</wp:posOffset>
            </wp:positionV>
            <wp:extent cx="4436110" cy="1524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87">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354330</wp:posOffset>
            </wp:positionV>
            <wp:extent cx="5083810" cy="1524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88">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30" w:name="page331"/>
    <w:bookmarkEnd w:id="330"/>
    <w:p>
      <w:pPr>
        <w:ind w:left="1220" w:right="620"/>
        <w:spacing w:after="0" w:line="271" w:lineRule="auto"/>
        <w:rPr>
          <w:sz w:val="20"/>
          <w:szCs w:val="20"/>
          <w:color w:val="auto"/>
        </w:rPr>
      </w:pPr>
      <w:r>
        <w:rPr>
          <w:rFonts w:ascii="Times New Roman" w:cs="Times New Roman" w:eastAsia="Times New Roman" w:hAnsi="Times New Roman"/>
          <w:sz w:val="13"/>
          <w:szCs w:val="13"/>
          <w:color w:val="auto"/>
        </w:rPr>
        <w:t>EXCESS OF 9.8% (BY VALUE OR BY NUMBER OF SHARES, WHICHEVER IS MORE RESTRICTIVE) OF THE OUTSTANDING SERIES E PREFERRED STOCK OF THE COMPANY; (ii) NO PERSON MAY BENEFICIALLY OR CONSTRUCTIVELY OWN SHARES OF SERIES E PREFERRED STOCK THAT, TAKING INTO ACCOUNT ANY OTHER CAPITAL STOCK OF THE COMPANY BENEFICIALLY OR CONSTRUCTIVELY OWNED BY SUCH PERSON, WOULD RESULT IN SUCH PERSON BENEFICIALLY OR CONSTRUCTIVELY OWNING CAPITAL STOCK WITH A VALUE IN EXCESS OF 9.8% OF THE VALUE OF THE COMPANY’S OUTSTANDING CAPITAL STOCK; (iii) NO PERSON MAY BENEFICIALLY OR CONSTRUCTIVELY OWN SHARES OF SERIES E PREFERRED STOCK THAT, TAKING INTO ACCOUNT ANY OTHER CAPITAL STOCK OF THE COMPANY BENEFICIALLY OR CONSTRUCTIVELY OWNED BY SUCH PERSON, WOULD RESULT IN THE COMPANY BEING “CLOSELY HELD” UNDER SECTION 856(h) OF THE CODE OR OTHERWISE CAUSE THE COMPANY TO FAIL TO QUALIFY AS A REIT; AND (iv) ANY TRANSFER OF SHARES OF SERIES E PREFERRED STOCK THAT, IF EFFECTIVE, WOULD RESULT IN THE CAPITAL STOCK OF THE COMPANY BEING BENEFICIALLY OWNED BY FEWER THAN 100 PERSONS WILL BE VOID AB INITIO AND THE INTENDED TRANSFEREE WILL ACQUIRE NO RIGHTS IN SUCH SHARES OF SERIES E PREFERRED STOCK. ANY PERSON WHO BENEFICIALLY OR CONSTRUCTIVELY OWNS OR ATTEMPTS TO BENEFICIALLY OR CONSTRUCTIVELY OWN SERIES E PREFERRED STOCK WHICH CAUSES OR WILL CAUSE A PERSON TO BENEFICIALLY OR CONSTRUCTIVELY OWN SERIES E PREFERRED STOCK IN EXCESS OF THE ABOVE LIMITATIONS MUST IMMEDIATELY NOTIFY THE COMPANY. IF ANY OF THE RESTRICTIONS ON TRANSFER OR OWNERSHIP IN (i) THROUGH (iii) ABOVE ARE VIOLATED, THE SERIES E PREFERRED STOCK REPRESENTED HEREBY IN EXCESS OF SUCH RESTRICTIONS WILL BE AUTOMATICALLY TRANSFERRED TO THE TRUSTEE OF A TRUST FOR THE BENEFIT OF ONE OR MORE CHARITABLE BENEFICIARIES. IN ADDITION, THE COMPANY MAY REDEEM SHARES UPON THE TERMS AND CONDITIONS SPECIFIED BY THE BOARD OF DIRECTORS IN ITS SOLE DISCRETION IF THE BOARD OF DIRECTORS DETERMINES THAT OWNERSHIP OR A TRANSFER OR OTHER EVENT MAY VIOLATE THE RESTRICTIONS DESCRIBED ABOVE. FURTHERMORE, UPON THE OCCURRENCE OF CERTAIN EVENTS, ATTEMPTED TRANSFERS IN VIOLATION OF THE RESTRICTIONS DESCRIBED ABOVE MAY BE VOID AB INITIO. ALL TERMS IN THIS LEGEND WHICH ARE DEFINED IN THE ARTICLES SUPPLEMENTARY FOR THE SERIES E PREFERRED STOCK SHALL HAVE THE MEANINGS ASCRIBED TO THEM IN SUCH ARTICLES SUPPLEMENTARY, AS THE SAME MAY BE AMENDED FROM TIME TO TIME, A COPY OF WHICH, INCLUDING THE RESTRICTIONS ON TRANSFER AND OWNERSHIP, WILL BE FURNISHED TO EACH HOLDER OF SERIES E PREFERRED STOCK ON REQUEST AND WITHOUT CHARGE. REQUESTS FOR SUCH A COPY MAY BE DIRECTED TO THE SECRETARY OF THE COMPANY AT ITS PRINCIPAL OFFICE.”</w:t>
      </w:r>
    </w:p>
    <w:p>
      <w:pPr>
        <w:spacing w:after="0" w:line="302" w:lineRule="exact"/>
        <w:rPr>
          <w:sz w:val="20"/>
          <w:szCs w:val="20"/>
          <w:color w:val="auto"/>
        </w:rPr>
      </w:pPr>
    </w:p>
    <w:p>
      <w:pPr>
        <w:ind w:left="600" w:right="860" w:firstLine="306"/>
        <w:spacing w:after="0" w:line="287" w:lineRule="auto"/>
        <w:tabs>
          <w:tab w:leader="none" w:pos="1080" w:val="left"/>
        </w:tabs>
        <w:numPr>
          <w:ilvl w:val="0"/>
          <w:numId w:val="2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Severability</w:t>
      </w:r>
      <w:r>
        <w:rPr>
          <w:rFonts w:ascii="Times New Roman" w:cs="Times New Roman" w:eastAsia="Times New Roman" w:hAnsi="Times New Roman"/>
          <w:sz w:val="13"/>
          <w:szCs w:val="13"/>
          <w:color w:val="auto"/>
        </w:rPr>
        <w:t xml:space="preserve"> . If any provision of this Section 9 or any application of any such provision is determined to be invalid by any federal or state court having jurisdiction over the issues, the validity of the remaining provisions shall not be affected and other applications of such provision shall be affected only to the extent necessary to comply with the determination of such court.</w:t>
      </w:r>
    </w:p>
    <w:p>
      <w:pPr>
        <w:spacing w:after="0" w:line="136" w:lineRule="exact"/>
        <w:rPr>
          <w:sz w:val="20"/>
          <w:szCs w:val="20"/>
          <w:color w:val="auto"/>
        </w:rPr>
      </w:pPr>
    </w:p>
    <w:p>
      <w:pPr>
        <w:ind w:left="600" w:right="700" w:firstLine="312"/>
        <w:spacing w:after="0" w:line="287" w:lineRule="auto"/>
        <w:rPr>
          <w:sz w:val="20"/>
          <w:szCs w:val="20"/>
          <w:color w:val="auto"/>
        </w:rPr>
      </w:pPr>
      <w:r>
        <w:rPr>
          <w:rFonts w:ascii="Times New Roman" w:cs="Times New Roman" w:eastAsia="Times New Roman" w:hAnsi="Times New Roman"/>
          <w:sz w:val="13"/>
          <w:szCs w:val="13"/>
          <w:color w:val="auto"/>
        </w:rPr>
        <w:t>(l)</w:t>
      </w:r>
      <w:r>
        <w:rPr>
          <w:rFonts w:ascii="Times New Roman" w:cs="Times New Roman" w:eastAsia="Times New Roman" w:hAnsi="Times New Roman"/>
          <w:sz w:val="13"/>
          <w:szCs w:val="13"/>
          <w:u w:val="single" w:color="auto"/>
          <w:color w:val="auto"/>
        </w:rPr>
        <w:t>NYSE</w:t>
      </w:r>
      <w:r>
        <w:rPr>
          <w:rFonts w:ascii="Times New Roman" w:cs="Times New Roman" w:eastAsia="Times New Roman" w:hAnsi="Times New Roman"/>
          <w:sz w:val="13"/>
          <w:szCs w:val="13"/>
          <w:color w:val="auto"/>
        </w:rPr>
        <w:t xml:space="preserve"> . Nothing in this Section 9 shall preclude the settlement of any transaction entered into through the facilities of the NYSE. The shares of Series E Preferred Stock that are the subject of such transaction shall continue to be subject to the provisions of this Section 9 after such settlement.</w:t>
      </w:r>
    </w:p>
    <w:p>
      <w:pPr>
        <w:spacing w:after="0" w:line="136" w:lineRule="exact"/>
        <w:rPr>
          <w:sz w:val="20"/>
          <w:szCs w:val="20"/>
          <w:color w:val="auto"/>
        </w:rPr>
      </w:pPr>
    </w:p>
    <w:p>
      <w:pPr>
        <w:ind w:left="600" w:right="860" w:firstLine="312"/>
        <w:spacing w:after="0" w:line="305" w:lineRule="auto"/>
        <w:rPr>
          <w:sz w:val="20"/>
          <w:szCs w:val="20"/>
          <w:color w:val="auto"/>
        </w:rPr>
      </w:pPr>
      <w:r>
        <w:rPr>
          <w:rFonts w:ascii="Times New Roman" w:cs="Times New Roman" w:eastAsia="Times New Roman" w:hAnsi="Times New Roman"/>
          <w:sz w:val="13"/>
          <w:szCs w:val="13"/>
          <w:color w:val="auto"/>
        </w:rPr>
        <w:t>(m)</w:t>
      </w:r>
      <w:r>
        <w:rPr>
          <w:rFonts w:ascii="Times New Roman" w:cs="Times New Roman" w:eastAsia="Times New Roman" w:hAnsi="Times New Roman"/>
          <w:sz w:val="13"/>
          <w:szCs w:val="13"/>
          <w:u w:val="single" w:color="auto"/>
          <w:color w:val="auto"/>
        </w:rPr>
        <w:t>Applicability of Section 9</w:t>
      </w:r>
      <w:r>
        <w:rPr>
          <w:rFonts w:ascii="Times New Roman" w:cs="Times New Roman" w:eastAsia="Times New Roman" w:hAnsi="Times New Roman"/>
          <w:sz w:val="13"/>
          <w:szCs w:val="13"/>
          <w:color w:val="auto"/>
        </w:rPr>
        <w:t xml:space="preserve"> . The provisions set forth in this Section 9 shall apply to the Series E Preferred Stock notwithstanding any contrary provisions of the Series E Preferred Stock provided for elsewhere in these Articles Supplementary.</w:t>
      </w:r>
    </w:p>
    <w:p>
      <w:pPr>
        <w:spacing w:after="0" w:line="124" w:lineRule="exact"/>
        <w:rPr>
          <w:sz w:val="20"/>
          <w:szCs w:val="20"/>
          <w:color w:val="auto"/>
        </w:rPr>
      </w:pPr>
    </w:p>
    <w:p>
      <w:pPr>
        <w:ind w:left="600" w:right="980" w:firstLine="312"/>
        <w:spacing w:after="0" w:line="305" w:lineRule="auto"/>
        <w:rPr>
          <w:sz w:val="20"/>
          <w:szCs w:val="20"/>
          <w:color w:val="auto"/>
        </w:rPr>
      </w:pPr>
      <w:r>
        <w:rPr>
          <w:rFonts w:ascii="Times New Roman" w:cs="Times New Roman" w:eastAsia="Times New Roman" w:hAnsi="Times New Roman"/>
          <w:sz w:val="13"/>
          <w:szCs w:val="13"/>
          <w:color w:val="auto"/>
        </w:rPr>
        <w:t xml:space="preserve">Section 10. </w:t>
      </w:r>
      <w:r>
        <w:rPr>
          <w:rFonts w:ascii="Times New Roman" w:cs="Times New Roman" w:eastAsia="Times New Roman" w:hAnsi="Times New Roman"/>
          <w:sz w:val="13"/>
          <w:szCs w:val="13"/>
          <w:u w:val="single" w:color="auto"/>
          <w:color w:val="auto"/>
        </w:rPr>
        <w:t>No Conversion Rights</w:t>
      </w:r>
      <w:r>
        <w:rPr>
          <w:rFonts w:ascii="Times New Roman" w:cs="Times New Roman" w:eastAsia="Times New Roman" w:hAnsi="Times New Roman"/>
          <w:sz w:val="13"/>
          <w:szCs w:val="13"/>
          <w:color w:val="auto"/>
        </w:rPr>
        <w:t xml:space="preserve"> . The shares of Series E Preferred Stock shall not be convertible into or exchangeable for any other property or securities of the Company or any other entity, except as otherwise provided herein.</w:t>
      </w:r>
    </w:p>
    <w:p>
      <w:pPr>
        <w:spacing w:after="0" w:line="14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674370</wp:posOffset>
            </wp:positionV>
            <wp:extent cx="5083810" cy="1524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89">
                      <a:extLst>
                        <a:ext uri="{28A0092B-C50C-407E-A947-70E740481C1C}"/>
                      </a:extLst>
                    </a:blip>
                    <a:srcRect/>
                    <a:stretch>
                      <a:fillRect/>
                    </a:stretch>
                  </pic:blipFill>
                  <pic:spPr bwMode="auto">
                    <a:xfrm>
                      <a:off x="0" y="0"/>
                      <a:ext cx="5083810" cy="15240"/>
                    </a:xfrm>
                    <a:prstGeom prst="rect">
                      <a:avLst/>
                    </a:prstGeom>
                    <a:noFill/>
                  </pic:spPr>
                </pic:pic>
              </a:graphicData>
            </a:graphic>
          </wp:anchor>
        </w:drawing>
        <w:drawing>
          <wp:anchor simplePos="0" relativeHeight="251657728" behindDoc="1" locked="0" layoutInCell="0" allowOverlap="1">
            <wp:simplePos x="0" y="0"/>
            <wp:positionH relativeFrom="column">
              <wp:posOffset>384810</wp:posOffset>
            </wp:positionH>
            <wp:positionV relativeFrom="paragraph">
              <wp:posOffset>316230</wp:posOffset>
            </wp:positionV>
            <wp:extent cx="4436110" cy="1524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90">
                      <a:extLst>
                        <a:ext uri="{28A0092B-C50C-407E-A947-70E740481C1C}"/>
                      </a:extLst>
                    </a:blip>
                    <a:srcRect/>
                    <a:stretch>
                      <a:fillRect/>
                    </a:stretch>
                  </pic:blipFill>
                  <pic:spPr bwMode="auto">
                    <a:xfrm>
                      <a:off x="0" y="0"/>
                      <a:ext cx="44361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31" w:name="page332"/>
    <w:bookmarkEnd w:id="331"/>
    <w:p>
      <w:pPr>
        <w:jc w:val="both"/>
        <w:ind w:left="600" w:right="940" w:firstLine="312"/>
        <w:spacing w:after="0" w:line="287" w:lineRule="auto"/>
        <w:rPr>
          <w:sz w:val="20"/>
          <w:szCs w:val="20"/>
          <w:color w:val="auto"/>
        </w:rPr>
      </w:pPr>
      <w:r>
        <w:rPr>
          <w:rFonts w:ascii="Times New Roman" w:cs="Times New Roman" w:eastAsia="Times New Roman" w:hAnsi="Times New Roman"/>
          <w:sz w:val="13"/>
          <w:szCs w:val="13"/>
          <w:color w:val="auto"/>
        </w:rPr>
        <w:t xml:space="preserve">Section 11. </w:t>
      </w:r>
      <w:r>
        <w:rPr>
          <w:rFonts w:ascii="Times New Roman" w:cs="Times New Roman" w:eastAsia="Times New Roman" w:hAnsi="Times New Roman"/>
          <w:sz w:val="13"/>
          <w:szCs w:val="13"/>
          <w:u w:val="single" w:color="auto"/>
          <w:color w:val="auto"/>
        </w:rPr>
        <w:t>Record Holders</w:t>
      </w:r>
      <w:r>
        <w:rPr>
          <w:rFonts w:ascii="Times New Roman" w:cs="Times New Roman" w:eastAsia="Times New Roman" w:hAnsi="Times New Roman"/>
          <w:sz w:val="13"/>
          <w:szCs w:val="13"/>
          <w:color w:val="auto"/>
        </w:rPr>
        <w:t xml:space="preserve"> . The Company and its transfer agent may deem and treat the record holder of any Series E Preferred Stock as the true and lawful owner thereof for all purposes, and neither the Company nor its transfer agent shall be affected by any notice to the contrary.</w:t>
      </w:r>
    </w:p>
    <w:p>
      <w:pPr>
        <w:spacing w:after="0" w:line="136" w:lineRule="exact"/>
        <w:rPr>
          <w:sz w:val="20"/>
          <w:szCs w:val="20"/>
          <w:color w:val="auto"/>
        </w:rPr>
      </w:pPr>
    </w:p>
    <w:p>
      <w:pPr>
        <w:ind w:left="600" w:right="780" w:firstLine="312"/>
        <w:spacing w:after="0" w:line="281" w:lineRule="auto"/>
        <w:rPr>
          <w:sz w:val="20"/>
          <w:szCs w:val="20"/>
          <w:color w:val="auto"/>
        </w:rPr>
      </w:pPr>
      <w:r>
        <w:rPr>
          <w:rFonts w:ascii="Times New Roman" w:cs="Times New Roman" w:eastAsia="Times New Roman" w:hAnsi="Times New Roman"/>
          <w:sz w:val="13"/>
          <w:szCs w:val="13"/>
          <w:color w:val="auto"/>
        </w:rPr>
        <w:t xml:space="preserve">Section 12. </w:t>
      </w:r>
      <w:r>
        <w:rPr>
          <w:rFonts w:ascii="Times New Roman" w:cs="Times New Roman" w:eastAsia="Times New Roman" w:hAnsi="Times New Roman"/>
          <w:sz w:val="13"/>
          <w:szCs w:val="13"/>
          <w:u w:val="single" w:color="auto"/>
          <w:color w:val="auto"/>
        </w:rPr>
        <w:t>No Maturity or Sinking Fund</w:t>
      </w:r>
      <w:r>
        <w:rPr>
          <w:rFonts w:ascii="Times New Roman" w:cs="Times New Roman" w:eastAsia="Times New Roman" w:hAnsi="Times New Roman"/>
          <w:sz w:val="13"/>
          <w:szCs w:val="13"/>
          <w:color w:val="auto"/>
        </w:rPr>
        <w:t xml:space="preserve"> . The Series E Preferred Stock has no maturity date, and no sinking fund has been established for the retirement or redemption of Series E Preferred Stock;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 that the Series E Preferred Stock owned by a stockholder in excess of the Ownership Limit or Aggregate Stock Ownership Limit shall be subject to the provisions of Section 5 and Section 9 of this Articles Supplementary.</w:t>
      </w:r>
    </w:p>
    <w:p>
      <w:pPr>
        <w:spacing w:after="0" w:line="140" w:lineRule="exact"/>
        <w:rPr>
          <w:sz w:val="20"/>
          <w:szCs w:val="20"/>
          <w:color w:val="auto"/>
        </w:rPr>
      </w:pPr>
    </w:p>
    <w:p>
      <w:pPr>
        <w:jc w:val="both"/>
        <w:ind w:left="600" w:right="780" w:firstLine="312"/>
        <w:spacing w:after="0" w:line="287" w:lineRule="auto"/>
        <w:rPr>
          <w:sz w:val="20"/>
          <w:szCs w:val="20"/>
          <w:color w:val="auto"/>
        </w:rPr>
      </w:pPr>
      <w:r>
        <w:rPr>
          <w:rFonts w:ascii="Times New Roman" w:cs="Times New Roman" w:eastAsia="Times New Roman" w:hAnsi="Times New Roman"/>
          <w:sz w:val="13"/>
          <w:szCs w:val="13"/>
          <w:color w:val="auto"/>
        </w:rPr>
        <w:t xml:space="preserve">Section 13. </w:t>
      </w:r>
      <w:r>
        <w:rPr>
          <w:rFonts w:ascii="Times New Roman" w:cs="Times New Roman" w:eastAsia="Times New Roman" w:hAnsi="Times New Roman"/>
          <w:sz w:val="13"/>
          <w:szCs w:val="13"/>
          <w:u w:val="single" w:color="auto"/>
          <w:color w:val="auto"/>
        </w:rPr>
        <w:t>Exclusion of Other Rights</w:t>
      </w:r>
      <w:r>
        <w:rPr>
          <w:rFonts w:ascii="Times New Roman" w:cs="Times New Roman" w:eastAsia="Times New Roman" w:hAnsi="Times New Roman"/>
          <w:sz w:val="13"/>
          <w:szCs w:val="13"/>
          <w:color w:val="auto"/>
        </w:rPr>
        <w:t xml:space="preserve"> . The Series E Preferred Stock shall not have any preferences or other rights, voting powers, restrictions, limitations as to dividends or other distributions, qualifications or terms or conditions of redemption other than expressly set forth in the Charter and these Articles Supplementary.</w:t>
      </w:r>
    </w:p>
    <w:p>
      <w:pPr>
        <w:spacing w:after="0" w:line="136" w:lineRule="exact"/>
        <w:rPr>
          <w:sz w:val="20"/>
          <w:szCs w:val="20"/>
          <w:color w:val="auto"/>
        </w:rPr>
      </w:pPr>
    </w:p>
    <w:p>
      <w:pPr>
        <w:ind w:left="600" w:right="800" w:firstLine="312"/>
        <w:spacing w:after="0" w:line="305" w:lineRule="auto"/>
        <w:rPr>
          <w:sz w:val="20"/>
          <w:szCs w:val="20"/>
          <w:color w:val="auto"/>
        </w:rPr>
      </w:pPr>
      <w:r>
        <w:rPr>
          <w:rFonts w:ascii="Times New Roman" w:cs="Times New Roman" w:eastAsia="Times New Roman" w:hAnsi="Times New Roman"/>
          <w:sz w:val="13"/>
          <w:szCs w:val="13"/>
          <w:color w:val="auto"/>
        </w:rPr>
        <w:t xml:space="preserve">Section 14. </w:t>
      </w:r>
      <w:r>
        <w:rPr>
          <w:rFonts w:ascii="Times New Roman" w:cs="Times New Roman" w:eastAsia="Times New Roman" w:hAnsi="Times New Roman"/>
          <w:sz w:val="13"/>
          <w:szCs w:val="13"/>
          <w:u w:val="single" w:color="auto"/>
          <w:color w:val="auto"/>
        </w:rPr>
        <w:t>Headings of Subdivisions</w:t>
      </w:r>
      <w:r>
        <w:rPr>
          <w:rFonts w:ascii="Times New Roman" w:cs="Times New Roman" w:eastAsia="Times New Roman" w:hAnsi="Times New Roman"/>
          <w:sz w:val="13"/>
          <w:szCs w:val="13"/>
          <w:color w:val="auto"/>
        </w:rPr>
        <w:t xml:space="preserve"> . The headings of the various subdivisions hereof are for convenience of reference only and shall not affect the interpretation of any of the provisions hereof.</w:t>
      </w:r>
    </w:p>
    <w:p>
      <w:pPr>
        <w:spacing w:after="0" w:line="124" w:lineRule="exact"/>
        <w:rPr>
          <w:sz w:val="20"/>
          <w:szCs w:val="20"/>
          <w:color w:val="auto"/>
        </w:rPr>
      </w:pPr>
    </w:p>
    <w:p>
      <w:pPr>
        <w:ind w:left="600" w:right="640" w:firstLine="312"/>
        <w:spacing w:after="0" w:line="274" w:lineRule="auto"/>
        <w:rPr>
          <w:sz w:val="20"/>
          <w:szCs w:val="20"/>
          <w:color w:val="auto"/>
        </w:rPr>
      </w:pPr>
      <w:r>
        <w:rPr>
          <w:rFonts w:ascii="Times New Roman" w:cs="Times New Roman" w:eastAsia="Times New Roman" w:hAnsi="Times New Roman"/>
          <w:sz w:val="13"/>
          <w:szCs w:val="13"/>
          <w:color w:val="auto"/>
        </w:rPr>
        <w:t xml:space="preserve">Section 15. </w:t>
      </w:r>
      <w:r>
        <w:rPr>
          <w:rFonts w:ascii="Times New Roman" w:cs="Times New Roman" w:eastAsia="Times New Roman" w:hAnsi="Times New Roman"/>
          <w:sz w:val="13"/>
          <w:szCs w:val="13"/>
          <w:u w:val="single" w:color="auto"/>
          <w:color w:val="auto"/>
        </w:rPr>
        <w:t>Severability of Provisions</w:t>
      </w:r>
      <w:r>
        <w:rPr>
          <w:rFonts w:ascii="Times New Roman" w:cs="Times New Roman" w:eastAsia="Times New Roman" w:hAnsi="Times New Roman"/>
          <w:sz w:val="13"/>
          <w:szCs w:val="13"/>
          <w:color w:val="auto"/>
        </w:rPr>
        <w:t xml:space="preserve"> . If any preferences or other rights, voting powers, restrictions, limitations as to dividends or other distributions, qualifications or terms or conditions of redemption of the Series E Preferred Stock set forth in the Charter and these Articles Supplementary are invalid, unlawful or incapable of being enforced by reason of any rule of law or public policy, all other preferences or other rights, voting powers, restrictions, limitations as to dividends or other distributions, qualifications or terms or conditions of redemption of Series E Preferred Stock set forth in the Charter which can be given effect without the invalid, unlawful or unenforceable provision thereof shall, nevertheless, remain in full force and effect and no preferences or other rights, voting powers, restrictions, limitations as to dividends or other distributions, qualifications or terms or conditions of redemption of the Series E Preferred Stock herein set forth shall be deemed dependent upon any other provision thereof unless so expressed therein.</w:t>
      </w:r>
    </w:p>
    <w:p>
      <w:pPr>
        <w:spacing w:after="0" w:line="147" w:lineRule="exact"/>
        <w:rPr>
          <w:sz w:val="20"/>
          <w:szCs w:val="20"/>
          <w:color w:val="auto"/>
        </w:rPr>
      </w:pPr>
    </w:p>
    <w:p>
      <w:pPr>
        <w:ind w:left="600" w:right="760" w:firstLine="312"/>
        <w:spacing w:after="0" w:line="287" w:lineRule="auto"/>
        <w:rPr>
          <w:sz w:val="20"/>
          <w:szCs w:val="20"/>
          <w:color w:val="auto"/>
        </w:rPr>
      </w:pPr>
      <w:r>
        <w:rPr>
          <w:rFonts w:ascii="Times New Roman" w:cs="Times New Roman" w:eastAsia="Times New Roman" w:hAnsi="Times New Roman"/>
          <w:sz w:val="13"/>
          <w:szCs w:val="13"/>
          <w:color w:val="auto"/>
        </w:rPr>
        <w:t xml:space="preserve">Section 16. </w:t>
      </w:r>
      <w:r>
        <w:rPr>
          <w:rFonts w:ascii="Times New Roman" w:cs="Times New Roman" w:eastAsia="Times New Roman" w:hAnsi="Times New Roman"/>
          <w:sz w:val="13"/>
          <w:szCs w:val="13"/>
          <w:u w:val="single" w:color="auto"/>
          <w:color w:val="auto"/>
        </w:rPr>
        <w:t>No Preemptive Rights</w:t>
      </w:r>
      <w:r>
        <w:rPr>
          <w:rFonts w:ascii="Times New Roman" w:cs="Times New Roman" w:eastAsia="Times New Roman" w:hAnsi="Times New Roman"/>
          <w:sz w:val="13"/>
          <w:szCs w:val="13"/>
          <w:color w:val="auto"/>
        </w:rPr>
        <w:t xml:space="preserve"> . No holder of Series E Preferred Stock shall be entitled to any preemptive rights to subscribe for or acquire any unissued shares of capital stock of the Company (whether now or hereafter authorized) or securities of the Company convertible into or carrying a right to subscribe to or acquire shares of capital stock of the Company.</w:t>
      </w:r>
    </w:p>
    <w:p>
      <w:pPr>
        <w:spacing w:after="0" w:line="136" w:lineRule="exact"/>
        <w:rPr>
          <w:sz w:val="20"/>
          <w:szCs w:val="20"/>
          <w:color w:val="auto"/>
        </w:rPr>
      </w:pPr>
    </w:p>
    <w:p>
      <w:pPr>
        <w:ind w:left="600" w:right="740" w:firstLine="312"/>
        <w:spacing w:after="0" w:line="305" w:lineRule="auto"/>
        <w:rPr>
          <w:sz w:val="20"/>
          <w:szCs w:val="20"/>
          <w:color w:val="auto"/>
        </w:rPr>
      </w:pPr>
      <w:r>
        <w:rPr>
          <w:rFonts w:ascii="Times New Roman" w:cs="Times New Roman" w:eastAsia="Times New Roman" w:hAnsi="Times New Roman"/>
          <w:sz w:val="13"/>
          <w:szCs w:val="13"/>
          <w:u w:val="single" w:color="auto"/>
          <w:color w:val="auto"/>
        </w:rPr>
        <w:t>FOURTH</w:t>
      </w:r>
      <w:r>
        <w:rPr>
          <w:rFonts w:ascii="Times New Roman" w:cs="Times New Roman" w:eastAsia="Times New Roman" w:hAnsi="Times New Roman"/>
          <w:sz w:val="13"/>
          <w:szCs w:val="13"/>
          <w:color w:val="auto"/>
        </w:rPr>
        <w:t xml:space="preserve"> : The Series E Preferred Stock have been classified and designated by the Board of Directors under the authority contained in the Charter.</w:t>
      </w:r>
    </w:p>
    <w:p>
      <w:pPr>
        <w:spacing w:after="0" w:line="12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u w:val="single" w:color="auto"/>
          <w:color w:val="auto"/>
        </w:rPr>
        <w:t>FIFTH</w:t>
      </w:r>
      <w:r>
        <w:rPr>
          <w:rFonts w:ascii="Times New Roman" w:cs="Times New Roman" w:eastAsia="Times New Roman" w:hAnsi="Times New Roman"/>
          <w:sz w:val="13"/>
          <w:szCs w:val="13"/>
          <w:color w:val="auto"/>
        </w:rPr>
        <w:t xml:space="preserve"> : These Articles Supplementary have been approved by the Board of Directors in the manner and by the vote required by law.</w:t>
      </w:r>
    </w:p>
    <w:p>
      <w:pPr>
        <w:spacing w:after="0" w:line="187" w:lineRule="exact"/>
        <w:rPr>
          <w:sz w:val="20"/>
          <w:szCs w:val="20"/>
          <w:color w:val="auto"/>
        </w:rPr>
      </w:pPr>
    </w:p>
    <w:p>
      <w:pPr>
        <w:ind w:left="600" w:right="740" w:firstLine="312"/>
        <w:spacing w:after="0" w:line="305" w:lineRule="auto"/>
        <w:rPr>
          <w:sz w:val="20"/>
          <w:szCs w:val="20"/>
          <w:color w:val="auto"/>
        </w:rPr>
      </w:pPr>
      <w:r>
        <w:rPr>
          <w:rFonts w:ascii="Times New Roman" w:cs="Times New Roman" w:eastAsia="Times New Roman" w:hAnsi="Times New Roman"/>
          <w:sz w:val="13"/>
          <w:szCs w:val="13"/>
          <w:u w:val="single" w:color="auto"/>
          <w:color w:val="auto"/>
        </w:rPr>
        <w:t>SIXTH</w:t>
      </w:r>
      <w:r>
        <w:rPr>
          <w:rFonts w:ascii="Times New Roman" w:cs="Times New Roman" w:eastAsia="Times New Roman" w:hAnsi="Times New Roman"/>
          <w:sz w:val="13"/>
          <w:szCs w:val="13"/>
          <w:color w:val="auto"/>
        </w:rPr>
        <w:t xml:space="preserve"> : These Articles Supplementary shall be effective at the time the State Department of Assessments and Taxation of Maryland accepts these Articles Supplementary for record.</w:t>
      </w:r>
    </w:p>
    <w:p>
      <w:pPr>
        <w:spacing w:after="0" w:line="124" w:lineRule="exact"/>
        <w:rPr>
          <w:sz w:val="20"/>
          <w:szCs w:val="20"/>
          <w:color w:val="auto"/>
        </w:rPr>
      </w:pPr>
    </w:p>
    <w:p>
      <w:pPr>
        <w:ind w:left="600" w:right="580" w:firstLine="312"/>
        <w:spacing w:after="0" w:line="281" w:lineRule="auto"/>
        <w:rPr>
          <w:sz w:val="20"/>
          <w:szCs w:val="20"/>
          <w:color w:val="auto"/>
        </w:rPr>
      </w:pPr>
      <w:r>
        <w:rPr>
          <w:rFonts w:ascii="Times New Roman" w:cs="Times New Roman" w:eastAsia="Times New Roman" w:hAnsi="Times New Roman"/>
          <w:sz w:val="13"/>
          <w:szCs w:val="13"/>
          <w:u w:val="single" w:color="auto"/>
          <w:color w:val="auto"/>
        </w:rPr>
        <w:t>SEVENTH</w:t>
      </w:r>
      <w:r>
        <w:rPr>
          <w:rFonts w:ascii="Times New Roman" w:cs="Times New Roman" w:eastAsia="Times New Roman" w:hAnsi="Times New Roman"/>
          <w:sz w:val="13"/>
          <w:szCs w:val="13"/>
          <w:color w:val="auto"/>
        </w:rPr>
        <w:t xml:space="preserve"> : The undersigned Chief Executive Officer of the Company acknowledges these Articles Supplementary to be the corporate act of the Company and, as to all matters or facts required to be verified under oath, the undersigned Chief Executive Officer acknowledges that to the best of his knowledge, information and belief, these matters and facts are true in all material respects and that this statement is made under the penalties for perjury.</w:t>
      </w:r>
    </w:p>
    <w:p>
      <w:pPr>
        <w:spacing w:after="0" w:line="3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674370</wp:posOffset>
            </wp:positionV>
            <wp:extent cx="5083810" cy="1524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91">
                      <a:extLst>
                        <a:ext uri="{28A0092B-C50C-407E-A947-70E740481C1C}"/>
                      </a:extLst>
                    </a:blip>
                    <a:srcRect/>
                    <a:stretch>
                      <a:fillRect/>
                    </a:stretch>
                  </pic:blipFill>
                  <pic:spPr bwMode="auto">
                    <a:xfrm>
                      <a:off x="0" y="0"/>
                      <a:ext cx="5083810" cy="15240"/>
                    </a:xfrm>
                    <a:prstGeom prst="rect">
                      <a:avLst/>
                    </a:prstGeom>
                    <a:noFill/>
                  </pic:spPr>
                </pic:pic>
              </a:graphicData>
            </a:graphic>
          </wp:anchor>
        </w:drawing>
        <w:drawing>
          <wp:anchor simplePos="0" relativeHeight="251657728" behindDoc="1" locked="0" layoutInCell="0" allowOverlap="1">
            <wp:simplePos x="0" y="0"/>
            <wp:positionH relativeFrom="column">
              <wp:posOffset>384810</wp:posOffset>
            </wp:positionH>
            <wp:positionV relativeFrom="paragraph">
              <wp:posOffset>316230</wp:posOffset>
            </wp:positionV>
            <wp:extent cx="4436110" cy="1524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92">
                      <a:extLst>
                        <a:ext uri="{28A0092B-C50C-407E-A947-70E740481C1C}"/>
                      </a:extLst>
                    </a:blip>
                    <a:srcRect/>
                    <a:stretch>
                      <a:fillRect/>
                    </a:stretch>
                  </pic:blipFill>
                  <pic:spPr bwMode="auto">
                    <a:xfrm>
                      <a:off x="0" y="0"/>
                      <a:ext cx="44361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32" w:name="page333"/>
    <w:bookmarkEnd w:id="332"/>
    <w:p>
      <w:pPr>
        <w:jc w:val="both"/>
        <w:ind w:left="600" w:right="660" w:firstLine="312"/>
        <w:spacing w:after="0" w:line="303" w:lineRule="auto"/>
        <w:rPr>
          <w:sz w:val="20"/>
          <w:szCs w:val="20"/>
          <w:color w:val="auto"/>
        </w:rPr>
      </w:pPr>
      <w:r>
        <w:rPr>
          <w:rFonts w:ascii="Times New Roman" w:cs="Times New Roman" w:eastAsia="Times New Roman" w:hAnsi="Times New Roman"/>
          <w:sz w:val="13"/>
          <w:szCs w:val="13"/>
          <w:color w:val="auto"/>
        </w:rPr>
        <w:t>IN WITNESS WHEREOF, the Company has caused these Articles Supplementary to be executed under seal in its name and on its behalf by its Chief Executive Officer and attested to by its Chief Financial Officer, Chief Investment Officer and Secretary as of the date first written above.</w:t>
      </w:r>
    </w:p>
    <w:p>
      <w:pPr>
        <w:spacing w:after="0" w:line="13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3"/>
          <w:szCs w:val="13"/>
          <w:color w:val="auto"/>
        </w:rPr>
        <w:t>DIGITAL REALTY TRUST, INC.</w:t>
      </w:r>
    </w:p>
    <w:p>
      <w:pPr>
        <w:ind w:left="4100"/>
        <w:spacing w:after="0" w:line="187" w:lineRule="auto"/>
        <w:tabs>
          <w:tab w:leader="none" w:pos="4420" w:val="left"/>
        </w:tabs>
        <w:rPr>
          <w:sz w:val="20"/>
          <w:szCs w:val="20"/>
          <w:color w:val="auto"/>
        </w:rPr>
      </w:pPr>
      <w:r>
        <w:rPr>
          <w:rFonts w:ascii="Times New Roman" w:cs="Times New Roman" w:eastAsia="Times New Roman" w:hAnsi="Times New Roman"/>
          <w:sz w:val="13"/>
          <w:szCs w:val="13"/>
          <w:color w:val="auto"/>
        </w:rPr>
        <w:t>By:</w:t>
        <w:tab/>
        <w:t xml:space="preserve">/s/ Michael F. Foust </w:t>
      </w:r>
      <w:r>
        <w:rPr>
          <w:rFonts w:ascii="Times New Roman" w:cs="Times New Roman" w:eastAsia="Times New Roman" w:hAnsi="Times New Roman"/>
          <w:sz w:val="26"/>
          <w:szCs w:val="26"/>
          <w:color w:val="auto"/>
          <w:vertAlign w:val="superscript"/>
        </w:rPr>
        <w:t>Name:</w:t>
      </w:r>
      <w:r>
        <w:rPr>
          <w:rFonts w:ascii="Times New Roman" w:cs="Times New Roman" w:eastAsia="Times New Roman" w:hAnsi="Times New Roman"/>
          <w:sz w:val="13"/>
          <w:szCs w:val="13"/>
          <w:color w:val="auto"/>
        </w:rPr>
        <w:t>Michael</w:t>
      </w:r>
    </w:p>
    <w:p>
      <w:pPr>
        <w:ind w:left="4100"/>
        <w:spacing w:after="0"/>
        <w:rPr>
          <w:sz w:val="20"/>
          <w:szCs w:val="20"/>
          <w:color w:val="auto"/>
        </w:rPr>
      </w:pPr>
      <w:r>
        <w:rPr>
          <w:rFonts w:ascii="Times New Roman" w:cs="Times New Roman" w:eastAsia="Times New Roman" w:hAnsi="Times New Roman"/>
          <w:sz w:val="13"/>
          <w:szCs w:val="13"/>
          <w:color w:val="auto"/>
        </w:rPr>
        <w:t>F. Foust</w:t>
      </w:r>
    </w:p>
    <w:p>
      <w:pPr>
        <w:spacing w:after="0" w:line="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3"/>
          <w:szCs w:val="13"/>
          <w:color w:val="auto"/>
        </w:rPr>
        <w:t>Title: Chief Executive Officer</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ATTEST:</w:t>
      </w:r>
    </w:p>
    <w:p>
      <w:pPr>
        <w:spacing w:after="0" w:line="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DIGITAL REALTY TRUST, INC.</w:t>
      </w:r>
    </w:p>
    <w:p>
      <w:pPr>
        <w:ind w:left="600"/>
        <w:spacing w:after="0" w:line="196" w:lineRule="auto"/>
        <w:tabs>
          <w:tab w:leader="none" w:pos="940" w:val="left"/>
        </w:tabs>
        <w:rPr>
          <w:sz w:val="20"/>
          <w:szCs w:val="20"/>
          <w:color w:val="auto"/>
        </w:rPr>
      </w:pPr>
      <w:r>
        <w:rPr>
          <w:rFonts w:ascii="Times New Roman" w:cs="Times New Roman" w:eastAsia="Times New Roman" w:hAnsi="Times New Roman"/>
          <w:sz w:val="13"/>
          <w:szCs w:val="13"/>
          <w:color w:val="auto"/>
        </w:rPr>
        <w:t>By:</w:t>
        <w:tab/>
        <w:t xml:space="preserve">/s/ A. William Stein </w:t>
      </w:r>
      <w:r>
        <w:rPr>
          <w:rFonts w:ascii="Times New Roman" w:cs="Times New Roman" w:eastAsia="Times New Roman" w:hAnsi="Times New Roman"/>
          <w:sz w:val="26"/>
          <w:szCs w:val="26"/>
          <w:color w:val="auto"/>
          <w:vertAlign w:val="superscript"/>
        </w:rPr>
        <w:t>Name:</w:t>
      </w:r>
      <w:r>
        <w:rPr>
          <w:rFonts w:ascii="Times New Roman" w:cs="Times New Roman" w:eastAsia="Times New Roman" w:hAnsi="Times New Roman"/>
          <w:sz w:val="13"/>
          <w:szCs w:val="13"/>
          <w:color w:val="auto"/>
        </w:rPr>
        <w:t xml:space="preserve"> A.</w:t>
      </w:r>
    </w:p>
    <w:p>
      <w:pPr>
        <w:spacing w:after="0" w:line="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William Stein</w:t>
      </w:r>
    </w:p>
    <w:p>
      <w:pPr>
        <w:spacing w:after="0" w:line="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Title: Chief Financial Officer, Chief Investment Officer and Secretary</w:t>
      </w:r>
    </w:p>
    <w:p>
      <w:pPr>
        <w:spacing w:after="0" w:line="1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3"/>
          <w:szCs w:val="13"/>
          <w:color w:val="auto"/>
        </w:rPr>
        <w:t>Signature Page to Articles Supplementary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116205</wp:posOffset>
            </wp:positionV>
            <wp:extent cx="4436110" cy="762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93">
                      <a:extLst>
                        <a:ext uri="{28A0092B-C50C-407E-A947-70E740481C1C}"/>
                      </a:extLst>
                    </a:blip>
                    <a:srcRect/>
                    <a:stretch>
                      <a:fillRect/>
                    </a:stretch>
                  </pic:blipFill>
                  <pic:spPr bwMode="auto">
                    <a:xfrm>
                      <a:off x="0" y="0"/>
                      <a:ext cx="4436110"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558165</wp:posOffset>
            </wp:positionV>
            <wp:extent cx="5083810" cy="1524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94">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33" w:name="page334"/>
    <w:bookmarkEnd w:id="333"/>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DIGITAL REALTY TRUST, INC.</w:t>
      </w:r>
    </w:p>
    <w:p>
      <w:pPr>
        <w:spacing w:after="0" w:line="1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ARTICLES OF AMENDMENT</w:t>
      </w:r>
    </w:p>
    <w:p>
      <w:pPr>
        <w:spacing w:after="0" w:line="18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3"/>
          <w:szCs w:val="13"/>
          <w:color w:val="auto"/>
        </w:rPr>
        <w:t>Digital Realty Trust, Inc., a Maryland corporation (the “Corporation”), hereby certifies to the State Department of  Assessments and</w:t>
      </w:r>
    </w:p>
    <w:p>
      <w:pPr>
        <w:spacing w:after="0" w:line="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Taxation of Maryland that:</w:t>
      </w:r>
    </w:p>
    <w:p>
      <w:pPr>
        <w:spacing w:after="0" w:line="183" w:lineRule="exact"/>
        <w:rPr>
          <w:sz w:val="20"/>
          <w:szCs w:val="20"/>
          <w:color w:val="auto"/>
        </w:rPr>
      </w:pPr>
    </w:p>
    <w:p>
      <w:pPr>
        <w:ind w:left="600" w:right="1160" w:firstLine="612"/>
        <w:spacing w:after="0" w:line="305" w:lineRule="auto"/>
        <w:rPr>
          <w:sz w:val="20"/>
          <w:szCs w:val="20"/>
          <w:color w:val="auto"/>
        </w:rPr>
      </w:pPr>
      <w:r>
        <w:rPr>
          <w:rFonts w:ascii="Times New Roman" w:cs="Times New Roman" w:eastAsia="Times New Roman" w:hAnsi="Times New Roman"/>
          <w:sz w:val="13"/>
          <w:szCs w:val="13"/>
          <w:u w:val="single" w:color="auto"/>
          <w:color w:val="auto"/>
        </w:rPr>
        <w:t>FIRST</w:t>
      </w:r>
      <w:r>
        <w:rPr>
          <w:rFonts w:ascii="Times New Roman" w:cs="Times New Roman" w:eastAsia="Times New Roman" w:hAnsi="Times New Roman"/>
          <w:sz w:val="13"/>
          <w:szCs w:val="13"/>
          <w:color w:val="auto"/>
        </w:rPr>
        <w:t xml:space="preserve"> : The charter of the Corporation (the “Charter”) is hereby amended by deleting therefrom in their entirety the first two sentences of Section 5.1 of Article V and inserting in lieu thereof two new sentences to read as follows:</w:t>
      </w:r>
    </w:p>
    <w:p>
      <w:pPr>
        <w:spacing w:after="0" w:line="124" w:lineRule="exact"/>
        <w:rPr>
          <w:sz w:val="20"/>
          <w:szCs w:val="20"/>
          <w:color w:val="auto"/>
        </w:rPr>
      </w:pPr>
    </w:p>
    <w:p>
      <w:pPr>
        <w:ind w:left="1220" w:right="920"/>
        <w:spacing w:after="0" w:line="287" w:lineRule="auto"/>
        <w:rPr>
          <w:sz w:val="20"/>
          <w:szCs w:val="20"/>
          <w:color w:val="auto"/>
        </w:rPr>
      </w:pPr>
      <w:r>
        <w:rPr>
          <w:rFonts w:ascii="Times New Roman" w:cs="Times New Roman" w:eastAsia="Times New Roman" w:hAnsi="Times New Roman"/>
          <w:sz w:val="13"/>
          <w:szCs w:val="13"/>
          <w:color w:val="auto"/>
        </w:rPr>
        <w:t>The Corporation has authority to issue 195,000,000 shares of stock, consisting of 165,000,000 shares of Common Stock, $.01 par value per share (“Common Stock”), and 30,000,000 shares of Preferred Stock, $.01 par value per share (“Preferred Stock”). The aggregate par value of all authorized shares of stock having par value is $1,950,000.</w:t>
      </w:r>
    </w:p>
    <w:p>
      <w:pPr>
        <w:spacing w:after="0" w:line="136" w:lineRule="exact"/>
        <w:rPr>
          <w:sz w:val="20"/>
          <w:szCs w:val="20"/>
          <w:color w:val="auto"/>
        </w:rPr>
      </w:pPr>
    </w:p>
    <w:p>
      <w:pPr>
        <w:ind w:left="600" w:right="880" w:firstLine="612"/>
        <w:spacing w:after="0" w:line="281" w:lineRule="auto"/>
        <w:rPr>
          <w:sz w:val="20"/>
          <w:szCs w:val="20"/>
          <w:color w:val="auto"/>
        </w:rPr>
      </w:pPr>
      <w:r>
        <w:rPr>
          <w:rFonts w:ascii="Times New Roman" w:cs="Times New Roman" w:eastAsia="Times New Roman" w:hAnsi="Times New Roman"/>
          <w:sz w:val="13"/>
          <w:szCs w:val="13"/>
          <w:u w:val="single" w:color="auto"/>
          <w:color w:val="auto"/>
        </w:rPr>
        <w:t>SECOND</w:t>
      </w:r>
      <w:r>
        <w:rPr>
          <w:rFonts w:ascii="Times New Roman" w:cs="Times New Roman" w:eastAsia="Times New Roman" w:hAnsi="Times New Roman"/>
          <w:sz w:val="13"/>
          <w:szCs w:val="13"/>
          <w:color w:val="auto"/>
        </w:rPr>
        <w:t xml:space="preserve"> : The total number of shares of stock which the Corporation had authority to issue immediately prior to the foregoing amendment of the Charter was 175,000,000 shares of stock, consisting of 145,000,000 shares of Common Stock, $.01 par value per share, and 30,000,000 shares of Preferred Stock, $.01 par value per share. The aggregate par value of all authorized shares of stock having par value was $1,750,000.</w:t>
      </w:r>
    </w:p>
    <w:p>
      <w:pPr>
        <w:spacing w:after="0" w:line="140" w:lineRule="exact"/>
        <w:rPr>
          <w:sz w:val="20"/>
          <w:szCs w:val="20"/>
          <w:color w:val="auto"/>
        </w:rPr>
      </w:pPr>
    </w:p>
    <w:p>
      <w:pPr>
        <w:jc w:val="both"/>
        <w:ind w:left="600" w:right="820" w:firstLine="612"/>
        <w:spacing w:after="0" w:line="287" w:lineRule="auto"/>
        <w:rPr>
          <w:sz w:val="20"/>
          <w:szCs w:val="20"/>
          <w:color w:val="auto"/>
        </w:rPr>
      </w:pPr>
      <w:r>
        <w:rPr>
          <w:rFonts w:ascii="Times New Roman" w:cs="Times New Roman" w:eastAsia="Times New Roman" w:hAnsi="Times New Roman"/>
          <w:sz w:val="13"/>
          <w:szCs w:val="13"/>
          <w:u w:val="single" w:color="auto"/>
          <w:color w:val="auto"/>
        </w:rPr>
        <w:t>THIRD</w:t>
      </w:r>
      <w:r>
        <w:rPr>
          <w:rFonts w:ascii="Times New Roman" w:cs="Times New Roman" w:eastAsia="Times New Roman" w:hAnsi="Times New Roman"/>
          <w:sz w:val="13"/>
          <w:szCs w:val="13"/>
          <w:color w:val="auto"/>
        </w:rPr>
        <w:t xml:space="preserve"> : The total number of shares of stock which the Corporation has authority to issue pursuant to the foregoing amendment of the Charter is 195,000,000 shares of stock, consisting of 165,000,000 shares of Common Stock, $.01 par value per share, and 30,000,000 shares of Preferred Stock, $.01 par value per share. The aggregate par value of all authorized shares of stock having par value is $1,950,000.</w:t>
      </w:r>
    </w:p>
    <w:p>
      <w:pPr>
        <w:spacing w:after="0" w:line="136" w:lineRule="exact"/>
        <w:rPr>
          <w:sz w:val="20"/>
          <w:szCs w:val="20"/>
          <w:color w:val="auto"/>
        </w:rPr>
      </w:pPr>
    </w:p>
    <w:p>
      <w:pPr>
        <w:ind w:left="600" w:right="1040" w:firstLine="612"/>
        <w:spacing w:after="0" w:line="305" w:lineRule="auto"/>
        <w:rPr>
          <w:sz w:val="20"/>
          <w:szCs w:val="20"/>
          <w:color w:val="auto"/>
        </w:rPr>
      </w:pPr>
      <w:r>
        <w:rPr>
          <w:rFonts w:ascii="Times New Roman" w:cs="Times New Roman" w:eastAsia="Times New Roman" w:hAnsi="Times New Roman"/>
          <w:sz w:val="13"/>
          <w:szCs w:val="13"/>
          <w:u w:val="single" w:color="auto"/>
          <w:color w:val="auto"/>
        </w:rPr>
        <w:t>FOURTH</w:t>
      </w:r>
      <w:r>
        <w:rPr>
          <w:rFonts w:ascii="Times New Roman" w:cs="Times New Roman" w:eastAsia="Times New Roman" w:hAnsi="Times New Roman"/>
          <w:sz w:val="13"/>
          <w:szCs w:val="13"/>
          <w:color w:val="auto"/>
        </w:rPr>
        <w:t xml:space="preserve"> : The information required by Section 2-607(b)(2)(i) of the Maryland General Corporation Law (the “MGCL”) is not changed by the foregoing amendment of the Charter.</w:t>
      </w:r>
    </w:p>
    <w:p>
      <w:pPr>
        <w:spacing w:after="0" w:line="124" w:lineRule="exact"/>
        <w:rPr>
          <w:sz w:val="20"/>
          <w:szCs w:val="20"/>
          <w:color w:val="auto"/>
        </w:rPr>
      </w:pPr>
    </w:p>
    <w:p>
      <w:pPr>
        <w:ind w:left="600" w:right="700" w:firstLine="612"/>
        <w:spacing w:after="0" w:line="287" w:lineRule="auto"/>
        <w:rPr>
          <w:sz w:val="20"/>
          <w:szCs w:val="20"/>
          <w:color w:val="auto"/>
        </w:rPr>
      </w:pPr>
      <w:r>
        <w:rPr>
          <w:rFonts w:ascii="Times New Roman" w:cs="Times New Roman" w:eastAsia="Times New Roman" w:hAnsi="Times New Roman"/>
          <w:sz w:val="13"/>
          <w:szCs w:val="13"/>
          <w:u w:val="single" w:color="auto"/>
          <w:color w:val="auto"/>
        </w:rPr>
        <w:t>FIFTH</w:t>
      </w:r>
      <w:r>
        <w:rPr>
          <w:rFonts w:ascii="Times New Roman" w:cs="Times New Roman" w:eastAsia="Times New Roman" w:hAnsi="Times New Roman"/>
          <w:sz w:val="13"/>
          <w:szCs w:val="13"/>
          <w:color w:val="auto"/>
        </w:rPr>
        <w:t xml:space="preserve"> : The foregoing amendment of the Charter was approved by a majority of the entire Board of Directors of the Corporation as required by law and was limited to a change expressly authorized by Section 2-105(a)(12) of the MGCL without any action by the stockholders of the Corporation.</w:t>
      </w:r>
    </w:p>
    <w:p>
      <w:pPr>
        <w:spacing w:after="0" w:line="136" w:lineRule="exact"/>
        <w:rPr>
          <w:sz w:val="20"/>
          <w:szCs w:val="20"/>
          <w:color w:val="auto"/>
        </w:rPr>
      </w:pPr>
    </w:p>
    <w:p>
      <w:pPr>
        <w:jc w:val="both"/>
        <w:ind w:left="600" w:right="720" w:firstLine="612"/>
        <w:spacing w:after="0" w:line="287" w:lineRule="auto"/>
        <w:rPr>
          <w:sz w:val="20"/>
          <w:szCs w:val="20"/>
          <w:color w:val="auto"/>
        </w:rPr>
      </w:pPr>
      <w:r>
        <w:rPr>
          <w:rFonts w:ascii="Times New Roman" w:cs="Times New Roman" w:eastAsia="Times New Roman" w:hAnsi="Times New Roman"/>
          <w:sz w:val="13"/>
          <w:szCs w:val="13"/>
          <w:u w:val="single" w:color="auto"/>
          <w:color w:val="auto"/>
        </w:rPr>
        <w:t>SIXTH</w:t>
      </w:r>
      <w:r>
        <w:rPr>
          <w:rFonts w:ascii="Times New Roman" w:cs="Times New Roman" w:eastAsia="Times New Roman" w:hAnsi="Times New Roman"/>
          <w:sz w:val="13"/>
          <w:szCs w:val="13"/>
          <w:color w:val="auto"/>
        </w:rPr>
        <w:t xml:space="preserve"> : The undersigned acknowledges these Articles of Amendment to be the corporate act of the Corporation and as to all matters or facts required to be verified under oath, the undersigned acknowledges that to the best of his knowledge, information and belief, these matters and facts are true in all material respects and that this statement is made under the penalties of perjury.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101600</wp:posOffset>
            </wp:positionV>
            <wp:extent cx="4436110" cy="1524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95">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543560</wp:posOffset>
            </wp:positionV>
            <wp:extent cx="5083810" cy="1524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96">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334" w:name="page335"/>
    <w:bookmarkEnd w:id="334"/>
    <w:p>
      <w:pPr>
        <w:ind w:left="600" w:right="880" w:firstLine="612"/>
        <w:spacing w:after="0" w:line="271" w:lineRule="auto"/>
        <w:rPr>
          <w:sz w:val="20"/>
          <w:szCs w:val="20"/>
          <w:color w:val="auto"/>
        </w:rPr>
      </w:pPr>
      <w:r>
        <w:rPr>
          <w:rFonts w:ascii="Times New Roman" w:cs="Times New Roman" w:eastAsia="Times New Roman" w:hAnsi="Times New Roman"/>
          <w:sz w:val="13"/>
          <w:szCs w:val="13"/>
          <w:color w:val="auto"/>
        </w:rPr>
        <w:t>IN WITNESS WHEREOF, the Corporation has caused these Articles of Amendment to be executed under seal in its name and on its behalf by its Chief Financial Officer, Chief Investment Officer and Secretary and attested to by its Senior Vice President, General Counsel and Assistant Secretary on this 28th day of October, 2011.</w:t>
      </w:r>
    </w:p>
    <w:p>
      <w:pPr>
        <w:spacing w:after="0" w:line="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3"/>
          <w:szCs w:val="13"/>
          <w:color w:val="auto"/>
        </w:rPr>
        <w:t>DIGITAL REALTY TRUST, INC.</w:t>
      </w:r>
    </w:p>
    <w:p>
      <w:pPr>
        <w:spacing w:after="0" w:line="27" w:lineRule="exact"/>
        <w:rPr>
          <w:sz w:val="20"/>
          <w:szCs w:val="20"/>
          <w:color w:val="auto"/>
        </w:rPr>
      </w:pPr>
    </w:p>
    <w:p>
      <w:pPr>
        <w:ind w:left="4140"/>
        <w:spacing w:after="0"/>
        <w:tabs>
          <w:tab w:leader="none" w:pos="6920" w:val="left"/>
        </w:tabs>
        <w:rPr>
          <w:sz w:val="20"/>
          <w:szCs w:val="20"/>
          <w:color w:val="auto"/>
        </w:rPr>
      </w:pPr>
      <w:r>
        <w:rPr>
          <w:rFonts w:ascii="Times New Roman" w:cs="Times New Roman" w:eastAsia="Times New Roman" w:hAnsi="Times New Roman"/>
          <w:sz w:val="13"/>
          <w:szCs w:val="13"/>
          <w:color w:val="auto"/>
        </w:rPr>
        <w:t>By:/s/ A. William Stein</w:t>
      </w:r>
      <w:r>
        <w:rPr>
          <w:sz w:val="20"/>
          <w:szCs w:val="20"/>
          <w:color w:val="auto"/>
        </w:rPr>
        <w:tab/>
      </w:r>
      <w:r>
        <w:rPr>
          <w:rFonts w:ascii="Times New Roman" w:cs="Times New Roman" w:eastAsia="Times New Roman" w:hAnsi="Times New Roman"/>
          <w:sz w:val="13"/>
          <w:szCs w:val="13"/>
          <w:color w:val="auto"/>
        </w:rPr>
        <w:t>(SEAL) Name:A.</w:t>
      </w:r>
    </w:p>
    <w:p>
      <w:pPr>
        <w:spacing w:after="0" w:line="3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3"/>
          <w:szCs w:val="13"/>
          <w:color w:val="auto"/>
        </w:rPr>
        <w:t>William Stein</w:t>
      </w:r>
    </w:p>
    <w:p>
      <w:pPr>
        <w:spacing w:after="0" w:line="2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3"/>
          <w:szCs w:val="13"/>
          <w:color w:val="auto"/>
        </w:rPr>
        <w:t>Title: Chief Financial Officer, Chief Investment Officer and</w:t>
      </w:r>
    </w:p>
    <w:p>
      <w:pPr>
        <w:spacing w:after="0" w:line="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3"/>
          <w:szCs w:val="13"/>
          <w:color w:val="auto"/>
        </w:rPr>
        <w:t>Secretary</w:t>
      </w:r>
    </w:p>
    <w:p>
      <w:pPr>
        <w:spacing w:after="0" w:line="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ATTEST:</w:t>
      </w:r>
    </w:p>
    <w:p>
      <w:pPr>
        <w:spacing w:after="0" w:line="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DIGITAL REALTY TRUST, INC.</w:t>
      </w:r>
    </w:p>
    <w:p>
      <w:pPr>
        <w:spacing w:after="0" w:line="2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By: /s/ Joshua A. Mills Name: Joshua A.</w:t>
      </w:r>
    </w:p>
    <w:p>
      <w:pPr>
        <w:spacing w:after="0" w:line="3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3"/>
          <w:szCs w:val="13"/>
          <w:color w:val="auto"/>
        </w:rPr>
        <w:t>Mills</w:t>
      </w:r>
    </w:p>
    <w:p>
      <w:pPr>
        <w:spacing w:after="0" w:line="2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3"/>
          <w:szCs w:val="13"/>
          <w:color w:val="auto"/>
        </w:rPr>
        <w:t>Title: Senior Vice President, General Counsel and Assistant</w:t>
      </w:r>
    </w:p>
    <w:p>
      <w:pPr>
        <w:spacing w:after="0" w:line="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3"/>
          <w:szCs w:val="13"/>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116840</wp:posOffset>
            </wp:positionV>
            <wp:extent cx="4436110" cy="1524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97">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566420</wp:posOffset>
            </wp:positionV>
            <wp:extent cx="5083810" cy="1524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98">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35" w:name="page336"/>
    <w:bookmarkEnd w:id="335"/>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DIGITAL REALTY TRUST, INC. ARTICLES</w:t>
      </w:r>
    </w:p>
    <w:p>
      <w:pPr>
        <w:spacing w:after="0" w:line="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SUPPLEMENTARY 8,050,000 SHARES OF</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6.625% SERIES F CUMULATIVE REDEEMABLE PREFERRED STOCK A</w:t>
      </w:r>
      <w:r>
        <w:rPr>
          <w:rFonts w:ascii="Times New Roman" w:cs="Times New Roman" w:eastAsia="Times New Roman" w:hAnsi="Times New Roman"/>
          <w:sz w:val="10"/>
          <w:szCs w:val="10"/>
          <w:b w:val="1"/>
          <w:bCs w:val="1"/>
          <w:color w:val="auto"/>
        </w:rPr>
        <w:t>PRIL</w:t>
      </w:r>
      <w:r>
        <w:rPr>
          <w:rFonts w:ascii="Times New Roman" w:cs="Times New Roman" w:eastAsia="Times New Roman" w:hAnsi="Times New Roman"/>
          <w:sz w:val="13"/>
          <w:szCs w:val="13"/>
          <w:b w:val="1"/>
          <w:bCs w:val="1"/>
          <w:color w:val="auto"/>
        </w:rPr>
        <w:t xml:space="preserve"> 4,</w:t>
      </w:r>
    </w:p>
    <w:p>
      <w:pPr>
        <w:spacing w:after="0" w:line="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2012</w:t>
      </w:r>
    </w:p>
    <w:p>
      <w:pPr>
        <w:spacing w:after="0" w:line="15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Digital Realty Trust, Inc., a Maryland corporation (the “ </w:t>
      </w:r>
      <w:r>
        <w:rPr>
          <w:rFonts w:ascii="Times New Roman" w:cs="Times New Roman" w:eastAsia="Times New Roman" w:hAnsi="Times New Roman"/>
          <w:sz w:val="13"/>
          <w:szCs w:val="13"/>
          <w:u w:val="single" w:color="auto"/>
          <w:color w:val="auto"/>
        </w:rPr>
        <w:t>Company</w:t>
      </w:r>
      <w:r>
        <w:rPr>
          <w:rFonts w:ascii="Times New Roman" w:cs="Times New Roman" w:eastAsia="Times New Roman" w:hAnsi="Times New Roman"/>
          <w:sz w:val="13"/>
          <w:szCs w:val="13"/>
          <w:color w:val="auto"/>
        </w:rPr>
        <w:t xml:space="preserve"> ”), hereby certifies to the State Department of Assessments and</w:t>
      </w:r>
    </w:p>
    <w:p>
      <w:pPr>
        <w:spacing w:after="0" w:line="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 xml:space="preserve">Taxation of Maryland (the “ </w:t>
      </w:r>
      <w:r>
        <w:rPr>
          <w:rFonts w:ascii="Times New Roman" w:cs="Times New Roman" w:eastAsia="Times New Roman" w:hAnsi="Times New Roman"/>
          <w:sz w:val="13"/>
          <w:szCs w:val="13"/>
          <w:u w:val="single" w:color="auto"/>
          <w:color w:val="auto"/>
        </w:rPr>
        <w:t>Department</w:t>
      </w:r>
      <w:r>
        <w:rPr>
          <w:rFonts w:ascii="Times New Roman" w:cs="Times New Roman" w:eastAsia="Times New Roman" w:hAnsi="Times New Roman"/>
          <w:sz w:val="13"/>
          <w:szCs w:val="13"/>
          <w:color w:val="auto"/>
        </w:rPr>
        <w:t xml:space="preserve"> ”) that:</w:t>
      </w:r>
    </w:p>
    <w:p>
      <w:pPr>
        <w:spacing w:after="0" w:line="183" w:lineRule="exact"/>
        <w:rPr>
          <w:sz w:val="20"/>
          <w:szCs w:val="20"/>
          <w:color w:val="auto"/>
        </w:rPr>
      </w:pPr>
    </w:p>
    <w:p>
      <w:pPr>
        <w:ind w:left="600" w:right="600" w:firstLine="312"/>
        <w:spacing w:after="0" w:line="272" w:lineRule="auto"/>
        <w:rPr>
          <w:sz w:val="20"/>
          <w:szCs w:val="20"/>
          <w:color w:val="auto"/>
        </w:rPr>
      </w:pPr>
      <w:r>
        <w:rPr>
          <w:rFonts w:ascii="Times New Roman" w:cs="Times New Roman" w:eastAsia="Times New Roman" w:hAnsi="Times New Roman"/>
          <w:sz w:val="13"/>
          <w:szCs w:val="13"/>
          <w:u w:val="single" w:color="auto"/>
          <w:color w:val="auto"/>
        </w:rPr>
        <w:t>FIRST</w:t>
      </w:r>
      <w:r>
        <w:rPr>
          <w:rFonts w:ascii="Times New Roman" w:cs="Times New Roman" w:eastAsia="Times New Roman" w:hAnsi="Times New Roman"/>
          <w:sz w:val="13"/>
          <w:szCs w:val="13"/>
          <w:color w:val="auto"/>
        </w:rPr>
        <w:t xml:space="preserve"> : Pursuant to the authority expressly vested in the Board of Directors of the Company (the “ </w:t>
      </w:r>
      <w:r>
        <w:rPr>
          <w:rFonts w:ascii="Times New Roman" w:cs="Times New Roman" w:eastAsia="Times New Roman" w:hAnsi="Times New Roman"/>
          <w:sz w:val="13"/>
          <w:szCs w:val="13"/>
          <w:u w:val="single" w:color="auto"/>
          <w:color w:val="auto"/>
        </w:rPr>
        <w:t>Board of Directors</w:t>
      </w:r>
      <w:r>
        <w:rPr>
          <w:rFonts w:ascii="Times New Roman" w:cs="Times New Roman" w:eastAsia="Times New Roman" w:hAnsi="Times New Roman"/>
          <w:sz w:val="13"/>
          <w:szCs w:val="13"/>
          <w:color w:val="auto"/>
        </w:rPr>
        <w:t xml:space="preserve"> ”) by Article IV of the Articles of Amendment and Restatement of the Company filed with the Department on October 26, 2004 (the “ </w:t>
      </w:r>
      <w:r>
        <w:rPr>
          <w:rFonts w:ascii="Times New Roman" w:cs="Times New Roman" w:eastAsia="Times New Roman" w:hAnsi="Times New Roman"/>
          <w:sz w:val="13"/>
          <w:szCs w:val="13"/>
          <w:u w:val="single" w:color="auto"/>
          <w:color w:val="auto"/>
        </w:rPr>
        <w:t>Charter</w:t>
      </w:r>
      <w:r>
        <w:rPr>
          <w:rFonts w:ascii="Times New Roman" w:cs="Times New Roman" w:eastAsia="Times New Roman" w:hAnsi="Times New Roman"/>
          <w:sz w:val="13"/>
          <w:szCs w:val="13"/>
          <w:color w:val="auto"/>
        </w:rPr>
        <w:t xml:space="preserve"> ”) and Section 2-105 of the Maryland General Corporation Law (the “ </w:t>
      </w:r>
      <w:r>
        <w:rPr>
          <w:rFonts w:ascii="Times New Roman" w:cs="Times New Roman" w:eastAsia="Times New Roman" w:hAnsi="Times New Roman"/>
          <w:sz w:val="13"/>
          <w:szCs w:val="13"/>
          <w:u w:val="single" w:color="auto"/>
          <w:color w:val="auto"/>
        </w:rPr>
        <w:t>MGCL</w:t>
      </w:r>
      <w:r>
        <w:rPr>
          <w:rFonts w:ascii="Times New Roman" w:cs="Times New Roman" w:eastAsia="Times New Roman" w:hAnsi="Times New Roman"/>
          <w:sz w:val="13"/>
          <w:szCs w:val="13"/>
          <w:color w:val="auto"/>
        </w:rPr>
        <w:t xml:space="preserve"> ”), the Board of Directors, by resolutions duly adopted on March 14, 2012, has authorized the issuance, classification and designation of a number of shares of the authorized but unissued preferred stock of the Company, par value $0.01 per share (“ </w:t>
      </w:r>
      <w:r>
        <w:rPr>
          <w:rFonts w:ascii="Times New Roman" w:cs="Times New Roman" w:eastAsia="Times New Roman" w:hAnsi="Times New Roman"/>
          <w:sz w:val="13"/>
          <w:szCs w:val="13"/>
          <w:u w:val="single" w:color="auto"/>
          <w:color w:val="auto"/>
        </w:rPr>
        <w:t>Preferred Stock</w:t>
      </w:r>
      <w:r>
        <w:rPr>
          <w:rFonts w:ascii="Times New Roman" w:cs="Times New Roman" w:eastAsia="Times New Roman" w:hAnsi="Times New Roman"/>
          <w:sz w:val="13"/>
          <w:szCs w:val="13"/>
          <w:color w:val="auto"/>
        </w:rPr>
        <w:t xml:space="preserve"> ”), as a separate class of Preferred Stock, that, on the date of issue, have a liquidation value or aggregate offering price of up to $275,000,000 (plus up to an additional 15% to cover any underwriter over-allotment option), and, pursuant to the powers contained in the Bylaws of the Company and the MGCL, appointed a committee (the “ </w:t>
      </w:r>
      <w:r>
        <w:rPr>
          <w:rFonts w:ascii="Times New Roman" w:cs="Times New Roman" w:eastAsia="Times New Roman" w:hAnsi="Times New Roman"/>
          <w:sz w:val="13"/>
          <w:szCs w:val="13"/>
          <w:u w:val="single" w:color="auto"/>
          <w:color w:val="auto"/>
        </w:rPr>
        <w:t>Committee</w:t>
      </w:r>
      <w:r>
        <w:rPr>
          <w:rFonts w:ascii="Times New Roman" w:cs="Times New Roman" w:eastAsia="Times New Roman" w:hAnsi="Times New Roman"/>
          <w:sz w:val="13"/>
          <w:szCs w:val="13"/>
          <w:color w:val="auto"/>
        </w:rPr>
        <w:t xml:space="preserve"> ”) of the Board of Directors and delegated to the Committee, to the fullest extent permitted by the MGCL and the Charter and Bylaws of the Company, among other things, all powers of the Board of Directors with respect to (i) setting the number of shares of the Preferred Stock to be classified and designated, provided that in no event shall the liquidation value or aggregate offering price of such shares exceed $275,000,000 (plus up to an additional 15% to cover any underwriter over-allotment option), (ii) choosing the cumulative dividend percentage for the Preferred Stock, (iii) selecting the dates on which dividends will be paid on the Preferred Stock, (iv) establishing the price per share for the Preferred Stock, (v) authorizing, approving and filing these Articles Supplementary with the Department and (vi) authorizing and approving all such other actions as the Committee may deem necessary or desirable in connection with the classification, authorization, issuance, offer, and sale of the Preferred Stock.</w:t>
      </w:r>
    </w:p>
    <w:p>
      <w:pPr>
        <w:spacing w:after="0" w:line="137" w:lineRule="exact"/>
        <w:rPr>
          <w:sz w:val="20"/>
          <w:szCs w:val="20"/>
          <w:color w:val="auto"/>
        </w:rPr>
      </w:pPr>
    </w:p>
    <w:p>
      <w:pPr>
        <w:ind w:left="600" w:right="660" w:firstLine="312"/>
        <w:spacing w:after="0" w:line="278" w:lineRule="auto"/>
        <w:rPr>
          <w:sz w:val="20"/>
          <w:szCs w:val="20"/>
          <w:color w:val="auto"/>
        </w:rPr>
      </w:pPr>
      <w:r>
        <w:rPr>
          <w:rFonts w:ascii="Times New Roman" w:cs="Times New Roman" w:eastAsia="Times New Roman" w:hAnsi="Times New Roman"/>
          <w:sz w:val="13"/>
          <w:szCs w:val="13"/>
          <w:u w:val="single" w:color="auto"/>
          <w:color w:val="auto"/>
        </w:rPr>
        <w:t>SECOND</w:t>
      </w:r>
      <w:r>
        <w:rPr>
          <w:rFonts w:ascii="Times New Roman" w:cs="Times New Roman" w:eastAsia="Times New Roman" w:hAnsi="Times New Roman"/>
          <w:sz w:val="13"/>
          <w:szCs w:val="13"/>
          <w:color w:val="auto"/>
        </w:rPr>
        <w:t xml:space="preserve"> : The Committee has unanimously adopted resolutions classifying and designating the Preferred Stock as a separate class of Preferred Stock to be known as the “6.625% Series F Cumulative Redeemable Preferred Stock,” setting the preferences, conversion and other rights, voting powers, restrictions, limitations as to dividends and other distributions, transfers, qualifications, terms and conditions of redemption and other terms and conditions of such 6.625% Series F Cumulative Redeemable Preferred Stock, and authorizing the issuance of up to 7,000,000 (plus up to an additional 15% to cover any underwriter over-allotment option) shares of 6.625% Series F Cumulative Redeemable Preferred Stock.</w:t>
      </w:r>
    </w:p>
    <w:p>
      <w:pPr>
        <w:spacing w:after="0" w:line="311" w:lineRule="exact"/>
        <w:rPr>
          <w:sz w:val="20"/>
          <w:szCs w:val="20"/>
          <w:color w:val="auto"/>
        </w:rPr>
      </w:pPr>
    </w:p>
    <w:p>
      <w:pPr>
        <w:ind w:left="600" w:right="700" w:firstLine="312"/>
        <w:spacing w:after="0" w:line="278" w:lineRule="auto"/>
        <w:rPr>
          <w:sz w:val="20"/>
          <w:szCs w:val="20"/>
          <w:color w:val="auto"/>
        </w:rPr>
      </w:pPr>
      <w:r>
        <w:rPr>
          <w:rFonts w:ascii="Times New Roman" w:cs="Times New Roman" w:eastAsia="Times New Roman" w:hAnsi="Times New Roman"/>
          <w:sz w:val="13"/>
          <w:szCs w:val="13"/>
          <w:u w:val="single" w:color="auto"/>
          <w:color w:val="auto"/>
        </w:rPr>
        <w:t>THIRD</w:t>
      </w:r>
      <w:r>
        <w:rPr>
          <w:rFonts w:ascii="Times New Roman" w:cs="Times New Roman" w:eastAsia="Times New Roman" w:hAnsi="Times New Roman"/>
          <w:sz w:val="13"/>
          <w:szCs w:val="13"/>
          <w:color w:val="auto"/>
        </w:rPr>
        <w:t xml:space="preserve"> : The designation, number of shares, preferences, rights, voting powers, restrictions, limitations as to dividends and other distributions, qualifications, terms and conditions of redemption and other terms and conditions of the separate class of Preferred Stock of the Company designated as the 6.625% Series F Cumulative Redeemable Preferred Stock are as follows, which upon any restatement of the Charter shall be made a part of or incorporated by reference into the Charter with any necessary or appropriate changes to the enumeration or lettering of Sections or subsections thereof:</w:t>
      </w:r>
    </w:p>
    <w:p>
      <w:pPr>
        <w:spacing w:after="0" w:line="143" w:lineRule="exact"/>
        <w:rPr>
          <w:sz w:val="20"/>
          <w:szCs w:val="20"/>
          <w:color w:val="auto"/>
        </w:rPr>
      </w:pPr>
    </w:p>
    <w:p>
      <w:pPr>
        <w:ind w:left="600" w:right="1000" w:firstLine="312"/>
        <w:spacing w:after="0" w:line="305" w:lineRule="auto"/>
        <w:rPr>
          <w:sz w:val="20"/>
          <w:szCs w:val="20"/>
          <w:color w:val="auto"/>
        </w:rPr>
      </w:pPr>
      <w:r>
        <w:rPr>
          <w:rFonts w:ascii="Times New Roman" w:cs="Times New Roman" w:eastAsia="Times New Roman" w:hAnsi="Times New Roman"/>
          <w:sz w:val="13"/>
          <w:szCs w:val="13"/>
          <w:color w:val="auto"/>
        </w:rPr>
        <w:t xml:space="preserve">Section 1. </w:t>
      </w:r>
      <w:r>
        <w:rPr>
          <w:rFonts w:ascii="Times New Roman" w:cs="Times New Roman" w:eastAsia="Times New Roman" w:hAnsi="Times New Roman"/>
          <w:sz w:val="13"/>
          <w:szCs w:val="13"/>
          <w:u w:val="single" w:color="auto"/>
          <w:color w:val="auto"/>
        </w:rPr>
        <w:t>Designation and Number</w:t>
      </w:r>
      <w:r>
        <w:rPr>
          <w:rFonts w:ascii="Times New Roman" w:cs="Times New Roman" w:eastAsia="Times New Roman" w:hAnsi="Times New Roman"/>
          <w:sz w:val="13"/>
          <w:szCs w:val="13"/>
          <w:color w:val="auto"/>
        </w:rPr>
        <w:t xml:space="preserve"> . A series of Preferred Stock, designated the “6.625% Series F Cumulative Redeemable Preferred Stock” (the “ </w:t>
      </w:r>
      <w:r>
        <w:rPr>
          <w:rFonts w:ascii="Times New Roman" w:cs="Times New Roman" w:eastAsia="Times New Roman" w:hAnsi="Times New Roman"/>
          <w:sz w:val="13"/>
          <w:szCs w:val="13"/>
          <w:u w:val="single" w:color="auto"/>
          <w:color w:val="auto"/>
        </w:rPr>
        <w:t>Series F Preferred Stock</w:t>
      </w:r>
      <w:r>
        <w:rPr>
          <w:rFonts w:ascii="Times New Roman" w:cs="Times New Roman" w:eastAsia="Times New Roman" w:hAnsi="Times New Roman"/>
          <w:sz w:val="13"/>
          <w:szCs w:val="13"/>
          <w:color w:val="auto"/>
        </w:rPr>
        <w:t xml:space="preserve"> ”), is hereby established. The number of shares of Series F Preferred Stock shall be 8,050,000.</w:t>
      </w:r>
    </w:p>
    <w:p>
      <w:pPr>
        <w:spacing w:after="0" w:line="124" w:lineRule="exact"/>
        <w:rPr>
          <w:sz w:val="20"/>
          <w:szCs w:val="20"/>
          <w:color w:val="auto"/>
        </w:rPr>
      </w:pPr>
    </w:p>
    <w:p>
      <w:pPr>
        <w:ind w:left="600" w:right="640" w:firstLine="312"/>
        <w:spacing w:after="0" w:line="287" w:lineRule="auto"/>
        <w:rPr>
          <w:sz w:val="20"/>
          <w:szCs w:val="20"/>
          <w:color w:val="auto"/>
        </w:rPr>
      </w:pPr>
      <w:r>
        <w:rPr>
          <w:rFonts w:ascii="Times New Roman" w:cs="Times New Roman" w:eastAsia="Times New Roman" w:hAnsi="Times New Roman"/>
          <w:sz w:val="13"/>
          <w:szCs w:val="13"/>
          <w:color w:val="auto"/>
        </w:rPr>
        <w:t xml:space="preserve">Section 2. </w:t>
      </w:r>
      <w:r>
        <w:rPr>
          <w:rFonts w:ascii="Times New Roman" w:cs="Times New Roman" w:eastAsia="Times New Roman" w:hAnsi="Times New Roman"/>
          <w:sz w:val="13"/>
          <w:szCs w:val="13"/>
          <w:u w:val="single" w:color="auto"/>
          <w:color w:val="auto"/>
        </w:rPr>
        <w:t>Rank</w:t>
      </w:r>
      <w:r>
        <w:rPr>
          <w:rFonts w:ascii="Times New Roman" w:cs="Times New Roman" w:eastAsia="Times New Roman" w:hAnsi="Times New Roman"/>
          <w:sz w:val="13"/>
          <w:szCs w:val="13"/>
          <w:color w:val="auto"/>
        </w:rPr>
        <w:t xml:space="preserve"> . The Series F Preferred Stock will, with respect to dividend rights and rights upon voluntary or involuntary liquidation, dissolution or winding up of the Company, rank: (a) senior to all classes or series of the Company’s common stock, par value $0.01 per share (the “ </w:t>
      </w:r>
      <w:r>
        <w:rPr>
          <w:rFonts w:ascii="Times New Roman" w:cs="Times New Roman" w:eastAsia="Times New Roman" w:hAnsi="Times New Roman"/>
          <w:sz w:val="13"/>
          <w:szCs w:val="13"/>
          <w:u w:val="single" w:color="auto"/>
          <w:color w:val="auto"/>
        </w:rPr>
        <w:t>Common Stock</w:t>
      </w:r>
      <w:r>
        <w:rPr>
          <w:rFonts w:ascii="Times New Roman" w:cs="Times New Roman" w:eastAsia="Times New Roman" w:hAnsi="Times New Roman"/>
          <w:sz w:val="13"/>
          <w:szCs w:val="13"/>
          <w:color w:val="auto"/>
        </w:rPr>
        <w:t xml:space="preserve"> ”), and all classes or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101600</wp:posOffset>
            </wp:positionV>
            <wp:extent cx="4436110" cy="1524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99">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543560</wp:posOffset>
            </wp:positionV>
            <wp:extent cx="5083810" cy="1524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600">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68" w:right="1440" w:bottom="1440" w:gutter="0" w:footer="0" w:header="0"/>
        </w:sectPr>
      </w:pPr>
    </w:p>
    <w:bookmarkStart w:id="336" w:name="page337"/>
    <w:bookmarkEnd w:id="336"/>
    <w:p>
      <w:pPr>
        <w:ind w:left="600"/>
        <w:spacing w:after="0"/>
        <w:rPr>
          <w:sz w:val="20"/>
          <w:szCs w:val="20"/>
          <w:color w:val="auto"/>
        </w:rPr>
      </w:pPr>
      <w:r>
        <w:rPr>
          <w:rFonts w:ascii="Times New Roman" w:cs="Times New Roman" w:eastAsia="Times New Roman" w:hAnsi="Times New Roman"/>
          <w:sz w:val="13"/>
          <w:szCs w:val="13"/>
          <w:color w:val="auto"/>
        </w:rPr>
        <w:t>of capital stock of the Company now or hereafter authorized, issued or outstanding expressly designated as ranking junior to the Series F Preferred</w:t>
      </w:r>
    </w:p>
    <w:p>
      <w:pPr>
        <w:spacing w:after="0" w:line="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Stock as to dividend rights and rights upon voluntary or involuntary liquidation, dissolution or winding up of the Company; (b) on parity with the</w:t>
      </w:r>
    </w:p>
    <w:p>
      <w:pPr>
        <w:spacing w:after="0" w:line="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Series C Cumulative Convertible Preferred Stock, par value $0.01 per share, the Series D Cumulative Convertible Preferred Stock, par value</w:t>
      </w:r>
    </w:p>
    <w:p>
      <w:pPr>
        <w:spacing w:after="0" w:line="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$0.01 per share, and the Series E Cumulative Redeemable Preferred Stock, par value $0.01 per share, of the Company and with any class or series</w:t>
      </w:r>
    </w:p>
    <w:p>
      <w:pPr>
        <w:spacing w:after="0" w:line="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of capital stock of the Company expressly designated as ranking on parity with the Series F Preferred Stock as to dividend rights and rights upon</w:t>
      </w:r>
    </w:p>
    <w:p>
      <w:pPr>
        <w:spacing w:after="0" w:line="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voluntary or involuntary liquidation, dissolution or winding up of the Company; and (c) junior to any class or series of capital stock of the</w:t>
      </w:r>
    </w:p>
    <w:p>
      <w:pPr>
        <w:spacing w:after="0" w:line="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Company expressly designated as ranking senior to the Series F Preferred Stock as to dividend rights and rights upon voluntary or involuntary</w:t>
      </w:r>
    </w:p>
    <w:p>
      <w:pPr>
        <w:spacing w:after="0" w:line="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 xml:space="preserve">liquidation, dissolution or winding up of the Company. The term “ </w:t>
      </w:r>
      <w:r>
        <w:rPr>
          <w:rFonts w:ascii="Times New Roman" w:cs="Times New Roman" w:eastAsia="Times New Roman" w:hAnsi="Times New Roman"/>
          <w:sz w:val="13"/>
          <w:szCs w:val="13"/>
          <w:u w:val="single" w:color="auto"/>
          <w:color w:val="auto"/>
        </w:rPr>
        <w:t>capital stock</w:t>
      </w:r>
      <w:r>
        <w:rPr>
          <w:rFonts w:ascii="Times New Roman" w:cs="Times New Roman" w:eastAsia="Times New Roman" w:hAnsi="Times New Roman"/>
          <w:sz w:val="13"/>
          <w:szCs w:val="13"/>
          <w:color w:val="auto"/>
        </w:rPr>
        <w:t xml:space="preserve"> ” does not include convertible or exchangeable debt securities,</w:t>
      </w:r>
    </w:p>
    <w:p>
      <w:pPr>
        <w:spacing w:after="0" w:line="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which will rank senior to the Series F Preferred Stock prior to conversion or exchange. The Series F Preferred Stock will also rank junior in right</w:t>
      </w:r>
    </w:p>
    <w:p>
      <w:pPr>
        <w:spacing w:after="0" w:line="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of payment to the Company’s other existing and future debt obligations.</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Section 3. </w:t>
      </w:r>
      <w:r>
        <w:rPr>
          <w:rFonts w:ascii="Times New Roman" w:cs="Times New Roman" w:eastAsia="Times New Roman" w:hAnsi="Times New Roman"/>
          <w:sz w:val="13"/>
          <w:szCs w:val="13"/>
          <w:u w:val="single" w:color="auto"/>
          <w:color w:val="auto"/>
        </w:rPr>
        <w:t>Dividends</w:t>
      </w:r>
      <w:r>
        <w:rPr>
          <w:rFonts w:ascii="Times New Roman" w:cs="Times New Roman" w:eastAsia="Times New Roman" w:hAnsi="Times New Roman"/>
          <w:sz w:val="13"/>
          <w:szCs w:val="13"/>
          <w:color w:val="auto"/>
        </w:rPr>
        <w:t xml:space="preserve"> .</w:t>
      </w:r>
    </w:p>
    <w:p>
      <w:pPr>
        <w:spacing w:after="0" w:line="187" w:lineRule="exact"/>
        <w:rPr>
          <w:sz w:val="20"/>
          <w:szCs w:val="20"/>
          <w:color w:val="auto"/>
        </w:rPr>
      </w:pPr>
    </w:p>
    <w:p>
      <w:pPr>
        <w:ind w:left="600" w:right="680" w:firstLine="306"/>
        <w:spacing w:after="0" w:line="275" w:lineRule="auto"/>
        <w:tabs>
          <w:tab w:leader="none" w:pos="1092" w:val="left"/>
        </w:tabs>
        <w:numPr>
          <w:ilvl w:val="0"/>
          <w:numId w:val="2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Subject to the preferential rights of the holders of any class or series of capital stock of the Company ranking senior to the Series F Preferred Stock as to dividends, the holders of shares of the Series F Preferred Stock shall be entitled to receive, when, as and if authorized by the Board of Directors and declared by the Company, out of funds legally available for the payment of dividends, cumulative cash dividends at the rate of 6.625% per annum of the $25.00 liquidation preference per share of the Series F Preferred Stock (equivalent to a fixed annual amount of $1.65625 per share of the Series F Preferred Stock). Such dividends shall accrue and be cumulative from and including the first date on which any shares of Series F Preferred Stock are issued (the “ </w:t>
      </w:r>
      <w:r>
        <w:rPr>
          <w:rFonts w:ascii="Times New Roman" w:cs="Times New Roman" w:eastAsia="Times New Roman" w:hAnsi="Times New Roman"/>
          <w:sz w:val="13"/>
          <w:szCs w:val="13"/>
          <w:u w:val="single" w:color="auto"/>
          <w:color w:val="auto"/>
        </w:rPr>
        <w:t>Original Issue Date</w:t>
      </w:r>
      <w:r>
        <w:rPr>
          <w:rFonts w:ascii="Times New Roman" w:cs="Times New Roman" w:eastAsia="Times New Roman" w:hAnsi="Times New Roman"/>
          <w:sz w:val="13"/>
          <w:szCs w:val="13"/>
          <w:color w:val="auto"/>
        </w:rPr>
        <w:t xml:space="preserve"> ”) and shall be payable quarterly in arrears on each Dividend Payment Date (as defined below), commencing June 30, 2012;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 that if any Dividend Payment Date is not a Business Day (as defined below),</w:t>
      </w:r>
    </w:p>
    <w:p>
      <w:pPr>
        <w:spacing w:after="0" w:line="148" w:lineRule="exact"/>
        <w:rPr>
          <w:rFonts w:ascii="Times New Roman" w:cs="Times New Roman" w:eastAsia="Times New Roman" w:hAnsi="Times New Roman"/>
          <w:sz w:val="13"/>
          <w:szCs w:val="13"/>
          <w:color w:val="auto"/>
        </w:rPr>
      </w:pPr>
    </w:p>
    <w:p>
      <w:pPr>
        <w:ind w:left="600" w:right="600"/>
        <w:spacing w:after="0" w:line="269"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then the dividend which would otherwise have been payable on such Dividend Payment Date may be paid on the next succeeding Business Day, except that, if such Business Day is in the next succeeding calendar year, such payment shall be made on the immediately preceding Business Day, in each case with the same force and effect as if paid on such Dividend Payment Date, and no interest or additional dividends or other sums shall accrue on the amount so payable from such Dividend Payment Date to such next succeeding Business Day. The amount of any dividend payable on the Series F Preferred Stock for any partial Dividend Period (as defined below) shall be prorated and computed on the basis of a 360-day year consisting of twelve 30-day months.</w:t>
      </w:r>
    </w:p>
    <w:p>
      <w:pPr>
        <w:spacing w:after="0" w:line="2" w:lineRule="exact"/>
        <w:rPr>
          <w:rFonts w:ascii="Times New Roman" w:cs="Times New Roman" w:eastAsia="Times New Roman" w:hAnsi="Times New Roman"/>
          <w:sz w:val="13"/>
          <w:szCs w:val="13"/>
          <w:color w:val="auto"/>
        </w:rPr>
      </w:pPr>
    </w:p>
    <w:p>
      <w:pPr>
        <w:ind w:left="600" w:right="640"/>
        <w:spacing w:after="0" w:line="272"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Dividends will be payable to holders of record as they appear in the stockholder records of the Company at the close of business on the applicable Dividend Record Date (as defined below). Notwithstanding any provision to the contrary contained herein, each outstanding share of Series F Preferred Stock shall be entitled to receive a dividend with respect to any Dividend Record Date equal to the dividend paid with respect to each other share of Series F Preferred Stock that is outstanding on such date. “ </w:t>
      </w:r>
      <w:r>
        <w:rPr>
          <w:rFonts w:ascii="Times New Roman" w:cs="Times New Roman" w:eastAsia="Times New Roman" w:hAnsi="Times New Roman"/>
          <w:sz w:val="13"/>
          <w:szCs w:val="13"/>
          <w:u w:val="single" w:color="auto"/>
          <w:color w:val="auto"/>
        </w:rPr>
        <w:t>Dividend Record Date</w:t>
      </w:r>
      <w:r>
        <w:rPr>
          <w:rFonts w:ascii="Times New Roman" w:cs="Times New Roman" w:eastAsia="Times New Roman" w:hAnsi="Times New Roman"/>
          <w:sz w:val="13"/>
          <w:szCs w:val="13"/>
          <w:color w:val="auto"/>
        </w:rPr>
        <w:t xml:space="preserve"> ” shall mean the date designated by the Board of Directors for the payment of dividends that is not more than 35 or fewer than 10 days prior to the applicable Dividend Payment Date. “ </w:t>
      </w:r>
      <w:r>
        <w:rPr>
          <w:rFonts w:ascii="Times New Roman" w:cs="Times New Roman" w:eastAsia="Times New Roman" w:hAnsi="Times New Roman"/>
          <w:sz w:val="13"/>
          <w:szCs w:val="13"/>
          <w:u w:val="single" w:color="auto"/>
          <w:color w:val="auto"/>
        </w:rPr>
        <w:t>Dividend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Payment Date</w:t>
      </w:r>
      <w:r>
        <w:rPr>
          <w:rFonts w:ascii="Times New Roman" w:cs="Times New Roman" w:eastAsia="Times New Roman" w:hAnsi="Times New Roman"/>
          <w:sz w:val="13"/>
          <w:szCs w:val="13"/>
          <w:color w:val="auto"/>
        </w:rPr>
        <w:t xml:space="preserve"> ” shall mean the last calendar day of each March, June, September and December, commencing on June 30, 2012. “ </w:t>
      </w:r>
      <w:r>
        <w:rPr>
          <w:rFonts w:ascii="Times New Roman" w:cs="Times New Roman" w:eastAsia="Times New Roman" w:hAnsi="Times New Roman"/>
          <w:sz w:val="13"/>
          <w:szCs w:val="13"/>
          <w:u w:val="single" w:color="auto"/>
          <w:color w:val="auto"/>
        </w:rPr>
        <w:t>Dividend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Period</w:t>
      </w:r>
      <w:r>
        <w:rPr>
          <w:rFonts w:ascii="Times New Roman" w:cs="Times New Roman" w:eastAsia="Times New Roman" w:hAnsi="Times New Roman"/>
          <w:sz w:val="13"/>
          <w:szCs w:val="13"/>
          <w:color w:val="auto"/>
        </w:rPr>
        <w:t xml:space="preserve"> ” shall mean the respective periods commencing on and including the first day of January, April, July and October of each year and ending on and including the day preceding the first day of the next succeeding Dividend Period (other than the initial Dividend Period, which shall commence on the Original Issue Date and end on and include June 30, 2012, and other than the Dividend Period during which any shares of Series F Preferred Stock shall be redeemed pursuant to Section 5 or Section 6, which shall end on and include the day preceding the call date with respect to the shares of Series F Preferred Stock being redeemed).</w:t>
      </w:r>
    </w:p>
    <w:p>
      <w:pPr>
        <w:spacing w:after="0" w:line="137" w:lineRule="exact"/>
        <w:rPr>
          <w:sz w:val="20"/>
          <w:szCs w:val="20"/>
          <w:color w:val="auto"/>
        </w:rPr>
      </w:pPr>
    </w:p>
    <w:p>
      <w:pPr>
        <w:ind w:left="600" w:right="900" w:firstLine="312"/>
        <w:spacing w:after="0" w:line="305" w:lineRule="auto"/>
        <w:rPr>
          <w:sz w:val="20"/>
          <w:szCs w:val="20"/>
          <w:color w:val="auto"/>
        </w:rPr>
      </w:pPr>
      <w:r>
        <w:rPr>
          <w:rFonts w:ascii="Times New Roman" w:cs="Times New Roman" w:eastAsia="Times New Roman" w:hAnsi="Times New Roman"/>
          <w:sz w:val="13"/>
          <w:szCs w:val="13"/>
          <w:color w:val="auto"/>
        </w:rPr>
        <w:t xml:space="preserve">The term “ </w:t>
      </w:r>
      <w:r>
        <w:rPr>
          <w:rFonts w:ascii="Times New Roman" w:cs="Times New Roman" w:eastAsia="Times New Roman" w:hAnsi="Times New Roman"/>
          <w:sz w:val="13"/>
          <w:szCs w:val="13"/>
          <w:u w:val="single" w:color="auto"/>
          <w:color w:val="auto"/>
        </w:rPr>
        <w:t>Business Day</w:t>
      </w:r>
      <w:r>
        <w:rPr>
          <w:rFonts w:ascii="Times New Roman" w:cs="Times New Roman" w:eastAsia="Times New Roman" w:hAnsi="Times New Roman"/>
          <w:sz w:val="13"/>
          <w:szCs w:val="13"/>
          <w:color w:val="auto"/>
        </w:rPr>
        <w:t xml:space="preserve"> ” shall mean each day, other than a Saturday or a Sunday, which is not a day on which banking institutions in New York, New York are authorized or required by law, regulation or executive order to close.</w:t>
      </w:r>
    </w:p>
    <w:p>
      <w:pPr>
        <w:spacing w:after="0" w:line="124" w:lineRule="exact"/>
        <w:rPr>
          <w:sz w:val="20"/>
          <w:szCs w:val="20"/>
          <w:color w:val="auto"/>
        </w:rPr>
      </w:pPr>
    </w:p>
    <w:p>
      <w:pPr>
        <w:ind w:left="600" w:right="720" w:firstLine="306"/>
        <w:spacing w:after="0" w:line="287" w:lineRule="auto"/>
        <w:tabs>
          <w:tab w:leader="none" w:pos="1092" w:val="left"/>
        </w:tabs>
        <w:numPr>
          <w:ilvl w:val="0"/>
          <w:numId w:val="2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anything contained herein to the contrary, dividends on the Series F Preferred Stock shall accrue whether or not the Company has earnings, whether or not there are funds legally available for the payment of such dividends, and whether or not such dividends are authorized or declared.</w:t>
      </w:r>
    </w:p>
    <w:p>
      <w:pPr>
        <w:spacing w:after="0" w:line="135" w:lineRule="exact"/>
        <w:rPr>
          <w:rFonts w:ascii="Times New Roman" w:cs="Times New Roman" w:eastAsia="Times New Roman" w:hAnsi="Times New Roman"/>
          <w:sz w:val="13"/>
          <w:szCs w:val="13"/>
          <w:color w:val="auto"/>
        </w:rPr>
      </w:pPr>
    </w:p>
    <w:p>
      <w:pPr>
        <w:ind w:left="1080" w:hanging="174"/>
        <w:spacing w:after="0"/>
        <w:tabs>
          <w:tab w:leader="none" w:pos="1080" w:val="left"/>
        </w:tabs>
        <w:numPr>
          <w:ilvl w:val="0"/>
          <w:numId w:val="2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provided in Section 3(d) below, no dividends shall be declared and paid or declared and set</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666750</wp:posOffset>
            </wp:positionV>
            <wp:extent cx="5083810" cy="1524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601">
                      <a:extLst>
                        <a:ext uri="{28A0092B-C50C-407E-A947-70E740481C1C}"/>
                      </a:extLst>
                    </a:blip>
                    <a:srcRect/>
                    <a:stretch>
                      <a:fillRect/>
                    </a:stretch>
                  </pic:blipFill>
                  <pic:spPr bwMode="auto">
                    <a:xfrm>
                      <a:off x="0" y="0"/>
                      <a:ext cx="5083810" cy="15240"/>
                    </a:xfrm>
                    <a:prstGeom prst="rect">
                      <a:avLst/>
                    </a:prstGeom>
                    <a:noFill/>
                  </pic:spPr>
                </pic:pic>
              </a:graphicData>
            </a:graphic>
          </wp:anchor>
        </w:drawing>
        <w:drawing>
          <wp:anchor simplePos="0" relativeHeight="251657728" behindDoc="1" locked="0" layoutInCell="0" allowOverlap="1">
            <wp:simplePos x="0" y="0"/>
            <wp:positionH relativeFrom="column">
              <wp:posOffset>384810</wp:posOffset>
            </wp:positionH>
            <wp:positionV relativeFrom="paragraph">
              <wp:posOffset>316230</wp:posOffset>
            </wp:positionV>
            <wp:extent cx="4436110" cy="762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602">
                      <a:extLst>
                        <a:ext uri="{28A0092B-C50C-407E-A947-70E740481C1C}"/>
                      </a:extLst>
                    </a:blip>
                    <a:srcRect/>
                    <a:stretch>
                      <a:fillRect/>
                    </a:stretch>
                  </pic:blipFill>
                  <pic:spPr bwMode="auto">
                    <a:xfrm>
                      <a:off x="0" y="0"/>
                      <a:ext cx="4436110" cy="762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37" w:name="page338"/>
    <w:bookmarkEnd w:id="337"/>
    <w:p>
      <w:pPr>
        <w:ind w:left="600" w:right="640"/>
        <w:spacing w:after="0" w:line="273" w:lineRule="auto"/>
        <w:rPr>
          <w:sz w:val="20"/>
          <w:szCs w:val="20"/>
          <w:color w:val="auto"/>
        </w:rPr>
      </w:pPr>
      <w:r>
        <w:rPr>
          <w:rFonts w:ascii="Times New Roman" w:cs="Times New Roman" w:eastAsia="Times New Roman" w:hAnsi="Times New Roman"/>
          <w:sz w:val="13"/>
          <w:szCs w:val="13"/>
          <w:color w:val="auto"/>
        </w:rPr>
        <w:t>apart for payment, and no other distribution of cash or other property may be declared and made, directly or indirectly, on or with respect to, any shares of Common Stock or shares of any other class or series of capital stock of the Company ranking, as to dividends, on parity with or junior to the Series F Preferred Stock (other than a dividend paid in shares of Common Stock or in shares of any other class or series of capital stock ranking junior to the Series F Preferred Stock as to dividends and upon liquidation) for any period, nor shall any shares of Common Stock or any other shares of any other class or series of capital stock of the Company ranking, as to dividends or upon liquidation, on parity with or junior to the Series F Preferred Stock be redeemed, purchased or otherwise acquired for any consideration, nor shall any funds be paid or made available for a sinking fund for the redemption of such shares, and no other distribution of cash or other property may be made, directly or indirectly, on or with respect thereto by the Company (except by conversion into or exchange for other shares of any class or series of capital stock of the Company ranking junior to the Series F Preferred Stock as to dividends and upon liquidation, and except for the acquisition of shares made pursuant to the provisions of Article VI of the Charter or Section 9 hereof), unless full cumulative dividends on the Series F Preferred Stock for all past dividend periods shall have been or contemporaneously are (i) declared and paid in cash or (ii) declared and a sum sufficient for the payment thereof in cash is set apart for such payment.</w:t>
      </w:r>
    </w:p>
    <w:p>
      <w:pPr>
        <w:spacing w:after="0" w:line="132" w:lineRule="exact"/>
        <w:rPr>
          <w:sz w:val="20"/>
          <w:szCs w:val="20"/>
          <w:color w:val="auto"/>
        </w:rPr>
      </w:pPr>
    </w:p>
    <w:p>
      <w:pPr>
        <w:ind w:left="600" w:right="620" w:firstLine="306"/>
        <w:spacing w:after="0" w:line="274" w:lineRule="auto"/>
        <w:tabs>
          <w:tab w:leader="none" w:pos="1092" w:val="left"/>
        </w:tabs>
        <w:numPr>
          <w:ilvl w:val="0"/>
          <w:numId w:val="2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When dividends are not paid in full (and a sum sufficient for such full payment is not so set apart) on the Series F Preferred Stock and the shares of any other class or series of capital stock ranking, as to dividends, on parity with the Series F Preferred Stock, all dividends declared upon the Series F Preferred Stock and each such other class or series of capital stock ranking, as to dividends, on parity with the Series F Preferred Stock shall be declared pro rata so that the amount of dividends declared per share of Series F Preferred Stock and such other class or series of capital stock shall in all cases bear to each other the same ratio that accrued dividends per share on the Series F Preferred Stock and such other class or series of capital stock (which shall not include any accrual in respect of unpaid dividends on such other class or series of capital stock for prior dividend periods if such other class or series of capital stock does not have a cumulative dividend) bear to each other. No interest, or sum of money in lieu of interest, shall be payable in respect of any dividend payment or payments on the Series F Preferred Stock which may be in arrears.</w:t>
      </w:r>
    </w:p>
    <w:p>
      <w:pPr>
        <w:spacing w:after="0" w:line="303" w:lineRule="exact"/>
        <w:rPr>
          <w:rFonts w:ascii="Times New Roman" w:cs="Times New Roman" w:eastAsia="Times New Roman" w:hAnsi="Times New Roman"/>
          <w:sz w:val="13"/>
          <w:szCs w:val="13"/>
          <w:color w:val="auto"/>
        </w:rPr>
      </w:pPr>
    </w:p>
    <w:p>
      <w:pPr>
        <w:ind w:left="600" w:right="700" w:firstLine="306"/>
        <w:spacing w:after="0" w:line="278" w:lineRule="auto"/>
        <w:tabs>
          <w:tab w:leader="none" w:pos="1092" w:val="left"/>
        </w:tabs>
        <w:numPr>
          <w:ilvl w:val="0"/>
          <w:numId w:val="2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Holders of shares of Series F Preferred Stock shall not be entitled to any dividend, whether payable in cash, property or shares of capital stock, in excess of full cumulative dividends on the Series F Preferred Stock as provided herein. Any dividend payment made on the Series F Preferred Stock shall first be credited against the earliest accrued but unpaid dividends due with respect to such shares which remain payable. Accrued but unpaid distributions on the Series F Preferred Stock will accumulate as of the Dividend Payment Date on which they first become payable.</w:t>
      </w:r>
    </w:p>
    <w:p>
      <w:pPr>
        <w:spacing w:after="0" w:line="14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Section 4. </w:t>
      </w:r>
      <w:r>
        <w:rPr>
          <w:rFonts w:ascii="Times New Roman" w:cs="Times New Roman" w:eastAsia="Times New Roman" w:hAnsi="Times New Roman"/>
          <w:sz w:val="13"/>
          <w:szCs w:val="13"/>
          <w:u w:val="single" w:color="auto"/>
          <w:color w:val="auto"/>
        </w:rPr>
        <w:t>Liquidation Preference</w:t>
      </w:r>
      <w:r>
        <w:rPr>
          <w:rFonts w:ascii="Times New Roman" w:cs="Times New Roman" w:eastAsia="Times New Roman" w:hAnsi="Times New Roman"/>
          <w:sz w:val="13"/>
          <w:szCs w:val="13"/>
          <w:color w:val="auto"/>
        </w:rPr>
        <w:t xml:space="preserve"> .</w:t>
      </w:r>
    </w:p>
    <w:p>
      <w:pPr>
        <w:spacing w:after="0" w:line="187" w:lineRule="exact"/>
        <w:rPr>
          <w:sz w:val="20"/>
          <w:szCs w:val="20"/>
          <w:color w:val="auto"/>
        </w:rPr>
      </w:pPr>
    </w:p>
    <w:p>
      <w:pPr>
        <w:ind w:left="600" w:right="640" w:firstLine="306"/>
        <w:spacing w:after="0" w:line="272" w:lineRule="auto"/>
        <w:tabs>
          <w:tab w:leader="none" w:pos="1092" w:val="left"/>
        </w:tabs>
        <w:numPr>
          <w:ilvl w:val="0"/>
          <w:numId w:val="2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any voluntary or involuntary liquidation, dissolution or winding up of the Company, before any distribution or payment shall be made to holders of shares of Common Stock or any other class or series of capital stock of the Company ranking, as to rights upon any voluntary or involuntary liquidation, dissolution or winding up of the Company, junior to the Series F Preferred Stock, the holders of shares of Series F Preferred Stock shall be entitled to be paid out of the assets of the Company legally available for distribution to its stockholders, after payment of or provision for the debts and other liabilities of the Company, a liquidation preference of $25.00 per share, plus an amount equal to any accrued and unpaid dividends (whether or not authorized or declared) to but excluding the date of payment. In the event that, upon such voluntary or involuntary liquidation, dissolution or winding up, the available assets of the Company are insufficient to pay the full amount of the liquidating distributions on all outstanding shares of Series F Preferred Stock and the corresponding amounts payable on all shares of other classes or series of capital stock of the Company ranking, as to liquidation rights, on parity with the Series F Preferred Stock in the distribution of assets, then the holders of the Series F Preferred Stock and each such other class or series of capital stock ranking, as to rights upon any voluntary or involuntary liquidation, dissolution or winding up, on parity with the Series F Preferred Stock shall share ratably in any such distribution of assets in proportion to the full liquidating distributions to which they would otherwise be respectively entitled. Written notice of any such voluntary or involuntary liquidation, dissolution or winding up of the Company, stating the payment date or dates when, and the place or places where, the amounts distributable in such circumstances shall be payable, shall be given by first class mail, postage pre-paid, not fewer than 30 or more than 60 days prior to the payment date stated therein, to each record holder of shares of Series F Preferred Stock at the respective addresses of such holders as the same shall appear on the stock transfer records of the Company.</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674370</wp:posOffset>
            </wp:positionV>
            <wp:extent cx="5083810" cy="1524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603">
                      <a:extLst>
                        <a:ext uri="{28A0092B-C50C-407E-A947-70E740481C1C}"/>
                      </a:extLst>
                    </a:blip>
                    <a:srcRect/>
                    <a:stretch>
                      <a:fillRect/>
                    </a:stretch>
                  </pic:blipFill>
                  <pic:spPr bwMode="auto">
                    <a:xfrm>
                      <a:off x="0" y="0"/>
                      <a:ext cx="5083810" cy="15240"/>
                    </a:xfrm>
                    <a:prstGeom prst="rect">
                      <a:avLst/>
                    </a:prstGeom>
                    <a:noFill/>
                  </pic:spPr>
                </pic:pic>
              </a:graphicData>
            </a:graphic>
          </wp:anchor>
        </w:drawing>
        <w:drawing>
          <wp:anchor simplePos="0" relativeHeight="251657728" behindDoc="1" locked="0" layoutInCell="0" allowOverlap="1">
            <wp:simplePos x="0" y="0"/>
            <wp:positionH relativeFrom="column">
              <wp:posOffset>384810</wp:posOffset>
            </wp:positionH>
            <wp:positionV relativeFrom="paragraph">
              <wp:posOffset>316230</wp:posOffset>
            </wp:positionV>
            <wp:extent cx="4436110" cy="1524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604">
                      <a:extLst>
                        <a:ext uri="{28A0092B-C50C-407E-A947-70E740481C1C}"/>
                      </a:extLst>
                    </a:blip>
                    <a:srcRect/>
                    <a:stretch>
                      <a:fillRect/>
                    </a:stretch>
                  </pic:blipFill>
                  <pic:spPr bwMode="auto">
                    <a:xfrm>
                      <a:off x="0" y="0"/>
                      <a:ext cx="44361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38" w:name="page339"/>
    <w:bookmarkEnd w:id="338"/>
    <w:p>
      <w:pPr>
        <w:ind w:left="600" w:right="740"/>
        <w:spacing w:after="0" w:line="281" w:lineRule="auto"/>
        <w:rPr>
          <w:sz w:val="20"/>
          <w:szCs w:val="20"/>
          <w:color w:val="auto"/>
        </w:rPr>
      </w:pPr>
      <w:r>
        <w:rPr>
          <w:rFonts w:ascii="Times New Roman" w:cs="Times New Roman" w:eastAsia="Times New Roman" w:hAnsi="Times New Roman"/>
          <w:sz w:val="13"/>
          <w:szCs w:val="13"/>
          <w:color w:val="auto"/>
        </w:rPr>
        <w:t>After payment of the full amount of the liquidating distributions to which they are entitled, the holders of Series F Preferred Stock will have no right or claim to any of the remaining assets of the Company. The consolidation or merger of the Company with or into any other corporation, trust or entity, or the voluntary sale, lease, transfer or conveyance of all or substantially all of the property or business of the Company, shall not be deemed to constitute a liquidation, dissolution or winding up of the Company.</w:t>
      </w:r>
    </w:p>
    <w:p>
      <w:pPr>
        <w:spacing w:after="0" w:line="140" w:lineRule="exact"/>
        <w:rPr>
          <w:sz w:val="20"/>
          <w:szCs w:val="20"/>
          <w:color w:val="auto"/>
        </w:rPr>
      </w:pPr>
    </w:p>
    <w:p>
      <w:pPr>
        <w:ind w:left="1080" w:hanging="174"/>
        <w:spacing w:after="0"/>
        <w:tabs>
          <w:tab w:leader="none" w:pos="1080" w:val="left"/>
        </w:tabs>
        <w:numPr>
          <w:ilvl w:val="0"/>
          <w:numId w:val="2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determining whether a distribution (other than upon voluntary or involuntary liquidation), by dividend, redemption or other</w:t>
      </w:r>
    </w:p>
    <w:p>
      <w:pPr>
        <w:spacing w:after="0" w:line="22" w:lineRule="exact"/>
        <w:rPr>
          <w:rFonts w:ascii="Times New Roman" w:cs="Times New Roman" w:eastAsia="Times New Roman" w:hAnsi="Times New Roman"/>
          <w:sz w:val="13"/>
          <w:szCs w:val="13"/>
          <w:color w:val="auto"/>
        </w:rPr>
      </w:pPr>
    </w:p>
    <w:p>
      <w:pPr>
        <w:ind w:left="600" w:right="720"/>
        <w:spacing w:after="0" w:line="284"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acquisition of shares of capital stock of the Company or otherwise, is permitted under the MGCL, amounts that would be needed, if the Company were to be dissolved at the time of the distribution, to satisfy the preferential rights upon dissolution of holders of shares of Series F Preferred Stock shall not be added to the Company’s total liabilities.</w:t>
      </w:r>
    </w:p>
    <w:p>
      <w:pPr>
        <w:spacing w:after="0" w:line="13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Section 5. </w:t>
      </w:r>
      <w:r>
        <w:rPr>
          <w:rFonts w:ascii="Times New Roman" w:cs="Times New Roman" w:eastAsia="Times New Roman" w:hAnsi="Times New Roman"/>
          <w:sz w:val="13"/>
          <w:szCs w:val="13"/>
          <w:u w:val="single" w:color="auto"/>
          <w:color w:val="auto"/>
        </w:rPr>
        <w:t>Redemption</w:t>
      </w:r>
      <w:r>
        <w:rPr>
          <w:rFonts w:ascii="Times New Roman" w:cs="Times New Roman" w:eastAsia="Times New Roman" w:hAnsi="Times New Roman"/>
          <w:sz w:val="13"/>
          <w:szCs w:val="13"/>
          <w:color w:val="auto"/>
        </w:rPr>
        <w:t xml:space="preserve"> .</w:t>
      </w:r>
    </w:p>
    <w:p>
      <w:pPr>
        <w:spacing w:after="0" w:line="187" w:lineRule="exact"/>
        <w:rPr>
          <w:sz w:val="20"/>
          <w:szCs w:val="20"/>
          <w:color w:val="auto"/>
        </w:rPr>
      </w:pPr>
    </w:p>
    <w:p>
      <w:pPr>
        <w:ind w:left="600" w:right="680" w:firstLine="312"/>
        <w:spacing w:after="0" w:line="278" w:lineRule="auto"/>
        <w:rPr>
          <w:sz w:val="20"/>
          <w:szCs w:val="20"/>
          <w:color w:val="auto"/>
        </w:rPr>
      </w:pPr>
      <w:r>
        <w:rPr>
          <w:rFonts w:ascii="Times New Roman" w:cs="Times New Roman" w:eastAsia="Times New Roman" w:hAnsi="Times New Roman"/>
          <w:sz w:val="13"/>
          <w:szCs w:val="13"/>
          <w:color w:val="auto"/>
        </w:rPr>
        <w:t>(a) Shares of Series F Preferred Stock shall not be redeemable prior to April 5, 2017 except as set forth in Section 6 or to preserve the status of the Company as a REIT (as defined in Section 9(a)) for United States federal income tax purposes. In addition, the Series F Preferred Stock shall be subject to the provisions of Section 9 pursuant to which Series F Preferred Stock owned by a stockholder in excess of the Ownership Limit (as defined in Section 9(a)) shall automatically be transferred to a Trust (as defined in Section 9(a)) for the exclusive benefit of a Charitable Beneficiary (as defined in Section 9(a)).</w:t>
      </w:r>
    </w:p>
    <w:p>
      <w:pPr>
        <w:spacing w:after="0" w:line="143" w:lineRule="exact"/>
        <w:rPr>
          <w:sz w:val="20"/>
          <w:szCs w:val="20"/>
          <w:color w:val="auto"/>
        </w:rPr>
      </w:pPr>
    </w:p>
    <w:p>
      <w:pPr>
        <w:ind w:left="600" w:right="620" w:firstLine="312"/>
        <w:spacing w:after="0" w:line="271" w:lineRule="auto"/>
        <w:rPr>
          <w:sz w:val="20"/>
          <w:szCs w:val="20"/>
          <w:color w:val="auto"/>
        </w:rPr>
      </w:pPr>
      <w:r>
        <w:rPr>
          <w:rFonts w:ascii="Times New Roman" w:cs="Times New Roman" w:eastAsia="Times New Roman" w:hAnsi="Times New Roman"/>
          <w:sz w:val="13"/>
          <w:szCs w:val="13"/>
          <w:color w:val="auto"/>
        </w:rPr>
        <w:t xml:space="preserve">(b) On and after April 5, 2017, the Company, at its option upon not fewer than 30 or more than 60 days’ written notice, may redeem the Series F Preferred Stock, in whole or in part, at any time or from time to time, for cash at a redemption price of $25.00 per share, plus all accrued and unpaid dividends (whether or not authorized or declared) thereon up to but not including the date fixed for redemption, without interest, to the extent the Company has funds legally available therefor (the “ </w:t>
      </w:r>
      <w:r>
        <w:rPr>
          <w:rFonts w:ascii="Times New Roman" w:cs="Times New Roman" w:eastAsia="Times New Roman" w:hAnsi="Times New Roman"/>
          <w:sz w:val="13"/>
          <w:szCs w:val="13"/>
          <w:u w:val="single" w:color="auto"/>
          <w:color w:val="auto"/>
        </w:rPr>
        <w:t>Redemption Right</w:t>
      </w:r>
      <w:r>
        <w:rPr>
          <w:rFonts w:ascii="Times New Roman" w:cs="Times New Roman" w:eastAsia="Times New Roman" w:hAnsi="Times New Roman"/>
          <w:sz w:val="13"/>
          <w:szCs w:val="13"/>
          <w:color w:val="auto"/>
        </w:rPr>
        <w:t xml:space="preserve"> ”). If fewer than all of the outstanding shares of Series F Preferred Stock are to be redeemed, the shares of Series F Preferred Stock to be redeemed shall be redeemed pro rata (as nearly as may be practicable without creating fractional shares) by lot or by any other equitable method determined by the Company that will not result in a violation of the Ownership Limit or the Aggregate Stock Ownership Limit (each as defined in Section 9(a)). If redemption is to be by lot and, as a result, any holder of shares of Series F Preferred Stock would have actual ownership, Beneficial Ownership or Constructive Ownership (each as defined in Section 9(a)) in excess of the Ownership Limit (as defined in Section 9(a)), the Aggregate Stock Ownership Limit (as defined in Section 9(a)), or such other limit as permitted by the Board of Directors or the Committee pursuant to Section 9(i), because such holder’s shares of Series F Preferred Stock were not redeemed, or were only redeemed in part, then, except as otherwise provided in the Charter, the Company shall redeem the requisite number of shares of Series F Preferred Stock of such holder such that no holder will hold an amount of Series F Preferred Stock in excess of the applicable ownership limit, subsequent to such redemption. Holders of Series F Preferred Stock to be redeemed shall surrender such Series F Preferred Stock at the place, or in accordance with the book entry procedures, designated in such notice and shall be entitled to the redemption price of $25.00 per share and any accrued and unpaid dividends payable upon such redemption following such surrender. If (i) notice of redemption of any shares of Series F Preferred Stock has been given (in the case of a redemption of the Series F Preferred Stock other than to preserve the status of the Company as a REIT), (ii) the funds necessary for such redemption have been set aside by the Company in trust for the benefit of the holders of any shares of Series F Preferred Stock so called for redemption, and (iii) irrevocable instructions have been given to pay the redemption price and all accrued and unpaid dividends, then from and after the redemption date, dividends shall cease to accrue on such shares of Series F Preferred Stock, such shares of Series F Preferred Stock shall no longer be deemed outstanding, and all rights of the holders of such shares shall terminate, except the right to receive the redemption price plus any accrued and unpaid dividends payable upon such redemption, without interest. So long as full cumulative dividends on the Series F Preferred Stock for all past dividend periods shall have been or contemporaneously are (i) declared and paid in cash, or (ii) declared and a sum sufficient for the payment thereof in cash is set apart for payment, nothing herein shall prevent or restrict the Company’s right or ability to purchase, from time to time, either at a public or a private sale, all or any part of the Series F Preferred Stock at such price or prices as the Company may determine, subject to the provisions of applicable law, including the repurchase of shares of Series F Preferred Stock in open-market transactions duly authorized by the Board of Directors.</w:t>
      </w: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-64135</wp:posOffset>
            </wp:positionV>
            <wp:extent cx="5083810" cy="1524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605">
                      <a:extLst>
                        <a:ext uri="{28A0092B-C50C-407E-A947-70E740481C1C}"/>
                      </a:extLst>
                    </a:blip>
                    <a:srcRect/>
                    <a:stretch>
                      <a:fillRect/>
                    </a:stretch>
                  </pic:blipFill>
                  <pic:spPr bwMode="auto">
                    <a:xfrm>
                      <a:off x="0" y="0"/>
                      <a:ext cx="5083810" cy="15240"/>
                    </a:xfrm>
                    <a:prstGeom prst="rect">
                      <a:avLst/>
                    </a:prstGeom>
                    <a:noFill/>
                  </pic:spPr>
                </pic:pic>
              </a:graphicData>
            </a:graphic>
          </wp:anchor>
        </w:drawing>
        <w:drawing>
          <wp:anchor simplePos="0" relativeHeight="251657728" behindDoc="1" locked="0" layoutInCell="0" allowOverlap="1">
            <wp:simplePos x="0" y="0"/>
            <wp:positionH relativeFrom="column">
              <wp:posOffset>384810</wp:posOffset>
            </wp:positionH>
            <wp:positionV relativeFrom="paragraph">
              <wp:posOffset>354330</wp:posOffset>
            </wp:positionV>
            <wp:extent cx="4436110" cy="1524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606">
                      <a:extLst>
                        <a:ext uri="{28A0092B-C50C-407E-A947-70E740481C1C}"/>
                      </a:extLst>
                    </a:blip>
                    <a:srcRect/>
                    <a:stretch>
                      <a:fillRect/>
                    </a:stretch>
                  </pic:blipFill>
                  <pic:spPr bwMode="auto">
                    <a:xfrm>
                      <a:off x="0" y="0"/>
                      <a:ext cx="44361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39" w:name="page340"/>
    <w:bookmarkEnd w:id="339"/>
    <w:p>
      <w:pPr>
        <w:ind w:left="600" w:right="700" w:firstLine="306"/>
        <w:spacing w:after="0" w:line="271" w:lineRule="auto"/>
        <w:tabs>
          <w:tab w:leader="none" w:pos="1092" w:val="left"/>
        </w:tabs>
        <w:numPr>
          <w:ilvl w:val="0"/>
          <w:numId w:val="2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event of any redemption of the Series F Preferred Stock in order to preserve the status of the Company as a REIT for United States federal income tax purposes, such redemption shall be made in accordance with the terms and conditions set forth in this Section 5 of these Articles Supplementary. If the Company calls for redemption any shares of Series F Preferred Stock pursuant to and in accordance with this Section 5(c), then the redemption price for such shares will be an amount in cash equal to</w:t>
      </w:r>
    </w:p>
    <w:p>
      <w:pPr>
        <w:ind w:left="60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$25.00 per share together with all accrued and unpaid dividends to but excluding the dated fixed for redemption.</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(d) Unless full cumulative dividends on the Series F Preferred Stock for all past dividend periods shall have been or  contemporaneously are</w:t>
      </w:r>
    </w:p>
    <w:p>
      <w:pPr>
        <w:spacing w:after="0" w:line="22" w:lineRule="exact"/>
        <w:rPr>
          <w:sz w:val="20"/>
          <w:szCs w:val="20"/>
          <w:color w:val="auto"/>
        </w:rPr>
      </w:pPr>
    </w:p>
    <w:p>
      <w:pPr>
        <w:ind w:left="600" w:right="660" w:hanging="6"/>
        <w:spacing w:after="0" w:line="273" w:lineRule="auto"/>
        <w:tabs>
          <w:tab w:leader="none" w:pos="756" w:val="left"/>
        </w:tabs>
        <w:numPr>
          <w:ilvl w:val="0"/>
          <w:numId w:val="2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declared and paid in cash, or (ii) declared and a sum sufficient for the payment thereof in cash is set apart for payment, no shares of Series F Preferred Stock shall be redeemed pursuant to the Redemption Right or Special Optional Redemption Right (defined below) unless all outstanding shares of Series F Preferred Stock are simultaneously redeemed, and the Company shall not purchase or otherwise acquire directly or indirectly any shares of Series F Preferred Stock or any class or series of capital stock of the Company ranking, as to dividends or upon liquidation, on parity with or junior to the Series F Preferred Stock (except by conversion into or exchange for shares of capital stock of the Company ranking, as to dividends and upon liquidation, junior to the Series F Preferred Stock);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 that the foregoing shall not prevent the purchase of Series F Preferred Stock, or any other class or series of capital stock of the Company ranking, as to dividends or upon liquidation, on parity with or junior to the Series F Preferred Stock, by the Company in accordance with the terms of Sections 5(c) and 9 of these Articles Supplementary or otherwise, in order to ensure that the Company remains qualified as a REIT for United States federal income tax purposes, or the purchase or acquisition of Series F Preferred Stock pursuant to a purchase or exchange offer made on the same terms to holders of all outstanding shares of Series F Preferred Stock.</w:t>
      </w:r>
    </w:p>
    <w:p>
      <w:pPr>
        <w:spacing w:after="0" w:line="300" w:lineRule="exact"/>
        <w:rPr>
          <w:rFonts w:ascii="Times New Roman" w:cs="Times New Roman" w:eastAsia="Times New Roman" w:hAnsi="Times New Roman"/>
          <w:sz w:val="13"/>
          <w:szCs w:val="13"/>
          <w:color w:val="auto"/>
        </w:rPr>
      </w:pPr>
    </w:p>
    <w:p>
      <w:pPr>
        <w:ind w:left="600" w:right="600" w:firstLine="306"/>
        <w:spacing w:after="0" w:line="272" w:lineRule="auto"/>
        <w:tabs>
          <w:tab w:leader="none" w:pos="1080" w:val="left"/>
        </w:tabs>
        <w:numPr>
          <w:ilvl w:val="1"/>
          <w:numId w:val="2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Notice of redemption pursuant to the Redemption Right will be given by publication in a newspaper of general circulation in the City of New York, such publication to be made once a week for two successive weeks commencing not fewer than 30 or more than 60 days prior to the redemption date. A similar notice will be mailed by the Company, postage prepaid, not fewer than 30 or more than 60 days prior to the redemption date, addressed to the respective holders of record of the Series F Preferred Stock to be redeemed at their respective addresses as they appear on the transfer records of the Company. No failure to give or defect in such notice shall affect the validity of the proceedings for the redemption of any Series F Preferred Stock except as to the holder to whom such notice was defective or not given. In addition to any information required by law or by the applicable rules of any exchange upon which the Series F Preferred Stock may be listed or admitted to trading, each such notice shall state: (i) the redemption date; (ii) the redemption price; (iii) the number of shares of Series F Preferred Stock to be redeemed; (iv) the place or places where the certificates, if any, representing shares of Series F Preferred Stock are to be surrendered for payment of the redemption price; (v) procedures for surrendering noncertificated shares of Series F Preferred Stock for payment of the redemption price; (vi) that dividends on the shares of Series F Preferred Stock to be redeemed will cease to accumulate on such redemption date; and (vii) that payment of the redemption price and any accumulated and unpaid dividends will be made upon presentation and surrender of such Series F Preferred Stock. If fewer than all of the shares of Series F Preferred Stock held by any holder are to be redeemed, the notice mailed to such holder shall also specify the number of shares of Series F Preferred Stock held by such holder to be redeemed. Notwithstanding anything else to the contrary in these Articles Supplementary, the Company shall not be required to provide notice to the holder of Series F Preferred Stock in the event such holder’s Series F Preferred Stock is redeemed in accordance with Sections 5(c) and 9 of these Articles Supplementary to preserve the Company’s status as a REIT.</w:t>
      </w:r>
    </w:p>
    <w:p>
      <w:pPr>
        <w:spacing w:after="0" w:line="134" w:lineRule="exact"/>
        <w:rPr>
          <w:rFonts w:ascii="Times New Roman" w:cs="Times New Roman" w:eastAsia="Times New Roman" w:hAnsi="Times New Roman"/>
          <w:sz w:val="13"/>
          <w:szCs w:val="13"/>
          <w:color w:val="auto"/>
        </w:rPr>
      </w:pPr>
    </w:p>
    <w:p>
      <w:pPr>
        <w:ind w:left="600" w:right="580" w:firstLine="306"/>
        <w:spacing w:after="0" w:line="276" w:lineRule="auto"/>
        <w:tabs>
          <w:tab w:leader="none" w:pos="1068" w:val="left"/>
        </w:tabs>
        <w:numPr>
          <w:ilvl w:val="1"/>
          <w:numId w:val="2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 redemption date falls after a Dividend Record Date and on or prior to the corresponding Dividend Payment Date, each holder of Series F Preferred Stock at the close of business of such Dividend Record Date shall be entitled to the dividend payable on such shares on the corresponding Dividend Payment Date notwithstanding the redemption of such shares on or prior to such Dividend Payment Date, and each holder of Series F Preferred Stock that surrenders its shares on such redemption date will be entitled to the dividends accruing after the end of the Dividend Period to which such Dividend Payment Date relates up to but excluding the redemption date. Except as provided herein, the Company shall make no payment or allowance for unpaid dividends, whether or not in arrears, on Series F Preferred Stock for which a notice of redemption has been given.</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125730</wp:posOffset>
            </wp:positionV>
            <wp:extent cx="4436110" cy="762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607">
                      <a:extLst>
                        <a:ext uri="{28A0092B-C50C-407E-A947-70E740481C1C}"/>
                      </a:extLst>
                    </a:blip>
                    <a:srcRect/>
                    <a:stretch>
                      <a:fillRect/>
                    </a:stretch>
                  </pic:blipFill>
                  <pic:spPr bwMode="auto">
                    <a:xfrm>
                      <a:off x="0" y="0"/>
                      <a:ext cx="4436110"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567690</wp:posOffset>
            </wp:positionV>
            <wp:extent cx="5083810" cy="1524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608">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40" w:name="page341"/>
    <w:bookmarkEnd w:id="340"/>
    <w:p>
      <w:pPr>
        <w:ind w:left="600" w:right="1080" w:firstLine="306"/>
        <w:spacing w:after="0" w:line="287" w:lineRule="auto"/>
        <w:tabs>
          <w:tab w:leader="none" w:pos="1092" w:val="left"/>
        </w:tabs>
        <w:numPr>
          <w:ilvl w:val="0"/>
          <w:numId w:val="2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shares of the Series F Preferred Stock redeemed or repurchased pursuant to this Section 5, or otherwise acquired in any other manner by the Company, shall be retired and shall be restored to the status of authorized but unissued shares of Preferred Stock, without designation as to series or class.</w:t>
      </w:r>
    </w:p>
    <w:p>
      <w:pPr>
        <w:spacing w:after="0" w:line="135" w:lineRule="exact"/>
        <w:rPr>
          <w:rFonts w:ascii="Times New Roman" w:cs="Times New Roman" w:eastAsia="Times New Roman" w:hAnsi="Times New Roman"/>
          <w:sz w:val="13"/>
          <w:szCs w:val="13"/>
          <w:color w:val="auto"/>
        </w:rPr>
      </w:pPr>
    </w:p>
    <w:p>
      <w:pPr>
        <w:ind w:left="600" w:right="760" w:firstLine="306"/>
        <w:spacing w:after="0" w:line="287" w:lineRule="auto"/>
        <w:tabs>
          <w:tab w:leader="none" w:pos="1092" w:val="left"/>
        </w:tabs>
        <w:numPr>
          <w:ilvl w:val="0"/>
          <w:numId w:val="2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Series F Preferred Stock shall have no stated maturity and shall not be subject to any sinking fund or mandatory redemption;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 that the Series F Preferred Stock owned by a stockholder in excess of the applicable ownership limit shall be subject to the provisions of this Section 5 and Section 9 of these Articles Supplementary.</w:t>
      </w:r>
    </w:p>
    <w:p>
      <w:pPr>
        <w:spacing w:after="0" w:line="13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Section 6. </w:t>
      </w:r>
      <w:r>
        <w:rPr>
          <w:rFonts w:ascii="Times New Roman" w:cs="Times New Roman" w:eastAsia="Times New Roman" w:hAnsi="Times New Roman"/>
          <w:sz w:val="13"/>
          <w:szCs w:val="13"/>
          <w:u w:val="single" w:color="auto"/>
          <w:color w:val="auto"/>
        </w:rPr>
        <w:t>Special Optional Redemption by the Company</w:t>
      </w:r>
      <w:r>
        <w:rPr>
          <w:rFonts w:ascii="Times New Roman" w:cs="Times New Roman" w:eastAsia="Times New Roman" w:hAnsi="Times New Roman"/>
          <w:sz w:val="13"/>
          <w:szCs w:val="13"/>
          <w:color w:val="auto"/>
        </w:rPr>
        <w:t xml:space="preserve"> .</w:t>
      </w:r>
    </w:p>
    <w:p>
      <w:pPr>
        <w:spacing w:after="0" w:line="187" w:lineRule="exact"/>
        <w:rPr>
          <w:sz w:val="20"/>
          <w:szCs w:val="20"/>
          <w:color w:val="auto"/>
        </w:rPr>
      </w:pPr>
    </w:p>
    <w:p>
      <w:pPr>
        <w:ind w:left="600" w:right="660" w:firstLine="306"/>
        <w:spacing w:after="0" w:line="273" w:lineRule="auto"/>
        <w:tabs>
          <w:tab w:leader="none" w:pos="1092" w:val="left"/>
        </w:tabs>
        <w:numPr>
          <w:ilvl w:val="0"/>
          <w:numId w:val="2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Upon the occurrence of a Change of Control (as defined below), the Company will have the option upon written notice mailed by the Company, postage pre-paid, no fewer than 30 nor more than 60 days prior to the redemption date and addressed to the holders of record of shares of the Series F Preferred Stock to be redeemed at their respective addresses as they appear on the share transfer records of the Company, to redeem shares of the Series F Preferred Stock, in whole or in part within 120 days after the first date on which such Change of Control occurred, for cash at $25.00 per share plus accrued and unpaid dividends, if any, to, but not including, the redemption date (“ </w:t>
      </w:r>
      <w:r>
        <w:rPr>
          <w:rFonts w:ascii="Times New Roman" w:cs="Times New Roman" w:eastAsia="Times New Roman" w:hAnsi="Times New Roman"/>
          <w:sz w:val="13"/>
          <w:szCs w:val="13"/>
          <w:u w:val="single" w:color="auto"/>
          <w:color w:val="auto"/>
        </w:rPr>
        <w:t>Special Optional Redemption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Right</w:t>
      </w:r>
      <w:r>
        <w:rPr>
          <w:rFonts w:ascii="Times New Roman" w:cs="Times New Roman" w:eastAsia="Times New Roman" w:hAnsi="Times New Roman"/>
          <w:sz w:val="13"/>
          <w:szCs w:val="13"/>
          <w:color w:val="auto"/>
        </w:rPr>
        <w:t xml:space="preserve"> ”). No failure to give such notice or any defect thereto or in the mailing thereof shall affect the validity of the proceedings for the redemption of any shares of Series F Preferred Stock except as to the holder to whom notice was defective or not given. If, prior to the Change of Control Conversion Date (as defined below), the Company has provided or provides notice of redemption with respect to the Series F Preferred Stock (whether pursuant to the Redemption Right or the Special Optional Redemption Right), the holders of shares of Series F Preferred Stock will not have the conversion right described below in Section 8.</w:t>
      </w:r>
    </w:p>
    <w:p>
      <w:pPr>
        <w:spacing w:after="0" w:line="13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3"/>
          <w:szCs w:val="13"/>
          <w:color w:val="auto"/>
        </w:rPr>
        <w:t xml:space="preserve">A “ </w:t>
      </w:r>
      <w:r>
        <w:rPr>
          <w:rFonts w:ascii="Times New Roman" w:cs="Times New Roman" w:eastAsia="Times New Roman" w:hAnsi="Times New Roman"/>
          <w:sz w:val="13"/>
          <w:szCs w:val="13"/>
          <w:u w:val="single" w:color="auto"/>
          <w:color w:val="auto"/>
        </w:rPr>
        <w:t>Change of Control</w:t>
      </w:r>
      <w:r>
        <w:rPr>
          <w:rFonts w:ascii="Times New Roman" w:cs="Times New Roman" w:eastAsia="Times New Roman" w:hAnsi="Times New Roman"/>
          <w:sz w:val="13"/>
          <w:szCs w:val="13"/>
          <w:color w:val="auto"/>
        </w:rPr>
        <w:t xml:space="preserve"> ” is when, after the original issuance of the Series F Preferred Stock, the following have occurred and are</w:t>
      </w:r>
    </w:p>
    <w:p>
      <w:pPr>
        <w:spacing w:after="0" w:line="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continuing:</w:t>
      </w:r>
    </w:p>
    <w:p>
      <w:pPr>
        <w:spacing w:after="0" w:line="183" w:lineRule="exact"/>
        <w:rPr>
          <w:sz w:val="20"/>
          <w:szCs w:val="20"/>
          <w:color w:val="auto"/>
        </w:rPr>
      </w:pPr>
    </w:p>
    <w:p>
      <w:pPr>
        <w:ind w:left="600" w:right="720" w:firstLine="607"/>
        <w:spacing w:after="0" w:line="276" w:lineRule="auto"/>
        <w:tabs>
          <w:tab w:leader="none" w:pos="1368" w:val="left"/>
        </w:tabs>
        <w:numPr>
          <w:ilvl w:val="0"/>
          <w:numId w:val="2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acquisition by any person, including any syndicate or group deemed to be a “person” under Section 13(d)(3) of the Securities Exchange Act of 1934, as amended (the “ </w:t>
      </w:r>
      <w:r>
        <w:rPr>
          <w:rFonts w:ascii="Times New Roman" w:cs="Times New Roman" w:eastAsia="Times New Roman" w:hAnsi="Times New Roman"/>
          <w:sz w:val="13"/>
          <w:szCs w:val="13"/>
          <w:u w:val="single" w:color="auto"/>
          <w:color w:val="auto"/>
        </w:rPr>
        <w:t>Exchange Act</w:t>
      </w:r>
      <w:r>
        <w:rPr>
          <w:rFonts w:ascii="Times New Roman" w:cs="Times New Roman" w:eastAsia="Times New Roman" w:hAnsi="Times New Roman"/>
          <w:sz w:val="13"/>
          <w:szCs w:val="13"/>
          <w:color w:val="auto"/>
        </w:rPr>
        <w:t xml:space="preserve"> ”), of beneficial ownership, directly or indirectly, through a purchase, merger or other acquisition transaction or series of purchases, mergers or other acquisition transactions of stock of the Company entitling that person to exercise more than 50% of the total voting power of all stock of the Company entitled to vote generally in the election of the Company’s directors (except that such person will be deemed to have beneficial ownership of all securities that such person has the right to acquire, whether such right is currently exercisable or is exercisable only upon the occurrence of a subsequent condition); and</w:t>
      </w:r>
    </w:p>
    <w:p>
      <w:pPr>
        <w:spacing w:after="0" w:line="145" w:lineRule="exact"/>
        <w:rPr>
          <w:sz w:val="20"/>
          <w:szCs w:val="20"/>
          <w:color w:val="auto"/>
        </w:rPr>
      </w:pPr>
    </w:p>
    <w:p>
      <w:pPr>
        <w:ind w:left="600" w:right="740" w:firstLine="612"/>
        <w:spacing w:after="0" w:line="281" w:lineRule="auto"/>
        <w:rPr>
          <w:sz w:val="20"/>
          <w:szCs w:val="20"/>
          <w:color w:val="auto"/>
        </w:rPr>
      </w:pPr>
      <w:r>
        <w:rPr>
          <w:rFonts w:ascii="Times New Roman" w:cs="Times New Roman" w:eastAsia="Times New Roman" w:hAnsi="Times New Roman"/>
          <w:sz w:val="13"/>
          <w:szCs w:val="13"/>
          <w:color w:val="auto"/>
        </w:rPr>
        <w:t xml:space="preserve">(ii) following the closing of any transaction referred to in (i) above, neither the Company nor the acquiring or surviving entity has a class of common securities (or American Depositary Receipts representing such securities) listed on the New York Stock Exchange (the “ </w:t>
      </w:r>
      <w:r>
        <w:rPr>
          <w:rFonts w:ascii="Times New Roman" w:cs="Times New Roman" w:eastAsia="Times New Roman" w:hAnsi="Times New Roman"/>
          <w:sz w:val="13"/>
          <w:szCs w:val="13"/>
          <w:u w:val="single" w:color="auto"/>
          <w:color w:val="auto"/>
        </w:rPr>
        <w:t>NYSE</w:t>
      </w:r>
      <w:r>
        <w:rPr>
          <w:rFonts w:ascii="Times New Roman" w:cs="Times New Roman" w:eastAsia="Times New Roman" w:hAnsi="Times New Roman"/>
          <w:sz w:val="13"/>
          <w:szCs w:val="13"/>
          <w:color w:val="auto"/>
        </w:rPr>
        <w:t xml:space="preserve"> ”), the NYSE Amex Equities (the “ </w:t>
      </w:r>
      <w:r>
        <w:rPr>
          <w:rFonts w:ascii="Times New Roman" w:cs="Times New Roman" w:eastAsia="Times New Roman" w:hAnsi="Times New Roman"/>
          <w:sz w:val="13"/>
          <w:szCs w:val="13"/>
          <w:u w:val="single" w:color="auto"/>
          <w:color w:val="auto"/>
        </w:rPr>
        <w:t>NYSE Amex</w:t>
      </w:r>
      <w:r>
        <w:rPr>
          <w:rFonts w:ascii="Times New Roman" w:cs="Times New Roman" w:eastAsia="Times New Roman" w:hAnsi="Times New Roman"/>
          <w:sz w:val="13"/>
          <w:szCs w:val="13"/>
          <w:color w:val="auto"/>
        </w:rPr>
        <w:t xml:space="preserve"> ”), or the NASDAQ Stock Market (“ </w:t>
      </w:r>
      <w:r>
        <w:rPr>
          <w:rFonts w:ascii="Times New Roman" w:cs="Times New Roman" w:eastAsia="Times New Roman" w:hAnsi="Times New Roman"/>
          <w:sz w:val="13"/>
          <w:szCs w:val="13"/>
          <w:u w:val="single" w:color="auto"/>
          <w:color w:val="auto"/>
        </w:rPr>
        <w:t>NASDAQ</w:t>
      </w:r>
      <w:r>
        <w:rPr>
          <w:rFonts w:ascii="Times New Roman" w:cs="Times New Roman" w:eastAsia="Times New Roman" w:hAnsi="Times New Roman"/>
          <w:sz w:val="13"/>
          <w:szCs w:val="13"/>
          <w:color w:val="auto"/>
        </w:rPr>
        <w:t xml:space="preserve"> ”), or listed or quoted on an exchange or quotation system that is a successor to the NYSE, the NYSE Amex or NASDAQ.</w:t>
      </w:r>
    </w:p>
    <w:p>
      <w:pPr>
        <w:spacing w:after="0" w:line="140" w:lineRule="exact"/>
        <w:rPr>
          <w:sz w:val="20"/>
          <w:szCs w:val="20"/>
          <w:color w:val="auto"/>
        </w:rPr>
      </w:pPr>
    </w:p>
    <w:p>
      <w:pPr>
        <w:ind w:left="600" w:right="660" w:firstLine="306"/>
        <w:spacing w:after="0" w:line="273" w:lineRule="auto"/>
        <w:tabs>
          <w:tab w:leader="none" w:pos="1092" w:val="left"/>
        </w:tabs>
        <w:numPr>
          <w:ilvl w:val="0"/>
          <w:numId w:val="3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addition to any information required by law or by the applicable rules of any exchange upon which the Series F Preferred Stock may be listed or admitted to trading, such notice shall state: (i) the redemption date; (ii) the redemption price; (iii) the number of shares of Series F Preferred Stock to be redeemed; (iv) the place or places where the certificates, if any, representing shares of Series F Preferred Stock are to be surrendered for payment of the redemption price; (v) procedures for surrendering noncertificated shares of Series F Preferred Stock for payment of the redemption price; (vi) that dividends on the shares of Series F Preferred Stock to be redeemed will cease to accumulate on the redemption date; (vii) that payment of the redemption price and any accumulated and unpaid dividends will be made upon presentation and surrender of such Series F Preferred Stock; (viii) that the shares of Series F Preferred Stock are being redeemed pursuant to the Special Optional Redemption Right in connection with the occurrence of a Change of Control and a brief description of the transaction or transactions constituting such Change of Control; and (ix) that holders of the shares of Series F Preferred Stock to which the notice relates will not be able to tender such shares of Series F Preferred Stock for conversion in connection with the Change of Control and each share of Series F Preferred Stock tendered for conversion that is selected, prior to the Change of Control Conversion Date, for</w:t>
      </w: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681990</wp:posOffset>
            </wp:positionV>
            <wp:extent cx="5083810" cy="1524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609">
                      <a:extLst>
                        <a:ext uri="{28A0092B-C50C-407E-A947-70E740481C1C}"/>
                      </a:extLst>
                    </a:blip>
                    <a:srcRect/>
                    <a:stretch>
                      <a:fillRect/>
                    </a:stretch>
                  </pic:blipFill>
                  <pic:spPr bwMode="auto">
                    <a:xfrm>
                      <a:off x="0" y="0"/>
                      <a:ext cx="5083810" cy="15240"/>
                    </a:xfrm>
                    <a:prstGeom prst="rect">
                      <a:avLst/>
                    </a:prstGeom>
                    <a:noFill/>
                  </pic:spPr>
                </pic:pic>
              </a:graphicData>
            </a:graphic>
          </wp:anchor>
        </w:drawing>
        <w:drawing>
          <wp:anchor simplePos="0" relativeHeight="251657728" behindDoc="1" locked="0" layoutInCell="0" allowOverlap="1">
            <wp:simplePos x="0" y="0"/>
            <wp:positionH relativeFrom="column">
              <wp:posOffset>384810</wp:posOffset>
            </wp:positionH>
            <wp:positionV relativeFrom="paragraph">
              <wp:posOffset>316230</wp:posOffset>
            </wp:positionV>
            <wp:extent cx="4436110" cy="1524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610">
                      <a:extLst>
                        <a:ext uri="{28A0092B-C50C-407E-A947-70E740481C1C}"/>
                      </a:extLst>
                    </a:blip>
                    <a:srcRect/>
                    <a:stretch>
                      <a:fillRect/>
                    </a:stretch>
                  </pic:blipFill>
                  <pic:spPr bwMode="auto">
                    <a:xfrm>
                      <a:off x="0" y="0"/>
                      <a:ext cx="44361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41" w:name="page342"/>
    <w:bookmarkEnd w:id="341"/>
    <w:p>
      <w:pPr>
        <w:ind w:left="600" w:right="740"/>
        <w:spacing w:after="0" w:line="287" w:lineRule="auto"/>
        <w:rPr>
          <w:sz w:val="20"/>
          <w:szCs w:val="20"/>
          <w:color w:val="auto"/>
        </w:rPr>
      </w:pPr>
      <w:r>
        <w:rPr>
          <w:rFonts w:ascii="Times New Roman" w:cs="Times New Roman" w:eastAsia="Times New Roman" w:hAnsi="Times New Roman"/>
          <w:sz w:val="13"/>
          <w:szCs w:val="13"/>
          <w:color w:val="auto"/>
        </w:rPr>
        <w:t>redemption will be redeemed on the related redemption date instead of converted on the Change of Control Conversion Date. If fewer than all of the shares of Series F Preferred Stock held by any holder are to be redeemed, the notice mailed to such holder shall also specify the number of shares of Series F Preferred Stock held by such holder to be redeemed.</w:t>
      </w:r>
    </w:p>
    <w:p>
      <w:pPr>
        <w:spacing w:after="0" w:line="136" w:lineRule="exact"/>
        <w:rPr>
          <w:sz w:val="20"/>
          <w:szCs w:val="20"/>
          <w:color w:val="auto"/>
        </w:rPr>
      </w:pPr>
    </w:p>
    <w:p>
      <w:pPr>
        <w:ind w:left="600" w:right="620" w:firstLine="612"/>
        <w:spacing w:after="0" w:line="273" w:lineRule="auto"/>
        <w:rPr>
          <w:sz w:val="20"/>
          <w:szCs w:val="20"/>
          <w:color w:val="auto"/>
        </w:rPr>
      </w:pPr>
      <w:r>
        <w:rPr>
          <w:rFonts w:ascii="Times New Roman" w:cs="Times New Roman" w:eastAsia="Times New Roman" w:hAnsi="Times New Roman"/>
          <w:sz w:val="13"/>
          <w:szCs w:val="13"/>
          <w:color w:val="auto"/>
        </w:rPr>
        <w:t>If fewer than all of the outstanding shares of Series F Preferred Stock are to be redeemed pursuant to the Special Optional Redemption Right, the shares to be redeemed shall be selected pro rata (as nearly as practicable without creating fractional shares) by lot or in such other equitable method determined by the Company that will not result in a violation of the Ownership Limit or the Aggregate Stock Ownership Limit (each as defined in Section 9(a)). If such redemption pursuant to the Special Optional Redemption Right is to be by lot and, as a result, any holder of shares of Series F Preferred Stock would have actual ownership, Beneficial Ownership or Constructive Ownership (each as defined in Section 9(a)) in excess of the Ownership Limit (as defined in Section 9(a)), the Aggregate Stock Ownership Limit (as defined in Section 9(a)), or such limit as permitted by the Board of Directors or a committee thereof pursuant to Section 9(i), because such holder’s shares of Series F Preferred Stock were not redeemed, or were only redeemed in part then, except as otherwise provided in the Charter, the Company shall redeem the requisite number of shares of Series F Preferred Stock of such holder such that no holder will hold an amount of Series F Preferred Stock in excess of the applicable ownership limit, subsequent to such redemption.</w:t>
      </w:r>
    </w:p>
    <w:p>
      <w:pPr>
        <w:spacing w:after="0" w:line="136" w:lineRule="exact"/>
        <w:rPr>
          <w:sz w:val="20"/>
          <w:szCs w:val="20"/>
          <w:color w:val="auto"/>
        </w:rPr>
      </w:pPr>
    </w:p>
    <w:p>
      <w:pPr>
        <w:ind w:left="600" w:right="600" w:firstLine="306"/>
        <w:spacing w:after="0" w:line="273" w:lineRule="auto"/>
        <w:tabs>
          <w:tab w:leader="none" w:pos="1092" w:val="left"/>
        </w:tabs>
        <w:numPr>
          <w:ilvl w:val="0"/>
          <w:numId w:val="3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Company has given a notice of redemption pursuant to the Special Optional Redemption Right and has set aside sufficient funds for the redemption in trust for the benefit of the holders of the Series F Preferred Stock called for redemption, then from and after the redemption date, those shares of Series F Preferred Stock will be treated as no longer being outstanding, no further dividends will accrue and all other rights of the holders of those shares of Series F Preferred Stock will terminate. The holders of those shares of Series F Preferred Stock will retain their right to receive the redemption price for their shares and any accrued and unpaid dividends to, but not including, the redemption date, without interest. So long as full cumulative dividends on the Series F Preferred Stock for all past dividend periods shall have been or contemporaneously are (i) declared and paid in cash, or (ii) declared and a sum sufficient for the payment thereof in cash is set apart for payment, nothing herein shall prevent or restrict the Company’s right or ability to purchase, from time to time, either at a public or a private sale, all or any part of the Series F Preferred Stock at such price or prices as the Company may determine, subject to the provisions of applicable law, including the repurchase of shares of Series F Preferred Stock in open-market transactions duly authorized by the Board of Directors.</w:t>
      </w:r>
    </w:p>
    <w:p>
      <w:pPr>
        <w:spacing w:after="0" w:line="136" w:lineRule="exact"/>
        <w:rPr>
          <w:sz w:val="20"/>
          <w:szCs w:val="20"/>
          <w:color w:val="auto"/>
        </w:rPr>
      </w:pPr>
    </w:p>
    <w:p>
      <w:pPr>
        <w:ind w:left="600" w:right="680" w:firstLine="312"/>
        <w:spacing w:after="0" w:line="276" w:lineRule="auto"/>
        <w:rPr>
          <w:sz w:val="20"/>
          <w:szCs w:val="20"/>
          <w:color w:val="auto"/>
        </w:rPr>
      </w:pPr>
      <w:r>
        <w:rPr>
          <w:rFonts w:ascii="Times New Roman" w:cs="Times New Roman" w:eastAsia="Times New Roman" w:hAnsi="Times New Roman"/>
          <w:sz w:val="13"/>
          <w:szCs w:val="13"/>
          <w:color w:val="auto"/>
        </w:rPr>
        <w:t>(d) The holders of Series F Preferred Stock at the close of business on a Dividend Record Date will be entitled to receive the dividend payable with respect to the Series F Preferred Stock on the corresponding Dividend Payment Date notwithstanding the redemption of the Series F Preferred Stock pursuant to the Special Optional Redemption Right between such Dividend Record Date and the corresponding Dividend Payment Date or the Company’s default in the payment of the dividend due. Except as provided herein, the Company shall make no payment or allowance for unpaid dividends, whether or not in arrears, on Series F Preferred Stock for which a notice of redemption pursuant to the Special Optional Redemption Right has been given.</w:t>
      </w:r>
    </w:p>
    <w:p>
      <w:pPr>
        <w:spacing w:after="0" w:line="145" w:lineRule="exact"/>
        <w:rPr>
          <w:sz w:val="20"/>
          <w:szCs w:val="20"/>
          <w:color w:val="auto"/>
        </w:rPr>
      </w:pPr>
    </w:p>
    <w:p>
      <w:pPr>
        <w:ind w:left="600" w:right="1080" w:firstLine="306"/>
        <w:spacing w:after="0" w:line="287" w:lineRule="auto"/>
        <w:tabs>
          <w:tab w:leader="none" w:pos="1092" w:val="left"/>
        </w:tabs>
        <w:numPr>
          <w:ilvl w:val="0"/>
          <w:numId w:val="3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shares of the Series F Preferred Stock redeemed or repurchased pursuant to this Section 6, or otherwise acquired in any other manner by the Company, shall be retired and shall be restored to the status of authorized but unissued shares of Preferred Stock, without designation as to series or class.</w:t>
      </w:r>
    </w:p>
    <w:p>
      <w:pPr>
        <w:spacing w:after="0" w:line="13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Section 7. </w:t>
      </w:r>
      <w:r>
        <w:rPr>
          <w:rFonts w:ascii="Times New Roman" w:cs="Times New Roman" w:eastAsia="Times New Roman" w:hAnsi="Times New Roman"/>
          <w:sz w:val="13"/>
          <w:szCs w:val="13"/>
          <w:u w:val="single" w:color="auto"/>
          <w:color w:val="auto"/>
        </w:rPr>
        <w:t>Voting Rights</w:t>
      </w:r>
      <w:r>
        <w:rPr>
          <w:rFonts w:ascii="Times New Roman" w:cs="Times New Roman" w:eastAsia="Times New Roman" w:hAnsi="Times New Roman"/>
          <w:sz w:val="13"/>
          <w:szCs w:val="13"/>
          <w:color w:val="auto"/>
        </w:rPr>
        <w:t xml:space="preserve"> .</w:t>
      </w:r>
    </w:p>
    <w:p>
      <w:pPr>
        <w:spacing w:after="0" w:line="187" w:lineRule="exact"/>
        <w:rPr>
          <w:sz w:val="20"/>
          <w:szCs w:val="20"/>
          <w:color w:val="auto"/>
        </w:rPr>
      </w:pPr>
    </w:p>
    <w:p>
      <w:pPr>
        <w:ind w:left="1080" w:hanging="174"/>
        <w:spacing w:after="0"/>
        <w:tabs>
          <w:tab w:leader="none" w:pos="1080" w:val="left"/>
        </w:tabs>
        <w:numPr>
          <w:ilvl w:val="0"/>
          <w:numId w:val="3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Holders of the Series F Preferred Stock shall not have any voting rights, except as set forth in this Section 7.</w:t>
      </w:r>
    </w:p>
    <w:p>
      <w:pPr>
        <w:spacing w:after="0" w:line="186" w:lineRule="exact"/>
        <w:rPr>
          <w:rFonts w:ascii="Times New Roman" w:cs="Times New Roman" w:eastAsia="Times New Roman" w:hAnsi="Times New Roman"/>
          <w:sz w:val="13"/>
          <w:szCs w:val="13"/>
          <w:color w:val="auto"/>
        </w:rPr>
      </w:pPr>
    </w:p>
    <w:p>
      <w:pPr>
        <w:ind w:left="600" w:right="660" w:firstLine="306"/>
        <w:spacing w:after="0" w:line="274" w:lineRule="auto"/>
        <w:tabs>
          <w:tab w:leader="none" w:pos="1092" w:val="left"/>
        </w:tabs>
        <w:numPr>
          <w:ilvl w:val="0"/>
          <w:numId w:val="3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Whenever dividends on any shares of Series F Preferred Stock shall be in arrears for six or more consecutive or non- consecutive quarterly periods (a “ </w:t>
      </w:r>
      <w:r>
        <w:rPr>
          <w:rFonts w:ascii="Times New Roman" w:cs="Times New Roman" w:eastAsia="Times New Roman" w:hAnsi="Times New Roman"/>
          <w:sz w:val="13"/>
          <w:szCs w:val="13"/>
          <w:u w:val="single" w:color="auto"/>
          <w:color w:val="auto"/>
        </w:rPr>
        <w:t>Preferred Dividend Default</w:t>
      </w:r>
      <w:r>
        <w:rPr>
          <w:rFonts w:ascii="Times New Roman" w:cs="Times New Roman" w:eastAsia="Times New Roman" w:hAnsi="Times New Roman"/>
          <w:sz w:val="13"/>
          <w:szCs w:val="13"/>
          <w:color w:val="auto"/>
        </w:rPr>
        <w:t xml:space="preserve"> ”), the holders of such Series F Preferred Stock (voting together as a single class with all other classes or series of preferred stock of the Company upon which like voting rights have been conferred and are exercisable (“ </w:t>
      </w:r>
      <w:r>
        <w:rPr>
          <w:rFonts w:ascii="Times New Roman" w:cs="Times New Roman" w:eastAsia="Times New Roman" w:hAnsi="Times New Roman"/>
          <w:sz w:val="13"/>
          <w:szCs w:val="13"/>
          <w:u w:val="single" w:color="auto"/>
          <w:color w:val="auto"/>
        </w:rPr>
        <w:t>Parity Preferred</w:t>
      </w:r>
      <w:r>
        <w:rPr>
          <w:rFonts w:ascii="Times New Roman" w:cs="Times New Roman" w:eastAsia="Times New Roman" w:hAnsi="Times New Roman"/>
          <w:sz w:val="13"/>
          <w:szCs w:val="13"/>
          <w:color w:val="auto"/>
        </w:rPr>
        <w:t xml:space="preserve"> ”), including the Series C Cumulative Convertible Preferred Stock, the Series D Cumulative Convertible Preferred Stock and the Series E Cumulative Redeemable Preferred Stock of the Company) shall be entitled to vote for the election of a total of two additional directors of the Company (the “ </w:t>
      </w:r>
      <w:r>
        <w:rPr>
          <w:rFonts w:ascii="Times New Roman" w:cs="Times New Roman" w:eastAsia="Times New Roman" w:hAnsi="Times New Roman"/>
          <w:sz w:val="13"/>
          <w:szCs w:val="13"/>
          <w:u w:val="single" w:color="auto"/>
          <w:color w:val="auto"/>
        </w:rPr>
        <w:t>Preferred Directors</w:t>
      </w:r>
      <w:r>
        <w:rPr>
          <w:rFonts w:ascii="Times New Roman" w:cs="Times New Roman" w:eastAsia="Times New Roman" w:hAnsi="Times New Roman"/>
          <w:sz w:val="13"/>
          <w:szCs w:val="13"/>
          <w:color w:val="auto"/>
        </w:rPr>
        <w:t xml:space="preserve"> ”) until all dividends accumulated on such Series F Preferred Stock and Parity Preferred for the past dividend periods shall have been fully paid or declared and a sum sufficient for the payment thereof is set aside for payment. In such case, the entire Board of Directors will be increased by two directors.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316230</wp:posOffset>
            </wp:positionV>
            <wp:extent cx="4436110" cy="1524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611">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-56515</wp:posOffset>
            </wp:positionV>
            <wp:extent cx="5083810" cy="1524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612">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42" w:name="page343"/>
    <w:bookmarkEnd w:id="342"/>
    <w:p>
      <w:pPr>
        <w:ind w:left="600" w:right="640" w:firstLine="306"/>
        <w:spacing w:after="0" w:line="273" w:lineRule="auto"/>
        <w:tabs>
          <w:tab w:leader="none" w:pos="1080" w:val="left"/>
        </w:tabs>
        <w:numPr>
          <w:ilvl w:val="0"/>
          <w:numId w:val="3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Preferred Directors will be elected by a plurality of the votes cast in the election for a one-year term and each Preferred Director will serve until his or her successor is duly elected and qualified or until such Preferred Director’s right to hold the office terminates, whichever occurs earlier, subject to such Preferred Director’s earlier death, disqualification, resignation or removal. The election will take place at (i) either (A) a special meeting called in accordance with Section 7(d) below if the request is received more than 90 days before the date fixed for the Company’s next annual or special meeting of stockholders or (B) the next annual or special meeting of stockholders if the request is received within 90 days of the date fixed for the Company’s next annual or special meeting of stockholders, and (ii) at each subsequent annual meeting of stockholders, or special meeting held in place thereof, until all such dividends in arrears on the Series F Preferred Stock and each such class or series of outstanding Parity Preferred have been paid in full. A dividend in respect of Series F Preferred Stock shall be considered timely made if made within two Business Days after the applicable Dividend Payment Date if at the time of such late payment date there shall not be any prior quarterly dividend periods in respect of which full dividends were not timely made at the applicable Dividend Payment Date.</w:t>
      </w:r>
    </w:p>
    <w:p>
      <w:pPr>
        <w:spacing w:after="0" w:line="136" w:lineRule="exact"/>
        <w:rPr>
          <w:rFonts w:ascii="Times New Roman" w:cs="Times New Roman" w:eastAsia="Times New Roman" w:hAnsi="Times New Roman"/>
          <w:sz w:val="13"/>
          <w:szCs w:val="13"/>
          <w:color w:val="auto"/>
        </w:rPr>
      </w:pPr>
    </w:p>
    <w:p>
      <w:pPr>
        <w:ind w:left="600" w:right="660" w:firstLine="306"/>
        <w:spacing w:after="0" w:line="271" w:lineRule="auto"/>
        <w:tabs>
          <w:tab w:leader="none" w:pos="1092" w:val="left"/>
        </w:tabs>
        <w:numPr>
          <w:ilvl w:val="0"/>
          <w:numId w:val="3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any time when such voting rights shall have vested, a proper officer of the Company shall call or cause to be called, upon written request of holders of record of at least 10% of the outstanding shares of Series F Preferred Stock and Parity Preferred, a special meeting of the holders of Series F Preferred Stock and each class or series of Parity Preferred by mailing or causing to be mailed to such holders a notice of such special meeting to be held not fewer than ten or more than 45 days after the date such notice is given. The record date for determining holders of the Series F Preferred Stock and Parity Preferred entitled to notice of and to vote at such special meeting will be the close of business on the third Business Day preceding the day on which such notice is mailed. At any such annual or special meeting, all of the holders of the Series F Preferred Stock and Parity Preferred, by plurality vote, voting together as a single class without regard to class or series will be entitled to elect two directors on the basis of one vote per $25.00 of liquidation preference to which such Series F Preferred Stock and Parity Preferred are entitled by their terms (excluding amounts in respect of accumulated and unpaid dividends) and not cumulatively. The holder or holders of one-third of the Series F Preferred Stock and Parity Preferred voting as a single class then outstanding, present in person or by proxy, will constitute a quorum for the election of the Preferred Directors except as otherwise provided by law. Notice of all meetings at which holders of the Series F Preferred Stock and the Parity Preferred shall be entitled to vote will be given to such holders at their addresses as they appear in the transfer records. At any such meeting or adjournment thereof in the absence of a quorum, subject to the provisions of any applicable law, a majority of the holders of the Series F Preferred Stock and Parity Preferred voting as a single class present in person or by proxy shall have the power to adjourn the meeting for the election of the Preferred Directors, without notice other than an announcement at the meeting, until a quorum is present. If a Preferred Dividend Default shall terminate after the notice of a special meeting has been given but before such special meeting has been held, the Company shall, as soon as practicable after such termination, mail or cause to be mailed notice of such termination to holders of the Series F Preferred Stock and the Parity Preferred that would have been entitled to vote at such special meeting.</w:t>
      </w:r>
    </w:p>
    <w:p>
      <w:pPr>
        <w:spacing w:after="0" w:line="143" w:lineRule="exact"/>
        <w:rPr>
          <w:sz w:val="20"/>
          <w:szCs w:val="20"/>
          <w:color w:val="auto"/>
        </w:rPr>
      </w:pPr>
    </w:p>
    <w:p>
      <w:pPr>
        <w:ind w:left="600" w:right="660" w:firstLine="312"/>
        <w:spacing w:after="0" w:line="281" w:lineRule="auto"/>
        <w:rPr>
          <w:sz w:val="20"/>
          <w:szCs w:val="20"/>
          <w:color w:val="auto"/>
        </w:rPr>
      </w:pPr>
      <w:r>
        <w:rPr>
          <w:rFonts w:ascii="Times New Roman" w:cs="Times New Roman" w:eastAsia="Times New Roman" w:hAnsi="Times New Roman"/>
          <w:sz w:val="13"/>
          <w:szCs w:val="13"/>
          <w:color w:val="auto"/>
        </w:rPr>
        <w:t>(e) If and when all accumulated dividends on such Series F Preferred Stock and all classes or series of Parity Preferred for the past dividend periods shall have been fully paid or declared and a sum sufficient for the payment thereof is set aside for payment, the right of the holders of Series F Preferred Stock and the Parity Preferred to elect such additional two directors shall immediately cease (subject to revesting in the event of each and every Preferred Dividend Default), and the term of office of each Preferred Director so elected shall terminate and the</w:t>
      </w:r>
    </w:p>
    <w:p>
      <w:pPr>
        <w:spacing w:after="0" w:line="140" w:lineRule="exact"/>
        <w:rPr>
          <w:sz w:val="20"/>
          <w:szCs w:val="20"/>
          <w:color w:val="auto"/>
        </w:rPr>
      </w:pPr>
    </w:p>
    <w:p>
      <w:pPr>
        <w:ind w:left="600" w:right="640"/>
        <w:spacing w:after="0" w:line="275" w:lineRule="auto"/>
        <w:rPr>
          <w:sz w:val="20"/>
          <w:szCs w:val="20"/>
          <w:color w:val="auto"/>
        </w:rPr>
      </w:pPr>
      <w:r>
        <w:rPr>
          <w:rFonts w:ascii="Times New Roman" w:cs="Times New Roman" w:eastAsia="Times New Roman" w:hAnsi="Times New Roman"/>
          <w:sz w:val="13"/>
          <w:szCs w:val="13"/>
          <w:color w:val="auto"/>
        </w:rPr>
        <w:t>entire Board of Directors shall be reduced accordingly. Any Preferred Director may be removed at any time with or without cause by the vote of, and shall not be removed otherwise than by the vote of, the holders of record of a majority of the outstanding Series F Preferred Stock and the Parity Preferred entitled to vote thereon when they have the voting rights set forth in Section 7(b) (voting as a single class). So long as a Preferred Dividend Default shall continue, any vacancy in the office of a Preferred Director may be filled by written consent of the Preferred Director remaining in office, or if none remains in office, by a vote of the holders of record of a majority of the outstanding Series F Preferred Stock when they have the voting rights described above (voting as a single class with all other classes or series of Parity Preferred). Each of the Preferred Directors shall be entitled to one vote on any matter.</w:t>
      </w:r>
    </w:p>
    <w:p>
      <w:pPr>
        <w:spacing w:after="0" w:line="3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125730</wp:posOffset>
            </wp:positionV>
            <wp:extent cx="4436110" cy="762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613">
                      <a:extLst>
                        <a:ext uri="{28A0092B-C50C-407E-A947-70E740481C1C}"/>
                      </a:extLst>
                    </a:blip>
                    <a:srcRect/>
                    <a:stretch>
                      <a:fillRect/>
                    </a:stretch>
                  </pic:blipFill>
                  <pic:spPr bwMode="auto">
                    <a:xfrm>
                      <a:off x="0" y="0"/>
                      <a:ext cx="4436110"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567690</wp:posOffset>
            </wp:positionV>
            <wp:extent cx="5083810" cy="1524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614">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43" w:name="page344"/>
    <w:bookmarkEnd w:id="343"/>
    <w:p>
      <w:pPr>
        <w:ind w:left="600" w:right="620" w:firstLine="306"/>
        <w:spacing w:after="0" w:line="271" w:lineRule="auto"/>
        <w:tabs>
          <w:tab w:leader="none" w:pos="1068" w:val="left"/>
        </w:tabs>
        <w:numPr>
          <w:ilvl w:val="0"/>
          <w:numId w:val="3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So long as any shares of Series F Preferred Stock remain outstanding, the affirmative vote or consent of the holders of two-thirds of the shares of Series F Preferred Stock and each other class or series of preferred stock ranking on parity with the Series F Preferred Stock with respect to the payment of dividends and the distribution of assets upon liquidation, dissolution or winding up of the Company upon which like voting rights have been conferred outstanding at the time, given in person or by proxy, either in writing or at a meeting (voting as a single class) will be required to: (i) authorize, create or issue, or increase the number of authorized or issued shares of, any class or series of capital stock ranking senior to the Series F Preferred Stock with respect to payment of dividends or the distribution of assets upon liquidation, dissolution or winding up of the Company or reclassify any authorized shares of capital stock of the Company into such capital stock, or create, authorize or issue any obligation or security convertible into or evidencing the right to purchase any such capital stock; or (ii) amend, alter or repeal the provisions of the Charter or the terms of the Series F Preferred Stock, whether by merger, consolidation, transfer or conveyance of all or substantially all of its assets or otherwise (an “ </w:t>
      </w:r>
      <w:r>
        <w:rPr>
          <w:rFonts w:ascii="Times New Roman" w:cs="Times New Roman" w:eastAsia="Times New Roman" w:hAnsi="Times New Roman"/>
          <w:sz w:val="13"/>
          <w:szCs w:val="13"/>
          <w:u w:val="single" w:color="auto"/>
          <w:color w:val="auto"/>
        </w:rPr>
        <w:t>Event</w:t>
      </w:r>
      <w:r>
        <w:rPr>
          <w:rFonts w:ascii="Times New Roman" w:cs="Times New Roman" w:eastAsia="Times New Roman" w:hAnsi="Times New Roman"/>
          <w:sz w:val="13"/>
          <w:szCs w:val="13"/>
          <w:color w:val="auto"/>
        </w:rPr>
        <w:t xml:space="preserve"> ”), so as to materially and adversely affect any right, preference, privilege or voting power of the Series F Preferred Stock; </w:t>
      </w:r>
      <w:r>
        <w:rPr>
          <w:rFonts w:ascii="Times New Roman" w:cs="Times New Roman" w:eastAsia="Times New Roman" w:hAnsi="Times New Roman"/>
          <w:sz w:val="13"/>
          <w:szCs w:val="13"/>
          <w:u w:val="single" w:color="auto"/>
          <w:color w:val="auto"/>
        </w:rPr>
        <w:t>provided however</w:t>
      </w:r>
      <w:r>
        <w:rPr>
          <w:rFonts w:ascii="Times New Roman" w:cs="Times New Roman" w:eastAsia="Times New Roman" w:hAnsi="Times New Roman"/>
          <w:sz w:val="13"/>
          <w:szCs w:val="13"/>
          <w:color w:val="auto"/>
        </w:rPr>
        <w:t xml:space="preserve"> , with respect to the occurrence of any of the Events set forth in (ii) above, so long as the Series F Preferred Stock remains outstanding with the terms thereof materially unchanged, taking into account that, upon the occurrence of an Event, the Company may not be the surviving entity, the occurrence of such Event shall not be deemed to materially and adversely affect such rights, preferences, privileges or voting power of Series F Preferred Stock, and in such case such holders shall not have any voting rights with respect to the occurrence of any of the Events set forth in (ii) above. In addition, if the holders of the Series F Preferred Stock receive the greater of the full trading price of the Series F Preferred Stock on the date of an Event set forth in (ii) above or the $25.00 liquidation preference per share of the Series F Preferred Stock pursuant to the occurrence of any of the Events set forth in (ii) above, then such holders shall not have any voting rights with respect to the Events set forth in (ii) above. Holders of shares of Series F Preferred Stock shall not be entitled to vote with respect to (A) any increase in the total number of authorized shares of Common Stock or Preferred Stock of the Company, or (B) any increase in the number of authorized shares of Series F Preferred Stock or the creation or issuance of any other class or series of capital stock, or (C) any increase in the number of authorized shares of any other class or series of capital stock, in each case referred to in clause (A), (B) or (C) above ranking on parity with or junior to the Series F Preferred Stock with respect to the payment of dividends and the distribution of assets upon liquidation, dissolution or winding up of the Company. Except as set forth herein, holders of the Series F Preferred Stock shall not have any voting rights with respect to, and the consent of the holders of the Series F Preferred Stock shall not be required for, the taking of any corporate action, including an Event, regardless of the effect that such corporate action or Event may have upon the powers, preferences, voting power or other rights or privileges of the Series F Preferred Stock.</w:t>
      </w:r>
    </w:p>
    <w:p>
      <w:pPr>
        <w:spacing w:after="0" w:line="305" w:lineRule="exact"/>
        <w:rPr>
          <w:rFonts w:ascii="Times New Roman" w:cs="Times New Roman" w:eastAsia="Times New Roman" w:hAnsi="Times New Roman"/>
          <w:sz w:val="13"/>
          <w:szCs w:val="13"/>
          <w:color w:val="auto"/>
        </w:rPr>
      </w:pPr>
    </w:p>
    <w:p>
      <w:pPr>
        <w:ind w:left="600" w:right="740" w:firstLine="306"/>
        <w:spacing w:after="0" w:line="287" w:lineRule="auto"/>
        <w:tabs>
          <w:tab w:leader="none" w:pos="1092" w:val="left"/>
        </w:tabs>
        <w:numPr>
          <w:ilvl w:val="0"/>
          <w:numId w:val="3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foregoing voting provisions of this Section 7 shall not apply if, at or prior to the time when the act with respect to which such vote would otherwise be required shall be effected, all outstanding shares of Series F Preferred Stock shall have been redeemed or called for redemption upon proper notice and sufficient funds, in cash, shall have been deposited in trust to effect such redemption.</w:t>
      </w:r>
    </w:p>
    <w:p>
      <w:pPr>
        <w:spacing w:after="0" w:line="136" w:lineRule="exact"/>
        <w:rPr>
          <w:sz w:val="20"/>
          <w:szCs w:val="20"/>
          <w:color w:val="auto"/>
        </w:rPr>
      </w:pPr>
    </w:p>
    <w:p>
      <w:pPr>
        <w:ind w:left="600" w:right="1280" w:firstLine="312"/>
        <w:spacing w:after="0" w:line="305" w:lineRule="auto"/>
        <w:rPr>
          <w:sz w:val="20"/>
          <w:szCs w:val="20"/>
          <w:color w:val="auto"/>
        </w:rPr>
      </w:pPr>
      <w:r>
        <w:rPr>
          <w:rFonts w:ascii="Times New Roman" w:cs="Times New Roman" w:eastAsia="Times New Roman" w:hAnsi="Times New Roman"/>
          <w:sz w:val="13"/>
          <w:szCs w:val="13"/>
          <w:color w:val="auto"/>
        </w:rPr>
        <w:t>(h) In any matter in which the Series F Preferred Stock may vote (as expressly provided herein), each share of Series F Preferred Stock shall be entitled to one vote per $25.00 of liquidation preference.</w:t>
      </w:r>
    </w:p>
    <w:p>
      <w:pPr>
        <w:spacing w:after="0" w:line="124" w:lineRule="exact"/>
        <w:rPr>
          <w:sz w:val="20"/>
          <w:szCs w:val="20"/>
          <w:color w:val="auto"/>
        </w:rPr>
      </w:pPr>
    </w:p>
    <w:p>
      <w:pPr>
        <w:ind w:left="600" w:right="1260" w:firstLine="312"/>
        <w:spacing w:after="0" w:line="305" w:lineRule="auto"/>
        <w:rPr>
          <w:sz w:val="20"/>
          <w:szCs w:val="20"/>
          <w:color w:val="auto"/>
        </w:rPr>
      </w:pPr>
      <w:r>
        <w:rPr>
          <w:rFonts w:ascii="Times New Roman" w:cs="Times New Roman" w:eastAsia="Times New Roman" w:hAnsi="Times New Roman"/>
          <w:sz w:val="13"/>
          <w:szCs w:val="13"/>
          <w:color w:val="auto"/>
        </w:rPr>
        <w:t xml:space="preserve">Section 8. </w:t>
      </w:r>
      <w:r>
        <w:rPr>
          <w:rFonts w:ascii="Times New Roman" w:cs="Times New Roman" w:eastAsia="Times New Roman" w:hAnsi="Times New Roman"/>
          <w:sz w:val="13"/>
          <w:szCs w:val="13"/>
          <w:u w:val="single" w:color="auto"/>
          <w:color w:val="auto"/>
        </w:rPr>
        <w:t>Conversion</w:t>
      </w:r>
      <w:r>
        <w:rPr>
          <w:rFonts w:ascii="Times New Roman" w:cs="Times New Roman" w:eastAsia="Times New Roman" w:hAnsi="Times New Roman"/>
          <w:sz w:val="13"/>
          <w:szCs w:val="13"/>
          <w:color w:val="auto"/>
        </w:rPr>
        <w:t xml:space="preserve"> . The shares of Series F Preferred Stock are not convertible into or exchangeable for any other property or securities of the Company, except as provided in this Section 8.</w:t>
      </w:r>
    </w:p>
    <w:p>
      <w:pPr>
        <w:spacing w:after="0" w:line="124" w:lineRule="exact"/>
        <w:rPr>
          <w:sz w:val="20"/>
          <w:szCs w:val="20"/>
          <w:color w:val="auto"/>
        </w:rPr>
      </w:pPr>
    </w:p>
    <w:p>
      <w:pPr>
        <w:ind w:left="600" w:right="680" w:firstLine="306"/>
        <w:spacing w:after="0" w:line="270" w:lineRule="auto"/>
        <w:tabs>
          <w:tab w:leader="none" w:pos="1080" w:val="left"/>
        </w:tabs>
        <w:numPr>
          <w:ilvl w:val="1"/>
          <w:numId w:val="3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Upon the occurrence of a Change of Control, each holder of shares of Series F Preferred Stock shall have the right, unless, prior to the Change of Control Conversion Date, the Company has provided or provides notice of its election to redeem the Series F Preferred Stock pursuant to the Redemption Right or Special Optional Redemption Right, to convert some or all of the Series F Preferred Stock held by such holder (the “ </w:t>
      </w:r>
      <w:r>
        <w:rPr>
          <w:rFonts w:ascii="Times New Roman" w:cs="Times New Roman" w:eastAsia="Times New Roman" w:hAnsi="Times New Roman"/>
          <w:sz w:val="13"/>
          <w:szCs w:val="13"/>
          <w:u w:val="single" w:color="auto"/>
          <w:color w:val="auto"/>
        </w:rPr>
        <w:t>Change of Control Conversion Right</w:t>
      </w:r>
      <w:r>
        <w:rPr>
          <w:rFonts w:ascii="Times New Roman" w:cs="Times New Roman" w:eastAsia="Times New Roman" w:hAnsi="Times New Roman"/>
          <w:sz w:val="13"/>
          <w:szCs w:val="13"/>
          <w:color w:val="auto"/>
        </w:rPr>
        <w:t xml:space="preserve"> ”) on the Change of Control Conversion Date into a number of shares of Common Stock, per share of Series F Preferred Stock to be converted (the “ </w:t>
      </w:r>
      <w:r>
        <w:rPr>
          <w:rFonts w:ascii="Times New Roman" w:cs="Times New Roman" w:eastAsia="Times New Roman" w:hAnsi="Times New Roman"/>
          <w:sz w:val="13"/>
          <w:szCs w:val="13"/>
          <w:u w:val="single" w:color="auto"/>
          <w:color w:val="auto"/>
        </w:rPr>
        <w:t>Common Stock Conversion Consideration</w:t>
      </w:r>
      <w:r>
        <w:rPr>
          <w:rFonts w:ascii="Times New Roman" w:cs="Times New Roman" w:eastAsia="Times New Roman" w:hAnsi="Times New Roman"/>
          <w:sz w:val="13"/>
          <w:szCs w:val="13"/>
          <w:color w:val="auto"/>
        </w:rPr>
        <w:t xml:space="preserve"> ”) equal to the lesser of (A) the quotient obtained by dividing</w:t>
      </w:r>
    </w:p>
    <w:p>
      <w:pPr>
        <w:spacing w:after="0" w:line="2" w:lineRule="exact"/>
        <w:rPr>
          <w:rFonts w:ascii="Times New Roman" w:cs="Times New Roman" w:eastAsia="Times New Roman" w:hAnsi="Times New Roman"/>
          <w:sz w:val="13"/>
          <w:szCs w:val="13"/>
          <w:color w:val="auto"/>
        </w:rPr>
      </w:pPr>
    </w:p>
    <w:p>
      <w:pPr>
        <w:ind w:left="600" w:right="780" w:hanging="6"/>
        <w:spacing w:after="0" w:line="269" w:lineRule="auto"/>
        <w:tabs>
          <w:tab w:leader="none" w:pos="756" w:val="left"/>
        </w:tabs>
        <w:numPr>
          <w:ilvl w:val="0"/>
          <w:numId w:val="3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sum of (x) the $25.00 liquidation preference per share of Series F Preferred Stock to be converted plus (y) the amount of any accrued and unpaid dividends to, but not including, the Change of Control Conversion Date (unless the Change of Control Conversion Date is after a Dividend Record Date and prior to the corresponding Dividend Payment Date, in which case no additional amount for such accrued and unpaid</w:t>
      </w:r>
    </w:p>
    <w:p>
      <w:pPr>
        <w:spacing w:after="0" w:line="1" w:lineRule="exact"/>
        <w:rPr>
          <w:sz w:val="20"/>
          <w:szCs w:val="20"/>
          <w:color w:val="auto"/>
        </w:rPr>
      </w:pPr>
    </w:p>
    <w:p>
      <w:pPr>
        <w:ind w:left="600" w:right="860"/>
        <w:spacing w:after="0" w:line="299" w:lineRule="auto"/>
        <w:rPr>
          <w:sz w:val="20"/>
          <w:szCs w:val="20"/>
          <w:color w:val="auto"/>
        </w:rPr>
      </w:pPr>
      <w:r>
        <w:rPr>
          <w:rFonts w:ascii="Times New Roman" w:cs="Times New Roman" w:eastAsia="Times New Roman" w:hAnsi="Times New Roman"/>
          <w:sz w:val="13"/>
          <w:szCs w:val="13"/>
          <w:color w:val="auto"/>
        </w:rPr>
        <w:t xml:space="preserve">dividends will be included in such sum) by (ii) the Common Stock Price (as defined herein) and (B) 0.6843 (the “ </w:t>
      </w:r>
      <w:r>
        <w:rPr>
          <w:rFonts w:ascii="Times New Roman" w:cs="Times New Roman" w:eastAsia="Times New Roman" w:hAnsi="Times New Roman"/>
          <w:sz w:val="13"/>
          <w:szCs w:val="13"/>
          <w:u w:val="single" w:color="auto"/>
          <w:color w:val="auto"/>
        </w:rPr>
        <w:t>Share Cap</w:t>
      </w:r>
      <w:r>
        <w:rPr>
          <w:rFonts w:ascii="Times New Roman" w:cs="Times New Roman" w:eastAsia="Times New Roman" w:hAnsi="Times New Roman"/>
          <w:sz w:val="13"/>
          <w:szCs w:val="13"/>
          <w:color w:val="auto"/>
        </w:rPr>
        <w:t xml:space="preserve"> ”), subject to the immediately succeeding paragraph.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325120</wp:posOffset>
            </wp:positionV>
            <wp:extent cx="5083810" cy="1524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615">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316230</wp:posOffset>
            </wp:positionV>
            <wp:extent cx="4436110" cy="1524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616">
                      <a:extLst>
                        <a:ext uri="{28A0092B-C50C-407E-A947-70E740481C1C}"/>
                      </a:extLst>
                    </a:blip>
                    <a:srcRect/>
                    <a:stretch>
                      <a:fillRect/>
                    </a:stretch>
                  </pic:blipFill>
                  <pic:spPr bwMode="auto">
                    <a:xfrm>
                      <a:off x="0" y="0"/>
                      <a:ext cx="44361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44" w:name="page345"/>
    <w:bookmarkEnd w:id="344"/>
    <w:p>
      <w:pPr>
        <w:ind w:left="600" w:right="740" w:firstLine="612"/>
        <w:spacing w:after="0" w:line="276" w:lineRule="auto"/>
        <w:rPr>
          <w:sz w:val="20"/>
          <w:szCs w:val="20"/>
          <w:color w:val="auto"/>
        </w:rPr>
      </w:pPr>
      <w:r>
        <w:rPr>
          <w:rFonts w:ascii="Times New Roman" w:cs="Times New Roman" w:eastAsia="Times New Roman" w:hAnsi="Times New Roman"/>
          <w:sz w:val="13"/>
          <w:szCs w:val="13"/>
          <w:color w:val="auto"/>
        </w:rPr>
        <w:t xml:space="preserve">The Share Cap is subject to pro rata adjustments for any share splits (including those effected pursuant to a distribution of the Common Stock), subdivisions or combinations (in each case, a “ </w:t>
      </w:r>
      <w:r>
        <w:rPr>
          <w:rFonts w:ascii="Times New Roman" w:cs="Times New Roman" w:eastAsia="Times New Roman" w:hAnsi="Times New Roman"/>
          <w:sz w:val="13"/>
          <w:szCs w:val="13"/>
          <w:u w:val="single" w:color="auto"/>
          <w:color w:val="auto"/>
        </w:rPr>
        <w:t>Share Split</w:t>
      </w:r>
      <w:r>
        <w:rPr>
          <w:rFonts w:ascii="Times New Roman" w:cs="Times New Roman" w:eastAsia="Times New Roman" w:hAnsi="Times New Roman"/>
          <w:sz w:val="13"/>
          <w:szCs w:val="13"/>
          <w:color w:val="auto"/>
        </w:rPr>
        <w:t xml:space="preserve"> ”) with respect to the Common Stock as follows: the adjusted Share Cap as the result of a Share Split shall be the number of shares of Common Stock that is equivalent to the product obtained by multiplying (i) the Share Cap in effect immediately prior to such Share Split by (ii) a fraction, the numerator of which is the number of shares of Common Stock outstanding after giving effect to such Share Split and the denominator of which is the number of shares of Common Stock outstanding immediately prior to such Share Split.</w:t>
      </w:r>
    </w:p>
    <w:p>
      <w:pPr>
        <w:spacing w:after="0" w:line="145" w:lineRule="exact"/>
        <w:rPr>
          <w:sz w:val="20"/>
          <w:szCs w:val="20"/>
          <w:color w:val="auto"/>
        </w:rPr>
      </w:pPr>
    </w:p>
    <w:p>
      <w:pPr>
        <w:ind w:left="600" w:right="740" w:firstLine="612"/>
        <w:spacing w:after="0" w:line="275" w:lineRule="auto"/>
        <w:rPr>
          <w:sz w:val="20"/>
          <w:szCs w:val="20"/>
          <w:color w:val="auto"/>
        </w:rPr>
      </w:pPr>
      <w:r>
        <w:rPr>
          <w:rFonts w:ascii="Times New Roman" w:cs="Times New Roman" w:eastAsia="Times New Roman" w:hAnsi="Times New Roman"/>
          <w:sz w:val="13"/>
          <w:szCs w:val="13"/>
          <w:color w:val="auto"/>
        </w:rPr>
        <w:t xml:space="preserve">For the avoidance of doubt, subject to the immediately succeeding sentence, the aggregate number of shares of Common Stock (or equivalent Alternative Conversion Consideration (as defined below), as applicable) issuable in connection with the exercise of the Change of Control Conversion Right shall not exceed 4,790,100 shares of Common Stock (or equivalent Alternative Conversion Consideration, as applicable), subject to increase to the extent the underwriters’ over-allotment option to purchase additional shares of Series F Preferred Stock in the initial public offering of Series F Preferred Stock is exercised, not to exceed 5,508,615 shares of Common Stock in total (or equivalent Alternative Conversion Consideration, as applicable) (the “ </w:t>
      </w:r>
      <w:r>
        <w:rPr>
          <w:rFonts w:ascii="Times New Roman" w:cs="Times New Roman" w:eastAsia="Times New Roman" w:hAnsi="Times New Roman"/>
          <w:sz w:val="13"/>
          <w:szCs w:val="13"/>
          <w:u w:val="single" w:color="auto"/>
          <w:color w:val="auto"/>
        </w:rPr>
        <w:t>Exchange Cap</w:t>
      </w:r>
      <w:r>
        <w:rPr>
          <w:rFonts w:ascii="Times New Roman" w:cs="Times New Roman" w:eastAsia="Times New Roman" w:hAnsi="Times New Roman"/>
          <w:sz w:val="13"/>
          <w:szCs w:val="13"/>
          <w:color w:val="auto"/>
        </w:rPr>
        <w:t xml:space="preserve"> ”). The Exchange Cap is subject to pro rata adjustments for any Share Splits on the same basis as the corresponding adjustment to the Share Cap.</w:t>
      </w:r>
    </w:p>
    <w:p>
      <w:pPr>
        <w:spacing w:after="0" w:line="133" w:lineRule="exact"/>
        <w:rPr>
          <w:sz w:val="20"/>
          <w:szCs w:val="20"/>
          <w:color w:val="auto"/>
        </w:rPr>
      </w:pPr>
    </w:p>
    <w:p>
      <w:pPr>
        <w:ind w:left="600" w:right="640" w:firstLine="612"/>
        <w:spacing w:after="0" w:line="275" w:lineRule="auto"/>
        <w:rPr>
          <w:sz w:val="20"/>
          <w:szCs w:val="20"/>
          <w:color w:val="auto"/>
        </w:rPr>
      </w:pPr>
      <w:r>
        <w:rPr>
          <w:rFonts w:ascii="Times New Roman" w:cs="Times New Roman" w:eastAsia="Times New Roman" w:hAnsi="Times New Roman"/>
          <w:sz w:val="13"/>
          <w:szCs w:val="13"/>
          <w:color w:val="auto"/>
        </w:rPr>
        <w:t xml:space="preserve">In the case of a Change of Control pursuant to which shares of Common Stock shall be converted into cash, securities or other property or assets (including any combination thereof) (the “ </w:t>
      </w:r>
      <w:r>
        <w:rPr>
          <w:rFonts w:ascii="Times New Roman" w:cs="Times New Roman" w:eastAsia="Times New Roman" w:hAnsi="Times New Roman"/>
          <w:sz w:val="13"/>
          <w:szCs w:val="13"/>
          <w:u w:val="single" w:color="auto"/>
          <w:color w:val="auto"/>
        </w:rPr>
        <w:t>Alternative Form Consideration</w:t>
      </w:r>
      <w:r>
        <w:rPr>
          <w:rFonts w:ascii="Times New Roman" w:cs="Times New Roman" w:eastAsia="Times New Roman" w:hAnsi="Times New Roman"/>
          <w:sz w:val="13"/>
          <w:szCs w:val="13"/>
          <w:color w:val="auto"/>
        </w:rPr>
        <w:t xml:space="preserve"> ”), a holder of shares of Series F Preferred Stock shall receive upon conversion of such shares of Series F Preferred Stock the kind and amount of Alternative Form Consideration which such holder would have owned or been entitled to receive upon the Change of Control had such holder held a number of shares of Common Stock equal to the Common Stock Conversion Consideration immediately prior to the effective time of the Change of Control (the “ </w:t>
      </w:r>
      <w:r>
        <w:rPr>
          <w:rFonts w:ascii="Times New Roman" w:cs="Times New Roman" w:eastAsia="Times New Roman" w:hAnsi="Times New Roman"/>
          <w:sz w:val="13"/>
          <w:szCs w:val="13"/>
          <w:u w:val="single" w:color="auto"/>
          <w:color w:val="auto"/>
        </w:rPr>
        <w:t>Alternative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Conversion Consideration</w:t>
      </w:r>
      <w:r>
        <w:rPr>
          <w:rFonts w:ascii="Times New Roman" w:cs="Times New Roman" w:eastAsia="Times New Roman" w:hAnsi="Times New Roman"/>
          <w:sz w:val="13"/>
          <w:szCs w:val="13"/>
          <w:color w:val="auto"/>
        </w:rPr>
        <w:t xml:space="preserve"> ”; and the Common Stock Conversion Consideration or the Alternative Conversion Consideration, as may be applicable to a Change of Control, shall be referred to herein as the “ </w:t>
      </w:r>
      <w:r>
        <w:rPr>
          <w:rFonts w:ascii="Times New Roman" w:cs="Times New Roman" w:eastAsia="Times New Roman" w:hAnsi="Times New Roman"/>
          <w:sz w:val="13"/>
          <w:szCs w:val="13"/>
          <w:u w:val="single" w:color="auto"/>
          <w:color w:val="auto"/>
        </w:rPr>
        <w:t>Conversion Consideration</w:t>
      </w:r>
      <w:r>
        <w:rPr>
          <w:rFonts w:ascii="Times New Roman" w:cs="Times New Roman" w:eastAsia="Times New Roman" w:hAnsi="Times New Roman"/>
          <w:sz w:val="13"/>
          <w:szCs w:val="13"/>
          <w:color w:val="auto"/>
        </w:rPr>
        <w:t xml:space="preserve"> ”).</w:t>
      </w:r>
    </w:p>
    <w:p>
      <w:pPr>
        <w:spacing w:after="0" w:line="145" w:lineRule="exact"/>
        <w:rPr>
          <w:sz w:val="20"/>
          <w:szCs w:val="20"/>
          <w:color w:val="auto"/>
        </w:rPr>
      </w:pPr>
    </w:p>
    <w:p>
      <w:pPr>
        <w:ind w:left="600" w:right="640" w:firstLine="612"/>
        <w:spacing w:after="0" w:line="276" w:lineRule="auto"/>
        <w:rPr>
          <w:sz w:val="20"/>
          <w:szCs w:val="20"/>
          <w:color w:val="auto"/>
        </w:rPr>
      </w:pPr>
      <w:r>
        <w:rPr>
          <w:rFonts w:ascii="Times New Roman" w:cs="Times New Roman" w:eastAsia="Times New Roman" w:hAnsi="Times New Roman"/>
          <w:sz w:val="13"/>
          <w:szCs w:val="13"/>
          <w:color w:val="auto"/>
        </w:rPr>
        <w:t>In the event that holders of Common Stock have the opportunity to elect the form of consideration to be received in the Change of Control, the Conversion Consideration will be deemed to be the kind and amount of consideration actually received by holders of a majority of the Common Stock that voted for such an election (if electing between two types of consideration) or holders of a plurality of the Common Stock that voted for such an election (if electing between more than two types of consideration), as the case may be, and will be subject to any limitations to which all holders of Common Stock are subject, including, without limitation, pro rata reductions applicable to any portion of the consideration payable in the Change of Control.</w:t>
      </w:r>
    </w:p>
    <w:p>
      <w:pPr>
        <w:spacing w:after="0" w:line="145" w:lineRule="exact"/>
        <w:rPr>
          <w:sz w:val="20"/>
          <w:szCs w:val="20"/>
          <w:color w:val="auto"/>
        </w:rPr>
      </w:pPr>
    </w:p>
    <w:p>
      <w:pPr>
        <w:ind w:left="600" w:right="700" w:firstLine="612"/>
        <w:spacing w:after="0" w:line="287" w:lineRule="auto"/>
        <w:rPr>
          <w:sz w:val="20"/>
          <w:szCs w:val="20"/>
          <w:color w:val="auto"/>
        </w:rPr>
      </w:pPr>
      <w:r>
        <w:rPr>
          <w:rFonts w:ascii="Times New Roman" w:cs="Times New Roman" w:eastAsia="Times New Roman" w:hAnsi="Times New Roman"/>
          <w:sz w:val="13"/>
          <w:szCs w:val="13"/>
          <w:color w:val="auto"/>
        </w:rPr>
        <w:t xml:space="preserve">The “ </w:t>
      </w:r>
      <w:r>
        <w:rPr>
          <w:rFonts w:ascii="Times New Roman" w:cs="Times New Roman" w:eastAsia="Times New Roman" w:hAnsi="Times New Roman"/>
          <w:sz w:val="13"/>
          <w:szCs w:val="13"/>
          <w:u w:val="single" w:color="auto"/>
          <w:color w:val="auto"/>
        </w:rPr>
        <w:t>Change of Control Conversion Date</w:t>
      </w:r>
      <w:r>
        <w:rPr>
          <w:rFonts w:ascii="Times New Roman" w:cs="Times New Roman" w:eastAsia="Times New Roman" w:hAnsi="Times New Roman"/>
          <w:sz w:val="13"/>
          <w:szCs w:val="13"/>
          <w:color w:val="auto"/>
        </w:rPr>
        <w:t xml:space="preserve"> ” shall be a Business Day set forth in the notice of Change of Control provided in accordance with Section 8(c) below that is no less than 20 days nor more than 35 days after the date on which the Company provides such notice pursuant to Section 8(c).</w:t>
      </w:r>
    </w:p>
    <w:p>
      <w:pPr>
        <w:spacing w:after="0" w:line="136" w:lineRule="exact"/>
        <w:rPr>
          <w:sz w:val="20"/>
          <w:szCs w:val="20"/>
          <w:color w:val="auto"/>
        </w:rPr>
      </w:pPr>
    </w:p>
    <w:p>
      <w:pPr>
        <w:ind w:left="600" w:right="640" w:firstLine="612"/>
        <w:spacing w:after="0" w:line="274" w:lineRule="auto"/>
        <w:rPr>
          <w:sz w:val="20"/>
          <w:szCs w:val="20"/>
          <w:color w:val="auto"/>
        </w:rPr>
      </w:pPr>
      <w:r>
        <w:rPr>
          <w:rFonts w:ascii="Times New Roman" w:cs="Times New Roman" w:eastAsia="Times New Roman" w:hAnsi="Times New Roman"/>
          <w:sz w:val="13"/>
          <w:szCs w:val="13"/>
          <w:color w:val="auto"/>
        </w:rPr>
        <w:t xml:space="preserve">The “ </w:t>
      </w:r>
      <w:r>
        <w:rPr>
          <w:rFonts w:ascii="Times New Roman" w:cs="Times New Roman" w:eastAsia="Times New Roman" w:hAnsi="Times New Roman"/>
          <w:sz w:val="13"/>
          <w:szCs w:val="13"/>
          <w:u w:val="single" w:color="auto"/>
          <w:color w:val="auto"/>
        </w:rPr>
        <w:t>Common Stock Price</w:t>
      </w:r>
      <w:r>
        <w:rPr>
          <w:rFonts w:ascii="Times New Roman" w:cs="Times New Roman" w:eastAsia="Times New Roman" w:hAnsi="Times New Roman"/>
          <w:sz w:val="13"/>
          <w:szCs w:val="13"/>
          <w:color w:val="auto"/>
        </w:rPr>
        <w:t xml:space="preserve"> ” shall be (i) if the consideration to be received in the Change of Control by the holders of Common Stock is solely cash, the amount of cash consideration per share of Common Stock or (ii) if the consideration to be received in the Change of Control by holders of Common Stock is other than solely cash (x) the average of the closing sale prices per share of Common Stock (or, if no closing sale price is reported, the average of the closing bid and ask prices or, if more than one in either case, the average of the average closing bid and the average closing ask prices) for the ten consecutive trading days immediately preceding, but not including, the effective date of the Change of Control as reported on the principal U.S. securities exchange on which the Common Stock is then traded, or (y) the average of the last quoted bid prices for the Common Stock in the over-the-counter market as reported by Pink Sheets LLC or similar organization for the ten consecutive trading days immediately preceding, but not including, the effective date of the Change of Control, if the Common Stock is not then listed for trading on a</w:t>
      </w:r>
    </w:p>
    <w:p>
      <w:pPr>
        <w:spacing w:after="0" w:line="15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U.S. securities exchange.</w:t>
      </w:r>
    </w:p>
    <w:p>
      <w:pPr>
        <w:spacing w:after="0" w:line="3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125730</wp:posOffset>
            </wp:positionV>
            <wp:extent cx="4436110" cy="1524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617">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575310</wp:posOffset>
            </wp:positionV>
            <wp:extent cx="5083810" cy="1524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618">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45" w:name="page346"/>
    <w:bookmarkEnd w:id="345"/>
    <w:p>
      <w:pPr>
        <w:ind w:left="600" w:right="1000" w:firstLine="306"/>
        <w:spacing w:after="0" w:line="305" w:lineRule="auto"/>
        <w:tabs>
          <w:tab w:leader="none" w:pos="1092" w:val="left"/>
        </w:tabs>
        <w:numPr>
          <w:ilvl w:val="1"/>
          <w:numId w:val="3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fractional shares of Common Stock shall be issued upon the conversion of Series F Preferred Stock. In lieu of fractional shares, holders shall be entitled to receive the cash value of such fractional shares based on the Common Stock Price.</w:t>
      </w:r>
    </w:p>
    <w:p>
      <w:pPr>
        <w:spacing w:after="0" w:line="124" w:lineRule="exact"/>
        <w:rPr>
          <w:rFonts w:ascii="Times New Roman" w:cs="Times New Roman" w:eastAsia="Times New Roman" w:hAnsi="Times New Roman"/>
          <w:sz w:val="13"/>
          <w:szCs w:val="13"/>
          <w:color w:val="auto"/>
        </w:rPr>
      </w:pPr>
    </w:p>
    <w:p>
      <w:pPr>
        <w:ind w:left="600" w:right="600" w:firstLine="306"/>
        <w:spacing w:after="0" w:line="270" w:lineRule="auto"/>
        <w:tabs>
          <w:tab w:leader="none" w:pos="1080" w:val="left"/>
        </w:tabs>
        <w:numPr>
          <w:ilvl w:val="1"/>
          <w:numId w:val="3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Within 15 days following the occurrence of a Change of Control, a notice of occurrence of the Change of Control, describing the resulting Change of Control Conversion Right, shall be delivered to the holders of record of the shares of Series F Preferred Stock at their addresses as they appear on the Company’s share transfer records and notice shall be provided to the Company’s transfer agent. No failure to give such notice or any defect thereto or in the mailing thereof shall affect the validity of the proceedings for the conversion of any share of Series F Preferred Stock except as to the holder to whom notice was defective or not given. Each notice shall state: (i) the events constituting the Change of Control; (ii) the date of the Change of Control; (iii) the last date on which the holders of Series F Preferred Stock may exercise their Change of Control Conversion Right; (iv) the method and period for calculating the Common Stock Price; (v) the Change of Control Conversion Date, which shall be a Business Day occurring within 20 to 35 days following the date of such notice; (vi) that if, prior to the Change of Control Conversion Date, the Company has provided or provides notice of its election to redeem all or any portion of the Series F Preferred Stock, the holder will not be able to convert shares of Series F Preferred Stock designated for redemption and such shares of Series F Preferred Stock shall be redeemed on the related redemption date, even if they have already been tendered for conversion pursuant to the Change of Control Conversion Right; (vii) if applicable, the type and amount of Alternative Conversion Consideration entitled to be received per share of Series F Preferred Stock; (viii) the name and address of the paying agent and the conversion agent; and</w:t>
      </w:r>
    </w:p>
    <w:p>
      <w:pPr>
        <w:ind w:left="820" w:hanging="226"/>
        <w:spacing w:after="0"/>
        <w:tabs>
          <w:tab w:leader="none" w:pos="820" w:val="left"/>
        </w:tabs>
        <w:numPr>
          <w:ilvl w:val="0"/>
          <w:numId w:val="3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procedures that the holders of Series F Preferred Stock must follow to exercise the Change of Control Conversion Right.</w:t>
      </w:r>
    </w:p>
    <w:p>
      <w:pPr>
        <w:spacing w:after="0" w:line="160" w:lineRule="exact"/>
        <w:rPr>
          <w:rFonts w:ascii="Times New Roman" w:cs="Times New Roman" w:eastAsia="Times New Roman" w:hAnsi="Times New Roman"/>
          <w:sz w:val="13"/>
          <w:szCs w:val="13"/>
          <w:color w:val="auto"/>
        </w:rPr>
      </w:pPr>
    </w:p>
    <w:p>
      <w:pPr>
        <w:ind w:left="600" w:right="600" w:firstLine="306"/>
        <w:spacing w:after="0" w:line="278" w:lineRule="auto"/>
        <w:tabs>
          <w:tab w:leader="none" w:pos="1092" w:val="left"/>
        </w:tabs>
        <w:numPr>
          <w:ilvl w:val="1"/>
          <w:numId w:val="3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issue a press release for publication on the Dow Jones &amp; Company, Inc., Business Wire, PR Newswire or Bloomberg Business News (or, if such organizations are not in existence at the time of issuance of such press release, such other news or press organization as is reasonably calculated to broadly disseminate the relevant information to the public), or post notice on the Company’s website, in any event prior to the opening of business on the first Business Day following any date on which the Company provides notice pursuant to Section 8(c) above to the holders of Series F Preferred Stock.</w:t>
      </w:r>
    </w:p>
    <w:p>
      <w:pPr>
        <w:spacing w:after="0" w:line="142" w:lineRule="exact"/>
        <w:rPr>
          <w:rFonts w:ascii="Times New Roman" w:cs="Times New Roman" w:eastAsia="Times New Roman" w:hAnsi="Times New Roman"/>
          <w:sz w:val="13"/>
          <w:szCs w:val="13"/>
          <w:color w:val="auto"/>
        </w:rPr>
      </w:pPr>
    </w:p>
    <w:p>
      <w:pPr>
        <w:jc w:val="both"/>
        <w:ind w:left="600" w:right="680" w:firstLine="306"/>
        <w:spacing w:after="0" w:line="271" w:lineRule="auto"/>
        <w:tabs>
          <w:tab w:leader="none" w:pos="1080" w:val="left"/>
        </w:tabs>
        <w:numPr>
          <w:ilvl w:val="1"/>
          <w:numId w:val="3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order to exercise the Change of Control Conversion Right, a holder of shares of Series F Preferred Stock shall be required to deliver, on or before the close of business on the Change of Control Conversion Date, the certificates (if any) representing the shares of Series F Preferred Stock to be converted, duly endorsed for transfer, together with a written conversion notice completed, to the Company’s transfer agent. Such notice shall state: (i) the relevant Change of Control Conversion Date;</w:t>
      </w:r>
    </w:p>
    <w:p>
      <w:pPr>
        <w:ind w:left="600" w:right="680" w:hanging="6"/>
        <w:spacing w:after="0" w:line="284" w:lineRule="auto"/>
        <w:tabs>
          <w:tab w:leader="none" w:pos="794" w:val="left"/>
        </w:tabs>
        <w:numPr>
          <w:ilvl w:val="0"/>
          <w:numId w:val="3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number of shares of Series F Preferred Stock to be converted; and (iii) that the shares of Series F Preferred Stock are to be converted pursuant to the applicable provisions of these Articles Supplementary. Notwithstanding the foregoing, if the shares of Series F Preferred Stock are held in global form, such notice shall comply with applicable procedures of The Depository Trust Company (“ </w:t>
      </w:r>
      <w:r>
        <w:rPr>
          <w:rFonts w:ascii="Times New Roman" w:cs="Times New Roman" w:eastAsia="Times New Roman" w:hAnsi="Times New Roman"/>
          <w:sz w:val="13"/>
          <w:szCs w:val="13"/>
          <w:u w:val="single" w:color="auto"/>
          <w:color w:val="auto"/>
        </w:rPr>
        <w:t>DTC</w:t>
      </w:r>
      <w:r>
        <w:rPr>
          <w:rFonts w:ascii="Times New Roman" w:cs="Times New Roman" w:eastAsia="Times New Roman" w:hAnsi="Times New Roman"/>
          <w:sz w:val="13"/>
          <w:szCs w:val="13"/>
          <w:color w:val="auto"/>
        </w:rPr>
        <w:t xml:space="preserve"> ”).</w:t>
      </w:r>
    </w:p>
    <w:p>
      <w:pPr>
        <w:spacing w:after="0" w:line="137" w:lineRule="exact"/>
        <w:rPr>
          <w:rFonts w:ascii="Times New Roman" w:cs="Times New Roman" w:eastAsia="Times New Roman" w:hAnsi="Times New Roman"/>
          <w:sz w:val="13"/>
          <w:szCs w:val="13"/>
          <w:color w:val="auto"/>
        </w:rPr>
      </w:pPr>
    </w:p>
    <w:p>
      <w:pPr>
        <w:ind w:left="600" w:right="620" w:firstLine="306"/>
        <w:spacing w:after="0" w:line="276" w:lineRule="auto"/>
        <w:tabs>
          <w:tab w:leader="none" w:pos="1068" w:val="left"/>
        </w:tabs>
        <w:numPr>
          <w:ilvl w:val="1"/>
          <w:numId w:val="3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Holders of Series F Preferred Stock may withdraw any notice of exercise of a Change of Control Conversion Right (in whole or in part) by a written notice of withdrawal delivered to the Company’s transfer agent prior to the close of business on the Business Day prior to the Change of Control Conversion Date. The notice of withdrawal must state: (i) the number of withdrawn shares of Series F Preferred Stock; (ii) if certificated shares of Series F Preferred Stock have been issued, the certificate numbers of the shares of withdrawn Series F Preferred Stock; and (iii) the number of shares of Series F Preferred Stock, if any, which remain subject to the conversion notice. Notwithstanding the foregoing, if the shares of Series F Preferred Stock are held in global form, the notice of withdrawal shall comply with applicable procedures of DTC.</w:t>
      </w:r>
    </w:p>
    <w:p>
      <w:pPr>
        <w:spacing w:after="0" w:line="3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125730</wp:posOffset>
            </wp:positionV>
            <wp:extent cx="4436110" cy="762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619">
                      <a:extLst>
                        <a:ext uri="{28A0092B-C50C-407E-A947-70E740481C1C}"/>
                      </a:extLst>
                    </a:blip>
                    <a:srcRect/>
                    <a:stretch>
                      <a:fillRect/>
                    </a:stretch>
                  </pic:blipFill>
                  <pic:spPr bwMode="auto">
                    <a:xfrm>
                      <a:off x="0" y="0"/>
                      <a:ext cx="4436110"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567690</wp:posOffset>
            </wp:positionV>
            <wp:extent cx="5083810" cy="1524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620">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46" w:name="page347"/>
    <w:bookmarkEnd w:id="346"/>
    <w:p>
      <w:pPr>
        <w:ind w:left="600" w:right="640" w:firstLine="306"/>
        <w:spacing w:after="0" w:line="274" w:lineRule="auto"/>
        <w:tabs>
          <w:tab w:leader="none" w:pos="1092" w:val="left"/>
        </w:tabs>
        <w:numPr>
          <w:ilvl w:val="0"/>
          <w:numId w:val="3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Shares of Series F Preferred Stock as to which the Change of Control Conversion Right has been properly exercised and for which the conversion notice has not been properly withdrawn shall be converted into the applicable Conversion Consideration in accordance with the Change of Control Conversion Right on the Change of Control Conversion Date, unless, prior to the Change of Control Conversion Date, the Company has provided or provides notice of its election to redeem such shares of Series F Preferred Stock, whether pursuant to its Redemption Right or Special Optional Redemption Right. If the Company elects to redeem shares of Series F Preferred Stock that would otherwise be converted into the applicable Conversion Consideration on a Change of Control Conversion Date, such shares of Series F Preferred Stock shall not be so converted and the holders of such shares shall be entitled to receive on the applicable redemption date $25.00 per share, plus any accrued and unpaid dividends thereon to, but not including, the redemption date.</w:t>
      </w:r>
    </w:p>
    <w:p>
      <w:pPr>
        <w:spacing w:after="0" w:line="135" w:lineRule="exact"/>
        <w:rPr>
          <w:rFonts w:ascii="Times New Roman" w:cs="Times New Roman" w:eastAsia="Times New Roman" w:hAnsi="Times New Roman"/>
          <w:sz w:val="13"/>
          <w:szCs w:val="13"/>
          <w:color w:val="auto"/>
        </w:rPr>
      </w:pPr>
    </w:p>
    <w:p>
      <w:pPr>
        <w:ind w:left="600" w:right="1020" w:firstLine="306"/>
        <w:spacing w:after="0" w:line="305" w:lineRule="auto"/>
        <w:tabs>
          <w:tab w:leader="none" w:pos="1092" w:val="left"/>
        </w:tabs>
        <w:numPr>
          <w:ilvl w:val="0"/>
          <w:numId w:val="3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deliver the applicable Conversion Consideration no later than the third Business Day following the Change of Control Conversion Date.</w:t>
      </w:r>
    </w:p>
    <w:p>
      <w:pPr>
        <w:spacing w:after="0" w:line="124" w:lineRule="exact"/>
        <w:rPr>
          <w:rFonts w:ascii="Times New Roman" w:cs="Times New Roman" w:eastAsia="Times New Roman" w:hAnsi="Times New Roman"/>
          <w:sz w:val="13"/>
          <w:szCs w:val="13"/>
          <w:color w:val="auto"/>
        </w:rPr>
      </w:pPr>
    </w:p>
    <w:p>
      <w:pPr>
        <w:ind w:left="600" w:right="620" w:firstLine="306"/>
        <w:spacing w:after="0" w:line="278" w:lineRule="auto"/>
        <w:tabs>
          <w:tab w:leader="none" w:pos="1068" w:val="left"/>
        </w:tabs>
        <w:numPr>
          <w:ilvl w:val="0"/>
          <w:numId w:val="3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anything to the contrary contained herein, no holder of shares of Series F Preferred Stock will be entitled to convert such shares of Series F Preferred Stock into shares of Common Stock to the extent that receipt of such shares of Common Stock would cause the holder of such shares of Common Stock (or any other person) to have actual ownership, Beneficial Ownership or Constructive Ownership (each as defined in Section 9(a)) in excess of the Ownership Limit (as defined in Section 9(a)), the Aggregate Stock Ownership Limit (as defined in Section 9(a)), or such other limit as permitted by the Board of Directors or the Committee pursuant to Section 9(i).</w:t>
      </w:r>
    </w:p>
    <w:p>
      <w:pPr>
        <w:spacing w:after="0" w:line="14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Section 9. </w:t>
      </w:r>
      <w:r>
        <w:rPr>
          <w:rFonts w:ascii="Times New Roman" w:cs="Times New Roman" w:eastAsia="Times New Roman" w:hAnsi="Times New Roman"/>
          <w:sz w:val="13"/>
          <w:szCs w:val="13"/>
          <w:u w:val="single" w:color="auto"/>
          <w:color w:val="auto"/>
        </w:rPr>
        <w:t>Restrictions on Ownership and Transfer to Preserve Tax Benefit</w:t>
      </w:r>
      <w:r>
        <w:rPr>
          <w:rFonts w:ascii="Times New Roman" w:cs="Times New Roman" w:eastAsia="Times New Roman" w:hAnsi="Times New Roman"/>
          <w:sz w:val="13"/>
          <w:szCs w:val="13"/>
          <w:color w:val="auto"/>
        </w:rPr>
        <w:t xml:space="preserve"> .</w:t>
      </w:r>
    </w:p>
    <w:p>
      <w:pPr>
        <w:spacing w:after="0" w:line="187" w:lineRule="exact"/>
        <w:rPr>
          <w:sz w:val="20"/>
          <w:szCs w:val="20"/>
          <w:color w:val="auto"/>
        </w:rPr>
      </w:pPr>
    </w:p>
    <w:p>
      <w:pPr>
        <w:ind w:left="600" w:right="1080" w:firstLine="312"/>
        <w:spacing w:after="0" w:line="305" w:lineRule="auto"/>
        <w:rPr>
          <w:sz w:val="20"/>
          <w:szCs w:val="20"/>
          <w:color w:val="auto"/>
        </w:rPr>
      </w:pPr>
      <w:r>
        <w:rPr>
          <w:rFonts w:ascii="Times New Roman" w:cs="Times New Roman" w:eastAsia="Times New Roman" w:hAnsi="Times New Roman"/>
          <w:sz w:val="13"/>
          <w:szCs w:val="13"/>
          <w:color w:val="auto"/>
        </w:rPr>
        <w:t xml:space="preserve">(a) </w:t>
      </w:r>
      <w:r>
        <w:rPr>
          <w:rFonts w:ascii="Times New Roman" w:cs="Times New Roman" w:eastAsia="Times New Roman" w:hAnsi="Times New Roman"/>
          <w:sz w:val="13"/>
          <w:szCs w:val="13"/>
          <w:u w:val="single" w:color="auto"/>
          <w:color w:val="auto"/>
        </w:rPr>
        <w:t>Definitions</w:t>
      </w:r>
      <w:r>
        <w:rPr>
          <w:rFonts w:ascii="Times New Roman" w:cs="Times New Roman" w:eastAsia="Times New Roman" w:hAnsi="Times New Roman"/>
          <w:sz w:val="13"/>
          <w:szCs w:val="13"/>
          <w:color w:val="auto"/>
        </w:rPr>
        <w:t xml:space="preserve"> . For the purposes of Section 5 and this Section 9 of these Articles Supplementary, the following terms shall have the following meanings:</w:t>
      </w:r>
    </w:p>
    <w:p>
      <w:pPr>
        <w:spacing w:after="0" w:line="12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Aggregate Stock Ownership Limit</w:t>
      </w:r>
      <w:r>
        <w:rPr>
          <w:rFonts w:ascii="Times New Roman" w:cs="Times New Roman" w:eastAsia="Times New Roman" w:hAnsi="Times New Roman"/>
          <w:sz w:val="13"/>
          <w:szCs w:val="13"/>
          <w:color w:val="auto"/>
        </w:rPr>
        <w:t xml:space="preserve"> ” has the meaning set forth in Article 6 of the Charter.</w:t>
      </w:r>
    </w:p>
    <w:p>
      <w:pPr>
        <w:spacing w:after="0" w:line="186" w:lineRule="exact"/>
        <w:rPr>
          <w:sz w:val="20"/>
          <w:szCs w:val="20"/>
          <w:color w:val="auto"/>
        </w:rPr>
      </w:pPr>
    </w:p>
    <w:p>
      <w:pPr>
        <w:ind w:left="900" w:right="740" w:firstLine="312"/>
        <w:spacing w:after="0" w:line="281"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Beneficial Ownership</w:t>
      </w:r>
      <w:r>
        <w:rPr>
          <w:rFonts w:ascii="Times New Roman" w:cs="Times New Roman" w:eastAsia="Times New Roman" w:hAnsi="Times New Roman"/>
          <w:sz w:val="13"/>
          <w:szCs w:val="13"/>
          <w:color w:val="auto"/>
        </w:rPr>
        <w:t xml:space="preserve"> ” shall mean ownership of Series F Preferred Stock by a Person who is or would be treated as an owner of such Series F Preferred Stock either actually or constructively through the application of Section 544 of the Code, as modified by Sections 856(h)(1)(B) and 856(h)(3) of the Code. The terms “ </w:t>
      </w:r>
      <w:r>
        <w:rPr>
          <w:rFonts w:ascii="Times New Roman" w:cs="Times New Roman" w:eastAsia="Times New Roman" w:hAnsi="Times New Roman"/>
          <w:sz w:val="13"/>
          <w:szCs w:val="13"/>
          <w:u w:val="single" w:color="auto"/>
          <w:color w:val="auto"/>
        </w:rPr>
        <w:t>Beneficial Owner</w:t>
      </w:r>
      <w:r>
        <w:rPr>
          <w:rFonts w:ascii="Times New Roman" w:cs="Times New Roman" w:eastAsia="Times New Roman" w:hAnsi="Times New Roman"/>
          <w:sz w:val="13"/>
          <w:szCs w:val="13"/>
          <w:color w:val="auto"/>
        </w:rPr>
        <w:t xml:space="preserve"> ,” “ </w:t>
      </w:r>
      <w:r>
        <w:rPr>
          <w:rFonts w:ascii="Times New Roman" w:cs="Times New Roman" w:eastAsia="Times New Roman" w:hAnsi="Times New Roman"/>
          <w:sz w:val="13"/>
          <w:szCs w:val="13"/>
          <w:u w:val="single" w:color="auto"/>
          <w:color w:val="auto"/>
        </w:rPr>
        <w:t>Beneficially Owns</w:t>
      </w:r>
      <w:r>
        <w:rPr>
          <w:rFonts w:ascii="Times New Roman" w:cs="Times New Roman" w:eastAsia="Times New Roman" w:hAnsi="Times New Roman"/>
          <w:sz w:val="13"/>
          <w:szCs w:val="13"/>
          <w:color w:val="auto"/>
        </w:rPr>
        <w:t xml:space="preserve"> ” and “ </w:t>
      </w:r>
      <w:r>
        <w:rPr>
          <w:rFonts w:ascii="Times New Roman" w:cs="Times New Roman" w:eastAsia="Times New Roman" w:hAnsi="Times New Roman"/>
          <w:sz w:val="13"/>
          <w:szCs w:val="13"/>
          <w:u w:val="single" w:color="auto"/>
          <w:color w:val="auto"/>
        </w:rPr>
        <w:t>Beneficially Owned</w:t>
      </w:r>
      <w:r>
        <w:rPr>
          <w:rFonts w:ascii="Times New Roman" w:cs="Times New Roman" w:eastAsia="Times New Roman" w:hAnsi="Times New Roman"/>
          <w:sz w:val="13"/>
          <w:szCs w:val="13"/>
          <w:color w:val="auto"/>
        </w:rPr>
        <w:t xml:space="preserve"> ” shall have the correlative meanings.</w:t>
      </w:r>
    </w:p>
    <w:p>
      <w:pPr>
        <w:spacing w:after="0" w:line="14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Capital Stock</w:t>
      </w:r>
      <w:r>
        <w:rPr>
          <w:rFonts w:ascii="Times New Roman" w:cs="Times New Roman" w:eastAsia="Times New Roman" w:hAnsi="Times New Roman"/>
          <w:sz w:val="13"/>
          <w:szCs w:val="13"/>
          <w:color w:val="auto"/>
        </w:rPr>
        <w:t xml:space="preserve"> ” has the meaning set forth in Article 6 of the Charter.</w:t>
      </w:r>
    </w:p>
    <w:p>
      <w:pPr>
        <w:spacing w:after="0" w:line="187" w:lineRule="exact"/>
        <w:rPr>
          <w:sz w:val="20"/>
          <w:szCs w:val="20"/>
          <w:color w:val="auto"/>
        </w:rPr>
      </w:pPr>
    </w:p>
    <w:p>
      <w:pPr>
        <w:ind w:left="900" w:right="620" w:firstLine="312"/>
        <w:spacing w:after="0" w:line="272"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Charitable Beneficiary</w:t>
      </w:r>
      <w:r>
        <w:rPr>
          <w:rFonts w:ascii="Times New Roman" w:cs="Times New Roman" w:eastAsia="Times New Roman" w:hAnsi="Times New Roman"/>
          <w:sz w:val="13"/>
          <w:szCs w:val="13"/>
          <w:color w:val="auto"/>
        </w:rPr>
        <w:t xml:space="preserve"> ” shall mean one or more beneficiaries of a Trust, as determined pursuant to Section 9(c)(vi) of these Articles Supplementary, each of which shall be an organization described in Sections 170(b)(1)(A), 170(c)(2) and 501(c)</w:t>
      </w:r>
    </w:p>
    <w:p>
      <w:pPr>
        <w:spacing w:after="0" w:line="1" w:lineRule="exact"/>
        <w:rPr>
          <w:sz w:val="20"/>
          <w:szCs w:val="20"/>
          <w:color w:val="auto"/>
        </w:rPr>
      </w:pPr>
    </w:p>
    <w:p>
      <w:pPr>
        <w:ind w:left="1100" w:hanging="194"/>
        <w:spacing w:after="0"/>
        <w:tabs>
          <w:tab w:leader="none" w:pos="1100" w:val="left"/>
        </w:tabs>
        <w:numPr>
          <w:ilvl w:val="0"/>
          <w:numId w:val="3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of the Code.</w:t>
      </w:r>
    </w:p>
    <w:p>
      <w:pPr>
        <w:spacing w:after="0" w:line="171" w:lineRule="exact"/>
        <w:rPr>
          <w:rFonts w:ascii="Times New Roman" w:cs="Times New Roman" w:eastAsia="Times New Roman" w:hAnsi="Times New Roman"/>
          <w:sz w:val="13"/>
          <w:szCs w:val="13"/>
          <w:color w:val="auto"/>
        </w:rPr>
      </w:pPr>
    </w:p>
    <w:p>
      <w:pPr>
        <w:ind w:left="900" w:right="800" w:firstLine="312"/>
        <w:spacing w:after="0" w:line="305"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Code</w:t>
      </w:r>
      <w:r>
        <w:rPr>
          <w:rFonts w:ascii="Times New Roman" w:cs="Times New Roman" w:eastAsia="Times New Roman" w:hAnsi="Times New Roman"/>
          <w:sz w:val="13"/>
          <w:szCs w:val="13"/>
          <w:color w:val="auto"/>
        </w:rPr>
        <w:t xml:space="preserve"> ” shall mean the Internal Revenue Code of 1986, as amended. All section references to the Code shall include any successor provisions thereof as may be adopted from time to time.</w:t>
      </w:r>
    </w:p>
    <w:p>
      <w:pPr>
        <w:spacing w:after="0" w:line="124" w:lineRule="exact"/>
        <w:rPr>
          <w:rFonts w:ascii="Times New Roman" w:cs="Times New Roman" w:eastAsia="Times New Roman" w:hAnsi="Times New Roman"/>
          <w:sz w:val="13"/>
          <w:szCs w:val="13"/>
          <w:color w:val="auto"/>
        </w:rPr>
      </w:pPr>
    </w:p>
    <w:p>
      <w:pPr>
        <w:ind w:left="900" w:right="680" w:firstLine="312"/>
        <w:spacing w:after="0" w:line="281"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Constructive Ownership</w:t>
      </w:r>
      <w:r>
        <w:rPr>
          <w:rFonts w:ascii="Times New Roman" w:cs="Times New Roman" w:eastAsia="Times New Roman" w:hAnsi="Times New Roman"/>
          <w:sz w:val="13"/>
          <w:szCs w:val="13"/>
          <w:color w:val="auto"/>
        </w:rPr>
        <w:t xml:space="preserve"> ” shall mean ownership of Series F Preferred Stock by a Person who is or would be treated as an owner of such Series F Preferred Stock either actually or constructively through the application of Section 318 of the Code, as modified by Section 856(d)(5) of the Code. The terms “ </w:t>
      </w:r>
      <w:r>
        <w:rPr>
          <w:rFonts w:ascii="Times New Roman" w:cs="Times New Roman" w:eastAsia="Times New Roman" w:hAnsi="Times New Roman"/>
          <w:sz w:val="13"/>
          <w:szCs w:val="13"/>
          <w:u w:val="single" w:color="auto"/>
          <w:color w:val="auto"/>
        </w:rPr>
        <w:t>Constructive Owner</w:t>
      </w:r>
      <w:r>
        <w:rPr>
          <w:rFonts w:ascii="Times New Roman" w:cs="Times New Roman" w:eastAsia="Times New Roman" w:hAnsi="Times New Roman"/>
          <w:sz w:val="13"/>
          <w:szCs w:val="13"/>
          <w:color w:val="auto"/>
        </w:rPr>
        <w:t xml:space="preserve"> ,” “ </w:t>
      </w:r>
      <w:r>
        <w:rPr>
          <w:rFonts w:ascii="Times New Roman" w:cs="Times New Roman" w:eastAsia="Times New Roman" w:hAnsi="Times New Roman"/>
          <w:sz w:val="13"/>
          <w:szCs w:val="13"/>
          <w:u w:val="single" w:color="auto"/>
          <w:color w:val="auto"/>
        </w:rPr>
        <w:t>Constructively Owns</w:t>
      </w:r>
      <w:r>
        <w:rPr>
          <w:rFonts w:ascii="Times New Roman" w:cs="Times New Roman" w:eastAsia="Times New Roman" w:hAnsi="Times New Roman"/>
          <w:sz w:val="13"/>
          <w:szCs w:val="13"/>
          <w:color w:val="auto"/>
        </w:rPr>
        <w:t xml:space="preserve"> ” and “ </w:t>
      </w:r>
      <w:r>
        <w:rPr>
          <w:rFonts w:ascii="Times New Roman" w:cs="Times New Roman" w:eastAsia="Times New Roman" w:hAnsi="Times New Roman"/>
          <w:sz w:val="13"/>
          <w:szCs w:val="13"/>
          <w:u w:val="single" w:color="auto"/>
          <w:color w:val="auto"/>
        </w:rPr>
        <w:t>Constructively Owned</w:t>
      </w:r>
      <w:r>
        <w:rPr>
          <w:rFonts w:ascii="Times New Roman" w:cs="Times New Roman" w:eastAsia="Times New Roman" w:hAnsi="Times New Roman"/>
          <w:sz w:val="13"/>
          <w:szCs w:val="13"/>
          <w:color w:val="auto"/>
        </w:rPr>
        <w:t xml:space="preserve"> ” shall have the correlative meanings.</w:t>
      </w:r>
    </w:p>
    <w:p>
      <w:pPr>
        <w:spacing w:after="0" w:line="140" w:lineRule="exact"/>
        <w:rPr>
          <w:sz w:val="20"/>
          <w:szCs w:val="20"/>
          <w:color w:val="auto"/>
        </w:rPr>
      </w:pPr>
    </w:p>
    <w:p>
      <w:pPr>
        <w:ind w:left="900" w:right="720" w:firstLine="312"/>
        <w:spacing w:after="0" w:line="281"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Individual</w:t>
      </w:r>
      <w:r>
        <w:rPr>
          <w:rFonts w:ascii="Times New Roman" w:cs="Times New Roman" w:eastAsia="Times New Roman" w:hAnsi="Times New Roman"/>
          <w:sz w:val="13"/>
          <w:szCs w:val="13"/>
          <w:color w:val="auto"/>
        </w:rPr>
        <w:t xml:space="preserve"> ” means an individual, a trust qualified under Section 401(a) or 501(c)(17) of the Code, a portion of a trust permanently set aside for or to be used exclusively for the purposes described in Section 642(c) of the Code, or a private foundation within the meaning of Section 509(a) of the Code, provided that a trust described in Section 401(a) of the Code and exempt from tax under Section 501(a) of the Code shall be excluded from this definition.</w:t>
      </w:r>
    </w:p>
    <w:p>
      <w:pPr>
        <w:spacing w:after="0" w:line="14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IRS</w:t>
      </w:r>
      <w:r>
        <w:rPr>
          <w:rFonts w:ascii="Times New Roman" w:cs="Times New Roman" w:eastAsia="Times New Roman" w:hAnsi="Times New Roman"/>
          <w:sz w:val="13"/>
          <w:szCs w:val="13"/>
          <w:color w:val="auto"/>
        </w:rPr>
        <w:t xml:space="preserve"> ” means the United States Internal Revenue Service.</w:t>
      </w:r>
    </w:p>
    <w:p>
      <w:pPr>
        <w:spacing w:after="0" w:line="3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681990</wp:posOffset>
            </wp:positionV>
            <wp:extent cx="5083810" cy="1524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621">
                      <a:extLst>
                        <a:ext uri="{28A0092B-C50C-407E-A947-70E740481C1C}"/>
                      </a:extLst>
                    </a:blip>
                    <a:srcRect/>
                    <a:stretch>
                      <a:fillRect/>
                    </a:stretch>
                  </pic:blipFill>
                  <pic:spPr bwMode="auto">
                    <a:xfrm>
                      <a:off x="0" y="0"/>
                      <a:ext cx="5083810" cy="15240"/>
                    </a:xfrm>
                    <a:prstGeom prst="rect">
                      <a:avLst/>
                    </a:prstGeom>
                    <a:noFill/>
                  </pic:spPr>
                </pic:pic>
              </a:graphicData>
            </a:graphic>
          </wp:anchor>
        </w:drawing>
        <w:drawing>
          <wp:anchor simplePos="0" relativeHeight="251657728" behindDoc="1" locked="0" layoutInCell="0" allowOverlap="1">
            <wp:simplePos x="0" y="0"/>
            <wp:positionH relativeFrom="column">
              <wp:posOffset>384810</wp:posOffset>
            </wp:positionH>
            <wp:positionV relativeFrom="paragraph">
              <wp:posOffset>316230</wp:posOffset>
            </wp:positionV>
            <wp:extent cx="4436110" cy="1524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622">
                      <a:extLst>
                        <a:ext uri="{28A0092B-C50C-407E-A947-70E740481C1C}"/>
                      </a:extLst>
                    </a:blip>
                    <a:srcRect/>
                    <a:stretch>
                      <a:fillRect/>
                    </a:stretch>
                  </pic:blipFill>
                  <pic:spPr bwMode="auto">
                    <a:xfrm>
                      <a:off x="0" y="0"/>
                      <a:ext cx="44361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47" w:name="page348"/>
    <w:bookmarkEnd w:id="347"/>
    <w:p>
      <w:pPr>
        <w:ind w:left="900" w:right="640" w:firstLine="312"/>
        <w:spacing w:after="0" w:line="278"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Market Price</w:t>
      </w:r>
      <w:r>
        <w:rPr>
          <w:rFonts w:ascii="Times New Roman" w:cs="Times New Roman" w:eastAsia="Times New Roman" w:hAnsi="Times New Roman"/>
          <w:sz w:val="13"/>
          <w:szCs w:val="13"/>
          <w:color w:val="auto"/>
        </w:rPr>
        <w:t xml:space="preserve"> ” shall mean the last reported sales price reported on the NYSE of the Series F Preferred Stock on the Trading Day immediately preceding the relevant date, or if the Series F Preferred Stock is not then traded on the NYSE, the last reported sales price of the Series F Preferred Stock on the Trading Day immediately preceding the relevant date as reported on any exchange or quotation system over which the Series F Preferred Stock may be traded, or if the Series F Preferred Stock is not then traded over any exchange or quotation system, the market price of the Series F Preferred Stock on the relevant date as determined in good faith by the Board of Directors of the Company.</w:t>
      </w:r>
    </w:p>
    <w:p>
      <w:pPr>
        <w:spacing w:after="0" w:line="311" w:lineRule="exact"/>
        <w:rPr>
          <w:sz w:val="20"/>
          <w:szCs w:val="20"/>
          <w:color w:val="auto"/>
        </w:rPr>
      </w:pPr>
    </w:p>
    <w:p>
      <w:pPr>
        <w:jc w:val="both"/>
        <w:ind w:left="900" w:right="640" w:firstLine="312"/>
        <w:spacing w:after="0" w:line="287"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Ownership Limit</w:t>
      </w:r>
      <w:r>
        <w:rPr>
          <w:rFonts w:ascii="Times New Roman" w:cs="Times New Roman" w:eastAsia="Times New Roman" w:hAnsi="Times New Roman"/>
          <w:sz w:val="13"/>
          <w:szCs w:val="13"/>
          <w:color w:val="auto"/>
        </w:rPr>
        <w:t xml:space="preserve"> ” shall mean 9.8% (by value or number of shares, whichever is more restrictive) of the outstanding shares of Series F Preferred Stock of the Company. The number and value of shares of outstanding Series F Preferred Stock of the Company shall be determined by the Board of Directors in good faith, which determination shall be conclusive for all purposes hereof.</w:t>
      </w:r>
    </w:p>
    <w:p>
      <w:pPr>
        <w:spacing w:after="0" w:line="136" w:lineRule="exact"/>
        <w:rPr>
          <w:sz w:val="20"/>
          <w:szCs w:val="20"/>
          <w:color w:val="auto"/>
        </w:rPr>
      </w:pPr>
    </w:p>
    <w:p>
      <w:pPr>
        <w:ind w:left="900" w:right="700" w:firstLine="312"/>
        <w:spacing w:after="0" w:line="278"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Person</w:t>
      </w:r>
      <w:r>
        <w:rPr>
          <w:rFonts w:ascii="Times New Roman" w:cs="Times New Roman" w:eastAsia="Times New Roman" w:hAnsi="Times New Roman"/>
          <w:sz w:val="13"/>
          <w:szCs w:val="13"/>
          <w:color w:val="auto"/>
        </w:rPr>
        <w:t xml:space="preserve"> ” shall mean an Individual, corporation, partnership, limited liability company, estate, trust (including a trust qualified under Section 401(a) or 501(c)(17) of the Code), association, joint stock company or other entity; but does not include an underwriter acting in a capacity as such in a public offering of shares of Series F Preferred Stock provided that the ownership of such shares of Series F Preferred Stock by such underwriter would not result in the Company being “closely held” within the meaning of Section 856(h) of the Code, or otherwise result in the Company failing to qualify as a REIT.</w:t>
      </w:r>
    </w:p>
    <w:p>
      <w:pPr>
        <w:spacing w:after="0" w:line="142" w:lineRule="exact"/>
        <w:rPr>
          <w:sz w:val="20"/>
          <w:szCs w:val="20"/>
          <w:color w:val="auto"/>
        </w:rPr>
      </w:pPr>
    </w:p>
    <w:p>
      <w:pPr>
        <w:ind w:left="900" w:right="640" w:firstLine="312"/>
        <w:spacing w:after="0" w:line="281"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Purported Beneficial Transferee</w:t>
      </w:r>
      <w:r>
        <w:rPr>
          <w:rFonts w:ascii="Times New Roman" w:cs="Times New Roman" w:eastAsia="Times New Roman" w:hAnsi="Times New Roman"/>
          <w:sz w:val="13"/>
          <w:szCs w:val="13"/>
          <w:color w:val="auto"/>
        </w:rPr>
        <w:t xml:space="preserve"> ” shall mean, with respect to any purported Transfer (or other event) which results in a transfer to a Trust, as provided in Section 9(b)(ii) of these Articles Supplementary, the Purported Record Transferee, unless the Purported Record Transferee would have acquired or owned shares of Series F Preferred Stock for another Person who is the beneficial transferee or beneficial owner of such shares, in which case the Purported Beneficial Transferee shall be such Person.</w:t>
      </w:r>
    </w:p>
    <w:p>
      <w:pPr>
        <w:spacing w:after="0" w:line="140" w:lineRule="exact"/>
        <w:rPr>
          <w:sz w:val="20"/>
          <w:szCs w:val="20"/>
          <w:color w:val="auto"/>
        </w:rPr>
      </w:pPr>
    </w:p>
    <w:p>
      <w:pPr>
        <w:ind w:left="900" w:right="740" w:firstLine="312"/>
        <w:spacing w:after="0" w:line="287"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Purported Record Transferee</w:t>
      </w:r>
      <w:r>
        <w:rPr>
          <w:rFonts w:ascii="Times New Roman" w:cs="Times New Roman" w:eastAsia="Times New Roman" w:hAnsi="Times New Roman"/>
          <w:sz w:val="13"/>
          <w:szCs w:val="13"/>
          <w:color w:val="auto"/>
        </w:rPr>
        <w:t xml:space="preserve"> ” shall mean, with respect to any purported Transfer (or other event) which results in a transfer to a Trust, as provided in Section 9(b)(ii) of these Articles Supplementary, the record holder of the Series F Preferred Stock if such Transfer had been valid under Section 9(b)(i) of these Articles Supplementary.</w:t>
      </w:r>
    </w:p>
    <w:p>
      <w:pPr>
        <w:spacing w:after="0" w:line="13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REIT</w:t>
      </w:r>
      <w:r>
        <w:rPr>
          <w:rFonts w:ascii="Times New Roman" w:cs="Times New Roman" w:eastAsia="Times New Roman" w:hAnsi="Times New Roman"/>
          <w:sz w:val="13"/>
          <w:szCs w:val="13"/>
          <w:color w:val="auto"/>
        </w:rPr>
        <w:t xml:space="preserve"> ” shall mean a real estate investment trust under Sections 856 through 860 of the Code.</w:t>
      </w:r>
    </w:p>
    <w:p>
      <w:pPr>
        <w:spacing w:after="0" w:line="186" w:lineRule="exact"/>
        <w:rPr>
          <w:sz w:val="20"/>
          <w:szCs w:val="20"/>
          <w:color w:val="auto"/>
        </w:rPr>
      </w:pPr>
    </w:p>
    <w:p>
      <w:pPr>
        <w:ind w:left="900" w:right="1040" w:firstLine="312"/>
        <w:spacing w:after="0" w:line="305"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Restriction Termination Date</w:t>
      </w:r>
      <w:r>
        <w:rPr>
          <w:rFonts w:ascii="Times New Roman" w:cs="Times New Roman" w:eastAsia="Times New Roman" w:hAnsi="Times New Roman"/>
          <w:sz w:val="13"/>
          <w:szCs w:val="13"/>
          <w:color w:val="auto"/>
        </w:rPr>
        <w:t xml:space="preserve"> ” shall mean the first day after the date hereof on which the Board of Directors of the Company determines that it is no longer in the best interests of the Company to attempt to, or continue to, qualify as a REIT.</w:t>
      </w:r>
    </w:p>
    <w:p>
      <w:pPr>
        <w:spacing w:after="0" w:line="124" w:lineRule="exact"/>
        <w:rPr>
          <w:sz w:val="20"/>
          <w:szCs w:val="20"/>
          <w:color w:val="auto"/>
        </w:rPr>
      </w:pPr>
    </w:p>
    <w:p>
      <w:pPr>
        <w:ind w:left="900" w:right="680" w:firstLine="312"/>
        <w:spacing w:after="0" w:line="281"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Trading Day</w:t>
      </w:r>
      <w:r>
        <w:rPr>
          <w:rFonts w:ascii="Times New Roman" w:cs="Times New Roman" w:eastAsia="Times New Roman" w:hAnsi="Times New Roman"/>
          <w:sz w:val="13"/>
          <w:szCs w:val="13"/>
          <w:color w:val="auto"/>
        </w:rPr>
        <w:t xml:space="preserve"> ” means a day during which trading in securities generally occurs on the NYSE or, if the Common Stock is not quoted on the NYSE, then a day during which trading in securities generally occurs on the principal U.S. securities exchange on which the Common Stock is listed or, if the Common Stock is not listed on a U.S. national or regional securities exchange, then on the principal other market on which the Common Stock is then traded or quoted.</w:t>
      </w:r>
    </w:p>
    <w:p>
      <w:pPr>
        <w:spacing w:after="0" w:line="140" w:lineRule="exact"/>
        <w:rPr>
          <w:sz w:val="20"/>
          <w:szCs w:val="20"/>
          <w:color w:val="auto"/>
        </w:rPr>
      </w:pPr>
    </w:p>
    <w:p>
      <w:pPr>
        <w:ind w:left="900" w:right="680" w:firstLine="312"/>
        <w:spacing w:after="0" w:line="275"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Transfer</w:t>
      </w:r>
      <w:r>
        <w:rPr>
          <w:rFonts w:ascii="Times New Roman" w:cs="Times New Roman" w:eastAsia="Times New Roman" w:hAnsi="Times New Roman"/>
          <w:sz w:val="13"/>
          <w:szCs w:val="13"/>
          <w:color w:val="auto"/>
        </w:rPr>
        <w:t xml:space="preserve"> ” shall mean any sale, issuance, transfer, gift, assignment, devise or other disposition of Series F Preferred Stock as well as any other event that causes any Person to Beneficially Own or Constructively Own Series F Preferred Stock, including (i) the granting of any option or entering into any agreement for the sale, transfer or other disposition of Series F Preferred Stock or (ii) the sale, transfer, assignment or other disposition of any securities (or rights convertible into or exchangeable for Series F Preferred Stock), whether voluntary or involuntary, whether such transfer has occurred of record or beneficially or Beneficially or Constructively (including but not limited to transfers of interests in other entities which result in changes in Beneficial or Constructive Ownership of Series F Preferred Stock), and whether such transfer has occurred by operation of law or otherwise.</w:t>
      </w:r>
    </w:p>
    <w:p>
      <w:pPr>
        <w:spacing w:after="0" w:line="14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Trust</w:t>
      </w:r>
      <w:r>
        <w:rPr>
          <w:rFonts w:ascii="Times New Roman" w:cs="Times New Roman" w:eastAsia="Times New Roman" w:hAnsi="Times New Roman"/>
          <w:sz w:val="13"/>
          <w:szCs w:val="13"/>
          <w:color w:val="auto"/>
        </w:rPr>
        <w:t xml:space="preserve"> ” shall mean each of the trusts provided for in Section 9(c) of these Articles Supplementary.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674370</wp:posOffset>
            </wp:positionV>
            <wp:extent cx="5083810" cy="1524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623">
                      <a:extLst>
                        <a:ext uri="{28A0092B-C50C-407E-A947-70E740481C1C}"/>
                      </a:extLst>
                    </a:blip>
                    <a:srcRect/>
                    <a:stretch>
                      <a:fillRect/>
                    </a:stretch>
                  </pic:blipFill>
                  <pic:spPr bwMode="auto">
                    <a:xfrm>
                      <a:off x="0" y="0"/>
                      <a:ext cx="5083810" cy="15240"/>
                    </a:xfrm>
                    <a:prstGeom prst="rect">
                      <a:avLst/>
                    </a:prstGeom>
                    <a:noFill/>
                  </pic:spPr>
                </pic:pic>
              </a:graphicData>
            </a:graphic>
          </wp:anchor>
        </w:drawing>
        <w:drawing>
          <wp:anchor simplePos="0" relativeHeight="251657728" behindDoc="1" locked="0" layoutInCell="0" allowOverlap="1">
            <wp:simplePos x="0" y="0"/>
            <wp:positionH relativeFrom="column">
              <wp:posOffset>384810</wp:posOffset>
            </wp:positionH>
            <wp:positionV relativeFrom="paragraph">
              <wp:posOffset>316230</wp:posOffset>
            </wp:positionV>
            <wp:extent cx="4436110" cy="1524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624">
                      <a:extLst>
                        <a:ext uri="{28A0092B-C50C-407E-A947-70E740481C1C}"/>
                      </a:extLst>
                    </a:blip>
                    <a:srcRect/>
                    <a:stretch>
                      <a:fillRect/>
                    </a:stretch>
                  </pic:blipFill>
                  <pic:spPr bwMode="auto">
                    <a:xfrm>
                      <a:off x="0" y="0"/>
                      <a:ext cx="44361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48" w:name="page349"/>
    <w:bookmarkEnd w:id="348"/>
    <w:p>
      <w:pPr>
        <w:ind w:left="900" w:right="1060" w:firstLine="312"/>
        <w:spacing w:after="0" w:line="305"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Trustee</w:t>
      </w:r>
      <w:r>
        <w:rPr>
          <w:rFonts w:ascii="Times New Roman" w:cs="Times New Roman" w:eastAsia="Times New Roman" w:hAnsi="Times New Roman"/>
          <w:sz w:val="13"/>
          <w:szCs w:val="13"/>
          <w:color w:val="auto"/>
        </w:rPr>
        <w:t xml:space="preserve"> ” shall mean any Person unaffiliated with the Company, or a Purported Beneficial Transferee, or a Purported Record Transferee, that is appointed by the Company to serve as trustee of a Trust.</w:t>
      </w:r>
    </w:p>
    <w:p>
      <w:pPr>
        <w:spacing w:after="0" w:line="124" w:lineRule="exact"/>
        <w:rPr>
          <w:sz w:val="20"/>
          <w:szCs w:val="20"/>
          <w:color w:val="auto"/>
        </w:rPr>
      </w:pPr>
    </w:p>
    <w:p>
      <w:pPr>
        <w:ind w:left="1940" w:hanging="1442"/>
        <w:spacing w:after="0"/>
        <w:tabs>
          <w:tab w:leader="none" w:pos="1940" w:val="left"/>
        </w:tabs>
        <w:numPr>
          <w:ilvl w:val="0"/>
          <w:numId w:val="3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Restriction on Ownership and Transfers</w:t>
      </w:r>
      <w:r>
        <w:rPr>
          <w:rFonts w:ascii="Times New Roman" w:cs="Times New Roman" w:eastAsia="Times New Roman" w:hAnsi="Times New Roman"/>
          <w:sz w:val="13"/>
          <w:szCs w:val="13"/>
          <w:color w:val="auto"/>
        </w:rPr>
        <w:t xml:space="preserve"> .</w:t>
      </w:r>
    </w:p>
    <w:p>
      <w:pPr>
        <w:spacing w:after="0" w:line="186" w:lineRule="exact"/>
        <w:rPr>
          <w:rFonts w:ascii="Times New Roman" w:cs="Times New Roman" w:eastAsia="Times New Roman" w:hAnsi="Times New Roman"/>
          <w:sz w:val="13"/>
          <w:szCs w:val="13"/>
          <w:color w:val="auto"/>
        </w:rPr>
      </w:pPr>
    </w:p>
    <w:p>
      <w:pPr>
        <w:ind w:left="1380" w:hanging="161"/>
        <w:spacing w:after="0"/>
        <w:tabs>
          <w:tab w:leader="none" w:pos="1380" w:val="left"/>
        </w:tabs>
        <w:numPr>
          <w:ilvl w:val="1"/>
          <w:numId w:val="3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Prior to the Restriction Termination Date, but subject to Section 9(l):</w:t>
      </w:r>
    </w:p>
    <w:p>
      <w:pPr>
        <w:spacing w:after="0" w:line="187" w:lineRule="exact"/>
        <w:rPr>
          <w:sz w:val="20"/>
          <w:szCs w:val="20"/>
          <w:color w:val="auto"/>
        </w:rPr>
      </w:pPr>
    </w:p>
    <w:p>
      <w:pPr>
        <w:ind w:left="1220" w:right="720" w:firstLine="311"/>
        <w:spacing w:after="0" w:line="281" w:lineRule="auto"/>
        <w:tabs>
          <w:tab w:leader="none" w:pos="1736" w:val="left"/>
        </w:tabs>
        <w:numPr>
          <w:ilvl w:val="0"/>
          <w:numId w:val="3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provided in Section 9(i) of these Articles Supplementary, (1) no Person shall Beneficially Own shares of Series F Preferred Stock in excess of the Ownership Limit and (2) no Person shall Beneficially Own shares of Series F Preferred Stock that, taking into account any other Capital Stock Beneficially Owned by such Person, would result in such Person Beneficially Owning Capital Stock in excess of the Aggregate Stock Ownership Limit;</w:t>
      </w:r>
    </w:p>
    <w:p>
      <w:pPr>
        <w:spacing w:after="0" w:line="140" w:lineRule="exact"/>
        <w:rPr>
          <w:sz w:val="20"/>
          <w:szCs w:val="20"/>
          <w:color w:val="auto"/>
        </w:rPr>
      </w:pPr>
    </w:p>
    <w:p>
      <w:pPr>
        <w:ind w:left="1220" w:right="700" w:firstLine="312"/>
        <w:spacing w:after="0" w:line="281" w:lineRule="auto"/>
        <w:rPr>
          <w:sz w:val="20"/>
          <w:szCs w:val="20"/>
          <w:color w:val="auto"/>
        </w:rPr>
      </w:pPr>
      <w:r>
        <w:rPr>
          <w:rFonts w:ascii="Times New Roman" w:cs="Times New Roman" w:eastAsia="Times New Roman" w:hAnsi="Times New Roman"/>
          <w:sz w:val="13"/>
          <w:szCs w:val="13"/>
          <w:color w:val="auto"/>
        </w:rPr>
        <w:t>(B) except as provided in Section 9(i) of these Articles Supplementary, (1) no Person shall Constructively Own shares of Series F Preferred Stock in excess of the Ownership Limit and (2) no Person shall Constructively Own shares of Series F Preferred Stock that, taking into account any other Capital Stock Constructively Owned by such Person, would result in such Person Constructively Owning Capital Stock in excess of the Aggregate Stock Ownership Limit;</w:t>
      </w:r>
    </w:p>
    <w:p>
      <w:pPr>
        <w:spacing w:after="0" w:line="140" w:lineRule="exact"/>
        <w:rPr>
          <w:sz w:val="20"/>
          <w:szCs w:val="20"/>
          <w:color w:val="auto"/>
        </w:rPr>
      </w:pPr>
    </w:p>
    <w:p>
      <w:pPr>
        <w:ind w:left="1220" w:right="700" w:firstLine="311"/>
        <w:spacing w:after="0" w:line="276" w:lineRule="auto"/>
        <w:tabs>
          <w:tab w:leader="none" w:pos="1736" w:val="left"/>
        </w:tabs>
        <w:numPr>
          <w:ilvl w:val="2"/>
          <w:numId w:val="3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Person shall Beneficially Own or Constructively Own Series F Preferred Stock which, taking into account any other Capital Stock of the Company Beneficially or Constructively Owned by such Person, would result in the Company being “closely held” within the meaning of Section 856(h) of the Code, or otherwise failing to qualify as a REIT (including but not limited to Beneficial or Constructive Ownership that would result in the Company owning (actually or Constructively) an interest in a tenant that is described in Section 856(d)(2)(B) of the Code if the income derived by the Company (either directly or indirectly through one or more subsidiaries) from such tenant would cause the Company to fail to satisfy any of the gross income requirements of Section 856(c) of the Code).</w:t>
      </w:r>
    </w:p>
    <w:p>
      <w:pPr>
        <w:spacing w:after="0" w:line="312" w:lineRule="exact"/>
        <w:rPr>
          <w:rFonts w:ascii="Times New Roman" w:cs="Times New Roman" w:eastAsia="Times New Roman" w:hAnsi="Times New Roman"/>
          <w:sz w:val="13"/>
          <w:szCs w:val="13"/>
          <w:color w:val="auto"/>
        </w:rPr>
      </w:pPr>
    </w:p>
    <w:p>
      <w:pPr>
        <w:ind w:left="600" w:right="640" w:firstLine="607"/>
        <w:spacing w:after="0" w:line="274" w:lineRule="auto"/>
        <w:tabs>
          <w:tab w:leader="none" w:pos="1404" w:val="left"/>
        </w:tabs>
        <w:numPr>
          <w:ilvl w:val="1"/>
          <w:numId w:val="3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prior to the Restriction Termination Date, any Transfer or other event occurs that, if effective, would result in any Person Beneficially or Constructively Owning Series F Preferred Stock in violation of Section 9(b)(i) of these Articles Supplementary, (A) then that number of shares of Series F Preferred Stock that otherwise would cause such Person to violate Section 9(b)(i) of these Articles Supplementary (rounded up to the nearest whole share) shall be automatically transferred to a Trust for the benefit of a Charitable Beneficiary, as described in Section 9(c), effective as of the close of business on the Business Day prior to the date of such Transfer or other event, and such Purported Beneficial Transferee shall thereafter have no rights in such shares or (B) if, for any reason, the transfer to the Trust described in clause (A) of this sentence is not automatically effective as provided therein to prevent any Person from Beneficially or Constructively Owning Series F Preferred Stock in violation of Section 9(b)(i) of these Articles Supplementary, then the Transfer of that number of shares of Series F Preferred Stock that otherwise would cause any Person to violate Section 9(b)(i) shall be void ab initio, and the Purported Beneficial Transferee shall have no rights in such shares.</w:t>
      </w:r>
    </w:p>
    <w:p>
      <w:pPr>
        <w:spacing w:after="0" w:line="300" w:lineRule="exact"/>
        <w:rPr>
          <w:rFonts w:ascii="Times New Roman" w:cs="Times New Roman" w:eastAsia="Times New Roman" w:hAnsi="Times New Roman"/>
          <w:sz w:val="13"/>
          <w:szCs w:val="13"/>
          <w:color w:val="auto"/>
        </w:rPr>
      </w:pPr>
    </w:p>
    <w:p>
      <w:pPr>
        <w:ind w:left="600" w:right="720" w:firstLine="607"/>
        <w:spacing w:after="0" w:line="287" w:lineRule="auto"/>
        <w:tabs>
          <w:tab w:leader="none" w:pos="1428" w:val="left"/>
        </w:tabs>
        <w:numPr>
          <w:ilvl w:val="1"/>
          <w:numId w:val="3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Section 9(l) and prior to the Restriction Termination Date, any Transfer of Series F Preferred Stock that, if effective, would result in the capital stock of the Company being beneficially owned by fewer than 100 Persons (determined without reference to any rules of attribution) shall be void ab initio, and the intended transferee shall acquire no rights in such Series F Preferred Stock.</w:t>
      </w:r>
    </w:p>
    <w:p>
      <w:pPr>
        <w:spacing w:after="0" w:line="135" w:lineRule="exact"/>
        <w:rPr>
          <w:rFonts w:ascii="Times New Roman" w:cs="Times New Roman" w:eastAsia="Times New Roman" w:hAnsi="Times New Roman"/>
          <w:sz w:val="13"/>
          <w:szCs w:val="13"/>
          <w:color w:val="auto"/>
        </w:rPr>
      </w:pPr>
    </w:p>
    <w:p>
      <w:pPr>
        <w:ind w:left="1560" w:hanging="1062"/>
        <w:spacing w:after="0"/>
        <w:tabs>
          <w:tab w:leader="none" w:pos="1560" w:val="left"/>
        </w:tabs>
        <w:numPr>
          <w:ilvl w:val="0"/>
          <w:numId w:val="3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Transfers of Series F Preferred Stock in Trust</w:t>
      </w:r>
      <w:r>
        <w:rPr>
          <w:rFonts w:ascii="Times New Roman" w:cs="Times New Roman" w:eastAsia="Times New Roman" w:hAnsi="Times New Roman"/>
          <w:sz w:val="13"/>
          <w:szCs w:val="13"/>
          <w:color w:val="auto"/>
        </w:rPr>
        <w:t xml:space="preserve"> .</w:t>
      </w:r>
    </w:p>
    <w:p>
      <w:pPr>
        <w:spacing w:after="0" w:line="186" w:lineRule="exact"/>
        <w:rPr>
          <w:rFonts w:ascii="Times New Roman" w:cs="Times New Roman" w:eastAsia="Times New Roman" w:hAnsi="Times New Roman"/>
          <w:sz w:val="13"/>
          <w:szCs w:val="13"/>
          <w:color w:val="auto"/>
        </w:rPr>
      </w:pPr>
    </w:p>
    <w:p>
      <w:pPr>
        <w:ind w:left="600" w:right="760" w:firstLine="607"/>
        <w:spacing w:after="0" w:line="276" w:lineRule="auto"/>
        <w:tabs>
          <w:tab w:leader="none" w:pos="1368" w:val="left"/>
        </w:tabs>
        <w:numPr>
          <w:ilvl w:val="1"/>
          <w:numId w:val="3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any purported Transfer or other event described in Section 9(b)(ii) of these Articles Supplementary, such Series F Preferred Stock shall be deemed to have been transferred to the Trustee in his capacity as trustee of a Trust for the exclusive benefit of one or more Charitable Beneficiaries. Such transfer to the Trustee shall be deemed to be effective as of the close of business on the Business Day prior to the purported Transfer or other event that results in a transfer to the Trust pursuant to Section 9(b)(ii). The Trustee shall be appointed by the Company and shall be a Person unaffiliated with the Company, any Purported Beneficial Transferee or any Purported Record Transferee. Each Charitable Beneficiary shall be designated by the Company as provided in Section 9(c)(vi) of these Articles Supplementary.</w:t>
      </w:r>
    </w:p>
    <w:p>
      <w:pPr>
        <w:spacing w:after="0" w:line="200" w:lineRule="exact"/>
        <w:rPr>
          <w:sz w:val="20"/>
          <w:szCs w:val="20"/>
          <w:color w:val="auto"/>
        </w:rPr>
      </w:pPr>
    </w:p>
    <w:p>
      <w:pPr>
        <w:spacing w:after="0" w:line="2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666750</wp:posOffset>
            </wp:positionV>
            <wp:extent cx="5083810" cy="1524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625">
                      <a:extLst>
                        <a:ext uri="{28A0092B-C50C-407E-A947-70E740481C1C}"/>
                      </a:extLst>
                    </a:blip>
                    <a:srcRect/>
                    <a:stretch>
                      <a:fillRect/>
                    </a:stretch>
                  </pic:blipFill>
                  <pic:spPr bwMode="auto">
                    <a:xfrm>
                      <a:off x="0" y="0"/>
                      <a:ext cx="5083810" cy="15240"/>
                    </a:xfrm>
                    <a:prstGeom prst="rect">
                      <a:avLst/>
                    </a:prstGeom>
                    <a:noFill/>
                  </pic:spPr>
                </pic:pic>
              </a:graphicData>
            </a:graphic>
          </wp:anchor>
        </w:drawing>
        <w:drawing>
          <wp:anchor simplePos="0" relativeHeight="251657728" behindDoc="1" locked="0" layoutInCell="0" allowOverlap="1">
            <wp:simplePos x="0" y="0"/>
            <wp:positionH relativeFrom="column">
              <wp:posOffset>384810</wp:posOffset>
            </wp:positionH>
            <wp:positionV relativeFrom="paragraph">
              <wp:posOffset>316230</wp:posOffset>
            </wp:positionV>
            <wp:extent cx="4436110" cy="762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626">
                      <a:extLst>
                        <a:ext uri="{28A0092B-C50C-407E-A947-70E740481C1C}"/>
                      </a:extLst>
                    </a:blip>
                    <a:srcRect/>
                    <a:stretch>
                      <a:fillRect/>
                    </a:stretch>
                  </pic:blipFill>
                  <pic:spPr bwMode="auto">
                    <a:xfrm>
                      <a:off x="0" y="0"/>
                      <a:ext cx="4436110" cy="762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49" w:name="page350"/>
    <w:bookmarkEnd w:id="349"/>
    <w:p>
      <w:pPr>
        <w:ind w:left="600" w:right="820" w:firstLine="607"/>
        <w:spacing w:after="0" w:line="278" w:lineRule="auto"/>
        <w:tabs>
          <w:tab w:leader="none" w:pos="1404" w:val="left"/>
        </w:tabs>
        <w:numPr>
          <w:ilvl w:val="0"/>
          <w:numId w:val="3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Series F Preferred Stock held by the Trustee shall be issued and outstanding Series F Preferred Stock of the Company. The Purported Beneficial Transferee or Purported Record Transferee shall have no rights in the shares of the Series F Preferred Stock held by the Trustee. The Purported Beneficial Transferee or Purported Record Transferee shall not benefit economically from ownership of any shares held in trust by the Trustee, shall have no rights to dividends and shall not possess any rights to vote or other rights attributable to the shares of Series F Preferred Stock held in the Trust.</w:t>
      </w:r>
    </w:p>
    <w:p>
      <w:pPr>
        <w:spacing w:after="0" w:line="143" w:lineRule="exact"/>
        <w:rPr>
          <w:sz w:val="20"/>
          <w:szCs w:val="20"/>
          <w:color w:val="auto"/>
        </w:rPr>
      </w:pPr>
    </w:p>
    <w:p>
      <w:pPr>
        <w:ind w:left="600" w:right="680" w:firstLine="612"/>
        <w:spacing w:after="0" w:line="272" w:lineRule="auto"/>
        <w:rPr>
          <w:sz w:val="20"/>
          <w:szCs w:val="20"/>
          <w:color w:val="auto"/>
        </w:rPr>
      </w:pPr>
      <w:r>
        <w:rPr>
          <w:rFonts w:ascii="Times New Roman" w:cs="Times New Roman" w:eastAsia="Times New Roman" w:hAnsi="Times New Roman"/>
          <w:sz w:val="13"/>
          <w:szCs w:val="13"/>
          <w:color w:val="auto"/>
        </w:rPr>
        <w:t xml:space="preserve">(iii) The Trustee shall have all voting rights and rights to dividends with respect to Series F Preferred Stock held in the Trust, which rights shall be exercised for the exclusive benefit of the Charitable Beneficiary. Any dividend or distribution paid to or on behalf of the Purported Record Transferee or Purported Beneficial Transferee prior to the discovery by the Company that shares of Series F Preferred Stock have been transferred to the Trustee shall be paid to the Trustee upon demand, and any dividend or distribution declared but unpaid shall be paid when due to the Trustee with respect to such Series F Preferred Stock. Any dividends or distributions so paid over to the Trustee shall be held in trust for the Charitable Beneficiary. The Purported Record Transferee and Purported Beneficial Transferee shall have no voting rights with respect to the Series F Preferred Stock held in the Trust and, subject to Maryland law, effective as of the date the Series F Preferred Stock has been transferred to the Trustee, the Trustee shall have the authority (at the Trustee’s sole discretion) (A) to rescind as void any vote cast by a Purported Record Transferee with respect to such Series F Preferred Stock prior to the discovery by the Company that the Series F Preferred Stock has been transferred to the Trustee and (B) to recast such vote in accordance with the desires of the Trustee acting for the benefit of the Charitable Beneficiary;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 that if the Company has already taken irreversible corporate action, then the Trustee shall not have the authority to rescind and recast such vote. Notwithstanding any other provision of these Articles Supplementary to the contrary, until the Company has received notification that the Series F Preferred Stock has been transferred into a Trust, the Company shall be entitled to rely on its share transfer and other stockholder records for purposes of preparing lists of stockholders entitled to vote at meetings, determining the validity and authority of proxies and otherwise conducting votes of stockholders.</w:t>
      </w:r>
    </w:p>
    <w:p>
      <w:pPr>
        <w:spacing w:after="0" w:line="135" w:lineRule="exact"/>
        <w:rPr>
          <w:sz w:val="20"/>
          <w:szCs w:val="20"/>
          <w:color w:val="auto"/>
        </w:rPr>
      </w:pPr>
    </w:p>
    <w:p>
      <w:pPr>
        <w:ind w:left="600" w:right="620" w:firstLine="607"/>
        <w:spacing w:after="0" w:line="272" w:lineRule="auto"/>
        <w:tabs>
          <w:tab w:leader="none" w:pos="1428" w:val="left"/>
        </w:tabs>
        <w:numPr>
          <w:ilvl w:val="0"/>
          <w:numId w:val="3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Within twenty (20) days of receiving notice from the Company that shares of Series F Preferred Stock have been transferred to the Trust, the Trustee of the Trust shall sell the shares of Series F Preferred Stock held in the Trust to a Person, designated by the Trustee, whose ownership of the shares of Series F Preferred Stock will not violate the ownership limitations set forth in Section 9(b)(i). Upon such sale, the interest of the Charitable Beneficiary in the shares of Series F Preferred Stock sold shall terminate and the Trustee shall distribute the net proceeds of the sale to the Purported Record Transferee and to the Charitable Beneficiary as provided in this Section 9(c)(iv). The Purported Record Transferee shall receive the lesser of (A) the price paid by the Purported Record Transferee for the shares of Series F Preferred Stock in the transaction that resulted in such transfer to the Trust (or, if the event which resulted in the transfer to the Trust did not involve a purchase of such shares of Series F Preferred Stock at Market Price, the Market Price of such shares of Series F Preferred Stock on the day of the event which resulted in the transfer of such shares of Series F Preferred Stock to the Trust) and (B) the price per share received by the Trustee (net of any commissions and other expenses of sale) from the sale or other disposition of the shares of Series F Preferred Stock held in the Trust. The Trustee may reduce the amount payable to the Purported Record Transferee by the amount of dividends and distributions which have been paid to the Purported Record Transferee and are owed by the Purported Record Transferee to the Trustee pursuant to Section 9(c)(iii). Any net sales proceeds in excess of the amount payable to the Purported Record Transferee shall be immediately paid to the Charitable Beneficiary together with any dividends or other distributions thereon. If, prior to the discovery by the Company that shares of such Series F Preferred Stock have been transferred to the Trustee, such shares of Series F Preferred Stock are sold by a Purported Record Transferee then (1) such shares of Series F Preferred Stock shall be deemed to have been sold on behalf of the Trust and (2) to the extent that the Purported Record Transferee received an amount for such shares of Series F Preferred Stock that exceeds the amount that such Purported Record Transferee was entitled to receive pursuant to this Section 9(c)(iv), such excess shall be paid to the Trustee upon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681990</wp:posOffset>
            </wp:positionV>
            <wp:extent cx="5083810" cy="1524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627">
                      <a:extLst>
                        <a:ext uri="{28A0092B-C50C-407E-A947-70E740481C1C}"/>
                      </a:extLst>
                    </a:blip>
                    <a:srcRect/>
                    <a:stretch>
                      <a:fillRect/>
                    </a:stretch>
                  </pic:blipFill>
                  <pic:spPr bwMode="auto">
                    <a:xfrm>
                      <a:off x="0" y="0"/>
                      <a:ext cx="5083810" cy="15240"/>
                    </a:xfrm>
                    <a:prstGeom prst="rect">
                      <a:avLst/>
                    </a:prstGeom>
                    <a:noFill/>
                  </pic:spPr>
                </pic:pic>
              </a:graphicData>
            </a:graphic>
          </wp:anchor>
        </w:drawing>
        <w:drawing>
          <wp:anchor simplePos="0" relativeHeight="251657728" behindDoc="1" locked="0" layoutInCell="0" allowOverlap="1">
            <wp:simplePos x="0" y="0"/>
            <wp:positionH relativeFrom="column">
              <wp:posOffset>384810</wp:posOffset>
            </wp:positionH>
            <wp:positionV relativeFrom="paragraph">
              <wp:posOffset>316230</wp:posOffset>
            </wp:positionV>
            <wp:extent cx="4436110" cy="1524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628">
                      <a:extLst>
                        <a:ext uri="{28A0092B-C50C-407E-A947-70E740481C1C}"/>
                      </a:extLst>
                    </a:blip>
                    <a:srcRect/>
                    <a:stretch>
                      <a:fillRect/>
                    </a:stretch>
                  </pic:blipFill>
                  <pic:spPr bwMode="auto">
                    <a:xfrm>
                      <a:off x="0" y="0"/>
                      <a:ext cx="44361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50" w:name="page351"/>
    <w:bookmarkEnd w:id="350"/>
    <w:p>
      <w:pPr>
        <w:ind w:left="600" w:right="680" w:firstLine="607"/>
        <w:spacing w:after="0" w:line="273" w:lineRule="auto"/>
        <w:tabs>
          <w:tab w:leader="none" w:pos="1392" w:val="left"/>
        </w:tabs>
        <w:numPr>
          <w:ilvl w:val="1"/>
          <w:numId w:val="3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Series F Preferred Stock transferred to the Trustee shall be deemed to have been offered for sale to the Company, or its designee, at a price per share equal to the lesser of (A) the price paid by the Purported Record Transferee for the shares of Series F Preferred Stock in the transaction that resulted in such transfer to the Trust (or, if the event which resulted in the transfer to the Trust did not involve a purchase of such shares of Series F Preferred Stock at Market Price, the Market Price of such shares of Series F Preferred Stock on the day of the event which resulted in the transfer of such shares of Series F Preferred Stock to the Trust) and (B) the Market Price on the date the Company, or its designee, accepts such offer. The Company may reduce the amount payable to the Purported Record Transferee by the amount of dividends and distributions which have been paid to the Purported Record Transferee and are owed by the Purported Record Transferee to the Trustee pursuant to Section 9(c)(iii). The Company shall have the right to accept such offer until the Trustee has sold the shares of Series F Preferred Stock held in the Trust pursuant to Section 9(c)(iv). Upon such a sale to the Company, the interest of the Charitable Beneficiary in the shares of Series F Preferred Stock sold shall terminate and the Trustee shall distribute the net proceeds of the sale to the Purported Record Transferee and any dividends or other distributions held by the Trustee with respect to such Series F Preferred Stock shall thereupon be paid to the Charitable Beneficiary.</w:t>
      </w:r>
    </w:p>
    <w:p>
      <w:pPr>
        <w:spacing w:after="0" w:line="302" w:lineRule="exact"/>
        <w:rPr>
          <w:rFonts w:ascii="Times New Roman" w:cs="Times New Roman" w:eastAsia="Times New Roman" w:hAnsi="Times New Roman"/>
          <w:sz w:val="13"/>
          <w:szCs w:val="13"/>
          <w:color w:val="auto"/>
        </w:rPr>
      </w:pPr>
    </w:p>
    <w:p>
      <w:pPr>
        <w:ind w:left="600" w:right="1120" w:firstLine="607"/>
        <w:spacing w:after="0" w:line="287" w:lineRule="auto"/>
        <w:tabs>
          <w:tab w:leader="none" w:pos="1428" w:val="left"/>
        </w:tabs>
        <w:numPr>
          <w:ilvl w:val="1"/>
          <w:numId w:val="3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written notice to the Trustee, the Company shall designate one or more nonprofit organizations to be the Charitable Beneficiary of the interest in the Trust such that the Series F Preferred Stock held in the Trust would not violate the restrictions set forth in Section 9(b)(i) in the hands of such Charitable Beneficiary.</w:t>
      </w:r>
    </w:p>
    <w:p>
      <w:pPr>
        <w:spacing w:after="0" w:line="135" w:lineRule="exact"/>
        <w:rPr>
          <w:rFonts w:ascii="Times New Roman" w:cs="Times New Roman" w:eastAsia="Times New Roman" w:hAnsi="Times New Roman"/>
          <w:sz w:val="13"/>
          <w:szCs w:val="13"/>
          <w:color w:val="auto"/>
        </w:rPr>
      </w:pPr>
    </w:p>
    <w:p>
      <w:pPr>
        <w:ind w:left="600" w:right="620" w:firstLine="306"/>
        <w:spacing w:after="0" w:line="273" w:lineRule="auto"/>
        <w:tabs>
          <w:tab w:leader="none" w:pos="1092" w:val="left"/>
        </w:tabs>
        <w:numPr>
          <w:ilvl w:val="0"/>
          <w:numId w:val="3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Remedies For Breach</w:t>
      </w:r>
      <w:r>
        <w:rPr>
          <w:rFonts w:ascii="Times New Roman" w:cs="Times New Roman" w:eastAsia="Times New Roman" w:hAnsi="Times New Roman"/>
          <w:sz w:val="13"/>
          <w:szCs w:val="13"/>
          <w:color w:val="auto"/>
        </w:rPr>
        <w:t xml:space="preserve"> . If the Board of Directors or a committee thereof or other designees if permitted by the MGCL shall at any time determine in good faith that a Transfer or other event has taken place in violation of Section 9(b) of these Articles Supplementary or that a Person intends to acquire, has attempted to acquire or may acquire beneficial ownership (determined without reference to any rules of attribution), Beneficial Ownership or Constructive Ownership of any shares of Series F Preferred Stock of the Company in violation of Section 9(b) of these Articles Supplementary, the Board of Directors or the Committee or other designees if permitted by the MGCL shall take such action as it deems advisable to refuse to give effect or to prevent such Transfer, including, but not limited to, causing the Company to redeem shares of Series F Preferred Stock, refusing to give effect to such Transfer on the books of the Company or instituting proceedings to enjoin such Transfer;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 that any Transfers (or, in the case of events other than a Transfer, ownership or Constructive Ownership or Beneficial Ownership) in violation of Section 9(b)(i) of these Articles Supplementary, shall automatically result in the transfer to a Trust as described in Section 9(b)(ii) and any Transfer in violation of Section 9(b)(iii) shall automatically be void ab initio irrespective of any action (or non-action) by the Board of Directors.</w:t>
      </w:r>
    </w:p>
    <w:p>
      <w:pPr>
        <w:spacing w:after="0" w:line="304" w:lineRule="exact"/>
        <w:rPr>
          <w:rFonts w:ascii="Times New Roman" w:cs="Times New Roman" w:eastAsia="Times New Roman" w:hAnsi="Times New Roman"/>
          <w:sz w:val="13"/>
          <w:szCs w:val="13"/>
          <w:color w:val="auto"/>
        </w:rPr>
      </w:pPr>
    </w:p>
    <w:p>
      <w:pPr>
        <w:ind w:left="600" w:right="680" w:firstLine="306"/>
        <w:spacing w:after="0" w:line="278" w:lineRule="auto"/>
        <w:tabs>
          <w:tab w:leader="none" w:pos="1080" w:val="left"/>
        </w:tabs>
        <w:numPr>
          <w:ilvl w:val="0"/>
          <w:numId w:val="3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Notice of Restricted Transfer</w:t>
      </w:r>
      <w:r>
        <w:rPr>
          <w:rFonts w:ascii="Times New Roman" w:cs="Times New Roman" w:eastAsia="Times New Roman" w:hAnsi="Times New Roman"/>
          <w:sz w:val="13"/>
          <w:szCs w:val="13"/>
          <w:color w:val="auto"/>
        </w:rPr>
        <w:t xml:space="preserve"> . Any Person who acquires or attempts to acquire shares of Series F Preferred Stock in violation of Section 9(b) of these Articles Supplementary, or any Person who is a Purported Beneficial Transferee such that an automatic transfer to a Trust results under Section 9(b)(ii) of these Articles Supplementary, shall immediately give written notice to the Company of such event and shall provide to the Company such other information as the Company may request in order to determine the effect, if any, of such Transfer or attempted Transfer on the Company’s status as a REIT.</w:t>
      </w:r>
    </w:p>
    <w:p>
      <w:pPr>
        <w:spacing w:after="0" w:line="142" w:lineRule="exact"/>
        <w:rPr>
          <w:rFonts w:ascii="Times New Roman" w:cs="Times New Roman" w:eastAsia="Times New Roman" w:hAnsi="Times New Roman"/>
          <w:sz w:val="13"/>
          <w:szCs w:val="13"/>
          <w:color w:val="auto"/>
        </w:rPr>
      </w:pPr>
    </w:p>
    <w:p>
      <w:pPr>
        <w:jc w:val="both"/>
        <w:ind w:left="600" w:right="660" w:firstLine="306"/>
        <w:spacing w:after="0" w:line="281" w:lineRule="auto"/>
        <w:tabs>
          <w:tab w:leader="none" w:pos="1056" w:val="left"/>
        </w:tabs>
        <w:numPr>
          <w:ilvl w:val="0"/>
          <w:numId w:val="3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Owners Required To Provide Information</w:t>
      </w:r>
      <w:r>
        <w:rPr>
          <w:rFonts w:ascii="Times New Roman" w:cs="Times New Roman" w:eastAsia="Times New Roman" w:hAnsi="Times New Roman"/>
          <w:sz w:val="13"/>
          <w:szCs w:val="13"/>
          <w:color w:val="auto"/>
        </w:rPr>
        <w:t xml:space="preserve"> . Prior to the Restriction Termination Date each Person who is a beneficial owner or Beneficial Owner or Constructive Owner of Series F Preferred Stock and each Person (including the stockholder of record) who is holding Series F Preferred Stock for a beneficial owner or Beneficial Owner or Constructive Owner shall provide to the Company such information that the Company may request, in good faith, in order to determine the Company’s status as a REIT.</w:t>
      </w:r>
    </w:p>
    <w:p>
      <w:pPr>
        <w:spacing w:after="0" w:line="3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681990</wp:posOffset>
            </wp:positionV>
            <wp:extent cx="5083810" cy="1524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629">
                      <a:extLst>
                        <a:ext uri="{28A0092B-C50C-407E-A947-70E740481C1C}"/>
                      </a:extLst>
                    </a:blip>
                    <a:srcRect/>
                    <a:stretch>
                      <a:fillRect/>
                    </a:stretch>
                  </pic:blipFill>
                  <pic:spPr bwMode="auto">
                    <a:xfrm>
                      <a:off x="0" y="0"/>
                      <a:ext cx="5083810" cy="15240"/>
                    </a:xfrm>
                    <a:prstGeom prst="rect">
                      <a:avLst/>
                    </a:prstGeom>
                    <a:noFill/>
                  </pic:spPr>
                </pic:pic>
              </a:graphicData>
            </a:graphic>
          </wp:anchor>
        </w:drawing>
        <w:drawing>
          <wp:anchor simplePos="0" relativeHeight="251657728" behindDoc="1" locked="0" layoutInCell="0" allowOverlap="1">
            <wp:simplePos x="0" y="0"/>
            <wp:positionH relativeFrom="column">
              <wp:posOffset>384810</wp:posOffset>
            </wp:positionH>
            <wp:positionV relativeFrom="paragraph">
              <wp:posOffset>316230</wp:posOffset>
            </wp:positionV>
            <wp:extent cx="4436110" cy="1524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630">
                      <a:extLst>
                        <a:ext uri="{28A0092B-C50C-407E-A947-70E740481C1C}"/>
                      </a:extLst>
                    </a:blip>
                    <a:srcRect/>
                    <a:stretch>
                      <a:fillRect/>
                    </a:stretch>
                  </pic:blipFill>
                  <pic:spPr bwMode="auto">
                    <a:xfrm>
                      <a:off x="0" y="0"/>
                      <a:ext cx="44361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51" w:name="page352"/>
    <w:bookmarkEnd w:id="351"/>
    <w:p>
      <w:pPr>
        <w:ind w:left="600" w:right="640" w:firstLine="312"/>
        <w:spacing w:after="0" w:line="287" w:lineRule="auto"/>
        <w:rPr>
          <w:sz w:val="20"/>
          <w:szCs w:val="20"/>
          <w:color w:val="auto"/>
        </w:rPr>
      </w:pPr>
      <w:r>
        <w:rPr>
          <w:rFonts w:ascii="Times New Roman" w:cs="Times New Roman" w:eastAsia="Times New Roman" w:hAnsi="Times New Roman"/>
          <w:sz w:val="13"/>
          <w:szCs w:val="13"/>
          <w:color w:val="auto"/>
        </w:rPr>
        <w:t xml:space="preserve">(g) </w:t>
      </w:r>
      <w:r>
        <w:rPr>
          <w:rFonts w:ascii="Times New Roman" w:cs="Times New Roman" w:eastAsia="Times New Roman" w:hAnsi="Times New Roman"/>
          <w:sz w:val="13"/>
          <w:szCs w:val="13"/>
          <w:u w:val="single" w:color="auto"/>
          <w:color w:val="auto"/>
        </w:rPr>
        <w:t>Remedies Not Limited</w:t>
      </w:r>
      <w:r>
        <w:rPr>
          <w:rFonts w:ascii="Times New Roman" w:cs="Times New Roman" w:eastAsia="Times New Roman" w:hAnsi="Times New Roman"/>
          <w:sz w:val="13"/>
          <w:szCs w:val="13"/>
          <w:color w:val="auto"/>
        </w:rPr>
        <w:t xml:space="preserve"> . Nothing contained in these Articles Supplementary (but subject to Section 9(l) of these Articles Supplementary) shall limit the authority of the Board of Directors to take such other action as it deems necessary or advisable to protect the Company and the interests of its stockholders by preservation of the Company’s status as a REIT.</w:t>
      </w:r>
    </w:p>
    <w:p>
      <w:pPr>
        <w:spacing w:after="0" w:line="136" w:lineRule="exact"/>
        <w:rPr>
          <w:sz w:val="20"/>
          <w:szCs w:val="20"/>
          <w:color w:val="auto"/>
        </w:rPr>
      </w:pPr>
    </w:p>
    <w:p>
      <w:pPr>
        <w:ind w:left="600" w:right="620" w:firstLine="306"/>
        <w:spacing w:after="0" w:line="273" w:lineRule="auto"/>
        <w:tabs>
          <w:tab w:leader="none" w:pos="1092" w:val="left"/>
        </w:tabs>
        <w:numPr>
          <w:ilvl w:val="0"/>
          <w:numId w:val="3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Ambiguity</w:t>
      </w:r>
      <w:r>
        <w:rPr>
          <w:rFonts w:ascii="Times New Roman" w:cs="Times New Roman" w:eastAsia="Times New Roman" w:hAnsi="Times New Roman"/>
          <w:sz w:val="13"/>
          <w:szCs w:val="13"/>
          <w:color w:val="auto"/>
        </w:rPr>
        <w:t xml:space="preserve"> . In the case of an ambiguity in the application of any of the provisions of this Section 9 of these Articles Supplementary, including any definition contained in Section 9(a), the Board of Directors shall have the power to determine the application of the provisions of this Section 9 with respect to any situation based on the facts known to it (subject, however, to the provisions of Section 9(l) of these Articles Supplementary). In the event Section 9 requires an action by the Board of Directors and these Articles Supplementary fail to provide specific guidance with respect to such action, the Board of Directors shall have the power to determine the action to be taken so long as such action is not contrary to the provisions of Section 9. Absent a decision to the contrary by the Board of Directors (which the Board of Directors may make in its sole and absolute discretion), if a Person would have (but for the remedies set forth in Section 9(b)) acquired Beneficial or Constructive Ownership of Series F Preferred Stock in violation of Section 9(b)(i), such remedies (as applicable) shall apply first to the shares of Series F Preferred Stock which, but for such remedies, would have been actually owned by such Person, and second to shares of Series F Preferred Stock, which, but for such remedies, would have been Beneficially Owned or Constructively Owned (but not actually owned) by such Person, pro rata among the Persons who actually own such shares of Series F Preferred Stock based upon the relative number of the shares of Series F Preferred Stock held by each such Person.</w:t>
      </w:r>
    </w:p>
    <w:p>
      <w:pPr>
        <w:spacing w:after="0" w:line="132" w:lineRule="exact"/>
        <w:rPr>
          <w:rFonts w:ascii="Times New Roman" w:cs="Times New Roman" w:eastAsia="Times New Roman" w:hAnsi="Times New Roman"/>
          <w:sz w:val="13"/>
          <w:szCs w:val="13"/>
          <w:color w:val="auto"/>
        </w:rPr>
      </w:pPr>
    </w:p>
    <w:p>
      <w:pPr>
        <w:ind w:left="1040" w:hanging="134"/>
        <w:spacing w:after="0"/>
        <w:tabs>
          <w:tab w:leader="none" w:pos="1040" w:val="left"/>
        </w:tabs>
        <w:numPr>
          <w:ilvl w:val="0"/>
          <w:numId w:val="3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Exceptions</w:t>
      </w:r>
      <w:r>
        <w:rPr>
          <w:rFonts w:ascii="Times New Roman" w:cs="Times New Roman" w:eastAsia="Times New Roman" w:hAnsi="Times New Roman"/>
          <w:sz w:val="13"/>
          <w:szCs w:val="13"/>
          <w:color w:val="auto"/>
        </w:rPr>
        <w:t xml:space="preserve"> .</w:t>
      </w:r>
    </w:p>
    <w:p>
      <w:pPr>
        <w:spacing w:after="0" w:line="186" w:lineRule="exact"/>
        <w:rPr>
          <w:rFonts w:ascii="Times New Roman" w:cs="Times New Roman" w:eastAsia="Times New Roman" w:hAnsi="Times New Roman"/>
          <w:sz w:val="13"/>
          <w:szCs w:val="13"/>
          <w:color w:val="auto"/>
        </w:rPr>
      </w:pPr>
    </w:p>
    <w:p>
      <w:pPr>
        <w:ind w:left="600" w:right="680" w:firstLine="607"/>
        <w:spacing w:after="0" w:line="281" w:lineRule="auto"/>
        <w:tabs>
          <w:tab w:leader="none" w:pos="1368" w:val="left"/>
        </w:tabs>
        <w:numPr>
          <w:ilvl w:val="1"/>
          <w:numId w:val="3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Section 9(b)(i)(C), the Board of Directors, in its sole discretion, may exempt (prospectively or retroactively) a Person from the limitation on a Person Beneficially Owning shares of Series F Preferred Stock in violation of Section 9(b)(i)(A) if the Board of Directors determines that such exemption will not cause any Individual’s Beneficial Ownership of shares of Capital Stock to violate the Aggregate Stock Ownership Limit and that such exemption will not cause the Company to fail to qualify as a REIT under the Code.</w:t>
      </w:r>
    </w:p>
    <w:p>
      <w:pPr>
        <w:spacing w:after="0" w:line="140" w:lineRule="exact"/>
        <w:rPr>
          <w:rFonts w:ascii="Times New Roman" w:cs="Times New Roman" w:eastAsia="Times New Roman" w:hAnsi="Times New Roman"/>
          <w:sz w:val="13"/>
          <w:szCs w:val="13"/>
          <w:color w:val="auto"/>
        </w:rPr>
      </w:pPr>
    </w:p>
    <w:p>
      <w:pPr>
        <w:ind w:left="600" w:right="860" w:firstLine="607"/>
        <w:spacing w:after="0" w:line="287" w:lineRule="auto"/>
        <w:tabs>
          <w:tab w:leader="none" w:pos="1404" w:val="left"/>
        </w:tabs>
        <w:numPr>
          <w:ilvl w:val="1"/>
          <w:numId w:val="3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Section 9(b)(i)(C), the Board of Directors in its sole discretion, may exempt (prospectively or retroactively) a Person from the limitation on a Person Constructively Owning shares of Series F Preferred Stock in violation of Section 9(b)(i)(B), if the Board of Directors determines that such ownership would not cause the Company to fail to qualify as a REIT under the Code.</w:t>
      </w:r>
    </w:p>
    <w:p>
      <w:pPr>
        <w:spacing w:after="0" w:line="136" w:lineRule="exact"/>
        <w:rPr>
          <w:sz w:val="20"/>
          <w:szCs w:val="20"/>
          <w:color w:val="auto"/>
        </w:rPr>
      </w:pPr>
    </w:p>
    <w:p>
      <w:pPr>
        <w:ind w:left="600" w:right="740" w:firstLine="612"/>
        <w:spacing w:after="0" w:line="276" w:lineRule="auto"/>
        <w:rPr>
          <w:sz w:val="20"/>
          <w:szCs w:val="20"/>
          <w:color w:val="auto"/>
        </w:rPr>
      </w:pPr>
      <w:r>
        <w:rPr>
          <w:rFonts w:ascii="Times New Roman" w:cs="Times New Roman" w:eastAsia="Times New Roman" w:hAnsi="Times New Roman"/>
          <w:sz w:val="13"/>
          <w:szCs w:val="13"/>
          <w:color w:val="auto"/>
        </w:rPr>
        <w:t xml:space="preserve">(iii) Subject to Section 9(b)(i)(C) and the remainder of this Section 9(i)(iii), the Board of Directors may from time to time increase or decrease the Ownership Limit;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 that the decreased Ownership Limit will not be effective for any Person whose percentage ownership of Series F Preferred Stock is in excess of such decreased Ownership Limit until such time as such Person's percentage of Series F Preferred Stock equals or falls below the decreased Ownership Limit, but any further acquisition of Series F Preferred Stock in excess of such percentage ownership of Series F Preferred Stock will be in violation of the Ownership Limit, and, provided further, that the new Ownership Limit would not allow five or fewer Persons to Beneficially Own more than 49% in value of the outstanding capital stock of the Company.</w:t>
      </w:r>
    </w:p>
    <w:p>
      <w:pPr>
        <w:spacing w:after="0" w:line="145" w:lineRule="exact"/>
        <w:rPr>
          <w:sz w:val="20"/>
          <w:szCs w:val="20"/>
          <w:color w:val="auto"/>
        </w:rPr>
      </w:pPr>
    </w:p>
    <w:p>
      <w:pPr>
        <w:ind w:left="600" w:right="700" w:firstLine="607"/>
        <w:spacing w:after="0" w:line="271" w:lineRule="auto"/>
        <w:tabs>
          <w:tab w:leader="none" w:pos="1428" w:val="left"/>
        </w:tabs>
        <w:numPr>
          <w:ilvl w:val="1"/>
          <w:numId w:val="3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granting a Person an exemption under Section 9(i)(i) or (ii) above, the Board of Directors may require such Person to make certain representations or undertakings or to agree that any violation or attempted violation of such representations or undertakings (or other action which is contrary to the restrictions contained in Section 9(b) of these Articles Supplementary) will result in such Series F Preferred Stock being transferred to a Trust in accordance with Section 9(b)(ii) of these Articles Supplementary. In granting any exception pursuant to Section 9(i)</w:t>
      </w:r>
    </w:p>
    <w:p>
      <w:pPr>
        <w:jc w:val="both"/>
        <w:ind w:left="600" w:right="860" w:hanging="6"/>
        <w:spacing w:after="0" w:line="284" w:lineRule="auto"/>
        <w:tabs>
          <w:tab w:leader="none" w:pos="757" w:val="left"/>
        </w:tabs>
        <w:numPr>
          <w:ilvl w:val="0"/>
          <w:numId w:val="3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or (ii) of these Articles Supplementary, the Board of Directors may require a ruling from the IRS, or an opinion of counsel, in either case in form and substance satisfactory to the Board of Directors in its sole discretion, as it may deem necessary or advisable in order to determine or ensure the Company's status as a REIT.</w:t>
      </w:r>
    </w:p>
    <w:p>
      <w:pPr>
        <w:spacing w:after="0" w:line="3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125730</wp:posOffset>
            </wp:positionV>
            <wp:extent cx="4436110" cy="762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631">
                      <a:extLst>
                        <a:ext uri="{28A0092B-C50C-407E-A947-70E740481C1C}"/>
                      </a:extLst>
                    </a:blip>
                    <a:srcRect/>
                    <a:stretch>
                      <a:fillRect/>
                    </a:stretch>
                  </pic:blipFill>
                  <pic:spPr bwMode="auto">
                    <a:xfrm>
                      <a:off x="0" y="0"/>
                      <a:ext cx="4436110"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567690</wp:posOffset>
            </wp:positionV>
            <wp:extent cx="5083810" cy="1524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632">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52" w:name="page353"/>
    <w:bookmarkEnd w:id="352"/>
    <w:p>
      <w:pPr>
        <w:ind w:left="600" w:right="1200" w:firstLine="312"/>
        <w:spacing w:after="0" w:line="305" w:lineRule="auto"/>
        <w:rPr>
          <w:sz w:val="20"/>
          <w:szCs w:val="20"/>
          <w:color w:val="auto"/>
        </w:rPr>
      </w:pPr>
      <w:r>
        <w:rPr>
          <w:rFonts w:ascii="Times New Roman" w:cs="Times New Roman" w:eastAsia="Times New Roman" w:hAnsi="Times New Roman"/>
          <w:sz w:val="13"/>
          <w:szCs w:val="13"/>
          <w:color w:val="auto"/>
        </w:rPr>
        <w:t>(j)</w:t>
      </w:r>
      <w:r>
        <w:rPr>
          <w:rFonts w:ascii="Times New Roman" w:cs="Times New Roman" w:eastAsia="Times New Roman" w:hAnsi="Times New Roman"/>
          <w:sz w:val="13"/>
          <w:szCs w:val="13"/>
          <w:u w:val="single" w:color="auto"/>
          <w:color w:val="auto"/>
        </w:rPr>
        <w:t>Legends</w:t>
      </w:r>
      <w:r>
        <w:rPr>
          <w:rFonts w:ascii="Times New Roman" w:cs="Times New Roman" w:eastAsia="Times New Roman" w:hAnsi="Times New Roman"/>
          <w:sz w:val="13"/>
          <w:szCs w:val="13"/>
          <w:color w:val="auto"/>
        </w:rPr>
        <w:t xml:space="preserve"> . Each certificate for Series F Preferred Stock shall bear substantially the following legends in addition to any legends required to comply with federal and state securities laws:</w:t>
      </w:r>
    </w:p>
    <w:p>
      <w:pPr>
        <w:spacing w:after="0" w:line="12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b w:val="1"/>
          <w:bCs w:val="1"/>
          <w:color w:val="auto"/>
        </w:rPr>
        <w:t>Classes of Stock</w:t>
      </w:r>
    </w:p>
    <w:p>
      <w:pPr>
        <w:spacing w:after="0" w:line="189" w:lineRule="exact"/>
        <w:rPr>
          <w:sz w:val="20"/>
          <w:szCs w:val="20"/>
          <w:color w:val="auto"/>
        </w:rPr>
      </w:pPr>
    </w:p>
    <w:p>
      <w:pPr>
        <w:ind w:left="900" w:right="660"/>
        <w:spacing w:after="0" w:line="272" w:lineRule="auto"/>
        <w:rPr>
          <w:sz w:val="20"/>
          <w:szCs w:val="20"/>
          <w:color w:val="auto"/>
        </w:rPr>
      </w:pPr>
      <w:r>
        <w:rPr>
          <w:rFonts w:ascii="Times New Roman" w:cs="Times New Roman" w:eastAsia="Times New Roman" w:hAnsi="Times New Roman"/>
          <w:sz w:val="13"/>
          <w:szCs w:val="13"/>
          <w:color w:val="auto"/>
        </w:rPr>
        <w:t>“THE COMPANY IS AUTHORIZED TO ISSUE CAPITAL STOCK OF MORE THAN ONE CLASS, CONSISTING OF COMMON STOCK AND ONE OR MORE CLASSES OF PREFERRED STOCK. THE BOARD OF DIRECTORS IS AUTHORIZED TO DETERMINE THE PREFERENCES, LIMITATIONS AND RELATIVE RIGHTS OF ANY CLASS OF THE PREFERRED STOCK BEFORE THE ISSUANCE OF SHARES OF SUCH CLASS OF PREFERRED STOCK. THE COMPANY WILL FURNISH, WITHOUT CHARGE, TO ANY STOCKHOLDER MAKING A WRITTEN REQUEST THEREFOR, A COPY OF THE COMPANY’S CHARTER AND A WRITTEN STATEMENT OF THE DESIGNATIONS, RELATIVE RIGHTS, PREFERENCES, CONVERSION OR OTHER RIGHTS, VOTING POWERS, RESTRICTIONS, LIMITATIONS AS TO DIVIDENDS AND OTHER DISTRIBUTIONS, QUALIFICATIONS AND TERMS AND CONDITIONS OF REDEMPTION OF THE STOCK OF EACH CLASS WHICH THE COMPANY HAS THE AUTHORITY TO ISSUE AND, IF THE COMPANY IS AUTHORIZED TO ISSUE ANY PREFERRED OR SPECIAL CLASS IN SERIES, (i) THE DIFFERENCES IN THE RELATIVE RIGHTS AND PREFERENCES BETWEEN THE SHARES OF EACH SERIES TO THE EXTENT SET, AND (ii) THE AUTHORITY OF THE BOARD OF DIRECTORS TO SET SUCH RIGHTS AND PREFERENCES OF SUBSEQUENT SERIES. REQUESTS FOR SUCH WRITTEN STATEMENT MAY BE DIRECTED TO THE SECRETARY OF THE COMPANY AT ITS PRINCIPAL OFFICE.”</w:t>
      </w:r>
    </w:p>
    <w:p>
      <w:pPr>
        <w:spacing w:after="0" w:line="13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b w:val="1"/>
          <w:bCs w:val="1"/>
          <w:color w:val="auto"/>
        </w:rPr>
        <w:t>Restriction on Ownership and Transfer</w:t>
      </w:r>
    </w:p>
    <w:p>
      <w:pPr>
        <w:spacing w:after="0" w:line="189" w:lineRule="exact"/>
        <w:rPr>
          <w:sz w:val="20"/>
          <w:szCs w:val="20"/>
          <w:color w:val="auto"/>
        </w:rPr>
      </w:pPr>
    </w:p>
    <w:p>
      <w:pPr>
        <w:ind w:left="900" w:right="680"/>
        <w:spacing w:after="0" w:line="271" w:lineRule="auto"/>
        <w:rPr>
          <w:sz w:val="20"/>
          <w:szCs w:val="20"/>
          <w:color w:val="auto"/>
        </w:rPr>
      </w:pPr>
      <w:r>
        <w:rPr>
          <w:rFonts w:ascii="Times New Roman" w:cs="Times New Roman" w:eastAsia="Times New Roman" w:hAnsi="Times New Roman"/>
          <w:sz w:val="13"/>
          <w:szCs w:val="13"/>
          <w:color w:val="auto"/>
        </w:rPr>
        <w:t>“THE SHARES OF THE COMPANY’S 6.625% SERIES F CUMULATIVE REDEEMABLE PREFERRED STOCK (“SERIES F PREFERRED STOCK”) REPRESENTED BY THIS CERTIFICATE ARE SUBJECT TO RESTRICTIONS ON BENEFICIAL AND CONSTRUCTIVE OWNERSHIP AND TRANSFER FOR THE PURPOSE OF THE COMPANY’S MAINTENANCE OF ITS STATUS AS A REAL ESTATE INVESTMENT TRUST UNDER THE INTERNAL REVENUE CODE OF 1986, AS AMENDED (THE “CODE”). SUBJECT TO CERTAIN FURTHER RESTRICTIONS AND EXCEPT AS EXPRESSLY PROVIDED IN THE ARTICLES SUPPLEMENTARY FOR THE SERIES F PREFERRED STOCK, (i) NO PERSON MAY BENEFICIALLY OR CONSTRUCTIVELY OWN SHARES OF SERIES F PREFERRED STOCK IN EXCESS OF 9.8% (BY VALUE OR BY NUMBER OF SHARES, WHICHEVER IS MORE RESTRICTIVE) OF THE OUTSTANDING SERIES F PREFERRED STOCK OF THE COMPANY; (ii) NO PERSON MAY BENEFICIALLY OR CONSTRUCTIVELY OWN SHARES OF SERIES F PREFERRED STOCK THAT, TAKING INTO ACCOUNT ANY OTHER CAPITAL STOCK OF THE COMPANY BENEFICIALLY OR CONSTRUCTIVELY OWNED BY SUCH PERSON, WOULD RESULT IN SUCH PERSON BENEFICIALLY OR CONSTRUCTIVELY OWNING CAPITAL STOCK WITH A VALUE IN EXCESS OF 9.8% OF THE VALUE OF THE COMPANY’S OUTSTANDING CAPITAL STOCK; (iii) NO PERSON MAY BENEFICIALLY OR CONSTRUCTIVELY OWN SHARES OF SERIES F PREFERRED STOCK THAT, TAKING INTO ACCOUNT ANY OTHER CAPITAL STOCK OF THE COMPANY BENEFICIALLY OR CONSTRUCTIVELY OWNED BY SUCH PERSON, WOULD RESULT IN THE COMPANY BEING “CLOSELY HELD” UNDER SECTION 856(h) OF THE CODE OR OTHERWISE CAUSE THE COMPANY TO FAIL TO QUALIFY AS A REIT; AND (iv) ANY TRANSFER OF SHARES OF SERIES F PREFERRED STOCK THAT, IF EFFECTIVE, WOULD RESULT IN THE CAPITAL STOCK OF THE COMPANY BEING BENEFICIALLY OWNED BY FEWER THAN 100 PERSONS WILL BE VOID AB INITIO AND THE INTENDED TRANSFEREE WILL ACQUIRE NO RIGHTS IN SUCH SHARES OF SERIES F PREFERRED STOCK. ANY PERSON WHO BENEFICIALLY OR CONSTRUCTIVELY OWNS OR ATTEMPTS TO BENEFICIALLY OR CONSTRUCTIVELY OWN</w:t>
      </w:r>
    </w:p>
    <w:p>
      <w:pPr>
        <w:spacing w:after="0" w:line="3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125730</wp:posOffset>
            </wp:positionV>
            <wp:extent cx="4436110" cy="1524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633">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575310</wp:posOffset>
            </wp:positionV>
            <wp:extent cx="5083810" cy="1524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634">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53" w:name="page354"/>
    <w:bookmarkEnd w:id="353"/>
    <w:p>
      <w:pPr>
        <w:ind w:left="900" w:right="620"/>
        <w:spacing w:after="0" w:line="272" w:lineRule="auto"/>
        <w:rPr>
          <w:sz w:val="20"/>
          <w:szCs w:val="20"/>
          <w:color w:val="auto"/>
        </w:rPr>
      </w:pPr>
      <w:r>
        <w:rPr>
          <w:rFonts w:ascii="Times New Roman" w:cs="Times New Roman" w:eastAsia="Times New Roman" w:hAnsi="Times New Roman"/>
          <w:sz w:val="13"/>
          <w:szCs w:val="13"/>
          <w:color w:val="auto"/>
        </w:rPr>
        <w:t>SERIES F PREFERRED STOCK WHICH CAUSES OR WILL CAUSE A PERSON TO BENEFICIALLY OR CONSTRUCTIVELY OWN SERIES F PREFERRED STOCK IN EXCESS OF THE ABOVE LIMITATIONS MUST IMMEDIATELY NOTIFY THE COMPANY. IF ANY OF THE RESTRICTIONS ON TRANSFER OR OWNERSHIP IN (i) THROUGH (iii) ABOVE ARE VIOLATED, THE SERIES F PREFERRED STOCK REPRESENTED HEREBY IN EXCESS OF SUCH RESTRICTIONS WILL BE AUTOMATICALLY TRANSFERRED TO THE TRUSTEE OF A TRUST FOR THE BENEFIT OF ONE OR MORE CHARITABLE BENEFICIARIES. IN ADDITION, THE COMPANY MAY REDEEM SHARES UPON THE TERMS AND CONDITIONS SPECIFIED BY THE BOARD OF DIRECTORS IN ITS SOLE DISCRETION IF THE BOARD OF DIRECTORS DETERMINES THAT OWNERSHIP OR A TRANSFER OR OTHER EVENT MAY VIOLATE THE RESTRICTIONS DESCRIBED ABOVE. FURTHERMORE, UPON THE OCCURRENCE OF CERTAIN EVENTS, ATTEMPTED TRANSFERS IN VIOLATION OF THE RESTRICTIONS DESCRIBED ABOVE MAY BE VOID AB INITIO. ALL TERMS IN THIS LEGEND WHICH ARE DEFINED IN THE ARTICLES SUPPLEMENTARY FOR THE SERIES F PREFERRED STOCK SHALL HAVE THE MEANINGS ASCRIBED TO THEM IN SUCH ARTICLES SUPPLEMENTARY, AS THE SAME MAY BE AMENDED FROM TIME TO TIME, A COPY OF WHICH, INCLUDING THE RESTRICTIONS ON TRANSFER AND OWNERSHIP, WILL BE FURNISHED TO EACH HOLDER OF SERIES F PREFERRED STOCK ON REQUEST AND WITHOUT CHARGE. REQUESTS FOR SUCH A COPY MAY BE DIRECTED TO THE SECRETARY OF THE COMPANY AT ITS PRINCIPAL OFFICE.”</w:t>
      </w:r>
    </w:p>
    <w:p>
      <w:pPr>
        <w:spacing w:after="0" w:line="135" w:lineRule="exact"/>
        <w:rPr>
          <w:sz w:val="20"/>
          <w:szCs w:val="20"/>
          <w:color w:val="auto"/>
        </w:rPr>
      </w:pPr>
    </w:p>
    <w:p>
      <w:pPr>
        <w:ind w:left="600" w:right="860" w:firstLine="306"/>
        <w:spacing w:after="0" w:line="287" w:lineRule="auto"/>
        <w:tabs>
          <w:tab w:leader="none" w:pos="1080" w:val="left"/>
        </w:tabs>
        <w:numPr>
          <w:ilvl w:val="0"/>
          <w:numId w:val="3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Severability</w:t>
      </w:r>
      <w:r>
        <w:rPr>
          <w:rFonts w:ascii="Times New Roman" w:cs="Times New Roman" w:eastAsia="Times New Roman" w:hAnsi="Times New Roman"/>
          <w:sz w:val="13"/>
          <w:szCs w:val="13"/>
          <w:color w:val="auto"/>
        </w:rPr>
        <w:t xml:space="preserve"> . If any provision of this Section 9 or any application of any such provision is determined to be invalid by any federal or state court having jurisdiction over the issues, the validity of the remaining provisions shall not be affected and other applications of such provision shall be affected only to the extent necessary to comply with the determination of such court.</w:t>
      </w:r>
    </w:p>
    <w:p>
      <w:pPr>
        <w:spacing w:after="0" w:line="136" w:lineRule="exact"/>
        <w:rPr>
          <w:sz w:val="20"/>
          <w:szCs w:val="20"/>
          <w:color w:val="auto"/>
        </w:rPr>
      </w:pPr>
    </w:p>
    <w:p>
      <w:pPr>
        <w:ind w:left="600" w:right="720" w:firstLine="312"/>
        <w:spacing w:after="0" w:line="287" w:lineRule="auto"/>
        <w:rPr>
          <w:sz w:val="20"/>
          <w:szCs w:val="20"/>
          <w:color w:val="auto"/>
        </w:rPr>
      </w:pPr>
      <w:r>
        <w:rPr>
          <w:rFonts w:ascii="Times New Roman" w:cs="Times New Roman" w:eastAsia="Times New Roman" w:hAnsi="Times New Roman"/>
          <w:sz w:val="13"/>
          <w:szCs w:val="13"/>
          <w:color w:val="auto"/>
        </w:rPr>
        <w:t>(l)</w:t>
      </w:r>
      <w:r>
        <w:rPr>
          <w:rFonts w:ascii="Times New Roman" w:cs="Times New Roman" w:eastAsia="Times New Roman" w:hAnsi="Times New Roman"/>
          <w:sz w:val="13"/>
          <w:szCs w:val="13"/>
          <w:u w:val="single" w:color="auto"/>
          <w:color w:val="auto"/>
        </w:rPr>
        <w:t>NYSE</w:t>
      </w:r>
      <w:r>
        <w:rPr>
          <w:rFonts w:ascii="Times New Roman" w:cs="Times New Roman" w:eastAsia="Times New Roman" w:hAnsi="Times New Roman"/>
          <w:sz w:val="13"/>
          <w:szCs w:val="13"/>
          <w:color w:val="auto"/>
        </w:rPr>
        <w:t xml:space="preserve"> . Nothing in this Section 9 shall preclude the settlement of any transaction entered into through the facilities of the NYSE. The shares of Series F Preferred Stock that are the subject of such transaction shall continue to be subject to the provisions of this Section 9 after such settlement.</w:t>
      </w:r>
    </w:p>
    <w:p>
      <w:pPr>
        <w:spacing w:after="0" w:line="136" w:lineRule="exact"/>
        <w:rPr>
          <w:sz w:val="20"/>
          <w:szCs w:val="20"/>
          <w:color w:val="auto"/>
        </w:rPr>
      </w:pPr>
    </w:p>
    <w:p>
      <w:pPr>
        <w:ind w:left="600" w:right="860" w:firstLine="312"/>
        <w:spacing w:after="0" w:line="305" w:lineRule="auto"/>
        <w:rPr>
          <w:sz w:val="20"/>
          <w:szCs w:val="20"/>
          <w:color w:val="auto"/>
        </w:rPr>
      </w:pPr>
      <w:r>
        <w:rPr>
          <w:rFonts w:ascii="Times New Roman" w:cs="Times New Roman" w:eastAsia="Times New Roman" w:hAnsi="Times New Roman"/>
          <w:sz w:val="13"/>
          <w:szCs w:val="13"/>
          <w:color w:val="auto"/>
        </w:rPr>
        <w:t>(m)</w:t>
      </w:r>
      <w:r>
        <w:rPr>
          <w:rFonts w:ascii="Times New Roman" w:cs="Times New Roman" w:eastAsia="Times New Roman" w:hAnsi="Times New Roman"/>
          <w:sz w:val="13"/>
          <w:szCs w:val="13"/>
          <w:u w:val="single" w:color="auto"/>
          <w:color w:val="auto"/>
        </w:rPr>
        <w:t>Applicability of Section 9</w:t>
      </w:r>
      <w:r>
        <w:rPr>
          <w:rFonts w:ascii="Times New Roman" w:cs="Times New Roman" w:eastAsia="Times New Roman" w:hAnsi="Times New Roman"/>
          <w:sz w:val="13"/>
          <w:szCs w:val="13"/>
          <w:color w:val="auto"/>
        </w:rPr>
        <w:t xml:space="preserve"> . The provisions set forth in this Section 9 shall apply to the Series F Preferred Stock notwithstanding any contrary provisions of the Series F Preferred Stock provided for elsewhere in these Articles Supplementary.</w:t>
      </w:r>
    </w:p>
    <w:p>
      <w:pPr>
        <w:spacing w:after="0" w:line="124" w:lineRule="exact"/>
        <w:rPr>
          <w:sz w:val="20"/>
          <w:szCs w:val="20"/>
          <w:color w:val="auto"/>
        </w:rPr>
      </w:pPr>
    </w:p>
    <w:p>
      <w:pPr>
        <w:ind w:left="600" w:right="1000" w:firstLine="312"/>
        <w:spacing w:after="0" w:line="305" w:lineRule="auto"/>
        <w:rPr>
          <w:sz w:val="20"/>
          <w:szCs w:val="20"/>
          <w:color w:val="auto"/>
        </w:rPr>
      </w:pPr>
      <w:r>
        <w:rPr>
          <w:rFonts w:ascii="Times New Roman" w:cs="Times New Roman" w:eastAsia="Times New Roman" w:hAnsi="Times New Roman"/>
          <w:sz w:val="13"/>
          <w:szCs w:val="13"/>
          <w:color w:val="auto"/>
        </w:rPr>
        <w:t xml:space="preserve">Section 10. </w:t>
      </w:r>
      <w:r>
        <w:rPr>
          <w:rFonts w:ascii="Times New Roman" w:cs="Times New Roman" w:eastAsia="Times New Roman" w:hAnsi="Times New Roman"/>
          <w:sz w:val="13"/>
          <w:szCs w:val="13"/>
          <w:u w:val="single" w:color="auto"/>
          <w:color w:val="auto"/>
        </w:rPr>
        <w:t>No Conversion Rights</w:t>
      </w:r>
      <w:r>
        <w:rPr>
          <w:rFonts w:ascii="Times New Roman" w:cs="Times New Roman" w:eastAsia="Times New Roman" w:hAnsi="Times New Roman"/>
          <w:sz w:val="13"/>
          <w:szCs w:val="13"/>
          <w:color w:val="auto"/>
        </w:rPr>
        <w:t xml:space="preserve"> . The shares of Series F Preferred Stock shall not be convertible into or exchangeable for any other property or securities of the Company or any other entity, except as otherwise provided herein.</w:t>
      </w:r>
    </w:p>
    <w:p>
      <w:pPr>
        <w:spacing w:after="0" w:line="124" w:lineRule="exact"/>
        <w:rPr>
          <w:sz w:val="20"/>
          <w:szCs w:val="20"/>
          <w:color w:val="auto"/>
        </w:rPr>
      </w:pPr>
    </w:p>
    <w:p>
      <w:pPr>
        <w:jc w:val="both"/>
        <w:ind w:left="600" w:right="940" w:firstLine="312"/>
        <w:spacing w:after="0" w:line="287" w:lineRule="auto"/>
        <w:rPr>
          <w:sz w:val="20"/>
          <w:szCs w:val="20"/>
          <w:color w:val="auto"/>
        </w:rPr>
      </w:pPr>
      <w:r>
        <w:rPr>
          <w:rFonts w:ascii="Times New Roman" w:cs="Times New Roman" w:eastAsia="Times New Roman" w:hAnsi="Times New Roman"/>
          <w:sz w:val="13"/>
          <w:szCs w:val="13"/>
          <w:color w:val="auto"/>
        </w:rPr>
        <w:t xml:space="preserve">Section 11. </w:t>
      </w:r>
      <w:r>
        <w:rPr>
          <w:rFonts w:ascii="Times New Roman" w:cs="Times New Roman" w:eastAsia="Times New Roman" w:hAnsi="Times New Roman"/>
          <w:sz w:val="13"/>
          <w:szCs w:val="13"/>
          <w:u w:val="single" w:color="auto"/>
          <w:color w:val="auto"/>
        </w:rPr>
        <w:t>Record Holders</w:t>
      </w:r>
      <w:r>
        <w:rPr>
          <w:rFonts w:ascii="Times New Roman" w:cs="Times New Roman" w:eastAsia="Times New Roman" w:hAnsi="Times New Roman"/>
          <w:sz w:val="13"/>
          <w:szCs w:val="13"/>
          <w:color w:val="auto"/>
        </w:rPr>
        <w:t xml:space="preserve"> . The Company and its transfer agent may deem and treat the record holder of any Series F Preferred Stock as the true and lawful owner thereof for all purposes, and neither the Company nor its transfer agent shall be affected by any notice to the contrary.</w:t>
      </w:r>
    </w:p>
    <w:p>
      <w:pPr>
        <w:spacing w:after="0" w:line="136" w:lineRule="exact"/>
        <w:rPr>
          <w:sz w:val="20"/>
          <w:szCs w:val="20"/>
          <w:color w:val="auto"/>
        </w:rPr>
      </w:pPr>
    </w:p>
    <w:p>
      <w:pPr>
        <w:ind w:left="600" w:right="680" w:firstLine="312"/>
        <w:spacing w:after="0" w:line="286" w:lineRule="auto"/>
        <w:rPr>
          <w:sz w:val="20"/>
          <w:szCs w:val="20"/>
          <w:color w:val="auto"/>
        </w:rPr>
      </w:pPr>
      <w:r>
        <w:rPr>
          <w:rFonts w:ascii="Times New Roman" w:cs="Times New Roman" w:eastAsia="Times New Roman" w:hAnsi="Times New Roman"/>
          <w:sz w:val="13"/>
          <w:szCs w:val="13"/>
          <w:color w:val="auto"/>
        </w:rPr>
        <w:t xml:space="preserve">Section 12. </w:t>
      </w:r>
      <w:r>
        <w:rPr>
          <w:rFonts w:ascii="Times New Roman" w:cs="Times New Roman" w:eastAsia="Times New Roman" w:hAnsi="Times New Roman"/>
          <w:sz w:val="13"/>
          <w:szCs w:val="13"/>
          <w:u w:val="single" w:color="auto"/>
          <w:color w:val="auto"/>
        </w:rPr>
        <w:t>No Maturity or Sinking Fund</w:t>
      </w:r>
      <w:r>
        <w:rPr>
          <w:rFonts w:ascii="Times New Roman" w:cs="Times New Roman" w:eastAsia="Times New Roman" w:hAnsi="Times New Roman"/>
          <w:sz w:val="13"/>
          <w:szCs w:val="13"/>
          <w:color w:val="auto"/>
        </w:rPr>
        <w:t xml:space="preserve"> . The Series F Preferred Stock has no maturity date, and no sinking fund has been established for the retirement or redemption of Series F Preferred Stock;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 that the Series F Preferred Stock owned by a stockholder in excess of the Ownership Limit or Aggregate Stock Ownership Limit shall be subject to the provisions of Section 5 and Section 9 of this Articles Supplementary.</w:t>
      </w:r>
    </w:p>
    <w:p>
      <w:pPr>
        <w:spacing w:after="0" w:line="306" w:lineRule="exact"/>
        <w:rPr>
          <w:sz w:val="20"/>
          <w:szCs w:val="20"/>
          <w:color w:val="auto"/>
        </w:rPr>
      </w:pPr>
    </w:p>
    <w:p>
      <w:pPr>
        <w:jc w:val="both"/>
        <w:ind w:left="600" w:right="780" w:firstLine="312"/>
        <w:spacing w:after="0" w:line="287" w:lineRule="auto"/>
        <w:rPr>
          <w:sz w:val="20"/>
          <w:szCs w:val="20"/>
          <w:color w:val="auto"/>
        </w:rPr>
      </w:pPr>
      <w:r>
        <w:rPr>
          <w:rFonts w:ascii="Times New Roman" w:cs="Times New Roman" w:eastAsia="Times New Roman" w:hAnsi="Times New Roman"/>
          <w:sz w:val="13"/>
          <w:szCs w:val="13"/>
          <w:color w:val="auto"/>
        </w:rPr>
        <w:t xml:space="preserve">Section 13. </w:t>
      </w:r>
      <w:r>
        <w:rPr>
          <w:rFonts w:ascii="Times New Roman" w:cs="Times New Roman" w:eastAsia="Times New Roman" w:hAnsi="Times New Roman"/>
          <w:sz w:val="13"/>
          <w:szCs w:val="13"/>
          <w:u w:val="single" w:color="auto"/>
          <w:color w:val="auto"/>
        </w:rPr>
        <w:t>Exclusion of Other Rights</w:t>
      </w:r>
      <w:r>
        <w:rPr>
          <w:rFonts w:ascii="Times New Roman" w:cs="Times New Roman" w:eastAsia="Times New Roman" w:hAnsi="Times New Roman"/>
          <w:sz w:val="13"/>
          <w:szCs w:val="13"/>
          <w:color w:val="auto"/>
        </w:rPr>
        <w:t xml:space="preserve"> . The Series F Preferred Stock shall not have any preferences or other rights, voting powers, restrictions, limitations as to dividends or other distributions, qualifications or terms or conditions of redemption other than expressly set forth in the Charter and these Articles Supplementary.</w:t>
      </w:r>
    </w:p>
    <w:p>
      <w:pPr>
        <w:spacing w:after="0" w:line="136" w:lineRule="exact"/>
        <w:rPr>
          <w:sz w:val="20"/>
          <w:szCs w:val="20"/>
          <w:color w:val="auto"/>
        </w:rPr>
      </w:pPr>
    </w:p>
    <w:p>
      <w:pPr>
        <w:ind w:left="600" w:right="800" w:firstLine="312"/>
        <w:spacing w:after="0" w:line="305" w:lineRule="auto"/>
        <w:rPr>
          <w:sz w:val="20"/>
          <w:szCs w:val="20"/>
          <w:color w:val="auto"/>
        </w:rPr>
      </w:pPr>
      <w:r>
        <w:rPr>
          <w:rFonts w:ascii="Times New Roman" w:cs="Times New Roman" w:eastAsia="Times New Roman" w:hAnsi="Times New Roman"/>
          <w:sz w:val="13"/>
          <w:szCs w:val="13"/>
          <w:color w:val="auto"/>
        </w:rPr>
        <w:t xml:space="preserve">Section 14. </w:t>
      </w:r>
      <w:r>
        <w:rPr>
          <w:rFonts w:ascii="Times New Roman" w:cs="Times New Roman" w:eastAsia="Times New Roman" w:hAnsi="Times New Roman"/>
          <w:sz w:val="13"/>
          <w:szCs w:val="13"/>
          <w:u w:val="single" w:color="auto"/>
          <w:color w:val="auto"/>
        </w:rPr>
        <w:t>Headings of Subdivisions</w:t>
      </w:r>
      <w:r>
        <w:rPr>
          <w:rFonts w:ascii="Times New Roman" w:cs="Times New Roman" w:eastAsia="Times New Roman" w:hAnsi="Times New Roman"/>
          <w:sz w:val="13"/>
          <w:szCs w:val="13"/>
          <w:color w:val="auto"/>
        </w:rPr>
        <w:t xml:space="preserve"> . The headings of the various subdivisions hereof are for convenience of reference only and shall not affect the interpretation of any of the provisions hereof.</w:t>
      </w:r>
    </w:p>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125730</wp:posOffset>
            </wp:positionV>
            <wp:extent cx="4436110" cy="1524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635">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575310</wp:posOffset>
            </wp:positionV>
            <wp:extent cx="5083810" cy="1524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636">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54" w:name="page355"/>
    <w:bookmarkEnd w:id="354"/>
    <w:p>
      <w:pPr>
        <w:ind w:left="600" w:right="660" w:firstLine="312"/>
        <w:spacing w:after="0" w:line="274" w:lineRule="auto"/>
        <w:rPr>
          <w:sz w:val="20"/>
          <w:szCs w:val="20"/>
          <w:color w:val="auto"/>
        </w:rPr>
      </w:pPr>
      <w:r>
        <w:rPr>
          <w:rFonts w:ascii="Times New Roman" w:cs="Times New Roman" w:eastAsia="Times New Roman" w:hAnsi="Times New Roman"/>
          <w:sz w:val="13"/>
          <w:szCs w:val="13"/>
          <w:color w:val="auto"/>
        </w:rPr>
        <w:t xml:space="preserve">Section 15. </w:t>
      </w:r>
      <w:r>
        <w:rPr>
          <w:rFonts w:ascii="Times New Roman" w:cs="Times New Roman" w:eastAsia="Times New Roman" w:hAnsi="Times New Roman"/>
          <w:sz w:val="13"/>
          <w:szCs w:val="13"/>
          <w:u w:val="single" w:color="auto"/>
          <w:color w:val="auto"/>
        </w:rPr>
        <w:t>Severability of Provisions</w:t>
      </w:r>
      <w:r>
        <w:rPr>
          <w:rFonts w:ascii="Times New Roman" w:cs="Times New Roman" w:eastAsia="Times New Roman" w:hAnsi="Times New Roman"/>
          <w:sz w:val="13"/>
          <w:szCs w:val="13"/>
          <w:color w:val="auto"/>
        </w:rPr>
        <w:t xml:space="preserve"> . If any preferences or other rights, voting powers, restrictions, limitations as to dividends or other distributions, qualifications or terms or conditions of redemption of the Series F Preferred Stock set forth in the Charter and these Articles Supplementary are invalid, unlawful or incapable of being enforced by reason of any rule of law or public policy, all other preferences or other rights, voting powers, restrictions, limitations as to dividends or other distributions, qualifications or terms or conditions of redemption of Series F Preferred Stock set forth in the Charter which can be given effect without the invalid, unlawful or unenforceable provision thereof shall, nevertheless, remain in full force and effect and no preferences or other rights, voting powers, restrictions, limitations as to dividends or other distributions, qualifications or terms or conditions of redemption of the Series F Preferred Stock herein set forth shall be deemed dependent upon any other provision thereof unless so expressed therein.</w:t>
      </w:r>
    </w:p>
    <w:p>
      <w:pPr>
        <w:spacing w:after="0" w:line="135" w:lineRule="exact"/>
        <w:rPr>
          <w:sz w:val="20"/>
          <w:szCs w:val="20"/>
          <w:color w:val="auto"/>
        </w:rPr>
      </w:pPr>
    </w:p>
    <w:p>
      <w:pPr>
        <w:ind w:left="600" w:right="760" w:firstLine="312"/>
        <w:spacing w:after="0" w:line="287" w:lineRule="auto"/>
        <w:rPr>
          <w:sz w:val="20"/>
          <w:szCs w:val="20"/>
          <w:color w:val="auto"/>
        </w:rPr>
      </w:pPr>
      <w:r>
        <w:rPr>
          <w:rFonts w:ascii="Times New Roman" w:cs="Times New Roman" w:eastAsia="Times New Roman" w:hAnsi="Times New Roman"/>
          <w:sz w:val="13"/>
          <w:szCs w:val="13"/>
          <w:color w:val="auto"/>
        </w:rPr>
        <w:t xml:space="preserve">Section 16. </w:t>
      </w:r>
      <w:r>
        <w:rPr>
          <w:rFonts w:ascii="Times New Roman" w:cs="Times New Roman" w:eastAsia="Times New Roman" w:hAnsi="Times New Roman"/>
          <w:sz w:val="13"/>
          <w:szCs w:val="13"/>
          <w:u w:val="single" w:color="auto"/>
          <w:color w:val="auto"/>
        </w:rPr>
        <w:t>No Preemptive Rights</w:t>
      </w:r>
      <w:r>
        <w:rPr>
          <w:rFonts w:ascii="Times New Roman" w:cs="Times New Roman" w:eastAsia="Times New Roman" w:hAnsi="Times New Roman"/>
          <w:sz w:val="13"/>
          <w:szCs w:val="13"/>
          <w:color w:val="auto"/>
        </w:rPr>
        <w:t xml:space="preserve"> . No holder of Series F Preferred Stock shall be entitled to any preemptive rights to subscribe for or acquire any unissued shares of capital stock of the Company (whether now or hereafter authorized) or securities of the Company convertible into or carrying a right to subscribe to or acquire shares of capital stock of the Company.</w:t>
      </w:r>
    </w:p>
    <w:p>
      <w:pPr>
        <w:spacing w:after="0" w:line="136" w:lineRule="exact"/>
        <w:rPr>
          <w:sz w:val="20"/>
          <w:szCs w:val="20"/>
          <w:color w:val="auto"/>
        </w:rPr>
      </w:pPr>
    </w:p>
    <w:p>
      <w:pPr>
        <w:ind w:left="600" w:right="700" w:firstLine="312"/>
        <w:spacing w:after="0" w:line="305" w:lineRule="auto"/>
        <w:rPr>
          <w:sz w:val="20"/>
          <w:szCs w:val="20"/>
          <w:color w:val="auto"/>
        </w:rPr>
      </w:pPr>
      <w:r>
        <w:rPr>
          <w:rFonts w:ascii="Times New Roman" w:cs="Times New Roman" w:eastAsia="Times New Roman" w:hAnsi="Times New Roman"/>
          <w:sz w:val="13"/>
          <w:szCs w:val="13"/>
          <w:u w:val="single" w:color="auto"/>
          <w:color w:val="auto"/>
        </w:rPr>
        <w:t>FOURTH</w:t>
      </w:r>
      <w:r>
        <w:rPr>
          <w:rFonts w:ascii="Times New Roman" w:cs="Times New Roman" w:eastAsia="Times New Roman" w:hAnsi="Times New Roman"/>
          <w:sz w:val="13"/>
          <w:szCs w:val="13"/>
          <w:color w:val="auto"/>
        </w:rPr>
        <w:t xml:space="preserve"> : The Series F Preferred Stock have been classified and designated by the Board of Directors under the authority contained in the Charter.</w:t>
      </w:r>
    </w:p>
    <w:p>
      <w:pPr>
        <w:spacing w:after="0" w:line="12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u w:val="single" w:color="auto"/>
          <w:color w:val="auto"/>
        </w:rPr>
        <w:t>FIFTH</w:t>
      </w:r>
      <w:r>
        <w:rPr>
          <w:rFonts w:ascii="Times New Roman" w:cs="Times New Roman" w:eastAsia="Times New Roman" w:hAnsi="Times New Roman"/>
          <w:sz w:val="13"/>
          <w:szCs w:val="13"/>
          <w:color w:val="auto"/>
        </w:rPr>
        <w:t xml:space="preserve"> : These Articles Supplementary have been approved by the Board of Directors in the manner and by the vote required by law.</w:t>
      </w:r>
    </w:p>
    <w:p>
      <w:pPr>
        <w:spacing w:after="0" w:line="18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u w:val="single" w:color="auto"/>
          <w:color w:val="auto"/>
        </w:rPr>
        <w:t>SIXTH</w:t>
      </w:r>
      <w:r>
        <w:rPr>
          <w:rFonts w:ascii="Times New Roman" w:cs="Times New Roman" w:eastAsia="Times New Roman" w:hAnsi="Times New Roman"/>
          <w:sz w:val="13"/>
          <w:szCs w:val="13"/>
          <w:color w:val="auto"/>
        </w:rPr>
        <w:t xml:space="preserve"> : These Articles Supplementary shall be effective at the time the Department accepts these Articles Supplementary for record.</w:t>
      </w:r>
    </w:p>
    <w:p>
      <w:pPr>
        <w:spacing w:after="0" w:line="187" w:lineRule="exact"/>
        <w:rPr>
          <w:sz w:val="20"/>
          <w:szCs w:val="20"/>
          <w:color w:val="auto"/>
        </w:rPr>
      </w:pPr>
    </w:p>
    <w:p>
      <w:pPr>
        <w:ind w:left="600" w:right="580" w:firstLine="312"/>
        <w:spacing w:after="0" w:line="281" w:lineRule="auto"/>
        <w:rPr>
          <w:sz w:val="20"/>
          <w:szCs w:val="20"/>
          <w:color w:val="auto"/>
        </w:rPr>
      </w:pPr>
      <w:r>
        <w:rPr>
          <w:rFonts w:ascii="Times New Roman" w:cs="Times New Roman" w:eastAsia="Times New Roman" w:hAnsi="Times New Roman"/>
          <w:sz w:val="13"/>
          <w:szCs w:val="13"/>
          <w:u w:val="single" w:color="auto"/>
          <w:color w:val="auto"/>
        </w:rPr>
        <w:t>SEVENTH</w:t>
      </w:r>
      <w:r>
        <w:rPr>
          <w:rFonts w:ascii="Times New Roman" w:cs="Times New Roman" w:eastAsia="Times New Roman" w:hAnsi="Times New Roman"/>
          <w:sz w:val="13"/>
          <w:szCs w:val="13"/>
          <w:color w:val="auto"/>
        </w:rPr>
        <w:t xml:space="preserve"> : The undersigned Chief Executive Officer of the Company acknowledges these Articles Supplementary to be the corporate act of the Company and, as to all matters or facts required to be verified under oath, the undersigned Chief Executive Officer acknowledges that to the best of his knowledge, information and belief, these matters and facts are true in all material respects and that this statement is made under the penalties for perjury.</w:t>
      </w:r>
    </w:p>
    <w:p>
      <w:pPr>
        <w:spacing w:after="0" w:line="3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125730</wp:posOffset>
            </wp:positionV>
            <wp:extent cx="4436110" cy="762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637">
                      <a:extLst>
                        <a:ext uri="{28A0092B-C50C-407E-A947-70E740481C1C}"/>
                      </a:extLst>
                    </a:blip>
                    <a:srcRect/>
                    <a:stretch>
                      <a:fillRect/>
                    </a:stretch>
                  </pic:blipFill>
                  <pic:spPr bwMode="auto">
                    <a:xfrm>
                      <a:off x="0" y="0"/>
                      <a:ext cx="4436110"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567690</wp:posOffset>
            </wp:positionV>
            <wp:extent cx="5083810" cy="1524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638">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55" w:name="page356"/>
    <w:bookmarkEnd w:id="355"/>
    <w:p>
      <w:pPr>
        <w:jc w:val="both"/>
        <w:ind w:left="600" w:right="660" w:firstLine="312"/>
        <w:spacing w:after="0" w:line="303" w:lineRule="auto"/>
        <w:rPr>
          <w:sz w:val="20"/>
          <w:szCs w:val="20"/>
          <w:color w:val="auto"/>
        </w:rPr>
      </w:pPr>
      <w:r>
        <w:rPr>
          <w:rFonts w:ascii="Times New Roman" w:cs="Times New Roman" w:eastAsia="Times New Roman" w:hAnsi="Times New Roman"/>
          <w:sz w:val="13"/>
          <w:szCs w:val="13"/>
          <w:color w:val="auto"/>
        </w:rPr>
        <w:t>IN WITNESS WHEREOF, the Company has caused these Articles Supplementary to be executed under seal in its name and on its behalf by its Chief Executive Officer and attested to by its Chief Financial Officer, Chief Investment Officer and Secretary as of the date first written above.</w:t>
      </w:r>
    </w:p>
    <w:p>
      <w:pPr>
        <w:spacing w:after="0" w:line="13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3"/>
          <w:szCs w:val="13"/>
          <w:color w:val="auto"/>
        </w:rPr>
        <w:t>DIGITAL REALTY TRUST, INC.</w:t>
      </w:r>
    </w:p>
    <w:p>
      <w:pPr>
        <w:spacing w:after="0" w:line="19" w:lineRule="exact"/>
        <w:rPr>
          <w:sz w:val="20"/>
          <w:szCs w:val="20"/>
          <w:color w:val="auto"/>
        </w:rPr>
      </w:pPr>
    </w:p>
    <w:p>
      <w:pPr>
        <w:ind w:left="4360"/>
        <w:spacing w:after="0"/>
        <w:tabs>
          <w:tab w:leader="none" w:pos="4660" w:val="left"/>
        </w:tabs>
        <w:rPr>
          <w:sz w:val="20"/>
          <w:szCs w:val="20"/>
          <w:color w:val="auto"/>
        </w:rPr>
      </w:pPr>
      <w:r>
        <w:rPr>
          <w:rFonts w:ascii="Times New Roman" w:cs="Times New Roman" w:eastAsia="Times New Roman" w:hAnsi="Times New Roman"/>
          <w:sz w:val="13"/>
          <w:szCs w:val="13"/>
          <w:color w:val="auto"/>
        </w:rPr>
        <w:t>By:</w:t>
        <w:tab/>
        <w:t>/s/ Michael F. Foust</w:t>
      </w:r>
    </w:p>
    <w:p>
      <w:pPr>
        <w:ind w:left="4360"/>
        <w:spacing w:after="0" w:line="196" w:lineRule="auto"/>
        <w:rPr>
          <w:sz w:val="20"/>
          <w:szCs w:val="20"/>
          <w:color w:val="auto"/>
        </w:rPr>
      </w:pPr>
      <w:r>
        <w:rPr>
          <w:rFonts w:ascii="Times New Roman" w:cs="Times New Roman" w:eastAsia="Times New Roman" w:hAnsi="Times New Roman"/>
          <w:sz w:val="26"/>
          <w:szCs w:val="26"/>
          <w:color w:val="auto"/>
          <w:vertAlign w:val="superscript"/>
        </w:rPr>
        <w:t>Name:</w:t>
      </w:r>
      <w:r>
        <w:rPr>
          <w:rFonts w:ascii="Times New Roman" w:cs="Times New Roman" w:eastAsia="Times New Roman" w:hAnsi="Times New Roman"/>
          <w:sz w:val="13"/>
          <w:szCs w:val="13"/>
          <w:color w:val="auto"/>
        </w:rPr>
        <w:t>Michael F. Foust</w:t>
      </w:r>
    </w:p>
    <w:p>
      <w:pPr>
        <w:ind w:left="4360"/>
        <w:spacing w:after="0" w:line="232" w:lineRule="auto"/>
        <w:rPr>
          <w:sz w:val="20"/>
          <w:szCs w:val="20"/>
          <w:color w:val="auto"/>
        </w:rPr>
      </w:pPr>
      <w:r>
        <w:rPr>
          <w:rFonts w:ascii="Times New Roman" w:cs="Times New Roman" w:eastAsia="Times New Roman" w:hAnsi="Times New Roman"/>
          <w:sz w:val="13"/>
          <w:szCs w:val="13"/>
          <w:color w:val="auto"/>
        </w:rPr>
        <w:t>Title: Chief Executive Officer</w:t>
      </w:r>
    </w:p>
    <w:p>
      <w:pPr>
        <w:ind w:left="600"/>
        <w:spacing w:after="0"/>
        <w:rPr>
          <w:sz w:val="20"/>
          <w:szCs w:val="20"/>
          <w:color w:val="auto"/>
        </w:rPr>
      </w:pPr>
      <w:r>
        <w:rPr>
          <w:rFonts w:ascii="Times New Roman" w:cs="Times New Roman" w:eastAsia="Times New Roman" w:hAnsi="Times New Roman"/>
          <w:sz w:val="13"/>
          <w:szCs w:val="13"/>
          <w:color w:val="auto"/>
        </w:rPr>
        <w:t>ATTEST:</w:t>
      </w:r>
    </w:p>
    <w:p>
      <w:pPr>
        <w:spacing w:after="0" w:line="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DIGITAL REALTY TRUST, INC.</w:t>
      </w:r>
    </w:p>
    <w:p>
      <w:pPr>
        <w:spacing w:after="0" w:line="19" w:lineRule="exact"/>
        <w:rPr>
          <w:sz w:val="20"/>
          <w:szCs w:val="20"/>
          <w:color w:val="auto"/>
        </w:rPr>
      </w:pPr>
    </w:p>
    <w:p>
      <w:pPr>
        <w:ind w:left="600"/>
        <w:spacing w:after="0"/>
        <w:tabs>
          <w:tab w:leader="none" w:pos="940" w:val="left"/>
        </w:tabs>
        <w:rPr>
          <w:sz w:val="20"/>
          <w:szCs w:val="20"/>
          <w:color w:val="auto"/>
        </w:rPr>
      </w:pPr>
      <w:r>
        <w:rPr>
          <w:rFonts w:ascii="Times New Roman" w:cs="Times New Roman" w:eastAsia="Times New Roman" w:hAnsi="Times New Roman"/>
          <w:sz w:val="13"/>
          <w:szCs w:val="13"/>
          <w:color w:val="auto"/>
        </w:rPr>
        <w:t>By:</w:t>
        <w:tab/>
        <w:t>/s/ A. William Stein</w:t>
      </w:r>
    </w:p>
    <w:p>
      <w:pPr>
        <w:ind w:left="600"/>
        <w:spacing w:after="0" w:line="196" w:lineRule="auto"/>
        <w:rPr>
          <w:sz w:val="20"/>
          <w:szCs w:val="20"/>
          <w:color w:val="auto"/>
        </w:rPr>
      </w:pPr>
      <w:r>
        <w:rPr>
          <w:rFonts w:ascii="Times New Roman" w:cs="Times New Roman" w:eastAsia="Times New Roman" w:hAnsi="Times New Roman"/>
          <w:sz w:val="26"/>
          <w:szCs w:val="26"/>
          <w:color w:val="auto"/>
          <w:vertAlign w:val="superscript"/>
        </w:rPr>
        <w:t>Name:</w:t>
      </w:r>
      <w:r>
        <w:rPr>
          <w:rFonts w:ascii="Times New Roman" w:cs="Times New Roman" w:eastAsia="Times New Roman" w:hAnsi="Times New Roman"/>
          <w:sz w:val="13"/>
          <w:szCs w:val="13"/>
          <w:color w:val="auto"/>
        </w:rPr>
        <w:t xml:space="preserve"> A. William Stein</w:t>
      </w:r>
    </w:p>
    <w:p>
      <w:pPr>
        <w:spacing w:after="0" w:line="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Title: Chief Financial Officer, Chief</w:t>
      </w:r>
    </w:p>
    <w:p>
      <w:pPr>
        <w:spacing w:after="0" w:line="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Investment Officer and Secretary</w:t>
      </w:r>
    </w:p>
    <w:p>
      <w:pPr>
        <w:spacing w:after="0" w:line="1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3"/>
          <w:szCs w:val="13"/>
          <w:color w:val="auto"/>
        </w:rPr>
        <w:t>Signature Page to Articles Supplementary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581660</wp:posOffset>
            </wp:positionV>
            <wp:extent cx="5083810" cy="1524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639">
                      <a:extLst>
                        <a:ext uri="{28A0092B-C50C-407E-A947-70E740481C1C}"/>
                      </a:extLst>
                    </a:blip>
                    <a:srcRect/>
                    <a:stretch>
                      <a:fillRect/>
                    </a:stretch>
                  </pic:blipFill>
                  <pic:spPr bwMode="auto">
                    <a:xfrm>
                      <a:off x="0" y="0"/>
                      <a:ext cx="5083810" cy="15240"/>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261620</wp:posOffset>
            </wp:positionV>
            <wp:extent cx="4436110" cy="1524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640">
                      <a:extLst>
                        <a:ext uri="{28A0092B-C50C-407E-A947-70E740481C1C}"/>
                      </a:extLst>
                    </a:blip>
                    <a:srcRect/>
                    <a:stretch>
                      <a:fillRect/>
                    </a:stretch>
                  </pic:blipFill>
                  <pic:spPr bwMode="auto">
                    <a:xfrm>
                      <a:off x="0" y="0"/>
                      <a:ext cx="44361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56" w:name="page357"/>
    <w:bookmarkEnd w:id="356"/>
    <w:p>
      <w:pPr>
        <w:ind w:left="3160"/>
        <w:spacing w:after="0"/>
        <w:rPr>
          <w:sz w:val="20"/>
          <w:szCs w:val="20"/>
          <w:color w:val="auto"/>
        </w:rPr>
      </w:pPr>
      <w:r>
        <w:rPr>
          <w:rFonts w:ascii="Times New Roman" w:cs="Times New Roman" w:eastAsia="Times New Roman" w:hAnsi="Times New Roman"/>
          <w:sz w:val="13"/>
          <w:szCs w:val="13"/>
          <w:b w:val="1"/>
          <w:bCs w:val="1"/>
          <w:color w:val="auto"/>
        </w:rPr>
        <w:t>DIGITAL REALTY TRUST, INC. ARTICLES</w:t>
      </w:r>
    </w:p>
    <w:p>
      <w:pPr>
        <w:spacing w:after="0" w:line="1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SUPPLEMENTARY 10,350,000 SHARES OF</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5.875% SERIES G CUMULATIVE REDEEMABLE PREFERRED STOCK</w:t>
      </w:r>
    </w:p>
    <w:p>
      <w:pPr>
        <w:spacing w:after="0" w:line="1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April 8, 2013</w:t>
      </w:r>
    </w:p>
    <w:p>
      <w:pPr>
        <w:spacing w:after="0" w:line="18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Digital Realty Trust, Inc., a Maryland corporation (the “ </w:t>
      </w:r>
      <w:r>
        <w:rPr>
          <w:rFonts w:ascii="Times New Roman" w:cs="Times New Roman" w:eastAsia="Times New Roman" w:hAnsi="Times New Roman"/>
          <w:sz w:val="13"/>
          <w:szCs w:val="13"/>
          <w:u w:val="single" w:color="auto"/>
          <w:color w:val="auto"/>
        </w:rPr>
        <w:t>Company</w:t>
      </w:r>
      <w:r>
        <w:rPr>
          <w:rFonts w:ascii="Times New Roman" w:cs="Times New Roman" w:eastAsia="Times New Roman" w:hAnsi="Times New Roman"/>
          <w:sz w:val="13"/>
          <w:szCs w:val="13"/>
          <w:color w:val="auto"/>
        </w:rPr>
        <w:t xml:space="preserve"> ”), hereby certifies to the State Department of Assessments and</w:t>
      </w:r>
    </w:p>
    <w:p>
      <w:pPr>
        <w:spacing w:after="0" w:line="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 xml:space="preserve">Taxation of Maryland (the “ </w:t>
      </w:r>
      <w:r>
        <w:rPr>
          <w:rFonts w:ascii="Times New Roman" w:cs="Times New Roman" w:eastAsia="Times New Roman" w:hAnsi="Times New Roman"/>
          <w:sz w:val="13"/>
          <w:szCs w:val="13"/>
          <w:u w:val="single" w:color="auto"/>
          <w:color w:val="auto"/>
        </w:rPr>
        <w:t>Department</w:t>
      </w:r>
      <w:r>
        <w:rPr>
          <w:rFonts w:ascii="Times New Roman" w:cs="Times New Roman" w:eastAsia="Times New Roman" w:hAnsi="Times New Roman"/>
          <w:sz w:val="13"/>
          <w:szCs w:val="13"/>
          <w:color w:val="auto"/>
        </w:rPr>
        <w:t xml:space="preserve"> ”) that:</w:t>
      </w:r>
    </w:p>
    <w:p>
      <w:pPr>
        <w:spacing w:after="0" w:line="183" w:lineRule="exact"/>
        <w:rPr>
          <w:sz w:val="20"/>
          <w:szCs w:val="20"/>
          <w:color w:val="auto"/>
        </w:rPr>
      </w:pPr>
    </w:p>
    <w:p>
      <w:pPr>
        <w:ind w:left="600" w:right="600" w:firstLine="312"/>
        <w:spacing w:after="0" w:line="272" w:lineRule="auto"/>
        <w:rPr>
          <w:sz w:val="20"/>
          <w:szCs w:val="20"/>
          <w:color w:val="auto"/>
        </w:rPr>
      </w:pPr>
      <w:r>
        <w:rPr>
          <w:rFonts w:ascii="Times New Roman" w:cs="Times New Roman" w:eastAsia="Times New Roman" w:hAnsi="Times New Roman"/>
          <w:sz w:val="13"/>
          <w:szCs w:val="13"/>
          <w:u w:val="single" w:color="auto"/>
          <w:color w:val="auto"/>
        </w:rPr>
        <w:t>FIRST</w:t>
      </w:r>
      <w:r>
        <w:rPr>
          <w:rFonts w:ascii="Times New Roman" w:cs="Times New Roman" w:eastAsia="Times New Roman" w:hAnsi="Times New Roman"/>
          <w:sz w:val="13"/>
          <w:szCs w:val="13"/>
          <w:color w:val="auto"/>
        </w:rPr>
        <w:t xml:space="preserve"> : Pursuant to the authority expressly vested in the Board of Directors of the Company (the “ </w:t>
      </w:r>
      <w:r>
        <w:rPr>
          <w:rFonts w:ascii="Times New Roman" w:cs="Times New Roman" w:eastAsia="Times New Roman" w:hAnsi="Times New Roman"/>
          <w:sz w:val="13"/>
          <w:szCs w:val="13"/>
          <w:u w:val="single" w:color="auto"/>
          <w:color w:val="auto"/>
        </w:rPr>
        <w:t>Board of Directors</w:t>
      </w:r>
      <w:r>
        <w:rPr>
          <w:rFonts w:ascii="Times New Roman" w:cs="Times New Roman" w:eastAsia="Times New Roman" w:hAnsi="Times New Roman"/>
          <w:sz w:val="13"/>
          <w:szCs w:val="13"/>
          <w:color w:val="auto"/>
        </w:rPr>
        <w:t xml:space="preserve"> ”) by Article IV of the Articles of Amendment and Restatement of the Company filed with the Department on October 26, 2004 (as amended and supplemented to date and as may be amended and supplemented from time to time, the “ </w:t>
      </w:r>
      <w:r>
        <w:rPr>
          <w:rFonts w:ascii="Times New Roman" w:cs="Times New Roman" w:eastAsia="Times New Roman" w:hAnsi="Times New Roman"/>
          <w:sz w:val="13"/>
          <w:szCs w:val="13"/>
          <w:u w:val="single" w:color="auto"/>
          <w:color w:val="auto"/>
        </w:rPr>
        <w:t>Charter</w:t>
      </w:r>
      <w:r>
        <w:rPr>
          <w:rFonts w:ascii="Times New Roman" w:cs="Times New Roman" w:eastAsia="Times New Roman" w:hAnsi="Times New Roman"/>
          <w:sz w:val="13"/>
          <w:szCs w:val="13"/>
          <w:color w:val="auto"/>
        </w:rPr>
        <w:t xml:space="preserve"> ”) and Section 2- 105 of the Maryland General Corporation Law (the “ </w:t>
      </w:r>
      <w:r>
        <w:rPr>
          <w:rFonts w:ascii="Times New Roman" w:cs="Times New Roman" w:eastAsia="Times New Roman" w:hAnsi="Times New Roman"/>
          <w:sz w:val="13"/>
          <w:szCs w:val="13"/>
          <w:u w:val="single" w:color="auto"/>
          <w:color w:val="auto"/>
        </w:rPr>
        <w:t>MGCL</w:t>
      </w:r>
      <w:r>
        <w:rPr>
          <w:rFonts w:ascii="Times New Roman" w:cs="Times New Roman" w:eastAsia="Times New Roman" w:hAnsi="Times New Roman"/>
          <w:sz w:val="13"/>
          <w:szCs w:val="13"/>
          <w:color w:val="auto"/>
        </w:rPr>
        <w:t xml:space="preserve"> ”), the Board of Directors, by resolutions duly adopted on June 22, 2012, has authorized the issuance, classification and designation of a number of shares of the authorized but unissued preferred stock of the Company, par value $0.01 per share (“ </w:t>
      </w:r>
      <w:r>
        <w:rPr>
          <w:rFonts w:ascii="Times New Roman" w:cs="Times New Roman" w:eastAsia="Times New Roman" w:hAnsi="Times New Roman"/>
          <w:sz w:val="13"/>
          <w:szCs w:val="13"/>
          <w:u w:val="single" w:color="auto"/>
          <w:color w:val="auto"/>
        </w:rPr>
        <w:t>Preferred Stock</w:t>
      </w:r>
      <w:r>
        <w:rPr>
          <w:rFonts w:ascii="Times New Roman" w:cs="Times New Roman" w:eastAsia="Times New Roman" w:hAnsi="Times New Roman"/>
          <w:sz w:val="13"/>
          <w:szCs w:val="13"/>
          <w:color w:val="auto"/>
        </w:rPr>
        <w:t xml:space="preserve"> ”), as a separate class of Preferred Stock, that, on the date of issue, has a liquidation value or aggregate offering price of up to $250,000,000 (plus up to an additional 15% to cover any underwriter over-allotment option), and, pursuant to the powers contained in the Fourth Amended and Restated Bylaws (as may be amended from time to time, the “ </w:t>
      </w:r>
      <w:r>
        <w:rPr>
          <w:rFonts w:ascii="Times New Roman" w:cs="Times New Roman" w:eastAsia="Times New Roman" w:hAnsi="Times New Roman"/>
          <w:sz w:val="13"/>
          <w:szCs w:val="13"/>
          <w:u w:val="single" w:color="auto"/>
          <w:color w:val="auto"/>
        </w:rPr>
        <w:t>Bylaws</w:t>
      </w:r>
      <w:r>
        <w:rPr>
          <w:rFonts w:ascii="Times New Roman" w:cs="Times New Roman" w:eastAsia="Times New Roman" w:hAnsi="Times New Roman"/>
          <w:sz w:val="13"/>
          <w:szCs w:val="13"/>
          <w:color w:val="auto"/>
        </w:rPr>
        <w:t xml:space="preserve"> ”) of the Company and the MGCL, appointed a committee (the “ </w:t>
      </w:r>
      <w:r>
        <w:rPr>
          <w:rFonts w:ascii="Times New Roman" w:cs="Times New Roman" w:eastAsia="Times New Roman" w:hAnsi="Times New Roman"/>
          <w:sz w:val="13"/>
          <w:szCs w:val="13"/>
          <w:u w:val="single" w:color="auto"/>
          <w:color w:val="auto"/>
        </w:rPr>
        <w:t>Committee</w:t>
      </w:r>
      <w:r>
        <w:rPr>
          <w:rFonts w:ascii="Times New Roman" w:cs="Times New Roman" w:eastAsia="Times New Roman" w:hAnsi="Times New Roman"/>
          <w:sz w:val="13"/>
          <w:szCs w:val="13"/>
          <w:color w:val="auto"/>
        </w:rPr>
        <w:t xml:space="preserve"> ”) of the Board of Directors and delegated to the Committee, to the fullest extent permitted by the MGCL and the Charter and Bylaws of the Company, among other things, all powers of the Board of Directors with respect to (i) setting the number of shares of the Preferred Stock to be classified and designated, provided that in no event shall the liquidation value or aggregate offering price of such shares exceed $250,000,000 (plus up to an additional 15% to cover any underwriter over-allotment option), (ii) choosing the cumulative dividend percentage for the Preferred Stock, (iii) selecting the dates on which dividends will be paid on the Preferred Stock, (iv) establishing the price per share for the Preferred Stock, (v) authorizing, approving and filing these Articles Supplementary with the Department and (vi) authorizing and approving all such other actions as the Committee may deem necessary or desirable in connection with the classification, authorization, issuance, offer, and sale of the Preferred Stock.</w:t>
      </w:r>
    </w:p>
    <w:p>
      <w:pPr>
        <w:spacing w:after="0" w:line="304" w:lineRule="exact"/>
        <w:rPr>
          <w:sz w:val="20"/>
          <w:szCs w:val="20"/>
          <w:color w:val="auto"/>
        </w:rPr>
      </w:pPr>
    </w:p>
    <w:p>
      <w:pPr>
        <w:ind w:left="600" w:right="680" w:firstLine="312"/>
        <w:spacing w:after="0" w:line="271" w:lineRule="auto"/>
        <w:rPr>
          <w:sz w:val="20"/>
          <w:szCs w:val="20"/>
          <w:color w:val="auto"/>
        </w:rPr>
      </w:pPr>
      <w:r>
        <w:rPr>
          <w:rFonts w:ascii="Times New Roman" w:cs="Times New Roman" w:eastAsia="Times New Roman" w:hAnsi="Times New Roman"/>
          <w:sz w:val="13"/>
          <w:szCs w:val="13"/>
          <w:u w:val="single" w:color="auto"/>
          <w:color w:val="auto"/>
        </w:rPr>
        <w:t>SECOND</w:t>
      </w:r>
      <w:r>
        <w:rPr>
          <w:rFonts w:ascii="Times New Roman" w:cs="Times New Roman" w:eastAsia="Times New Roman" w:hAnsi="Times New Roman"/>
          <w:sz w:val="13"/>
          <w:szCs w:val="13"/>
          <w:color w:val="auto"/>
        </w:rPr>
        <w:t xml:space="preserve"> : The Committee has unanimously adopted resolutions classifying and designating the Preferred Stock as a separate class of Preferred Stock to be known as the “5.875% Series G Cumulative Redeemable Preferred Stock,” setting the preferences, conversion and other rights, voting powers, restrictions, limitations as to dividends and other distributions, transfers, qualifications, terms and conditions of redemption and other terms and conditions of such 5.875% Series G Cumulative Redeemable Preferred Stock, and authorizing the issuance of up to</w:t>
      </w:r>
    </w:p>
    <w:p>
      <w:pPr>
        <w:spacing w:after="0" w:line="1" w:lineRule="exact"/>
        <w:rPr>
          <w:sz w:val="20"/>
          <w:szCs w:val="20"/>
          <w:color w:val="auto"/>
        </w:rPr>
      </w:pPr>
    </w:p>
    <w:p>
      <w:pPr>
        <w:ind w:left="600" w:right="960"/>
        <w:spacing w:after="0" w:line="299" w:lineRule="auto"/>
        <w:rPr>
          <w:sz w:val="20"/>
          <w:szCs w:val="20"/>
          <w:color w:val="auto"/>
        </w:rPr>
      </w:pPr>
      <w:r>
        <w:rPr>
          <w:rFonts w:ascii="Times New Roman" w:cs="Times New Roman" w:eastAsia="Times New Roman" w:hAnsi="Times New Roman"/>
          <w:sz w:val="13"/>
          <w:szCs w:val="13"/>
          <w:color w:val="auto"/>
        </w:rPr>
        <w:t>9,000,000 (plus up to an additional 15% to cover any underwriter over-allotment option) shares of 5.875% Series G Cumulative Redeemable Preferred Stock.</w:t>
      </w:r>
    </w:p>
    <w:p>
      <w:pPr>
        <w:spacing w:after="0" w:line="128" w:lineRule="exact"/>
        <w:rPr>
          <w:sz w:val="20"/>
          <w:szCs w:val="20"/>
          <w:color w:val="auto"/>
        </w:rPr>
      </w:pPr>
    </w:p>
    <w:p>
      <w:pPr>
        <w:ind w:left="600" w:right="700" w:firstLine="312"/>
        <w:spacing w:after="0" w:line="278" w:lineRule="auto"/>
        <w:rPr>
          <w:sz w:val="20"/>
          <w:szCs w:val="20"/>
          <w:color w:val="auto"/>
        </w:rPr>
      </w:pPr>
      <w:r>
        <w:rPr>
          <w:rFonts w:ascii="Times New Roman" w:cs="Times New Roman" w:eastAsia="Times New Roman" w:hAnsi="Times New Roman"/>
          <w:sz w:val="13"/>
          <w:szCs w:val="13"/>
          <w:u w:val="single" w:color="auto"/>
          <w:color w:val="auto"/>
        </w:rPr>
        <w:t>THIRD</w:t>
      </w:r>
      <w:r>
        <w:rPr>
          <w:rFonts w:ascii="Times New Roman" w:cs="Times New Roman" w:eastAsia="Times New Roman" w:hAnsi="Times New Roman"/>
          <w:sz w:val="13"/>
          <w:szCs w:val="13"/>
          <w:color w:val="auto"/>
        </w:rPr>
        <w:t xml:space="preserve"> : The designation, number of shares, preferences, rights, voting powers, restrictions, limitations as to dividends and other distributions, qualifications, terms and conditions of redemption and other terms and conditions of the separate class of Preferred Stock of the Company designated as the 5.875% Series G Cumulative Redeemable Preferred Stock are as follows, which upon any restatement of the Charter shall be made a part of or incorporated by reference into the Charter with any necessary or appropriate changes to the enumeration or lettering of Sections or subsections thereof:</w:t>
      </w:r>
    </w:p>
    <w:p>
      <w:pPr>
        <w:spacing w:after="0" w:line="143" w:lineRule="exact"/>
        <w:rPr>
          <w:sz w:val="20"/>
          <w:szCs w:val="20"/>
          <w:color w:val="auto"/>
        </w:rPr>
      </w:pPr>
    </w:p>
    <w:p>
      <w:pPr>
        <w:ind w:left="600" w:right="760" w:firstLine="312"/>
        <w:spacing w:after="0" w:line="305" w:lineRule="auto"/>
        <w:rPr>
          <w:sz w:val="20"/>
          <w:szCs w:val="20"/>
          <w:color w:val="auto"/>
        </w:rPr>
      </w:pPr>
      <w:r>
        <w:rPr>
          <w:rFonts w:ascii="Times New Roman" w:cs="Times New Roman" w:eastAsia="Times New Roman" w:hAnsi="Times New Roman"/>
          <w:sz w:val="13"/>
          <w:szCs w:val="13"/>
          <w:color w:val="auto"/>
        </w:rPr>
        <w:t xml:space="preserve">Section 1. </w:t>
      </w:r>
      <w:r>
        <w:rPr>
          <w:rFonts w:ascii="Times New Roman" w:cs="Times New Roman" w:eastAsia="Times New Roman" w:hAnsi="Times New Roman"/>
          <w:sz w:val="13"/>
          <w:szCs w:val="13"/>
          <w:u w:val="single" w:color="auto"/>
          <w:color w:val="auto"/>
        </w:rPr>
        <w:t>Designation and Number</w:t>
      </w:r>
      <w:r>
        <w:rPr>
          <w:rFonts w:ascii="Times New Roman" w:cs="Times New Roman" w:eastAsia="Times New Roman" w:hAnsi="Times New Roman"/>
          <w:sz w:val="13"/>
          <w:szCs w:val="13"/>
          <w:color w:val="auto"/>
        </w:rPr>
        <w:t xml:space="preserve"> . A series of Preferred Stock, designated the “5.875% Series G Cumulative Redeemable Preferred Stock” (the “ </w:t>
      </w:r>
      <w:r>
        <w:rPr>
          <w:rFonts w:ascii="Times New Roman" w:cs="Times New Roman" w:eastAsia="Times New Roman" w:hAnsi="Times New Roman"/>
          <w:sz w:val="13"/>
          <w:szCs w:val="13"/>
          <w:u w:val="single" w:color="auto"/>
          <w:color w:val="auto"/>
        </w:rPr>
        <w:t>Series G Preferred Stock</w:t>
      </w:r>
      <w:r>
        <w:rPr>
          <w:rFonts w:ascii="Times New Roman" w:cs="Times New Roman" w:eastAsia="Times New Roman" w:hAnsi="Times New Roman"/>
          <w:sz w:val="13"/>
          <w:szCs w:val="13"/>
          <w:color w:val="auto"/>
        </w:rPr>
        <w:t xml:space="preserve"> ”), is hereby established. The number of shares of Series G Preferred Stock shall be 10,350,000.</w:t>
      </w:r>
    </w:p>
    <w:p>
      <w:pPr>
        <w:spacing w:after="0" w:line="124" w:lineRule="exact"/>
        <w:rPr>
          <w:sz w:val="20"/>
          <w:szCs w:val="20"/>
          <w:color w:val="auto"/>
        </w:rPr>
      </w:pPr>
    </w:p>
    <w:p>
      <w:pPr>
        <w:ind w:left="600" w:right="840" w:firstLine="312"/>
        <w:spacing w:after="0" w:line="305" w:lineRule="auto"/>
        <w:rPr>
          <w:sz w:val="20"/>
          <w:szCs w:val="20"/>
          <w:color w:val="auto"/>
        </w:rPr>
      </w:pPr>
      <w:r>
        <w:rPr>
          <w:rFonts w:ascii="Times New Roman" w:cs="Times New Roman" w:eastAsia="Times New Roman" w:hAnsi="Times New Roman"/>
          <w:sz w:val="13"/>
          <w:szCs w:val="13"/>
          <w:color w:val="auto"/>
        </w:rPr>
        <w:t xml:space="preserve">Section 2. </w:t>
      </w:r>
      <w:r>
        <w:rPr>
          <w:rFonts w:ascii="Times New Roman" w:cs="Times New Roman" w:eastAsia="Times New Roman" w:hAnsi="Times New Roman"/>
          <w:sz w:val="13"/>
          <w:szCs w:val="13"/>
          <w:u w:val="single" w:color="auto"/>
          <w:color w:val="auto"/>
        </w:rPr>
        <w:t>Rank</w:t>
      </w:r>
      <w:r>
        <w:rPr>
          <w:rFonts w:ascii="Times New Roman" w:cs="Times New Roman" w:eastAsia="Times New Roman" w:hAnsi="Times New Roman"/>
          <w:sz w:val="13"/>
          <w:szCs w:val="13"/>
          <w:color w:val="auto"/>
        </w:rPr>
        <w:t xml:space="preserve"> . The Series G Preferred Stock will, with respect to dividend rights and rights upon voluntary or involuntary liquidation, dissolution or winding up of the Company, rank: (a) senior to all classes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93980</wp:posOffset>
            </wp:positionV>
            <wp:extent cx="4436110" cy="1524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641">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535940</wp:posOffset>
            </wp:positionV>
            <wp:extent cx="5083810" cy="1524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642">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640" w:right="1440" w:bottom="1440" w:gutter="0" w:footer="0" w:header="0"/>
        </w:sectPr>
      </w:pPr>
    </w:p>
    <w:bookmarkStart w:id="357" w:name="page358"/>
    <w:bookmarkEnd w:id="357"/>
    <w:p>
      <w:pPr>
        <w:ind w:left="600" w:right="680"/>
        <w:spacing w:after="0" w:line="273" w:lineRule="auto"/>
        <w:rPr>
          <w:sz w:val="20"/>
          <w:szCs w:val="20"/>
          <w:color w:val="auto"/>
        </w:rPr>
      </w:pPr>
      <w:r>
        <w:rPr>
          <w:rFonts w:ascii="Times New Roman" w:cs="Times New Roman" w:eastAsia="Times New Roman" w:hAnsi="Times New Roman"/>
          <w:sz w:val="13"/>
          <w:szCs w:val="13"/>
          <w:color w:val="auto"/>
        </w:rPr>
        <w:t xml:space="preserve">series of the Company’s common stock, par value $0.01 per share (the “ </w:t>
      </w:r>
      <w:r>
        <w:rPr>
          <w:rFonts w:ascii="Times New Roman" w:cs="Times New Roman" w:eastAsia="Times New Roman" w:hAnsi="Times New Roman"/>
          <w:sz w:val="13"/>
          <w:szCs w:val="13"/>
          <w:u w:val="single" w:color="auto"/>
          <w:color w:val="auto"/>
        </w:rPr>
        <w:t>Common Stock</w:t>
      </w:r>
      <w:r>
        <w:rPr>
          <w:rFonts w:ascii="Times New Roman" w:cs="Times New Roman" w:eastAsia="Times New Roman" w:hAnsi="Times New Roman"/>
          <w:sz w:val="13"/>
          <w:szCs w:val="13"/>
          <w:color w:val="auto"/>
        </w:rPr>
        <w:t xml:space="preserve"> ”), and all classes or series of capital stock of the Company now or hereafter authorized, issued or outstanding expressly designated as ranking junior to the Series G Preferred Stock as to dividend rights and rights upon voluntary or involuntary liquidation, dissolution or winding up of the Company; (b) on parity with the Series E Cumulative Redeemable Preferred Stock, par value $0.01 per share, and the Series F Cumulative Redeemable Preferred Stock, par value $0.01 per share, of the Company and with any class or series of capital stock of the Company expressly designated as ranking on parity with the Series G Preferred Stock as to dividend rights and rights upon voluntary or involuntary liquidation, dissolution or winding up of the Company; and (c) junior to any class or series of capital stock of the Company expressly designated as ranking senior to the Series G Preferred Stock as to dividend rights and rights upon voluntary or involuntary liquidation, dissolution or winding up of the Company. The term “ </w:t>
      </w:r>
      <w:r>
        <w:rPr>
          <w:rFonts w:ascii="Times New Roman" w:cs="Times New Roman" w:eastAsia="Times New Roman" w:hAnsi="Times New Roman"/>
          <w:sz w:val="13"/>
          <w:szCs w:val="13"/>
          <w:u w:val="single" w:color="auto"/>
          <w:color w:val="auto"/>
        </w:rPr>
        <w:t>capital stock</w:t>
      </w:r>
      <w:r>
        <w:rPr>
          <w:rFonts w:ascii="Times New Roman" w:cs="Times New Roman" w:eastAsia="Times New Roman" w:hAnsi="Times New Roman"/>
          <w:sz w:val="13"/>
          <w:szCs w:val="13"/>
          <w:color w:val="auto"/>
        </w:rPr>
        <w:t xml:space="preserve"> ” does not include convertible or exchangeable debt securities, which will rank senior to the Series G Preferred Stock prior to conversion or exchange. The Series G Preferred Stock will also rank junior in right of payment to the Company’s existing and future debt obligations.</w:t>
      </w:r>
    </w:p>
    <w:p>
      <w:pPr>
        <w:spacing w:after="0" w:line="13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Section 3. </w:t>
      </w:r>
      <w:r>
        <w:rPr>
          <w:rFonts w:ascii="Times New Roman" w:cs="Times New Roman" w:eastAsia="Times New Roman" w:hAnsi="Times New Roman"/>
          <w:sz w:val="13"/>
          <w:szCs w:val="13"/>
          <w:u w:val="single" w:color="auto"/>
          <w:color w:val="auto"/>
        </w:rPr>
        <w:t>Dividends</w:t>
      </w:r>
      <w:r>
        <w:rPr>
          <w:rFonts w:ascii="Times New Roman" w:cs="Times New Roman" w:eastAsia="Times New Roman" w:hAnsi="Times New Roman"/>
          <w:sz w:val="13"/>
          <w:szCs w:val="13"/>
          <w:color w:val="auto"/>
        </w:rPr>
        <w:t xml:space="preserve"> .</w:t>
      </w:r>
    </w:p>
    <w:p>
      <w:pPr>
        <w:spacing w:after="0" w:line="187" w:lineRule="exact"/>
        <w:rPr>
          <w:sz w:val="20"/>
          <w:szCs w:val="20"/>
          <w:color w:val="auto"/>
        </w:rPr>
      </w:pPr>
    </w:p>
    <w:p>
      <w:pPr>
        <w:ind w:left="600" w:right="600" w:firstLine="306"/>
        <w:spacing w:after="0" w:line="271" w:lineRule="auto"/>
        <w:tabs>
          <w:tab w:leader="none" w:pos="1092" w:val="left"/>
        </w:tabs>
        <w:numPr>
          <w:ilvl w:val="0"/>
          <w:numId w:val="3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Subject to the preferential rights of the holders of any class or series of capital stock of the Company ranking senior to the Series G Preferred Stock as to dividends, the holders of shares of the Series G Preferred Stock shall be entitled to receive, when, as and if authorized by the Board of Directors and declared by the Company, out of funds legally available for the payment of dividends, cumulative cash dividends at the rate of 5.875% per annum of the $25.00 liquidation preference per share of the Series G Preferred Stock (equivalent to a fixed annual amount of $1.46875 per share of the Series G Preferred Stock). Such dividends shall accrue and be cumulative from and including the first date on which any shares of Series G Preferred Stock are issued (the “ </w:t>
      </w:r>
      <w:r>
        <w:rPr>
          <w:rFonts w:ascii="Times New Roman" w:cs="Times New Roman" w:eastAsia="Times New Roman" w:hAnsi="Times New Roman"/>
          <w:sz w:val="13"/>
          <w:szCs w:val="13"/>
          <w:u w:val="single" w:color="auto"/>
          <w:color w:val="auto"/>
        </w:rPr>
        <w:t>Original Issue Date</w:t>
      </w:r>
      <w:r>
        <w:rPr>
          <w:rFonts w:ascii="Times New Roman" w:cs="Times New Roman" w:eastAsia="Times New Roman" w:hAnsi="Times New Roman"/>
          <w:sz w:val="13"/>
          <w:szCs w:val="13"/>
          <w:color w:val="auto"/>
        </w:rPr>
        <w:t xml:space="preserve"> ”) and shall be payable quarterly in arrears on each Dividend Payment Date (as defined below), commencing June 28, 2013;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 that if any Dividend Payment Date is not a Business Day (as defined below), then the dividend which would otherwise have been payable on such Dividend Payment Date may be paid, at the Company’s option, on either the immediately preceding Business Day or the next succeeding Business Day, except that, if such Business Day is in the next succeeding calendar year, such payment shall be made on the immediately preceding Business Day, in each case with the same force and effect as if paid on such Dividend Payment Date, and no interest or additional dividends or other sums shall accrue on the amount so payable from such Dividend Payment Date to such next succeeding Business Day. The amount of any dividend payable on the Series G Preferred Stock for any partial Dividend Period (as defined below) shall be prorated and computed on the basis of a 360-day year consisting of twelve 30-day months. Dividends will be payable to holders of record as they appear in the stockholder records of the Company at the close of business on the applicable Dividend Record Date (as defined below). Notwithstanding any provision to the contrary contained herein, each outstanding share of Series G Preferred Stock shall be entitled to receive a dividend with respect to any Dividend Record Date equal to the dividend paid with respect to each other share of Series G Preferred Stock that is outstanding on such date. “ </w:t>
      </w:r>
      <w:r>
        <w:rPr>
          <w:rFonts w:ascii="Times New Roman" w:cs="Times New Roman" w:eastAsia="Times New Roman" w:hAnsi="Times New Roman"/>
          <w:sz w:val="13"/>
          <w:szCs w:val="13"/>
          <w:u w:val="single" w:color="auto"/>
          <w:color w:val="auto"/>
        </w:rPr>
        <w:t>Dividend Record Date</w:t>
      </w:r>
      <w:r>
        <w:rPr>
          <w:rFonts w:ascii="Times New Roman" w:cs="Times New Roman" w:eastAsia="Times New Roman" w:hAnsi="Times New Roman"/>
          <w:sz w:val="13"/>
          <w:szCs w:val="13"/>
          <w:color w:val="auto"/>
        </w:rPr>
        <w:t xml:space="preserve"> ” shall mean the date designated by the Board of Directors for the payment of dividends that is not more than 35 or fewer than 10 days prior to the applicable Dividend Payment Date. “ </w:t>
      </w:r>
      <w:r>
        <w:rPr>
          <w:rFonts w:ascii="Times New Roman" w:cs="Times New Roman" w:eastAsia="Times New Roman" w:hAnsi="Times New Roman"/>
          <w:sz w:val="13"/>
          <w:szCs w:val="13"/>
          <w:u w:val="single" w:color="auto"/>
          <w:color w:val="auto"/>
        </w:rPr>
        <w:t>Dividend Payment Date</w:t>
      </w:r>
      <w:r>
        <w:rPr>
          <w:rFonts w:ascii="Times New Roman" w:cs="Times New Roman" w:eastAsia="Times New Roman" w:hAnsi="Times New Roman"/>
          <w:sz w:val="13"/>
          <w:szCs w:val="13"/>
          <w:color w:val="auto"/>
        </w:rPr>
        <w:t xml:space="preserve"> ” shall mean the last calendar day of each March, June, September and December, commencing on June 28, 2013. “ </w:t>
      </w:r>
      <w:r>
        <w:rPr>
          <w:rFonts w:ascii="Times New Roman" w:cs="Times New Roman" w:eastAsia="Times New Roman" w:hAnsi="Times New Roman"/>
          <w:sz w:val="13"/>
          <w:szCs w:val="13"/>
          <w:u w:val="single" w:color="auto"/>
          <w:color w:val="auto"/>
        </w:rPr>
        <w:t>Dividend Period</w:t>
      </w:r>
      <w:r>
        <w:rPr>
          <w:rFonts w:ascii="Times New Roman" w:cs="Times New Roman" w:eastAsia="Times New Roman" w:hAnsi="Times New Roman"/>
          <w:sz w:val="13"/>
          <w:szCs w:val="13"/>
          <w:color w:val="auto"/>
        </w:rPr>
        <w:t xml:space="preserve"> ” shall mean the respective periods commencing on and including the first day of January, April, July and October of each year and ending on and including the day preceding the first day of the next succeeding Dividend Period (other than the initial Dividend Period, which shall commence on the Original Issue Date and end on and include June 30, 2013, and other than the Dividend Period during which any shares of Series G Preferred Stock shall be redeemed pursuant to Section 5 or Section 6, which shall end on and include the day preceding the redemption date with respect to the shares of Series G Preferred Stock being redeemed).</w:t>
      </w:r>
    </w:p>
    <w:p>
      <w:pPr>
        <w:spacing w:after="0" w:line="307" w:lineRule="exact"/>
        <w:rPr>
          <w:sz w:val="20"/>
          <w:szCs w:val="20"/>
          <w:color w:val="auto"/>
        </w:rPr>
      </w:pPr>
    </w:p>
    <w:p>
      <w:pPr>
        <w:ind w:left="600" w:right="900" w:firstLine="312"/>
        <w:spacing w:after="0" w:line="305" w:lineRule="auto"/>
        <w:rPr>
          <w:sz w:val="20"/>
          <w:szCs w:val="20"/>
          <w:color w:val="auto"/>
        </w:rPr>
      </w:pPr>
      <w:r>
        <w:rPr>
          <w:rFonts w:ascii="Times New Roman" w:cs="Times New Roman" w:eastAsia="Times New Roman" w:hAnsi="Times New Roman"/>
          <w:sz w:val="13"/>
          <w:szCs w:val="13"/>
          <w:color w:val="auto"/>
        </w:rPr>
        <w:t xml:space="preserve">The term “ </w:t>
      </w:r>
      <w:r>
        <w:rPr>
          <w:rFonts w:ascii="Times New Roman" w:cs="Times New Roman" w:eastAsia="Times New Roman" w:hAnsi="Times New Roman"/>
          <w:sz w:val="13"/>
          <w:szCs w:val="13"/>
          <w:u w:val="single" w:color="auto"/>
          <w:color w:val="auto"/>
        </w:rPr>
        <w:t>Business Day</w:t>
      </w:r>
      <w:r>
        <w:rPr>
          <w:rFonts w:ascii="Times New Roman" w:cs="Times New Roman" w:eastAsia="Times New Roman" w:hAnsi="Times New Roman"/>
          <w:sz w:val="13"/>
          <w:szCs w:val="13"/>
          <w:color w:val="auto"/>
        </w:rPr>
        <w:t xml:space="preserve"> ” shall mean each day, other than a Saturday or a Sunday, which is not a day on which banking institutions in New York, New York are authorized or required by law, regulation or executive order to close.</w:t>
      </w:r>
    </w:p>
    <w:p>
      <w:pPr>
        <w:spacing w:after="0" w:line="124" w:lineRule="exact"/>
        <w:rPr>
          <w:sz w:val="20"/>
          <w:szCs w:val="20"/>
          <w:color w:val="auto"/>
        </w:rPr>
      </w:pPr>
    </w:p>
    <w:p>
      <w:pPr>
        <w:ind w:left="600" w:right="720" w:firstLine="306"/>
        <w:spacing w:after="0" w:line="287" w:lineRule="auto"/>
        <w:tabs>
          <w:tab w:leader="none" w:pos="1092" w:val="left"/>
        </w:tabs>
        <w:numPr>
          <w:ilvl w:val="0"/>
          <w:numId w:val="3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anything contained herein to the contrary, dividends on the Series G Preferred Stock shall accrue whether or not the Company has earnings, whether or not there are funds legally available for the payment of such dividends, and whether or not such dividends are authorized or declared.</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125730</wp:posOffset>
            </wp:positionV>
            <wp:extent cx="4436110" cy="762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643">
                      <a:extLst>
                        <a:ext uri="{28A0092B-C50C-407E-A947-70E740481C1C}"/>
                      </a:extLst>
                    </a:blip>
                    <a:srcRect/>
                    <a:stretch>
                      <a:fillRect/>
                    </a:stretch>
                  </pic:blipFill>
                  <pic:spPr bwMode="auto">
                    <a:xfrm>
                      <a:off x="0" y="0"/>
                      <a:ext cx="4436110"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567690</wp:posOffset>
            </wp:positionV>
            <wp:extent cx="5083810" cy="1524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644">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58" w:name="page359"/>
    <w:bookmarkEnd w:id="358"/>
    <w:p>
      <w:pPr>
        <w:ind w:left="600" w:right="620" w:firstLine="306"/>
        <w:spacing w:after="0" w:line="272" w:lineRule="auto"/>
        <w:tabs>
          <w:tab w:leader="none" w:pos="1080" w:val="left"/>
        </w:tabs>
        <w:numPr>
          <w:ilvl w:val="0"/>
          <w:numId w:val="3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provided in Section 3(d) below, no dividends shall be declared and paid or declared and set apart for payment, and no other distribution of cash or other property may be declared and made, directly or indirectly, on or with respect to, any shares of Common Stock or shares of any other class or series of capital stock of the Company ranking, as to dividends, on parity with or junior to the Series G Preferred Stock (other than a dividend paid in shares of Common Stock or in shares of any other class or series of capital stock ranking junior to the Series G Preferred Stock as to payment of dividends and the distribution of assets upon the Company’s liquidation, dissolution or winding up) for any period, nor shall any shares of Common Stock or any other shares of any other class or series of capital stock of the Company ranking, as to payment of dividends and the distribution of assets upon the Company’s liquidation, dissolution or winding up, on parity with or junior to the Series G Preferred Stock be redeemed, purchased or otherwise acquired for any consideration, nor shall any funds be paid or made available for a sinking fund for the redemption of such shares, and no other distribution of cash or other property may be made, directly or indirectly, on or with respect thereto by the Company (except by conversion into or exchange for other shares of any class or series of capital stock of the Company ranking junior to the Series G Preferred Stock as to payment of dividends and the distribution of assets upon the Company’s liquidation, dissolution or winding up, and except for the acquisition of shares made pursuant to the provisions of Article VI of the Charter or Section 9 hereof), unless full cumulative dividends on the Series G Preferred Stock for all past dividend periods shall have been or contemporaneously are (i) declared and paid in cash or (ii) declared and a sum sufficient for the payment thereof in cash is set apart for such payment.</w:t>
      </w:r>
    </w:p>
    <w:p>
      <w:pPr>
        <w:spacing w:after="0" w:line="136" w:lineRule="exact"/>
        <w:rPr>
          <w:rFonts w:ascii="Times New Roman" w:cs="Times New Roman" w:eastAsia="Times New Roman" w:hAnsi="Times New Roman"/>
          <w:sz w:val="13"/>
          <w:szCs w:val="13"/>
          <w:color w:val="auto"/>
        </w:rPr>
      </w:pPr>
    </w:p>
    <w:p>
      <w:pPr>
        <w:ind w:left="600" w:right="640" w:firstLine="306"/>
        <w:spacing w:after="0" w:line="274" w:lineRule="auto"/>
        <w:tabs>
          <w:tab w:leader="none" w:pos="1092" w:val="left"/>
        </w:tabs>
        <w:numPr>
          <w:ilvl w:val="0"/>
          <w:numId w:val="3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When dividends are not paid in full (and a sum sufficient for such full payment is not so set apart) on the Series G Preferred Stock and the shares of any other class or series of capital stock ranking, as to dividends, on parity with the Series G Preferred Stock, all dividends declared upon the Series G Preferred Stock and each such other class or series of capital stock ranking, as to dividends, on parity with the Series G Preferred Stock shall be declared pro rata so that the amount of dividends declared per share of Series G Preferred Stock and such other class or series of capital stock shall in all cases bear to each other the same ratio that accrued dividends per share on the Series G Preferred Stock and such other class or series of capital stock (which shall not include any accrual in respect of unpaid dividends on such other class or series of capital stock for prior dividend periods if such other class or series of capital stock does not have a cumulative dividend) bear to each other. No interest, or sum of money in lieu of interest, shall be payable in respect of any dividend payment or payments on the Series G Preferred Stock which may be in arrears.</w:t>
      </w:r>
    </w:p>
    <w:p>
      <w:pPr>
        <w:spacing w:after="0" w:line="303" w:lineRule="exact"/>
        <w:rPr>
          <w:rFonts w:ascii="Times New Roman" w:cs="Times New Roman" w:eastAsia="Times New Roman" w:hAnsi="Times New Roman"/>
          <w:sz w:val="13"/>
          <w:szCs w:val="13"/>
          <w:color w:val="auto"/>
        </w:rPr>
      </w:pPr>
    </w:p>
    <w:p>
      <w:pPr>
        <w:ind w:left="600" w:right="660" w:firstLine="306"/>
        <w:spacing w:after="0" w:line="278" w:lineRule="auto"/>
        <w:tabs>
          <w:tab w:leader="none" w:pos="1092" w:val="left"/>
        </w:tabs>
        <w:numPr>
          <w:ilvl w:val="0"/>
          <w:numId w:val="3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Holders of shares of Series G Preferred Stock shall not be entitled to any dividend, whether payable in cash, property or shares of capital stock, in excess of full cumulative dividends on the Series G Preferred Stock as provided herein. Any dividend payment made on the Series G Preferred Stock shall first be credited against the earliest accrued but unpaid dividends due with respect to such shares which remain payable. Accrued but unpaid distributions on the Series G Preferred Stock will accumulate as of the Dividend Payment Date on which they first become payable.</w:t>
      </w:r>
    </w:p>
    <w:p>
      <w:pPr>
        <w:spacing w:after="0" w:line="14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Section 4. </w:t>
      </w:r>
      <w:r>
        <w:rPr>
          <w:rFonts w:ascii="Times New Roman" w:cs="Times New Roman" w:eastAsia="Times New Roman" w:hAnsi="Times New Roman"/>
          <w:sz w:val="13"/>
          <w:szCs w:val="13"/>
          <w:u w:val="single" w:color="auto"/>
          <w:color w:val="auto"/>
        </w:rPr>
        <w:t>Liquidation Preference</w:t>
      </w:r>
      <w:r>
        <w:rPr>
          <w:rFonts w:ascii="Times New Roman" w:cs="Times New Roman" w:eastAsia="Times New Roman" w:hAnsi="Times New Roman"/>
          <w:sz w:val="13"/>
          <w:szCs w:val="13"/>
          <w:color w:val="auto"/>
        </w:rPr>
        <w:t xml:space="preserve"> .</w:t>
      </w:r>
    </w:p>
    <w:p>
      <w:pPr>
        <w:spacing w:after="0" w:line="187" w:lineRule="exact"/>
        <w:rPr>
          <w:sz w:val="20"/>
          <w:szCs w:val="20"/>
          <w:color w:val="auto"/>
        </w:rPr>
      </w:pPr>
    </w:p>
    <w:p>
      <w:pPr>
        <w:ind w:left="600" w:right="600" w:firstLine="306"/>
        <w:spacing w:after="0" w:line="272" w:lineRule="auto"/>
        <w:tabs>
          <w:tab w:leader="none" w:pos="1092" w:val="left"/>
        </w:tabs>
        <w:numPr>
          <w:ilvl w:val="0"/>
          <w:numId w:val="3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any voluntary or involuntary liquidation, dissolution or winding up of the Company, before any distribution or payment shall be made to holders of shares of Common Stock or any other class or series of capital stock of the Company ranking, as to rights upon any voluntary or involuntary liquidation, dissolution or winding up of the Company, junior to the Series G Preferred Stock, the holders of shares of Series G Preferred Stock shall be entitled to be paid out of the assets of the Company legally available for distribution to its stockholders, after payment of or provision for the debts and other liabilities of the Company, a liquidation preference of $25.00 per share, plus an amount equal to any accrued and unpaid dividends (whether or not authorized or declared) to but excluding the date of payment. In the event that, upon such voluntary or involuntary liquidation, dissolution or winding up, the available assets of the Company are insufficient to pay the full amount of the liquidating distributions on all outstanding shares of Series G Preferred Stock and the corresponding amounts payable on all shares of other classes or series of capital stock of the Company ranking, as to rights upon the Company’s liquidation, dissolution or winding up, on parity with the Series G Preferred Stock in the distribution of assets, then the holders of the Series G Preferred Stock and each such other class or series of capital stock ranking, as to rights upon any voluntary or involuntary liquidation, dissolution or winding up, on parity with the Series G Preferred Stock shall share ratably in any such distribution of assets in proportion to the full liquidating distributions to which they would otherwise be respectively entitled. Written notice of any such voluntary or involuntary liquidation, dissolution or winding up of the Company, stating the payment date or dates when, and the place or places where, the amounts distributable in such circumstances shall be payable, shall be given by first class mail, postage pre- paid, not fewer than 30 or more than 60 days prior to the payment date stated therein,</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125730</wp:posOffset>
            </wp:positionV>
            <wp:extent cx="4436110" cy="1524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645">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575310</wp:posOffset>
            </wp:positionV>
            <wp:extent cx="5083810" cy="1524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646">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59" w:name="page360"/>
    <w:bookmarkEnd w:id="359"/>
    <w:p>
      <w:pPr>
        <w:ind w:left="600" w:right="660"/>
        <w:spacing w:after="0" w:line="278" w:lineRule="auto"/>
        <w:rPr>
          <w:sz w:val="20"/>
          <w:szCs w:val="20"/>
          <w:color w:val="auto"/>
        </w:rPr>
      </w:pPr>
      <w:r>
        <w:rPr>
          <w:rFonts w:ascii="Times New Roman" w:cs="Times New Roman" w:eastAsia="Times New Roman" w:hAnsi="Times New Roman"/>
          <w:sz w:val="13"/>
          <w:szCs w:val="13"/>
          <w:color w:val="auto"/>
        </w:rPr>
        <w:t>to each record holder of shares of Series G Preferred Stock at the respective addresses of such holders as the same shall appear on the stock transfer records of the Company. After payment of the full amount of the liquidating distributions to which they are entitled, the holders of Series G Preferred Stock will have no right or claim to any of the remaining assets of the Company. The consolidation or merger of the Company with or into any other corporation, trust or entity, or the voluntary sale, lease, transfer or conveyance of all or substantially all of the property or business of the Company, shall not be deemed to constitute a liquidation, dissolution or winding up of the Company.</w:t>
      </w:r>
    </w:p>
    <w:p>
      <w:pPr>
        <w:spacing w:after="0" w:line="143" w:lineRule="exact"/>
        <w:rPr>
          <w:sz w:val="20"/>
          <w:szCs w:val="20"/>
          <w:color w:val="auto"/>
        </w:rPr>
      </w:pPr>
    </w:p>
    <w:p>
      <w:pPr>
        <w:ind w:left="1080" w:hanging="174"/>
        <w:spacing w:after="0"/>
        <w:tabs>
          <w:tab w:leader="none" w:pos="1080" w:val="left"/>
        </w:tabs>
        <w:numPr>
          <w:ilvl w:val="0"/>
          <w:numId w:val="3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determining whether a distribution (other than upon voluntary or involuntary liquidation), by dividend, redemption or other</w:t>
      </w:r>
    </w:p>
    <w:p>
      <w:pPr>
        <w:spacing w:after="0" w:line="22" w:lineRule="exact"/>
        <w:rPr>
          <w:rFonts w:ascii="Times New Roman" w:cs="Times New Roman" w:eastAsia="Times New Roman" w:hAnsi="Times New Roman"/>
          <w:sz w:val="13"/>
          <w:szCs w:val="13"/>
          <w:color w:val="auto"/>
        </w:rPr>
      </w:pPr>
    </w:p>
    <w:p>
      <w:pPr>
        <w:ind w:left="600" w:right="720"/>
        <w:spacing w:after="0" w:line="284"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acquisition of shares of capital stock of the Company or otherwise, is permitted under the MGCL, amounts that would be needed, if the Company were to be dissolved at the time of the distribution, to satisfy the preferential rights upon dissolution of holders of shares of Series G Preferred Stock shall not be added to the Company’s total liabilities.</w:t>
      </w:r>
    </w:p>
    <w:p>
      <w:pPr>
        <w:spacing w:after="0" w:line="13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Section 5. </w:t>
      </w:r>
      <w:r>
        <w:rPr>
          <w:rFonts w:ascii="Times New Roman" w:cs="Times New Roman" w:eastAsia="Times New Roman" w:hAnsi="Times New Roman"/>
          <w:sz w:val="13"/>
          <w:szCs w:val="13"/>
          <w:u w:val="single" w:color="auto"/>
          <w:color w:val="auto"/>
        </w:rPr>
        <w:t>Redemption</w:t>
      </w:r>
      <w:r>
        <w:rPr>
          <w:rFonts w:ascii="Times New Roman" w:cs="Times New Roman" w:eastAsia="Times New Roman" w:hAnsi="Times New Roman"/>
          <w:sz w:val="13"/>
          <w:szCs w:val="13"/>
          <w:color w:val="auto"/>
        </w:rPr>
        <w:t xml:space="preserve"> .</w:t>
      </w:r>
    </w:p>
    <w:p>
      <w:pPr>
        <w:spacing w:after="0" w:line="187" w:lineRule="exact"/>
        <w:rPr>
          <w:sz w:val="20"/>
          <w:szCs w:val="20"/>
          <w:color w:val="auto"/>
        </w:rPr>
      </w:pPr>
    </w:p>
    <w:p>
      <w:pPr>
        <w:ind w:left="600" w:right="640" w:firstLine="312"/>
        <w:spacing w:after="0" w:line="278" w:lineRule="auto"/>
        <w:rPr>
          <w:sz w:val="20"/>
          <w:szCs w:val="20"/>
          <w:color w:val="auto"/>
        </w:rPr>
      </w:pPr>
      <w:r>
        <w:rPr>
          <w:rFonts w:ascii="Times New Roman" w:cs="Times New Roman" w:eastAsia="Times New Roman" w:hAnsi="Times New Roman"/>
          <w:sz w:val="13"/>
          <w:szCs w:val="13"/>
          <w:color w:val="auto"/>
        </w:rPr>
        <w:t>(a) Shares of Series G Preferred Stock shall not be redeemable prior to April 9, 2018 except as set forth in Section 6 or to preserve the status of the Company as a REIT (as defined in Section 9(a)) for United States federal income tax purposes. In addition, the Series G Preferred Stock shall be subject to the provisions of Section 9 pursuant to which Series G Preferred Stock owned by a stockholder in excess of the Ownership Limit (as defined in Section 9(a)) shall automatically be transferred to a Trust (as defined in Section 9(a)) for the exclusive benefit of a Charitable Beneficiary (as defined in Section 9(a)).</w:t>
      </w:r>
    </w:p>
    <w:p>
      <w:pPr>
        <w:spacing w:after="0" w:line="143" w:lineRule="exact"/>
        <w:rPr>
          <w:sz w:val="20"/>
          <w:szCs w:val="20"/>
          <w:color w:val="auto"/>
        </w:rPr>
      </w:pPr>
    </w:p>
    <w:p>
      <w:pPr>
        <w:ind w:left="600" w:right="620" w:firstLine="312"/>
        <w:spacing w:after="0" w:line="271" w:lineRule="auto"/>
        <w:rPr>
          <w:sz w:val="20"/>
          <w:szCs w:val="20"/>
          <w:color w:val="auto"/>
        </w:rPr>
      </w:pPr>
      <w:r>
        <w:rPr>
          <w:rFonts w:ascii="Times New Roman" w:cs="Times New Roman" w:eastAsia="Times New Roman" w:hAnsi="Times New Roman"/>
          <w:sz w:val="13"/>
          <w:szCs w:val="13"/>
          <w:color w:val="auto"/>
        </w:rPr>
        <w:t xml:space="preserve">(b) On and after April 9, 2018, the Company, at its option upon not fewer than 30 or more than 60 days’ written notice, may redeem the Series G Preferred Stock, in whole or in part, at any time or from time to time, for cash at a redemption price of $25.00 per share, plus all accrued and unpaid dividends (whether or not authorized or declared) thereon up to but not including the date fixed for redemption, without interest, to the extent the Company has funds legally available therefor (the “ </w:t>
      </w:r>
      <w:r>
        <w:rPr>
          <w:rFonts w:ascii="Times New Roman" w:cs="Times New Roman" w:eastAsia="Times New Roman" w:hAnsi="Times New Roman"/>
          <w:sz w:val="13"/>
          <w:szCs w:val="13"/>
          <w:u w:val="single" w:color="auto"/>
          <w:color w:val="auto"/>
        </w:rPr>
        <w:t>Redemption Right</w:t>
      </w:r>
      <w:r>
        <w:rPr>
          <w:rFonts w:ascii="Times New Roman" w:cs="Times New Roman" w:eastAsia="Times New Roman" w:hAnsi="Times New Roman"/>
          <w:sz w:val="13"/>
          <w:szCs w:val="13"/>
          <w:color w:val="auto"/>
        </w:rPr>
        <w:t xml:space="preserve"> ”). If fewer than all of the outstanding shares of Series G Preferred Stock are to be redeemed, the shares of Series G Preferred Stock to be redeemed shall be redeemed pro rata (as nearly as may be practicable without creating fractional shares) by lot or by any other equitable method determined by the Company that will not result in a violation of the Ownership Limit or the Aggregate Stock Ownership Limit (each as defined in Section 9(a)). If redemption is to be by lot and, as a result, any holder of shares of Series G Preferred Stock would have actual ownership, Beneficial Ownership or Constructive Ownership (each as defined in Section 9(a)) in excess of the Ownership Limit (as defined in Section 9(a)), the Aggregate Stock Ownership Limit (as defined in Section 9(a)), or such other limit as permitted by the Board of Directors or the Committee pursuant to Section 9(i), because such holder’s shares of Series G Preferred Stock were not redeemed, or were only redeemed in part, then, except as otherwise provided in the Charter, the Company shall redeem the requisite number of shares of Series G Preferred Stock of such holder such that no holder will hold an amount of Series G Preferred Stock in excess of the applicable ownership limit, subsequent to such redemption. Holders of Series G Preferred Stock to be redeemed shall surrender such Series G Preferred Stock at the place, or in accordance with the book entry procedures, designated in such notice and shall be entitled to the redemption price of $25.00 per share and any accrued and unpaid dividends payable upon such redemption following such surrender. If (i) notice of redemption of any shares of Series G Preferred Stock has been given (in the case of a redemption of the Series G Preferred Stock other than to preserve the status of the Company as a REIT), (ii) the funds necessary for such redemption have been set aside by the Company in trust for the benefit of the holders of any shares of Series G Preferred Stock so called for redemption, and (iii) irrevocable instructions have been given to pay the redemption price and all accrued and unpaid dividends, then from and after the redemption date, dividends shall cease to accrue on such shares of Series G Preferred Stock, such shares of Series G Preferred Stock shall no longer be deemed outstanding, and all rights of the holders of such shares shall terminate, except the right to receive the redemption price plus any accrued and unpaid dividends payable upon such redemption, without interest. So long as full cumulative dividends on the Series G Preferred Stock for all past dividend periods shall have been or contemporaneously are (i) declared and paid in cash, or (ii) declared and a sum sufficient for the payment thereof in cash is set apart for payment, nothing herein shall prevent or restrict the Company’s right or ability to purchase, from time to time, either at a public or a private sale, all or any part of the Series G Preferred Stock at such price or prices as the Company may determine, subject to the provisions of applicable law, including the repurchase of shares of Series G Preferred Stock in open-market transactions duly authorized by the Board of Directors.</w:t>
      </w:r>
    </w:p>
    <w:p>
      <w:pPr>
        <w:spacing w:after="0" w:line="3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529590</wp:posOffset>
            </wp:positionV>
            <wp:extent cx="4436110" cy="1524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647">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354330</wp:posOffset>
            </wp:positionV>
            <wp:extent cx="5083810" cy="1524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648">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60" w:name="page361"/>
    <w:bookmarkEnd w:id="360"/>
    <w:p>
      <w:pPr>
        <w:ind w:left="600" w:right="700" w:firstLine="306"/>
        <w:spacing w:after="0" w:line="271" w:lineRule="auto"/>
        <w:tabs>
          <w:tab w:leader="none" w:pos="1080" w:val="left"/>
        </w:tabs>
        <w:numPr>
          <w:ilvl w:val="0"/>
          <w:numId w:val="3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event of any redemption of the Series G Preferred Stock in order to preserve the status of the Company as a REIT for United States federal income tax purposes, such redemption shall be made in accordance with the terms and conditions set forth in this Section 5 of these Articles Supplementary. If the Company calls for redemption any shares of Series G Preferred Stock pursuant to and in accordance with this Section 5(c), then the redemption price for such shares will be an amount in cash equal to</w:t>
      </w:r>
    </w:p>
    <w:p>
      <w:pPr>
        <w:ind w:left="60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$25.00 per share together with all accrued and unpaid dividends to but excluding the dated fixed for redemption.</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(d) Unless full cumulative dividends on the Series G Preferred Stock for all past dividend periods shall have been or  contemporaneously are</w:t>
      </w:r>
    </w:p>
    <w:p>
      <w:pPr>
        <w:spacing w:after="0" w:line="22" w:lineRule="exact"/>
        <w:rPr>
          <w:sz w:val="20"/>
          <w:szCs w:val="20"/>
          <w:color w:val="auto"/>
        </w:rPr>
      </w:pPr>
    </w:p>
    <w:p>
      <w:pPr>
        <w:ind w:left="600" w:right="680" w:hanging="6"/>
        <w:spacing w:after="0" w:line="272" w:lineRule="auto"/>
        <w:tabs>
          <w:tab w:leader="none" w:pos="756" w:val="left"/>
        </w:tabs>
        <w:numPr>
          <w:ilvl w:val="0"/>
          <w:numId w:val="3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declared and paid in cash, or (ii) declared and a sum sufficient for the payment thereof in cash is set apart for payment, no shares of Series G Preferred Stock shall be redeemed pursuant to the Redemption Right or Special Optional Redemption Right (defined below) unless all outstanding shares of Series G Preferred Stock are simultaneously redeemed, and the Company shall not purchase or otherwise acquire directly or indirectly any shares of Series G Preferred Stock or any class or series of capital stock of the Company ranking, as to payment of dividends and the distribution of assets upon liquidation, dissolution or winding up of the Company, on parity with or junior to the Series G Preferred Stock (except by conversion into or exchange for shares of capital stock of the Company ranking, as to payment of dividends and the distribution of assets upon liquidation, dissolution or winding up of the Company, junior to the Series G Preferred Stock);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 that the foregoing shall not prevent the purchase of Series G Preferred Stock, or any other class or series of capital stock of the Company ranking, as to payment of dividends and the distribution of assets upon liquidation, dissolution or winding up of the Company, on parity with or junior to the Series G Preferred Stock, by the Company in accordance with the terms of Sections 5(c) and 9 of these Articles Supplementary or otherwise, in order to ensure that the Company remains qualified as a REIT for United States federal income tax purposes, or the purchase or acquisition of Series G Preferred Stock pursuant to a purchase or exchange offer made on the same terms to holders of all outstanding shares of Series G Preferred Stock.</w:t>
      </w:r>
    </w:p>
    <w:p>
      <w:pPr>
        <w:spacing w:after="0" w:line="135" w:lineRule="exact"/>
        <w:rPr>
          <w:rFonts w:ascii="Times New Roman" w:cs="Times New Roman" w:eastAsia="Times New Roman" w:hAnsi="Times New Roman"/>
          <w:sz w:val="13"/>
          <w:szCs w:val="13"/>
          <w:color w:val="auto"/>
        </w:rPr>
      </w:pPr>
    </w:p>
    <w:p>
      <w:pPr>
        <w:ind w:left="600" w:right="600" w:firstLine="306"/>
        <w:spacing w:after="0" w:line="272" w:lineRule="auto"/>
        <w:tabs>
          <w:tab w:leader="none" w:pos="1080" w:val="left"/>
        </w:tabs>
        <w:numPr>
          <w:ilvl w:val="1"/>
          <w:numId w:val="3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Notice of redemption pursuant to the Redemption Right will be given by publication in a newspaper of general circulation in the City of New York, such publication to be made once a week for two successive weeks commencing not fewer than 30 or more than 60 days prior to the redemption date. A similar notice will be mailed by the Company, postage prepaid, not fewer than 30 or more than 60 days prior to the redemption date, addressed to the respective holders of record of the Series G Preferred Stock to be redeemed at their respective addresses as they appear on the transfer records of the Company. No failure to give or defect in such notice shall affect the validity of the proceedings for the redemption of any Series G Preferred Stock except as to the holder to whom such notice was defective or not given. In addition to any information required by law or by the applicable rules of any exchange upon which the Series G Preferred Stock may be listed or admitted to trading, each such notice shall state: (i) the redemption date; (ii) the redemption price; (iii) the number of shares of Series G Preferred Stock to be redeemed; (iv) the place or places where the certificates, if any, representing shares of Series G Preferred Stock are to be surrendered for payment of the redemption price; (v) procedures for surrendering noncertificated shares of Series G Preferred Stock for payment of the redemption price; (vi) that dividends on the shares of Series G Preferred Stock to be redeemed will cease to accumulate on such redemption date; and (vii) that payment of the redemption price and any accumulated and unpaid dividends will be made upon presentation and surrender of such Series G Preferred Stock. If fewer than all of the shares of Series G Preferred Stock held by any holder are to be redeemed, the notice mailed to such holder shall also specify the number of shares of Series G Preferred Stock held by such holder to be redeemed. Notwithstanding anything else to the contrary in these Articles Supplementary, the Company shall not be required to provide notice to the holder of Series G Preferred Stock in the event such holder’s Series G Preferred Stock is redeemed in accordance with Sections 5(c) and 9 of these Articles Supplementary to preserve the Company’s status as a REIT.</w:t>
      </w:r>
    </w:p>
    <w:p>
      <w:pPr>
        <w:spacing w:after="0" w:line="134" w:lineRule="exact"/>
        <w:rPr>
          <w:rFonts w:ascii="Times New Roman" w:cs="Times New Roman" w:eastAsia="Times New Roman" w:hAnsi="Times New Roman"/>
          <w:sz w:val="13"/>
          <w:szCs w:val="13"/>
          <w:color w:val="auto"/>
        </w:rPr>
      </w:pPr>
    </w:p>
    <w:p>
      <w:pPr>
        <w:ind w:left="600" w:right="580" w:firstLine="306"/>
        <w:spacing w:after="0" w:line="276" w:lineRule="auto"/>
        <w:tabs>
          <w:tab w:leader="none" w:pos="1068" w:val="left"/>
        </w:tabs>
        <w:numPr>
          <w:ilvl w:val="1"/>
          <w:numId w:val="3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 redemption date falls after a Dividend Record Date and on or prior to the corresponding Dividend Payment Date, each holder of Series G Preferred Stock at the close of business of such Dividend Record Date shall be entitled to the dividend payable on such shares on the corresponding Dividend Payment Date notwithstanding the redemption of such shares on or prior to such Dividend Payment Date, and each holder of Series G Preferred Stock that surrenders its shares on such redemption date will be entitled to the dividends accruing after the end of the Dividend Period to which such Dividend Payment Date relates up to but excluding the redemption date. Except as provided herein, the Company shall make no payment or allowance for unpaid dividends, whether or not in arrears, on Series G Preferred Stock for which a notice of redemption has been given.</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651510</wp:posOffset>
            </wp:positionV>
            <wp:extent cx="4436110" cy="1524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649">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354330</wp:posOffset>
            </wp:positionV>
            <wp:extent cx="5083810" cy="1524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650">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61" w:name="page362"/>
    <w:bookmarkEnd w:id="361"/>
    <w:p>
      <w:pPr>
        <w:ind w:left="600" w:right="1040" w:firstLine="306"/>
        <w:spacing w:after="0" w:line="287" w:lineRule="auto"/>
        <w:tabs>
          <w:tab w:leader="none" w:pos="1092" w:val="left"/>
        </w:tabs>
        <w:numPr>
          <w:ilvl w:val="0"/>
          <w:numId w:val="3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shares of the Series G Preferred Stock redeemed or repurchased pursuant to this Section 5, or otherwise acquired in any other manner by the Company, shall be retired and shall be restored to the status of authorized but unissued shares of Preferred Stock, without designation as to series or class.</w:t>
      </w:r>
    </w:p>
    <w:p>
      <w:pPr>
        <w:spacing w:after="0" w:line="135" w:lineRule="exact"/>
        <w:rPr>
          <w:rFonts w:ascii="Times New Roman" w:cs="Times New Roman" w:eastAsia="Times New Roman" w:hAnsi="Times New Roman"/>
          <w:sz w:val="13"/>
          <w:szCs w:val="13"/>
          <w:color w:val="auto"/>
        </w:rPr>
      </w:pPr>
    </w:p>
    <w:p>
      <w:pPr>
        <w:ind w:left="600" w:right="740" w:firstLine="306"/>
        <w:spacing w:after="0" w:line="287" w:lineRule="auto"/>
        <w:tabs>
          <w:tab w:leader="none" w:pos="1092" w:val="left"/>
        </w:tabs>
        <w:numPr>
          <w:ilvl w:val="0"/>
          <w:numId w:val="3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Series G Preferred Stock shall have no stated maturity and shall not be subject to any sinking fund or mandatory redemption;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 that the Series G Preferred Stock owned by a stockholder in excess of the applicable ownership limit shall be subject to the provisions of this Section 5 and Section 9 of these Articles Supplementary.</w:t>
      </w:r>
    </w:p>
    <w:p>
      <w:pPr>
        <w:spacing w:after="0" w:line="13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Section 6. </w:t>
      </w:r>
      <w:r>
        <w:rPr>
          <w:rFonts w:ascii="Times New Roman" w:cs="Times New Roman" w:eastAsia="Times New Roman" w:hAnsi="Times New Roman"/>
          <w:sz w:val="13"/>
          <w:szCs w:val="13"/>
          <w:u w:val="single" w:color="auto"/>
          <w:color w:val="auto"/>
        </w:rPr>
        <w:t>Special Optional Redemption by the Company</w:t>
      </w:r>
      <w:r>
        <w:rPr>
          <w:rFonts w:ascii="Times New Roman" w:cs="Times New Roman" w:eastAsia="Times New Roman" w:hAnsi="Times New Roman"/>
          <w:sz w:val="13"/>
          <w:szCs w:val="13"/>
          <w:color w:val="auto"/>
        </w:rPr>
        <w:t xml:space="preserve"> .</w:t>
      </w:r>
    </w:p>
    <w:p>
      <w:pPr>
        <w:spacing w:after="0" w:line="187" w:lineRule="exact"/>
        <w:rPr>
          <w:sz w:val="20"/>
          <w:szCs w:val="20"/>
          <w:color w:val="auto"/>
        </w:rPr>
      </w:pPr>
    </w:p>
    <w:p>
      <w:pPr>
        <w:ind w:left="600" w:right="580" w:firstLine="306"/>
        <w:spacing w:after="0" w:line="273" w:lineRule="auto"/>
        <w:tabs>
          <w:tab w:leader="none" w:pos="1092" w:val="left"/>
        </w:tabs>
        <w:numPr>
          <w:ilvl w:val="0"/>
          <w:numId w:val="3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Upon the occurrence of a Change of Control (as defined below), the Company will have the option upon written notice mailed by the Company, postage pre-paid, no fewer than 30 nor more than 60 days prior to the redemption date and addressed to the holders of record of shares of the Series G Preferred Stock to be redeemed at their respective addresses as they appear on the share transfer records of the Company, to redeem shares of the Series G Preferred Stock, in whole or in part within 120 days after the first date on which such Change of Control occurred, for cash at $25.00 per share plus accrued and unpaid dividends, if any, to, but not including, the redemption date (“ </w:t>
      </w:r>
      <w:r>
        <w:rPr>
          <w:rFonts w:ascii="Times New Roman" w:cs="Times New Roman" w:eastAsia="Times New Roman" w:hAnsi="Times New Roman"/>
          <w:sz w:val="13"/>
          <w:szCs w:val="13"/>
          <w:u w:val="single" w:color="auto"/>
          <w:color w:val="auto"/>
        </w:rPr>
        <w:t>Special Optional Redemption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Right</w:t>
      </w:r>
      <w:r>
        <w:rPr>
          <w:rFonts w:ascii="Times New Roman" w:cs="Times New Roman" w:eastAsia="Times New Roman" w:hAnsi="Times New Roman"/>
          <w:sz w:val="13"/>
          <w:szCs w:val="13"/>
          <w:color w:val="auto"/>
        </w:rPr>
        <w:t xml:space="preserve"> ”). No failure to give such notice or any defect thereto or in the mailing thereof shall affect the validity of the proceedings for the redemption of any shares of Series G Preferred Stock except as to the holder to whom notice was defective or not given. If, prior to the Change of Control Conversion Date (as defined below), the Company has provided or provides notice of redemption with respect to the Series G Preferred Stock (whether pursuant to the Redemption Right or the Special Optional Redemption Right), the holders of shares of Series G Preferred Stock will not have the conversion right described below in Section 8.</w:t>
      </w:r>
    </w:p>
    <w:p>
      <w:pPr>
        <w:spacing w:after="0" w:line="13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3"/>
          <w:szCs w:val="13"/>
          <w:color w:val="auto"/>
        </w:rPr>
        <w:t xml:space="preserve">A “ </w:t>
      </w:r>
      <w:r>
        <w:rPr>
          <w:rFonts w:ascii="Times New Roman" w:cs="Times New Roman" w:eastAsia="Times New Roman" w:hAnsi="Times New Roman"/>
          <w:sz w:val="13"/>
          <w:szCs w:val="13"/>
          <w:u w:val="single" w:color="auto"/>
          <w:color w:val="auto"/>
        </w:rPr>
        <w:t>Change of Control</w:t>
      </w:r>
      <w:r>
        <w:rPr>
          <w:rFonts w:ascii="Times New Roman" w:cs="Times New Roman" w:eastAsia="Times New Roman" w:hAnsi="Times New Roman"/>
          <w:sz w:val="13"/>
          <w:szCs w:val="13"/>
          <w:color w:val="auto"/>
        </w:rPr>
        <w:t xml:space="preserve"> ” is when, after the original issuance of the Series G Preferred Stock, the following have occurred and are</w:t>
      </w:r>
    </w:p>
    <w:p>
      <w:pPr>
        <w:spacing w:after="0" w:line="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continuing:</w:t>
      </w:r>
    </w:p>
    <w:p>
      <w:pPr>
        <w:spacing w:after="0" w:line="183" w:lineRule="exact"/>
        <w:rPr>
          <w:sz w:val="20"/>
          <w:szCs w:val="20"/>
          <w:color w:val="auto"/>
        </w:rPr>
      </w:pPr>
    </w:p>
    <w:p>
      <w:pPr>
        <w:ind w:left="600" w:right="720" w:firstLine="607"/>
        <w:spacing w:after="0" w:line="276" w:lineRule="auto"/>
        <w:tabs>
          <w:tab w:leader="none" w:pos="1368" w:val="left"/>
        </w:tabs>
        <w:numPr>
          <w:ilvl w:val="0"/>
          <w:numId w:val="3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acquisition by any person, including any syndicate or group deemed to be a “person” under Section 13(d)(3) of the Securities Exchange Act of 1934, as amended (the “ </w:t>
      </w:r>
      <w:r>
        <w:rPr>
          <w:rFonts w:ascii="Times New Roman" w:cs="Times New Roman" w:eastAsia="Times New Roman" w:hAnsi="Times New Roman"/>
          <w:sz w:val="13"/>
          <w:szCs w:val="13"/>
          <w:u w:val="single" w:color="auto"/>
          <w:color w:val="auto"/>
        </w:rPr>
        <w:t>Exchange Act</w:t>
      </w:r>
      <w:r>
        <w:rPr>
          <w:rFonts w:ascii="Times New Roman" w:cs="Times New Roman" w:eastAsia="Times New Roman" w:hAnsi="Times New Roman"/>
          <w:sz w:val="13"/>
          <w:szCs w:val="13"/>
          <w:color w:val="auto"/>
        </w:rPr>
        <w:t xml:space="preserve"> ”), of beneficial ownership, directly or indirectly, through a purchase, merger or other acquisition transaction or series of purchases, mergers or other acquisition transactions of stock of the Company entitling that person to exercise more than 50% of the total voting power of all stock of the Company entitled to vote generally in the election of the Company’s directors (except that such person will be deemed to have beneficial ownership of all securities that such person has the right to acquire, whether such right is currently exercisable or is exercisable only upon the occurrence of a subsequent condition); and</w:t>
      </w:r>
    </w:p>
    <w:p>
      <w:pPr>
        <w:spacing w:after="0" w:line="145" w:lineRule="exact"/>
        <w:rPr>
          <w:sz w:val="20"/>
          <w:szCs w:val="20"/>
          <w:color w:val="auto"/>
        </w:rPr>
      </w:pPr>
    </w:p>
    <w:p>
      <w:pPr>
        <w:jc w:val="both"/>
        <w:ind w:left="600" w:right="740" w:firstLine="612"/>
        <w:spacing w:after="0" w:line="281" w:lineRule="auto"/>
        <w:rPr>
          <w:sz w:val="20"/>
          <w:szCs w:val="20"/>
          <w:color w:val="auto"/>
        </w:rPr>
      </w:pPr>
      <w:r>
        <w:rPr>
          <w:rFonts w:ascii="Times New Roman" w:cs="Times New Roman" w:eastAsia="Times New Roman" w:hAnsi="Times New Roman"/>
          <w:sz w:val="13"/>
          <w:szCs w:val="13"/>
          <w:color w:val="auto"/>
        </w:rPr>
        <w:t xml:space="preserve">(ii) following the closing of any transaction referred to in (i) above, neither the Company nor the acquiring or surviving entity has a class of common securities (or American Depositary Receipts representing such securities) listed on the New York Stock Exchange (the “ </w:t>
      </w:r>
      <w:r>
        <w:rPr>
          <w:rFonts w:ascii="Times New Roman" w:cs="Times New Roman" w:eastAsia="Times New Roman" w:hAnsi="Times New Roman"/>
          <w:sz w:val="13"/>
          <w:szCs w:val="13"/>
          <w:u w:val="single" w:color="auto"/>
          <w:color w:val="auto"/>
        </w:rPr>
        <w:t>NYSE</w:t>
      </w:r>
      <w:r>
        <w:rPr>
          <w:rFonts w:ascii="Times New Roman" w:cs="Times New Roman" w:eastAsia="Times New Roman" w:hAnsi="Times New Roman"/>
          <w:sz w:val="13"/>
          <w:szCs w:val="13"/>
          <w:color w:val="auto"/>
        </w:rPr>
        <w:t xml:space="preserve"> ”), the NYSE MKT LLC (the “ </w:t>
      </w:r>
      <w:r>
        <w:rPr>
          <w:rFonts w:ascii="Times New Roman" w:cs="Times New Roman" w:eastAsia="Times New Roman" w:hAnsi="Times New Roman"/>
          <w:sz w:val="13"/>
          <w:szCs w:val="13"/>
          <w:u w:val="single" w:color="auto"/>
          <w:color w:val="auto"/>
        </w:rPr>
        <w:t>NYSE MKT</w:t>
      </w:r>
      <w:r>
        <w:rPr>
          <w:rFonts w:ascii="Times New Roman" w:cs="Times New Roman" w:eastAsia="Times New Roman" w:hAnsi="Times New Roman"/>
          <w:sz w:val="13"/>
          <w:szCs w:val="13"/>
          <w:color w:val="auto"/>
        </w:rPr>
        <w:t xml:space="preserve"> ”), or the NASDAQ Stock Market (“ </w:t>
      </w:r>
      <w:r>
        <w:rPr>
          <w:rFonts w:ascii="Times New Roman" w:cs="Times New Roman" w:eastAsia="Times New Roman" w:hAnsi="Times New Roman"/>
          <w:sz w:val="13"/>
          <w:szCs w:val="13"/>
          <w:u w:val="single" w:color="auto"/>
          <w:color w:val="auto"/>
        </w:rPr>
        <w:t>NASDAQ</w:t>
      </w:r>
      <w:r>
        <w:rPr>
          <w:rFonts w:ascii="Times New Roman" w:cs="Times New Roman" w:eastAsia="Times New Roman" w:hAnsi="Times New Roman"/>
          <w:sz w:val="13"/>
          <w:szCs w:val="13"/>
          <w:color w:val="auto"/>
        </w:rPr>
        <w:t xml:space="preserve"> ”), or listed or quoted on an exchange or quotation system that is a successor to the NYSE, the NYSE MKT or NASDAQ.</w:t>
      </w:r>
    </w:p>
    <w:p>
      <w:pPr>
        <w:spacing w:after="0" w:line="140" w:lineRule="exact"/>
        <w:rPr>
          <w:sz w:val="20"/>
          <w:szCs w:val="20"/>
          <w:color w:val="auto"/>
        </w:rPr>
      </w:pPr>
    </w:p>
    <w:p>
      <w:pPr>
        <w:ind w:left="600" w:right="620" w:firstLine="306"/>
        <w:spacing w:after="0" w:line="273" w:lineRule="auto"/>
        <w:tabs>
          <w:tab w:leader="none" w:pos="1092" w:val="left"/>
        </w:tabs>
        <w:numPr>
          <w:ilvl w:val="0"/>
          <w:numId w:val="3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addition to any information required by law or by the applicable rules of any exchange upon which the Series G Preferred Stock may be listed or admitted to trading, such notice shall state: (i) the redemption date; (ii) the redemption price; (iii) the number of shares of Series G Preferred Stock to be redeemed; (iv) the place or places where the certificates, if any, representing shares of Series G Preferred Stock are to be surrendered for payment of the redemption price; (v) procedures for surrendering noncertificated shares of Series G Preferred Stock for payment of the redemption price; (vi) that dividends on the shares of Series G Preferred Stock to be redeemed will cease to accumulate on the redemption date; (vii) that payment of the redemption price and any accumulated and unpaid dividends will be made upon presentation and surrender of such Series G Preferred Stock; (viii) that the shares of Series G Preferred Stock are being redeemed pursuant to the Special Optional Redemption Right in connection with the occurrence of a Change of Control and a brief description of the transaction or transactions constituting such Change of Control; and (ix) that holders of the shares of Series G Preferred Stock to which the notice relates will not be able to tender such shares of Series G Preferred Stock for conversion in connection with the Change of Control and each share of Series G Preferred Stock tendered for conversion that is selected, prior to the Change of Control Conversion Date, for redemption will be redeemed on the related redemption date instead of converted on the Change of Control Conversion Date. If fewer than all of the shares of Series G Preferred Stock held by any holder are to be redeemed,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335280</wp:posOffset>
            </wp:positionV>
            <wp:extent cx="5083810" cy="1524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651">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316230</wp:posOffset>
            </wp:positionV>
            <wp:extent cx="4436110" cy="1524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652">
                      <a:extLst>
                        <a:ext uri="{28A0092B-C50C-407E-A947-70E740481C1C}"/>
                      </a:extLst>
                    </a:blip>
                    <a:srcRect/>
                    <a:stretch>
                      <a:fillRect/>
                    </a:stretch>
                  </pic:blipFill>
                  <pic:spPr bwMode="auto">
                    <a:xfrm>
                      <a:off x="0" y="0"/>
                      <a:ext cx="44361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62" w:name="page363"/>
    <w:bookmarkEnd w:id="362"/>
    <w:p>
      <w:pPr>
        <w:ind w:left="600"/>
        <w:spacing w:after="0"/>
        <w:rPr>
          <w:sz w:val="20"/>
          <w:szCs w:val="20"/>
          <w:color w:val="auto"/>
        </w:rPr>
      </w:pPr>
      <w:r>
        <w:rPr>
          <w:rFonts w:ascii="Times New Roman" w:cs="Times New Roman" w:eastAsia="Times New Roman" w:hAnsi="Times New Roman"/>
          <w:sz w:val="13"/>
          <w:szCs w:val="13"/>
          <w:color w:val="auto"/>
        </w:rPr>
        <w:t>the notice mailed to such holder shall also specify the number of shares of Series G Preferred Stock held by such holder to be redeemed.</w:t>
      </w:r>
    </w:p>
    <w:p>
      <w:pPr>
        <w:spacing w:after="0" w:line="187" w:lineRule="exact"/>
        <w:rPr>
          <w:sz w:val="20"/>
          <w:szCs w:val="20"/>
          <w:color w:val="auto"/>
        </w:rPr>
      </w:pPr>
    </w:p>
    <w:p>
      <w:pPr>
        <w:ind w:left="600" w:right="680" w:firstLine="612"/>
        <w:spacing w:after="0" w:line="273" w:lineRule="auto"/>
        <w:rPr>
          <w:sz w:val="20"/>
          <w:szCs w:val="20"/>
          <w:color w:val="auto"/>
        </w:rPr>
      </w:pPr>
      <w:r>
        <w:rPr>
          <w:rFonts w:ascii="Times New Roman" w:cs="Times New Roman" w:eastAsia="Times New Roman" w:hAnsi="Times New Roman"/>
          <w:sz w:val="13"/>
          <w:szCs w:val="13"/>
          <w:color w:val="auto"/>
        </w:rPr>
        <w:t>If fewer than all of the outstanding shares of Series G Preferred Stock are to be redeemed pursuant to the Special Optional Redemption Right, the shares to be redeemed shall be selected pro rata (as nearly as practicable without creating fractional shares) by lot or in such other equitable method determined by the Company that will not result in a violation of the Ownership Limit or the Aggregate Stock Ownership Limit (each as defined in Section 9(a)). If such redemption pursuant to the Special Optional Redemption Right is to be by lot and, as a result, any holder of shares of Series G Preferred Stock would have actual ownership, Beneficial Ownership or Constructive Ownership (each as defined in Section 9(a)) in excess of the Ownership Limit (as defined in Section 9(a)), the Aggregate Stock Ownership Limit (as defined in Section 9(a)), or such limit as permitted by the Board of Directors or a committee thereof pursuant to Section 9(i), because such holder’s shares of Series G Preferred Stock were not redeemed, or were only redeemed in part then, except as otherwise provided in the Charter, the Company shall redeem the requisite number of shares of Series G Preferred Stock of such holder such that no holder will hold an amount of Series G Preferred Stock in excess of the applicable ownership limit, subsequent to such redemption.</w:t>
      </w:r>
    </w:p>
    <w:p>
      <w:pPr>
        <w:spacing w:after="0" w:line="136" w:lineRule="exact"/>
        <w:rPr>
          <w:sz w:val="20"/>
          <w:szCs w:val="20"/>
          <w:color w:val="auto"/>
        </w:rPr>
      </w:pPr>
    </w:p>
    <w:p>
      <w:pPr>
        <w:ind w:left="600" w:right="660" w:firstLine="306"/>
        <w:spacing w:after="0" w:line="273" w:lineRule="auto"/>
        <w:tabs>
          <w:tab w:leader="none" w:pos="1092" w:val="left"/>
        </w:tabs>
        <w:numPr>
          <w:ilvl w:val="0"/>
          <w:numId w:val="3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Company has given a notice of redemption pursuant to the Special Optional Redemption Right and has set aside sufficient funds for the redemption in trust for the benefit of the holders of the Series G Preferred Stock called for redemption, then from and after the redemption date, those shares of Series G Preferred Stock will be treated as no longer being outstanding, no further dividends will accrue and all other rights of the holders of those shares of Series G Preferred Stock will terminate. The holders of those shares of Series G Preferred Stock will retain their right to receive the redemption price for their shares and any accrued and unpaid dividends to, but not including, the redemption date, without interest. So long as full cumulative dividends on the Series G Preferred Stock for all past dividend periods shall have been or contemporaneously are (i) declared and paid in cash, or (ii) declared and a sum sufficient for the payment thereof in cash is set apart for payment, nothing herein shall prevent or restrict the Company’s right or ability to purchase, from time to time, either at a public or a private sale, all or any part of the Series G Preferred Stock at such price or prices as the Company may determine, subject to the provisions of applicable law, including the repurchase of shares of Series G Preferred Stock in open-market transactions duly authorized by the Board of Directors.</w:t>
      </w:r>
    </w:p>
    <w:p>
      <w:pPr>
        <w:spacing w:after="0" w:line="136" w:lineRule="exact"/>
        <w:rPr>
          <w:sz w:val="20"/>
          <w:szCs w:val="20"/>
          <w:color w:val="auto"/>
        </w:rPr>
      </w:pPr>
    </w:p>
    <w:p>
      <w:pPr>
        <w:ind w:left="600" w:right="760" w:firstLine="312"/>
        <w:spacing w:after="0" w:line="276" w:lineRule="auto"/>
        <w:rPr>
          <w:sz w:val="20"/>
          <w:szCs w:val="20"/>
          <w:color w:val="auto"/>
        </w:rPr>
      </w:pPr>
      <w:r>
        <w:rPr>
          <w:rFonts w:ascii="Times New Roman" w:cs="Times New Roman" w:eastAsia="Times New Roman" w:hAnsi="Times New Roman"/>
          <w:sz w:val="13"/>
          <w:szCs w:val="13"/>
          <w:color w:val="auto"/>
        </w:rPr>
        <w:t>(d) The holders of Series G Preferred Stock at the close of business on a Dividend Record Date will be entitled to receive the dividend payable with respect to the Series G Preferred Stock on the corresponding Dividend Payment Date notwithstanding the redemption of the Series G Preferred Stock pursuant to the Special Optional Redemption Right between such Dividend Record Date and the corresponding Dividend Payment Date or the Company’s default in the payment of the dividend due. Except as provided herein, the Company shall make no payment or allowance for unpaid dividends, whether or not in arrears, on Series G Preferred Stock for which a notice of redemption pursuant to the Special Optional Redemption Right has been given.</w:t>
      </w:r>
    </w:p>
    <w:p>
      <w:pPr>
        <w:spacing w:after="0" w:line="145" w:lineRule="exact"/>
        <w:rPr>
          <w:sz w:val="20"/>
          <w:szCs w:val="20"/>
          <w:color w:val="auto"/>
        </w:rPr>
      </w:pPr>
    </w:p>
    <w:p>
      <w:pPr>
        <w:ind w:left="600" w:right="1060" w:firstLine="306"/>
        <w:spacing w:after="0" w:line="287" w:lineRule="auto"/>
        <w:tabs>
          <w:tab w:leader="none" w:pos="1080" w:val="left"/>
        </w:tabs>
        <w:numPr>
          <w:ilvl w:val="0"/>
          <w:numId w:val="3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shares of the Series G Preferred Stock redeemed or repurchased pursuant to this Section 6, or otherwise acquired in any other manner by the Company, shall be retired and shall be restored to the status of authorized but unissued shares of Preferred Stock, without designation as to series or class.</w:t>
      </w:r>
    </w:p>
    <w:p>
      <w:pPr>
        <w:spacing w:after="0" w:line="13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Section 7. </w:t>
      </w:r>
      <w:r>
        <w:rPr>
          <w:rFonts w:ascii="Times New Roman" w:cs="Times New Roman" w:eastAsia="Times New Roman" w:hAnsi="Times New Roman"/>
          <w:sz w:val="13"/>
          <w:szCs w:val="13"/>
          <w:u w:val="single" w:color="auto"/>
          <w:color w:val="auto"/>
        </w:rPr>
        <w:t>Voting Rights</w:t>
      </w:r>
      <w:r>
        <w:rPr>
          <w:rFonts w:ascii="Times New Roman" w:cs="Times New Roman" w:eastAsia="Times New Roman" w:hAnsi="Times New Roman"/>
          <w:sz w:val="13"/>
          <w:szCs w:val="13"/>
          <w:color w:val="auto"/>
        </w:rPr>
        <w:t xml:space="preserve"> .</w:t>
      </w:r>
    </w:p>
    <w:p>
      <w:pPr>
        <w:spacing w:after="0" w:line="18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(a) Holders of the Series G Preferred Stock shall not have any voting rights, except as set forth in this Section 7.</w:t>
      </w:r>
    </w:p>
    <w:p>
      <w:pPr>
        <w:spacing w:after="0" w:line="187" w:lineRule="exact"/>
        <w:rPr>
          <w:sz w:val="20"/>
          <w:szCs w:val="20"/>
          <w:color w:val="auto"/>
        </w:rPr>
      </w:pPr>
    </w:p>
    <w:p>
      <w:pPr>
        <w:ind w:left="600" w:right="700" w:firstLine="312"/>
        <w:spacing w:after="0" w:line="270" w:lineRule="auto"/>
        <w:rPr>
          <w:sz w:val="20"/>
          <w:szCs w:val="20"/>
          <w:color w:val="auto"/>
        </w:rPr>
      </w:pPr>
      <w:r>
        <w:rPr>
          <w:rFonts w:ascii="Times New Roman" w:cs="Times New Roman" w:eastAsia="Times New Roman" w:hAnsi="Times New Roman"/>
          <w:sz w:val="13"/>
          <w:szCs w:val="13"/>
          <w:color w:val="auto"/>
        </w:rPr>
        <w:t xml:space="preserve">(b) Whenever dividends on any shares of Series G Preferred Stock shall be in arrears for six or more consecutive or non- consecutive quarterly periods (a “ </w:t>
      </w:r>
      <w:r>
        <w:rPr>
          <w:rFonts w:ascii="Times New Roman" w:cs="Times New Roman" w:eastAsia="Times New Roman" w:hAnsi="Times New Roman"/>
          <w:sz w:val="13"/>
          <w:szCs w:val="13"/>
          <w:u w:val="single" w:color="auto"/>
          <w:color w:val="auto"/>
        </w:rPr>
        <w:t>Preferred Dividend Default</w:t>
      </w:r>
      <w:r>
        <w:rPr>
          <w:rFonts w:ascii="Times New Roman" w:cs="Times New Roman" w:eastAsia="Times New Roman" w:hAnsi="Times New Roman"/>
          <w:sz w:val="13"/>
          <w:szCs w:val="13"/>
          <w:color w:val="auto"/>
        </w:rPr>
        <w:t xml:space="preserve"> ”), the holders of such Series G Preferred Stock (voting separately as a class together with all other classes or series of preferred stock of the Company ranking on parity with the Series G Preferred Stock with respect to payment of dividends and the distribution of assets upon the Company’s liquidation, dissolution or winding up and upon which like voting rights have been conferred and are exercisable (“ </w:t>
      </w:r>
      <w:r>
        <w:rPr>
          <w:rFonts w:ascii="Times New Roman" w:cs="Times New Roman" w:eastAsia="Times New Roman" w:hAnsi="Times New Roman"/>
          <w:sz w:val="13"/>
          <w:szCs w:val="13"/>
          <w:u w:val="single" w:color="auto"/>
          <w:color w:val="auto"/>
        </w:rPr>
        <w:t>Parity Preferred</w:t>
      </w:r>
      <w:r>
        <w:rPr>
          <w:rFonts w:ascii="Times New Roman" w:cs="Times New Roman" w:eastAsia="Times New Roman" w:hAnsi="Times New Roman"/>
          <w:sz w:val="13"/>
          <w:szCs w:val="13"/>
          <w:color w:val="auto"/>
        </w:rPr>
        <w:t xml:space="preserve"> ”), including the Series E Cumulative Redeemable Preferred Stock and the Series F Cumulative Redeemable Preferred Stock of the Company) shall be entitled to vote for the election of a total of two additional directors of the Company (the “ </w:t>
      </w:r>
      <w:r>
        <w:rPr>
          <w:rFonts w:ascii="Times New Roman" w:cs="Times New Roman" w:eastAsia="Times New Roman" w:hAnsi="Times New Roman"/>
          <w:sz w:val="13"/>
          <w:szCs w:val="13"/>
          <w:u w:val="single" w:color="auto"/>
          <w:color w:val="auto"/>
        </w:rPr>
        <w:t>Preferred Directors</w:t>
      </w:r>
      <w:r>
        <w:rPr>
          <w:rFonts w:ascii="Times New Roman" w:cs="Times New Roman" w:eastAsia="Times New Roman" w:hAnsi="Times New Roman"/>
          <w:sz w:val="13"/>
          <w:szCs w:val="13"/>
          <w:color w:val="auto"/>
        </w:rPr>
        <w:t xml:space="preserve"> ”) until all</w:t>
      </w:r>
    </w:p>
    <w:p>
      <w:pPr>
        <w:spacing w:after="0" w:line="3" w:lineRule="exact"/>
        <w:rPr>
          <w:sz w:val="20"/>
          <w:szCs w:val="20"/>
          <w:color w:val="auto"/>
        </w:rPr>
      </w:pPr>
    </w:p>
    <w:p>
      <w:pPr>
        <w:ind w:left="600" w:right="700"/>
        <w:spacing w:after="0" w:line="299" w:lineRule="auto"/>
        <w:rPr>
          <w:sz w:val="20"/>
          <w:szCs w:val="20"/>
          <w:color w:val="auto"/>
        </w:rPr>
      </w:pPr>
      <w:r>
        <w:rPr>
          <w:rFonts w:ascii="Times New Roman" w:cs="Times New Roman" w:eastAsia="Times New Roman" w:hAnsi="Times New Roman"/>
          <w:sz w:val="13"/>
          <w:szCs w:val="13"/>
          <w:color w:val="auto"/>
        </w:rPr>
        <w:t>dividends accumulated on such Series G Preferred Stock and Parity Preferred for the past dividend periods shall have been fully paid or declared and a sum sufficient for the payment thereof is set aside for payment. In such case, the entire Board of Directors will be increased by two directors.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316230</wp:posOffset>
            </wp:positionV>
            <wp:extent cx="4436110" cy="1524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653">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-56515</wp:posOffset>
            </wp:positionV>
            <wp:extent cx="5083810" cy="1524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654">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63" w:name="page364"/>
    <w:bookmarkEnd w:id="363"/>
    <w:p>
      <w:pPr>
        <w:ind w:left="600" w:right="640" w:firstLine="306"/>
        <w:spacing w:after="0" w:line="273" w:lineRule="auto"/>
        <w:tabs>
          <w:tab w:leader="none" w:pos="1080" w:val="left"/>
        </w:tabs>
        <w:numPr>
          <w:ilvl w:val="0"/>
          <w:numId w:val="3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Preferred Directors will be elected by a plurality of the votes cast in the election for a one-year term and each Preferred Director will serve until his or her successor is duly elected and qualified or until such Preferred Director’s right to hold the office terminates, whichever occurs earlier, subject to such Preferred Director’s earlier death, disqualification, resignation or removal. The election will take place at (i) either (A) a special meeting called in accordance with Section 7(d) below if the request is received more than 90 days before the date fixed for the Company’s next annual or special meeting of stockholders or (B) the next annual or special meeting of stockholders if the request is received within 90 days of the date fixed for the Company’s next annual or special meeting of stockholders, and (ii) at each subsequent annual meeting of stockholders, or special meeting held in place thereof, until all such dividends in arrears on the Series G Preferred Stock and each such class or series of outstanding Parity Preferred have been paid in full. A dividend in respect of Series G Preferred Stock shall be considered timely made if made within two Business Days after the applicable Dividend Payment Date if at the time of such late payment date there shall not be any prior quarterly dividend periods in respect of which full dividends were not timely made at the applicable Dividend Payment Date.</w:t>
      </w:r>
    </w:p>
    <w:p>
      <w:pPr>
        <w:spacing w:after="0" w:line="136" w:lineRule="exact"/>
        <w:rPr>
          <w:rFonts w:ascii="Times New Roman" w:cs="Times New Roman" w:eastAsia="Times New Roman" w:hAnsi="Times New Roman"/>
          <w:sz w:val="13"/>
          <w:szCs w:val="13"/>
          <w:color w:val="auto"/>
        </w:rPr>
      </w:pPr>
    </w:p>
    <w:p>
      <w:pPr>
        <w:ind w:left="600" w:right="600" w:firstLine="306"/>
        <w:spacing w:after="0" w:line="271" w:lineRule="auto"/>
        <w:tabs>
          <w:tab w:leader="none" w:pos="1092" w:val="left"/>
        </w:tabs>
        <w:numPr>
          <w:ilvl w:val="0"/>
          <w:numId w:val="3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any time when such voting rights shall have vested, a proper officer of the Company shall call or cause to be called, upon written request of holders of record of at least 10% of the outstanding shares of Series G Preferred Stock and Parity Preferred, a special meeting of the holders of Series G Preferred Stock and each class or series of Parity Preferred by mailing or causing to be mailed to such holders a notice of such special meeting to be held not fewer than ten or more than 45 days after the date such notice is given. The record date for determining holders of the Series G Preferred Stock and Parity Preferred entitled to notice of and to vote at such special meeting will be the close of business on the third Business Day preceding the day on which such notice is mailed. At any such annual or special meeting, all of the holders of the Series G Preferred Stock and Parity Preferred, by plurality vote, voting together as a single class without regard to class or series will be entitled to elect two directors on the basis of one vote per $25.00 of liquidation preference to which such Series G Preferred Stock and Parity Preferred are entitled by their terms (excluding amounts in respect of accumulated and unpaid dividends) and not cumulatively. The holder or holders of one-third of the Series G Preferred Stock and Parity Preferred voting as a single class then outstanding, present in person or by proxy, will constitute a quorum for the election of the Preferred Directors except as otherwise provided by law. Notice of all meetings at which holders of the Series G Preferred Stock and the Parity Preferred shall be entitled to vote will be given to such holders at their addresses as they appear in the transfer records. At any such meeting or adjournment thereof in the absence of a quorum, subject to the provisions of any applicable law, a majority of the holders of the Series G Preferred Stock and Parity Preferred voting as a single class present in person or by proxy shall have the power to adjourn the meeting for the election of the Preferred Directors, without notice other than an announcement at the meeting, until a quorum is present. If a Preferred Dividend Default shall terminate after the notice of a special meeting has been given but before such special meeting has been held, the Company shall, as soon as practicable after such termination, mail or cause to be mailed notice of such termination to holders of the Series G Preferred Stock and the Parity Preferred that would have been entitled to vote at such special meeting.</w:t>
      </w:r>
    </w:p>
    <w:p>
      <w:pPr>
        <w:spacing w:after="0" w:line="142" w:lineRule="exact"/>
        <w:rPr>
          <w:rFonts w:ascii="Times New Roman" w:cs="Times New Roman" w:eastAsia="Times New Roman" w:hAnsi="Times New Roman"/>
          <w:sz w:val="13"/>
          <w:szCs w:val="13"/>
          <w:color w:val="auto"/>
        </w:rPr>
      </w:pPr>
    </w:p>
    <w:p>
      <w:pPr>
        <w:ind w:left="600" w:right="640" w:firstLine="306"/>
        <w:spacing w:after="0" w:line="273" w:lineRule="auto"/>
        <w:tabs>
          <w:tab w:leader="none" w:pos="1080" w:val="left"/>
        </w:tabs>
        <w:numPr>
          <w:ilvl w:val="0"/>
          <w:numId w:val="3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and when all accumulated dividends on such Series G Preferred Stock and all classes or series of Parity Preferred for the past dividend periods shall have been fully paid or declared and a sum sufficient for the payment thereof is set aside for payment, the right of the holders of Series G Preferred Stock and the Parity Preferred to elect such additional two directors shall immediately cease (subject to revesting in the event of each and every Preferred Dividend Default), and the term of office of each Preferred Director so elected shall terminate and the entire Board of Directors shall be reduced accordingly. Any Preferred Director may be removed at any time with or without cause by the vote of, and shall not be removed otherwise than by the vote of, the holders of record of a majority of the outstanding Series G Preferred Stock and the Parity Preferred entitled to vote thereon when they have the voting rights set forth in Section 7(b) (voting as a single class). So long as a Preferred Dividend Default shall continue, any vacancy in the office of a Preferred Director may be filled by written consent of the Preferred Director remaining in office, or if none remains in office, by a vote of the holders of record of a majority of the outstanding Series G Preferred Stock when they have the voting rights described above (voting as a single class with all other classes or series of Parity Preferred). Each of the Preferred Directors shall be entitled to one vote on any matter.</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125730</wp:posOffset>
            </wp:positionV>
            <wp:extent cx="4436110" cy="762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655">
                      <a:extLst>
                        <a:ext uri="{28A0092B-C50C-407E-A947-70E740481C1C}"/>
                      </a:extLst>
                    </a:blip>
                    <a:srcRect/>
                    <a:stretch>
                      <a:fillRect/>
                    </a:stretch>
                  </pic:blipFill>
                  <pic:spPr bwMode="auto">
                    <a:xfrm>
                      <a:off x="0" y="0"/>
                      <a:ext cx="4436110"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567690</wp:posOffset>
            </wp:positionV>
            <wp:extent cx="5083810" cy="1524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656">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64" w:name="page365"/>
    <w:bookmarkEnd w:id="364"/>
    <w:p>
      <w:pPr>
        <w:ind w:left="600" w:right="620" w:firstLine="475"/>
        <w:spacing w:after="0" w:line="270" w:lineRule="auto"/>
        <w:tabs>
          <w:tab w:leader="none" w:pos="1236" w:val="left"/>
        </w:tabs>
        <w:numPr>
          <w:ilvl w:val="0"/>
          <w:numId w:val="3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So long as any shares of Series G Preferred Stock remain outstanding, the affirmative vote or consent of the holders of two-thirds of the shares of Series G Preferred Stock and each other class or series of Parity Preferred outstanding at the time, given in person or by proxy, either in writing or at a meeting (voting together as a single class) will be required to: (i) authorize, create or issue, or increase the number of authorized or issued shares of, any class or series of capital stock ranking senior to the Series G Preferred Stock with respect to payment of dividends or the distribution of assets upon liquidation, dissolution or winding up of the Company (collectively, “ </w:t>
      </w:r>
      <w:r>
        <w:rPr>
          <w:rFonts w:ascii="Times New Roman" w:cs="Times New Roman" w:eastAsia="Times New Roman" w:hAnsi="Times New Roman"/>
          <w:sz w:val="13"/>
          <w:szCs w:val="13"/>
          <w:u w:val="single" w:color="auto"/>
          <w:color w:val="auto"/>
        </w:rPr>
        <w:t>Senior Capital Stock</w:t>
      </w:r>
      <w:r>
        <w:rPr>
          <w:rFonts w:ascii="Times New Roman" w:cs="Times New Roman" w:eastAsia="Times New Roman" w:hAnsi="Times New Roman"/>
          <w:sz w:val="13"/>
          <w:szCs w:val="13"/>
          <w:color w:val="auto"/>
        </w:rPr>
        <w:t xml:space="preserve"> ”) or reclassify any authorized shares of capital stock of the Company into such capital stock, or create, authorize or issue any obligation or security convertible into or evidencing the right to purchase any such Senior Capital Stock; or (ii) amend, alter or repeal the provisions of the Charter, including the terms of the Series G Preferred Stock, whether by merger, consolidation, transfer or conveyance of all or substantially all of its assets or otherwise (an “</w:t>
      </w:r>
    </w:p>
    <w:p>
      <w:pPr>
        <w:spacing w:after="0" w:line="3" w:lineRule="exact"/>
        <w:rPr>
          <w:sz w:val="20"/>
          <w:szCs w:val="20"/>
          <w:color w:val="auto"/>
        </w:rPr>
      </w:pPr>
    </w:p>
    <w:p>
      <w:pPr>
        <w:ind w:left="600" w:right="660"/>
        <w:spacing w:after="0" w:line="271" w:lineRule="auto"/>
        <w:rPr>
          <w:sz w:val="20"/>
          <w:szCs w:val="20"/>
          <w:color w:val="auto"/>
        </w:rPr>
      </w:pPr>
      <w:r>
        <w:rPr>
          <w:rFonts w:ascii="Times New Roman" w:cs="Times New Roman" w:eastAsia="Times New Roman" w:hAnsi="Times New Roman"/>
          <w:sz w:val="13"/>
          <w:szCs w:val="13"/>
          <w:u w:val="single" w:color="auto"/>
          <w:color w:val="auto"/>
        </w:rPr>
        <w:t>Event</w:t>
      </w:r>
      <w:r>
        <w:rPr>
          <w:rFonts w:ascii="Times New Roman" w:cs="Times New Roman" w:eastAsia="Times New Roman" w:hAnsi="Times New Roman"/>
          <w:sz w:val="13"/>
          <w:szCs w:val="13"/>
          <w:color w:val="auto"/>
        </w:rPr>
        <w:t xml:space="preserve"> ”), so as to materially and adversely affect any right, preference, privilege or voting power of the Series G Preferred Stock;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 with respect to the occurrence of any of the Events set forth in (ii) above, so long as the Series G Preferred Stock remains outstanding with the terms thereof materially unchanged, taking into account that, upon the occurrence of an Event, the Company may not be the surviving entity, the occurrence of such Event shall not be deemed to materially and adversely affect such rights, preferences, privileges or voting power of Series G Preferred Stock, and in such case such holders shall not have any voting rights with respect to the occurrence of any of the Events set forth in (ii) above. In addition, if the holders of the Series G Preferred Stock receive the greater of the full trading price of the Series G Preferred Stock on the date of an Event set forth in (ii) above or the $25.00 liquidation preference per share of the Series G Preferred Stock pursuant to the occurrence of any of the Events set forth in (ii) above, then such holders shall not have any voting rights with respect to the Events set forth in (ii) above. If any Event set forth in (ii) above would materially and adversely affect the rights, preferences, privileges or voting powers of the Series G Preferred Stock disproportionately relative to other classes or series of Parity Preferred, the affirmative vote of the holders of at least two-thirds of the outstanding shares of the Series G Preferred Stock, voting separately as a class, will also be required. Holders of shares of Series G Preferred Stock shall not be entitled to vote with respect to (A) any increase in the total number of authorized shares of Common Stock or Preferred Stock of the Company, or (B) any increase in the number of authorized shares of Series G Preferred Stock or the creation or issuance of any other class or series of capital stock, or (C) any increase in the number of authorized shares of any other class or series of capital stock, in each case referred to in clause (A), (B) or (C) above ranking on parity with or junior to the Series G Preferred Stock with respect to the payment of dividends and the distribution of assets upon liquidation, dissolution or winding up of the Company. Except as set forth herein, holders of the Series G Preferred Stock shall not have any voting rights with respect to, and the consent of the holders of the Series G Preferred Stock shall not be required for, the taking of any corporate action, including an Event, regardless of the effect that such corporate action or Event may have upon the powers, preferences, voting power or other rights or privileges of the Series G Preferred Stock.</w:t>
      </w:r>
    </w:p>
    <w:p>
      <w:pPr>
        <w:spacing w:after="0" w:line="138" w:lineRule="exact"/>
        <w:rPr>
          <w:sz w:val="20"/>
          <w:szCs w:val="20"/>
          <w:color w:val="auto"/>
        </w:rPr>
      </w:pPr>
    </w:p>
    <w:p>
      <w:pPr>
        <w:ind w:left="600" w:right="740" w:firstLine="306"/>
        <w:spacing w:after="0" w:line="281" w:lineRule="auto"/>
        <w:tabs>
          <w:tab w:leader="none" w:pos="1092" w:val="left"/>
        </w:tabs>
        <w:numPr>
          <w:ilvl w:val="0"/>
          <w:numId w:val="3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foregoing voting provisions of this Section 7 shall not apply if, at or prior to the time when the act with respect to which such vote would otherwise be required shall be effected, all outstanding shares of Series G Preferred Stock shall have been redeemed or called for redemption upon proper notice pursuant to these Articles Supplementary, and sufficient funds, in cash, shall have been deposited in trust to effect such redemption.</w:t>
      </w:r>
    </w:p>
    <w:p>
      <w:pPr>
        <w:spacing w:after="0" w:line="140" w:lineRule="exact"/>
        <w:rPr>
          <w:sz w:val="20"/>
          <w:szCs w:val="20"/>
          <w:color w:val="auto"/>
        </w:rPr>
      </w:pPr>
    </w:p>
    <w:p>
      <w:pPr>
        <w:ind w:left="600" w:right="1220" w:firstLine="312"/>
        <w:spacing w:after="0" w:line="305" w:lineRule="auto"/>
        <w:rPr>
          <w:sz w:val="20"/>
          <w:szCs w:val="20"/>
          <w:color w:val="auto"/>
        </w:rPr>
      </w:pPr>
      <w:r>
        <w:rPr>
          <w:rFonts w:ascii="Times New Roman" w:cs="Times New Roman" w:eastAsia="Times New Roman" w:hAnsi="Times New Roman"/>
          <w:sz w:val="13"/>
          <w:szCs w:val="13"/>
          <w:color w:val="auto"/>
        </w:rPr>
        <w:t>(h) In any matter in which the Series G Preferred Stock may vote (as expressly provided herein), each share of Series G Preferred Stock shall be entitled to one vote per $25.00 of liquidation preference.</w:t>
      </w:r>
    </w:p>
    <w:p>
      <w:pPr>
        <w:spacing w:after="0" w:line="124" w:lineRule="exact"/>
        <w:rPr>
          <w:sz w:val="20"/>
          <w:szCs w:val="20"/>
          <w:color w:val="auto"/>
        </w:rPr>
      </w:pPr>
    </w:p>
    <w:p>
      <w:pPr>
        <w:ind w:left="600" w:right="1240" w:firstLine="312"/>
        <w:spacing w:after="0" w:line="305" w:lineRule="auto"/>
        <w:rPr>
          <w:sz w:val="20"/>
          <w:szCs w:val="20"/>
          <w:color w:val="auto"/>
        </w:rPr>
      </w:pPr>
      <w:r>
        <w:rPr>
          <w:rFonts w:ascii="Times New Roman" w:cs="Times New Roman" w:eastAsia="Times New Roman" w:hAnsi="Times New Roman"/>
          <w:sz w:val="13"/>
          <w:szCs w:val="13"/>
          <w:color w:val="auto"/>
        </w:rPr>
        <w:t xml:space="preserve">Section 8. </w:t>
      </w:r>
      <w:r>
        <w:rPr>
          <w:rFonts w:ascii="Times New Roman" w:cs="Times New Roman" w:eastAsia="Times New Roman" w:hAnsi="Times New Roman"/>
          <w:sz w:val="13"/>
          <w:szCs w:val="13"/>
          <w:u w:val="single" w:color="auto"/>
          <w:color w:val="auto"/>
        </w:rPr>
        <w:t>Conversion</w:t>
      </w:r>
      <w:r>
        <w:rPr>
          <w:rFonts w:ascii="Times New Roman" w:cs="Times New Roman" w:eastAsia="Times New Roman" w:hAnsi="Times New Roman"/>
          <w:sz w:val="13"/>
          <w:szCs w:val="13"/>
          <w:color w:val="auto"/>
        </w:rPr>
        <w:t xml:space="preserve"> . The shares of Series G Preferred Stock are not convertible into or exchangeable for any other property or securities of the Company, except as provided in this Section 8.</w:t>
      </w:r>
    </w:p>
    <w:p>
      <w:pPr>
        <w:spacing w:after="0" w:line="124" w:lineRule="exact"/>
        <w:rPr>
          <w:sz w:val="20"/>
          <w:szCs w:val="20"/>
          <w:color w:val="auto"/>
        </w:rPr>
      </w:pPr>
    </w:p>
    <w:p>
      <w:pPr>
        <w:ind w:left="600" w:right="660" w:firstLine="306"/>
        <w:spacing w:after="0" w:line="270" w:lineRule="auto"/>
        <w:tabs>
          <w:tab w:leader="none" w:pos="1080" w:val="left"/>
        </w:tabs>
        <w:numPr>
          <w:ilvl w:val="1"/>
          <w:numId w:val="3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Upon the occurrence of a Change of Control, each holder of shares of Series G Preferred Stock shall have the right, unless, prior to the Change of Control Conversion Date, the Company has provided or provides notice of its election to redeem the Series G Preferred Stock pursuant to the Redemption Right or Special Optional Redemption Right, to convert some or all of the Series G Preferred Stock held by such holder (the “ </w:t>
      </w:r>
      <w:r>
        <w:rPr>
          <w:rFonts w:ascii="Times New Roman" w:cs="Times New Roman" w:eastAsia="Times New Roman" w:hAnsi="Times New Roman"/>
          <w:sz w:val="13"/>
          <w:szCs w:val="13"/>
          <w:u w:val="single" w:color="auto"/>
          <w:color w:val="auto"/>
        </w:rPr>
        <w:t>Change of Control Conversion Right</w:t>
      </w:r>
      <w:r>
        <w:rPr>
          <w:rFonts w:ascii="Times New Roman" w:cs="Times New Roman" w:eastAsia="Times New Roman" w:hAnsi="Times New Roman"/>
          <w:sz w:val="13"/>
          <w:szCs w:val="13"/>
          <w:color w:val="auto"/>
        </w:rPr>
        <w:t xml:space="preserve"> ”) on the Change of Control Conversion Date into a number of shares of Common Stock, per share of Series G Preferred Stock to be converted (the “ </w:t>
      </w:r>
      <w:r>
        <w:rPr>
          <w:rFonts w:ascii="Times New Roman" w:cs="Times New Roman" w:eastAsia="Times New Roman" w:hAnsi="Times New Roman"/>
          <w:sz w:val="13"/>
          <w:szCs w:val="13"/>
          <w:u w:val="single" w:color="auto"/>
          <w:color w:val="auto"/>
        </w:rPr>
        <w:t>Common Stock Conversion Consideration</w:t>
      </w:r>
      <w:r>
        <w:rPr>
          <w:rFonts w:ascii="Times New Roman" w:cs="Times New Roman" w:eastAsia="Times New Roman" w:hAnsi="Times New Roman"/>
          <w:sz w:val="13"/>
          <w:szCs w:val="13"/>
          <w:color w:val="auto"/>
        </w:rPr>
        <w:t xml:space="preserve"> ”) equal to the lesser of (A) the quotient obtained by dividing</w:t>
      </w:r>
    </w:p>
    <w:p>
      <w:pPr>
        <w:spacing w:after="0" w:line="2" w:lineRule="exact"/>
        <w:rPr>
          <w:rFonts w:ascii="Times New Roman" w:cs="Times New Roman" w:eastAsia="Times New Roman" w:hAnsi="Times New Roman"/>
          <w:sz w:val="13"/>
          <w:szCs w:val="13"/>
          <w:color w:val="auto"/>
        </w:rPr>
      </w:pPr>
    </w:p>
    <w:p>
      <w:pPr>
        <w:ind w:left="600" w:right="760" w:hanging="6"/>
        <w:spacing w:after="0" w:line="284" w:lineRule="auto"/>
        <w:tabs>
          <w:tab w:leader="none" w:pos="756" w:val="left"/>
        </w:tabs>
        <w:numPr>
          <w:ilvl w:val="0"/>
          <w:numId w:val="3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sum of (x) the $25.00 liquidation preference per share of Series G Preferred Stock to be converted plus (y) the amount of any accrued and unpaid dividends to, but not including, the Change of Control Conversion Date (unless the Change of Control Conversion Date is after a Dividend Record Date and prior to the corresponding Dividend Payment Date, in which case no additional amount for such accrued and unpaid dividends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125730</wp:posOffset>
            </wp:positionV>
            <wp:extent cx="4436110" cy="1524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657">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575310</wp:posOffset>
            </wp:positionV>
            <wp:extent cx="5083810" cy="1524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658">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65" w:name="page366"/>
    <w:bookmarkEnd w:id="365"/>
    <w:p>
      <w:pPr>
        <w:ind w:left="600" w:right="720"/>
        <w:spacing w:after="0" w:line="305" w:lineRule="auto"/>
        <w:rPr>
          <w:sz w:val="20"/>
          <w:szCs w:val="20"/>
          <w:color w:val="auto"/>
        </w:rPr>
      </w:pPr>
      <w:r>
        <w:rPr>
          <w:rFonts w:ascii="Times New Roman" w:cs="Times New Roman" w:eastAsia="Times New Roman" w:hAnsi="Times New Roman"/>
          <w:sz w:val="13"/>
          <w:szCs w:val="13"/>
          <w:color w:val="auto"/>
        </w:rPr>
        <w:t xml:space="preserve">will be included in such sum) by (ii) the Common Stock Price (as defined herein) and (B) 0.7532 (the “ </w:t>
      </w:r>
      <w:r>
        <w:rPr>
          <w:rFonts w:ascii="Times New Roman" w:cs="Times New Roman" w:eastAsia="Times New Roman" w:hAnsi="Times New Roman"/>
          <w:sz w:val="13"/>
          <w:szCs w:val="13"/>
          <w:u w:val="single" w:color="auto"/>
          <w:color w:val="auto"/>
        </w:rPr>
        <w:t>Share Cap</w:t>
      </w:r>
      <w:r>
        <w:rPr>
          <w:rFonts w:ascii="Times New Roman" w:cs="Times New Roman" w:eastAsia="Times New Roman" w:hAnsi="Times New Roman"/>
          <w:sz w:val="13"/>
          <w:szCs w:val="13"/>
          <w:color w:val="auto"/>
        </w:rPr>
        <w:t xml:space="preserve"> ”), subject to the immediately succeeding paragraph.</w:t>
      </w:r>
    </w:p>
    <w:p>
      <w:pPr>
        <w:spacing w:after="0" w:line="124" w:lineRule="exact"/>
        <w:rPr>
          <w:sz w:val="20"/>
          <w:szCs w:val="20"/>
          <w:color w:val="auto"/>
        </w:rPr>
      </w:pPr>
    </w:p>
    <w:p>
      <w:pPr>
        <w:ind w:left="600" w:right="740" w:firstLine="612"/>
        <w:spacing w:after="0" w:line="276" w:lineRule="auto"/>
        <w:rPr>
          <w:sz w:val="20"/>
          <w:szCs w:val="20"/>
          <w:color w:val="auto"/>
        </w:rPr>
      </w:pPr>
      <w:r>
        <w:rPr>
          <w:rFonts w:ascii="Times New Roman" w:cs="Times New Roman" w:eastAsia="Times New Roman" w:hAnsi="Times New Roman"/>
          <w:sz w:val="13"/>
          <w:szCs w:val="13"/>
          <w:color w:val="auto"/>
        </w:rPr>
        <w:t xml:space="preserve">The Share Cap is subject to pro rata adjustments for any share splits (including those effected pursuant to a distribution of the Common Stock), subdivisions or combinations (in each case, a “ </w:t>
      </w:r>
      <w:r>
        <w:rPr>
          <w:rFonts w:ascii="Times New Roman" w:cs="Times New Roman" w:eastAsia="Times New Roman" w:hAnsi="Times New Roman"/>
          <w:sz w:val="13"/>
          <w:szCs w:val="13"/>
          <w:u w:val="single" w:color="auto"/>
          <w:color w:val="auto"/>
        </w:rPr>
        <w:t>Share Split</w:t>
      </w:r>
      <w:r>
        <w:rPr>
          <w:rFonts w:ascii="Times New Roman" w:cs="Times New Roman" w:eastAsia="Times New Roman" w:hAnsi="Times New Roman"/>
          <w:sz w:val="13"/>
          <w:szCs w:val="13"/>
          <w:color w:val="auto"/>
        </w:rPr>
        <w:t xml:space="preserve"> ”) with respect to the Common Stock as follows: the adjusted Share Cap as the result of a Share Split shall be the number of shares of Common Stock that is equivalent to the product obtained by multiplying (i) the Share Cap in effect immediately prior to such Share Split by (ii) a fraction, the numerator of which is the number of shares of Common Stock outstanding after giving effect to such Share Split and the denominator of which is the number of shares of Common Stock outstanding immediately prior to such Share Split.</w:t>
      </w:r>
    </w:p>
    <w:p>
      <w:pPr>
        <w:spacing w:after="0" w:line="145" w:lineRule="exact"/>
        <w:rPr>
          <w:sz w:val="20"/>
          <w:szCs w:val="20"/>
          <w:color w:val="auto"/>
        </w:rPr>
      </w:pPr>
    </w:p>
    <w:p>
      <w:pPr>
        <w:ind w:left="600" w:right="740" w:firstLine="612"/>
        <w:spacing w:after="0" w:line="275" w:lineRule="auto"/>
        <w:rPr>
          <w:sz w:val="20"/>
          <w:szCs w:val="20"/>
          <w:color w:val="auto"/>
        </w:rPr>
      </w:pPr>
      <w:r>
        <w:rPr>
          <w:rFonts w:ascii="Times New Roman" w:cs="Times New Roman" w:eastAsia="Times New Roman" w:hAnsi="Times New Roman"/>
          <w:sz w:val="13"/>
          <w:szCs w:val="13"/>
          <w:color w:val="auto"/>
        </w:rPr>
        <w:t xml:space="preserve">For the avoidance of doubt, subject to the immediately succeeding sentence, the aggregate number of shares of Common Stock (or equivalent Alternative Conversion Consideration (as defined below), as applicable) issuable in connection with the exercise of the Change of Control Conversion Right shall not exceed 6,778,800 shares of Common Stock (or equivalent Alternative Conversion Consideration, as applicable), subject to increase to the extent the underwriters’ over-allotment option to purchase additional shares of Series G Preferred Stock in the initial public offering of Series G Preferred Stock is exercised, not to exceed 7,795,620 shares of Common Stock in total (or equivalent Alternative Conversion Consideration, as applicable) (the “ </w:t>
      </w:r>
      <w:r>
        <w:rPr>
          <w:rFonts w:ascii="Times New Roman" w:cs="Times New Roman" w:eastAsia="Times New Roman" w:hAnsi="Times New Roman"/>
          <w:sz w:val="13"/>
          <w:szCs w:val="13"/>
          <w:u w:val="single" w:color="auto"/>
          <w:color w:val="auto"/>
        </w:rPr>
        <w:t>Exchange Cap</w:t>
      </w:r>
      <w:r>
        <w:rPr>
          <w:rFonts w:ascii="Times New Roman" w:cs="Times New Roman" w:eastAsia="Times New Roman" w:hAnsi="Times New Roman"/>
          <w:sz w:val="13"/>
          <w:szCs w:val="13"/>
          <w:color w:val="auto"/>
        </w:rPr>
        <w:t xml:space="preserve"> ”). The Exchange Cap is subject to pro rata adjustments for any Share Splits on the same basis as the corresponding adjustment to the Share Cap.</w:t>
      </w:r>
    </w:p>
    <w:p>
      <w:pPr>
        <w:spacing w:after="0" w:line="133" w:lineRule="exact"/>
        <w:rPr>
          <w:sz w:val="20"/>
          <w:szCs w:val="20"/>
          <w:color w:val="auto"/>
        </w:rPr>
      </w:pPr>
    </w:p>
    <w:p>
      <w:pPr>
        <w:ind w:left="600" w:right="640" w:firstLine="612"/>
        <w:spacing w:after="0" w:line="275" w:lineRule="auto"/>
        <w:rPr>
          <w:sz w:val="20"/>
          <w:szCs w:val="20"/>
          <w:color w:val="auto"/>
        </w:rPr>
      </w:pPr>
      <w:r>
        <w:rPr>
          <w:rFonts w:ascii="Times New Roman" w:cs="Times New Roman" w:eastAsia="Times New Roman" w:hAnsi="Times New Roman"/>
          <w:sz w:val="13"/>
          <w:szCs w:val="13"/>
          <w:color w:val="auto"/>
        </w:rPr>
        <w:t xml:space="preserve">In the case of a Change of Control pursuant to which shares of Common Stock shall be converted into cash, securities or other property or assets (including any combination thereof) (the “ </w:t>
      </w:r>
      <w:r>
        <w:rPr>
          <w:rFonts w:ascii="Times New Roman" w:cs="Times New Roman" w:eastAsia="Times New Roman" w:hAnsi="Times New Roman"/>
          <w:sz w:val="13"/>
          <w:szCs w:val="13"/>
          <w:u w:val="single" w:color="auto"/>
          <w:color w:val="auto"/>
        </w:rPr>
        <w:t>Alternative Form Consideration</w:t>
      </w:r>
      <w:r>
        <w:rPr>
          <w:rFonts w:ascii="Times New Roman" w:cs="Times New Roman" w:eastAsia="Times New Roman" w:hAnsi="Times New Roman"/>
          <w:sz w:val="13"/>
          <w:szCs w:val="13"/>
          <w:color w:val="auto"/>
        </w:rPr>
        <w:t xml:space="preserve"> ”), a holder of shares of Series G Preferred Stock shall receive upon conversion of such shares of Series G Preferred Stock the kind and amount of Alternative Form Consideration which such holder would have owned or been entitled to receive upon the Change of Control had such holder held a number of shares of Common Stock equal to the Common Stock Conversion Consideration immediately prior to the effective time of the Change of Control (the “ </w:t>
      </w:r>
      <w:r>
        <w:rPr>
          <w:rFonts w:ascii="Times New Roman" w:cs="Times New Roman" w:eastAsia="Times New Roman" w:hAnsi="Times New Roman"/>
          <w:sz w:val="13"/>
          <w:szCs w:val="13"/>
          <w:u w:val="single" w:color="auto"/>
          <w:color w:val="auto"/>
        </w:rPr>
        <w:t>Alternative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Conversion Consideration</w:t>
      </w:r>
      <w:r>
        <w:rPr>
          <w:rFonts w:ascii="Times New Roman" w:cs="Times New Roman" w:eastAsia="Times New Roman" w:hAnsi="Times New Roman"/>
          <w:sz w:val="13"/>
          <w:szCs w:val="13"/>
          <w:color w:val="auto"/>
        </w:rPr>
        <w:t xml:space="preserve"> ”; and the Common Stock Conversion Consideration or the Alternative Conversion Consideration, as may be applicable to a Change of Control, shall be referred to herein as the “ </w:t>
      </w:r>
      <w:r>
        <w:rPr>
          <w:rFonts w:ascii="Times New Roman" w:cs="Times New Roman" w:eastAsia="Times New Roman" w:hAnsi="Times New Roman"/>
          <w:sz w:val="13"/>
          <w:szCs w:val="13"/>
          <w:u w:val="single" w:color="auto"/>
          <w:color w:val="auto"/>
        </w:rPr>
        <w:t>Conversion Consideration</w:t>
      </w:r>
      <w:r>
        <w:rPr>
          <w:rFonts w:ascii="Times New Roman" w:cs="Times New Roman" w:eastAsia="Times New Roman" w:hAnsi="Times New Roman"/>
          <w:sz w:val="13"/>
          <w:szCs w:val="13"/>
          <w:color w:val="auto"/>
        </w:rPr>
        <w:t xml:space="preserve"> ”).</w:t>
      </w:r>
    </w:p>
    <w:p>
      <w:pPr>
        <w:spacing w:after="0" w:line="133" w:lineRule="exact"/>
        <w:rPr>
          <w:sz w:val="20"/>
          <w:szCs w:val="20"/>
          <w:color w:val="auto"/>
        </w:rPr>
      </w:pPr>
    </w:p>
    <w:p>
      <w:pPr>
        <w:ind w:left="600" w:right="640" w:firstLine="612"/>
        <w:spacing w:after="0" w:line="276" w:lineRule="auto"/>
        <w:rPr>
          <w:sz w:val="20"/>
          <w:szCs w:val="20"/>
          <w:color w:val="auto"/>
        </w:rPr>
      </w:pPr>
      <w:r>
        <w:rPr>
          <w:rFonts w:ascii="Times New Roman" w:cs="Times New Roman" w:eastAsia="Times New Roman" w:hAnsi="Times New Roman"/>
          <w:sz w:val="13"/>
          <w:szCs w:val="13"/>
          <w:color w:val="auto"/>
        </w:rPr>
        <w:t>In the event that holders of Common Stock have the opportunity to elect the form of consideration to be received in the Change of Control, the Conversion Consideration will be deemed to be the kind and amount of consideration actually received by holders of a majority of the Common Stock that voted for such an election (if electing between two types of consideration) or holders of a plurality of the Common Stock that voted for such an election (if electing between more than two types of consideration), as the case may be, and will be subject to any limitations to which all holders of Common Stock are subject, including, without limitation, pro rata reductions applicable to any portion of the consideration payable in the Change of Control.</w:t>
      </w:r>
    </w:p>
    <w:p>
      <w:pPr>
        <w:spacing w:after="0" w:line="145" w:lineRule="exact"/>
        <w:rPr>
          <w:sz w:val="20"/>
          <w:szCs w:val="20"/>
          <w:color w:val="auto"/>
        </w:rPr>
      </w:pPr>
    </w:p>
    <w:p>
      <w:pPr>
        <w:ind w:left="600" w:right="700" w:firstLine="612"/>
        <w:spacing w:after="0" w:line="287" w:lineRule="auto"/>
        <w:rPr>
          <w:sz w:val="20"/>
          <w:szCs w:val="20"/>
          <w:color w:val="auto"/>
        </w:rPr>
      </w:pPr>
      <w:r>
        <w:rPr>
          <w:rFonts w:ascii="Times New Roman" w:cs="Times New Roman" w:eastAsia="Times New Roman" w:hAnsi="Times New Roman"/>
          <w:sz w:val="13"/>
          <w:szCs w:val="13"/>
          <w:color w:val="auto"/>
        </w:rPr>
        <w:t xml:space="preserve">The “ </w:t>
      </w:r>
      <w:r>
        <w:rPr>
          <w:rFonts w:ascii="Times New Roman" w:cs="Times New Roman" w:eastAsia="Times New Roman" w:hAnsi="Times New Roman"/>
          <w:sz w:val="13"/>
          <w:szCs w:val="13"/>
          <w:u w:val="single" w:color="auto"/>
          <w:color w:val="auto"/>
        </w:rPr>
        <w:t>Change of Control Conversion Date</w:t>
      </w:r>
      <w:r>
        <w:rPr>
          <w:rFonts w:ascii="Times New Roman" w:cs="Times New Roman" w:eastAsia="Times New Roman" w:hAnsi="Times New Roman"/>
          <w:sz w:val="13"/>
          <w:szCs w:val="13"/>
          <w:color w:val="auto"/>
        </w:rPr>
        <w:t xml:space="preserve"> ” shall be a Business Day set forth in the notice of Change of Control provided in accordance with Section 8(c) below that is no less than 20 days nor more than 35 days after the date on which the Company provides such notice pursuant to Section 8(c).</w:t>
      </w:r>
    </w:p>
    <w:p>
      <w:pPr>
        <w:spacing w:after="0" w:line="136" w:lineRule="exact"/>
        <w:rPr>
          <w:sz w:val="20"/>
          <w:szCs w:val="20"/>
          <w:color w:val="auto"/>
        </w:rPr>
      </w:pPr>
    </w:p>
    <w:p>
      <w:pPr>
        <w:ind w:left="600" w:right="640" w:firstLine="612"/>
        <w:spacing w:after="0" w:line="274" w:lineRule="auto"/>
        <w:rPr>
          <w:sz w:val="20"/>
          <w:szCs w:val="20"/>
          <w:color w:val="auto"/>
        </w:rPr>
      </w:pPr>
      <w:r>
        <w:rPr>
          <w:rFonts w:ascii="Times New Roman" w:cs="Times New Roman" w:eastAsia="Times New Roman" w:hAnsi="Times New Roman"/>
          <w:sz w:val="13"/>
          <w:szCs w:val="13"/>
          <w:color w:val="auto"/>
        </w:rPr>
        <w:t xml:space="preserve">The “ </w:t>
      </w:r>
      <w:r>
        <w:rPr>
          <w:rFonts w:ascii="Times New Roman" w:cs="Times New Roman" w:eastAsia="Times New Roman" w:hAnsi="Times New Roman"/>
          <w:sz w:val="13"/>
          <w:szCs w:val="13"/>
          <w:u w:val="single" w:color="auto"/>
          <w:color w:val="auto"/>
        </w:rPr>
        <w:t>Common Stock Price</w:t>
      </w:r>
      <w:r>
        <w:rPr>
          <w:rFonts w:ascii="Times New Roman" w:cs="Times New Roman" w:eastAsia="Times New Roman" w:hAnsi="Times New Roman"/>
          <w:sz w:val="13"/>
          <w:szCs w:val="13"/>
          <w:color w:val="auto"/>
        </w:rPr>
        <w:t xml:space="preserve"> ” shall be (i) if the consideration to be received in the Change of Control by the holders of Common Stock is solely cash, the amount of cash consideration per share of Common Stock or (ii) if the consideration to be received in the Change of Control by holders of Common Stock is other than solely cash (x) the average of the closing sale prices per share of Common Stock (or, if no closing sale price is reported, the average of the closing bid and ask prices or, if more than one in either case, the average of the average closing bid and the average closing ask prices) for the ten consecutive trading days immediately preceding, but not including, the effective date of the Change of Control as reported on the principal U.S. securities exchange on which the Common Stock is then traded, or (y) the average of the last quoted bid prices for the Common Stock in the over-the-counter market as reported by Pink Sheets LLC or similar organization for the ten consecutive trading days immediately preceding, but not including, the effective date of the Change of Control, if the Common Stock is not then listed for trading on a</w:t>
      </w:r>
    </w:p>
    <w:p>
      <w:pPr>
        <w:spacing w:after="0" w:line="15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U.S. securities exchange.</w:t>
      </w:r>
    </w:p>
    <w:p>
      <w:pPr>
        <w:spacing w:after="0" w:line="3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331470</wp:posOffset>
            </wp:positionV>
            <wp:extent cx="4436110" cy="762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659">
                      <a:extLst>
                        <a:ext uri="{28A0092B-C50C-407E-A947-70E740481C1C}"/>
                      </a:extLst>
                    </a:blip>
                    <a:srcRect/>
                    <a:stretch>
                      <a:fillRect/>
                    </a:stretch>
                  </pic:blipFill>
                  <pic:spPr bwMode="auto">
                    <a:xfrm>
                      <a:off x="0" y="0"/>
                      <a:ext cx="4436110"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354330</wp:posOffset>
            </wp:positionV>
            <wp:extent cx="5083810" cy="1524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60">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66" w:name="page367"/>
    <w:bookmarkEnd w:id="366"/>
    <w:p>
      <w:pPr>
        <w:ind w:left="600" w:right="960" w:firstLine="306"/>
        <w:spacing w:after="0" w:line="305" w:lineRule="auto"/>
        <w:tabs>
          <w:tab w:leader="none" w:pos="1092" w:val="left"/>
        </w:tabs>
        <w:numPr>
          <w:ilvl w:val="1"/>
          <w:numId w:val="3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fractional shares of Common Stock shall be issued upon the conversion of Series G Preferred Stock. In lieu of fractional shares, holders shall be entitled to receive the cash value of such fractional shares based on the Common Stock Price.</w:t>
      </w:r>
    </w:p>
    <w:p>
      <w:pPr>
        <w:spacing w:after="0" w:line="124" w:lineRule="exact"/>
        <w:rPr>
          <w:rFonts w:ascii="Times New Roman" w:cs="Times New Roman" w:eastAsia="Times New Roman" w:hAnsi="Times New Roman"/>
          <w:sz w:val="13"/>
          <w:szCs w:val="13"/>
          <w:color w:val="auto"/>
        </w:rPr>
      </w:pPr>
    </w:p>
    <w:p>
      <w:pPr>
        <w:ind w:left="600" w:right="620" w:firstLine="306"/>
        <w:spacing w:after="0" w:line="272" w:lineRule="auto"/>
        <w:tabs>
          <w:tab w:leader="none" w:pos="1080" w:val="left"/>
        </w:tabs>
        <w:numPr>
          <w:ilvl w:val="1"/>
          <w:numId w:val="3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Within 15 days following the occurrence of a Change of Control, a notice of occurrence of the Change of Control, describing the resulting Change of Control Conversion Right, shall be delivered to the holders of record of the shares of Series G Preferred Stock at their addresses as they appear on the Company’s share transfer records and notice shall be provided to the Company’s transfer agent. No failure to give such notice or any defect thereto or in the mailing thereof shall affect the validity of the proceedings for the conversion of any share of Series G Preferred Stock except as to the holder to whom notice was defective or not given. Each notice shall state: (i) the events constituting the Change of Control; (ii) the date of the Change of Control; (iii) the last date on which the holders of Series G Preferred Stock may exercise their Change of Control Conversion Right; (iv) the method and period for calculating the Common Stock Price; (v) the Change of Control Conversion Date, which shall be a Business Day occurring within 20 to 35 days following the date of such notice; (vi) that if, prior to the Change of Control Conversion Date, the Company has provided or provides notice of its election to redeem all or any portion of the Series G Preferred Stock, the holder will not be able to convert shares of Series G Preferred Stock designated for redemption and such shares of Series G Preferred Stock shall be redeemed on the related redemption date, even if they have already been tendered for conversion pursuant to the Change of Control Conversion Right; (vii) if applicable, the type and amount of Alternative Conversion Consideration entitled to be received per share of Series G Preferred Stock; (viii) the name and address of the paying agent and the conversion agent; and (ix) the procedures that the holders of Series G Preferred Stock must follow to exercise the Change of Control Conversion Right.</w:t>
      </w:r>
    </w:p>
    <w:p>
      <w:pPr>
        <w:spacing w:after="0" w:line="136" w:lineRule="exact"/>
        <w:rPr>
          <w:rFonts w:ascii="Times New Roman" w:cs="Times New Roman" w:eastAsia="Times New Roman" w:hAnsi="Times New Roman"/>
          <w:sz w:val="13"/>
          <w:szCs w:val="13"/>
          <w:color w:val="auto"/>
        </w:rPr>
      </w:pPr>
    </w:p>
    <w:p>
      <w:pPr>
        <w:ind w:left="600" w:right="600" w:firstLine="306"/>
        <w:spacing w:after="0" w:line="278" w:lineRule="auto"/>
        <w:tabs>
          <w:tab w:leader="none" w:pos="1092" w:val="left"/>
        </w:tabs>
        <w:numPr>
          <w:ilvl w:val="1"/>
          <w:numId w:val="3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issue a press release for publication on the Dow Jones &amp; Company, Inc., Business Wire, PR Newswire or Bloomberg Business News (or, if such organizations are not in existence at the time of issuance of such press release, such other news or press organization as is reasonably calculated to broadly disseminate the relevant information to the public), or post notice on the Company’s website, in any event prior to the opening of business on the first Business Day following any date on which the Company provides notice pursuant to Section 8(c) above to the holders of Series G Preferred Stock.</w:t>
      </w:r>
    </w:p>
    <w:p>
      <w:pPr>
        <w:spacing w:after="0" w:line="142" w:lineRule="exact"/>
        <w:rPr>
          <w:rFonts w:ascii="Times New Roman" w:cs="Times New Roman" w:eastAsia="Times New Roman" w:hAnsi="Times New Roman"/>
          <w:sz w:val="13"/>
          <w:szCs w:val="13"/>
          <w:color w:val="auto"/>
        </w:rPr>
      </w:pPr>
    </w:p>
    <w:p>
      <w:pPr>
        <w:jc w:val="both"/>
        <w:ind w:left="600" w:right="660" w:firstLine="306"/>
        <w:spacing w:after="0" w:line="271" w:lineRule="auto"/>
        <w:tabs>
          <w:tab w:leader="none" w:pos="1080" w:val="left"/>
        </w:tabs>
        <w:numPr>
          <w:ilvl w:val="1"/>
          <w:numId w:val="3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order to exercise the Change of Control Conversion Right, a holder of shares of Series G Preferred Stock shall be required to deliver, on or before the close of business on the Change of Control Conversion Date, the certificates (if any) representing the shares of Series G Preferred Stock to be converted, duly endorsed for transfer, together with a written conversion notice completed, to the Company’s transfer agent. Such notice shall state: (i) the relevant Change of Control Conversion Date;</w:t>
      </w:r>
    </w:p>
    <w:p>
      <w:pPr>
        <w:ind w:left="600" w:right="860" w:hanging="6"/>
        <w:spacing w:after="0" w:line="284" w:lineRule="auto"/>
        <w:tabs>
          <w:tab w:leader="none" w:pos="794" w:val="left"/>
        </w:tabs>
        <w:numPr>
          <w:ilvl w:val="0"/>
          <w:numId w:val="3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number of shares of Series G Preferred Stock to be converted; and (iii) that the shares of Series G Preferred Stock are to be converted pursuant to the applicable provisions of these Articles Supplementary. Notwithstanding the foregoing, if the shares of Series G Preferred Stock are held in global form, such notice shall comply with applicable procedures of The Depository Trust Company (“ </w:t>
      </w:r>
      <w:r>
        <w:rPr>
          <w:rFonts w:ascii="Times New Roman" w:cs="Times New Roman" w:eastAsia="Times New Roman" w:hAnsi="Times New Roman"/>
          <w:sz w:val="13"/>
          <w:szCs w:val="13"/>
          <w:u w:val="single" w:color="auto"/>
          <w:color w:val="auto"/>
        </w:rPr>
        <w:t>DTC</w:t>
      </w:r>
      <w:r>
        <w:rPr>
          <w:rFonts w:ascii="Times New Roman" w:cs="Times New Roman" w:eastAsia="Times New Roman" w:hAnsi="Times New Roman"/>
          <w:sz w:val="13"/>
          <w:szCs w:val="13"/>
          <w:color w:val="auto"/>
        </w:rPr>
        <w:t xml:space="preserve"> ”).</w:t>
      </w:r>
    </w:p>
    <w:p>
      <w:pPr>
        <w:spacing w:after="0" w:line="138" w:lineRule="exact"/>
        <w:rPr>
          <w:sz w:val="20"/>
          <w:szCs w:val="20"/>
          <w:color w:val="auto"/>
        </w:rPr>
      </w:pPr>
    </w:p>
    <w:p>
      <w:pPr>
        <w:ind w:left="600" w:right="680" w:firstLine="312"/>
        <w:spacing w:after="0" w:line="287" w:lineRule="auto"/>
        <w:rPr>
          <w:sz w:val="20"/>
          <w:szCs w:val="20"/>
          <w:color w:val="auto"/>
        </w:rPr>
      </w:pPr>
      <w:r>
        <w:rPr>
          <w:rFonts w:ascii="Times New Roman" w:cs="Times New Roman" w:eastAsia="Times New Roman" w:hAnsi="Times New Roman"/>
          <w:sz w:val="13"/>
          <w:szCs w:val="13"/>
          <w:color w:val="auto"/>
        </w:rPr>
        <w:t>(f) Holders of Series G Preferred Stock may withdraw any notice of exercise of a Change of Control Conversion Right (in whole or in part) by a written notice of withdrawal delivered to the Company’s transfer agent prior to the close of business on the Business Day prior to the Change of Control Conversion Date. The notice of withdrawal must state:</w:t>
      </w:r>
    </w:p>
    <w:p>
      <w:pPr>
        <w:spacing w:after="0" w:line="136" w:lineRule="exact"/>
        <w:rPr>
          <w:sz w:val="20"/>
          <w:szCs w:val="20"/>
          <w:color w:val="auto"/>
        </w:rPr>
      </w:pPr>
    </w:p>
    <w:p>
      <w:pPr>
        <w:ind w:left="600" w:right="860" w:hanging="6"/>
        <w:spacing w:after="0" w:line="281" w:lineRule="auto"/>
        <w:tabs>
          <w:tab w:leader="none" w:pos="757" w:val="left"/>
        </w:tabs>
        <w:numPr>
          <w:ilvl w:val="0"/>
          <w:numId w:val="3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number of withdrawn shares of Series G Preferred Stock; (ii) if certificated shares of Series G Preferred Stock have been issued, the certificate numbers of the shares of withdrawn Series G Preferred Stock; and (iii) the number of shares of Series G Preferred Stock, if any, which remain subject to the conversion notice. Notwithstanding the foregoing, if the shares of Series G Preferred Stock are held in global form, the notice of withdrawal shall comply with applicable procedures of DTC.</w:t>
      </w:r>
    </w:p>
    <w:p>
      <w:pPr>
        <w:spacing w:after="0" w:line="140" w:lineRule="exact"/>
        <w:rPr>
          <w:rFonts w:ascii="Times New Roman" w:cs="Times New Roman" w:eastAsia="Times New Roman" w:hAnsi="Times New Roman"/>
          <w:sz w:val="13"/>
          <w:szCs w:val="13"/>
          <w:color w:val="auto"/>
        </w:rPr>
      </w:pPr>
    </w:p>
    <w:p>
      <w:pPr>
        <w:ind w:left="600" w:right="760" w:firstLine="306"/>
        <w:spacing w:after="0" w:line="281" w:lineRule="auto"/>
        <w:tabs>
          <w:tab w:leader="none" w:pos="1092" w:val="left"/>
        </w:tabs>
        <w:numPr>
          <w:ilvl w:val="1"/>
          <w:numId w:val="3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Shares of Series G Preferred Stock as to which the Change of Control Conversion Right has been properly exercised and for which the conversion notice has not been properly withdrawn shall be converted into the applicable Conversion Consideration in accordance with the Change of Control Conversion Right on the Change of Control Conversion Date, unless, prior to the Change of Control Conversion Date, the Company has provided or provides notice of its election to redeem such shares of Series G Preferred Stock, whether pursuant to its</w:t>
      </w:r>
    </w:p>
    <w:p>
      <w:pPr>
        <w:spacing w:after="0" w:line="3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529590</wp:posOffset>
            </wp:positionV>
            <wp:extent cx="4436110" cy="762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61">
                      <a:extLst>
                        <a:ext uri="{28A0092B-C50C-407E-A947-70E740481C1C}"/>
                      </a:extLst>
                    </a:blip>
                    <a:srcRect/>
                    <a:stretch>
                      <a:fillRect/>
                    </a:stretch>
                  </pic:blipFill>
                  <pic:spPr bwMode="auto">
                    <a:xfrm>
                      <a:off x="0" y="0"/>
                      <a:ext cx="4436110"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354330</wp:posOffset>
            </wp:positionV>
            <wp:extent cx="5083810" cy="1524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62">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67" w:name="page368"/>
    <w:bookmarkEnd w:id="367"/>
    <w:p>
      <w:pPr>
        <w:jc w:val="both"/>
        <w:ind w:left="600" w:right="600"/>
        <w:spacing w:after="0" w:line="281" w:lineRule="auto"/>
        <w:rPr>
          <w:sz w:val="20"/>
          <w:szCs w:val="20"/>
          <w:color w:val="auto"/>
        </w:rPr>
      </w:pPr>
      <w:r>
        <w:rPr>
          <w:rFonts w:ascii="Times New Roman" w:cs="Times New Roman" w:eastAsia="Times New Roman" w:hAnsi="Times New Roman"/>
          <w:sz w:val="13"/>
          <w:szCs w:val="13"/>
          <w:color w:val="auto"/>
        </w:rPr>
        <w:t>Redemption Right or Special Optional Redemption Right. If the Company elects to redeem shares of Series G Preferred Stock that would otherwise be converted into the applicable Conversion Consideration on a Change of Control Conversion Date, such shares of Series G Preferred Stock shall not be so converted and the holders of such shares shall be entitled to receive on the applicable redemption date $25.00 per share, plus any accrued and unpaid dividends thereon to, but not including, the redemption date.</w:t>
      </w:r>
    </w:p>
    <w:p>
      <w:pPr>
        <w:spacing w:after="0" w:line="140" w:lineRule="exact"/>
        <w:rPr>
          <w:sz w:val="20"/>
          <w:szCs w:val="20"/>
          <w:color w:val="auto"/>
        </w:rPr>
      </w:pPr>
    </w:p>
    <w:p>
      <w:pPr>
        <w:ind w:left="600" w:right="1020" w:firstLine="306"/>
        <w:spacing w:after="0" w:line="305" w:lineRule="auto"/>
        <w:tabs>
          <w:tab w:leader="none" w:pos="1092" w:val="left"/>
        </w:tabs>
        <w:numPr>
          <w:ilvl w:val="0"/>
          <w:numId w:val="3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deliver the applicable Conversion Consideration no later than the third Business Day following the Change of Control Conversion Date.</w:t>
      </w:r>
    </w:p>
    <w:p>
      <w:pPr>
        <w:spacing w:after="0" w:line="124" w:lineRule="exact"/>
        <w:rPr>
          <w:rFonts w:ascii="Times New Roman" w:cs="Times New Roman" w:eastAsia="Times New Roman" w:hAnsi="Times New Roman"/>
          <w:sz w:val="13"/>
          <w:szCs w:val="13"/>
          <w:color w:val="auto"/>
        </w:rPr>
      </w:pPr>
    </w:p>
    <w:p>
      <w:pPr>
        <w:ind w:left="600" w:right="720" w:firstLine="306"/>
        <w:spacing w:after="0" w:line="278" w:lineRule="auto"/>
        <w:tabs>
          <w:tab w:leader="none" w:pos="1068" w:val="left"/>
        </w:tabs>
        <w:numPr>
          <w:ilvl w:val="0"/>
          <w:numId w:val="3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anything to the contrary contained herein, no holder of shares of Series G Preferred Stock will be entitled to convert such shares of Series G Preferred Stock into shares of Common Stock to the extent that receipt of such shares of Common Stock would cause the holder of such shares of Common Stock (or any other person) to have actual ownership, Beneficial Ownership or Constructive Ownership (each as defined in Section 9(a)) in excess of the Ownership Limit (as defined in Section 9(a)), the Aggregate Stock Ownership Limit (as defined in Section 9(a)), or such other limit as permitted by the Board of Directors or the Committee pursuant to Section 9(i).</w:t>
      </w:r>
    </w:p>
    <w:p>
      <w:pPr>
        <w:spacing w:after="0" w:line="14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Section 9. </w:t>
      </w:r>
      <w:r>
        <w:rPr>
          <w:rFonts w:ascii="Times New Roman" w:cs="Times New Roman" w:eastAsia="Times New Roman" w:hAnsi="Times New Roman"/>
          <w:sz w:val="13"/>
          <w:szCs w:val="13"/>
          <w:u w:val="single" w:color="auto"/>
          <w:color w:val="auto"/>
        </w:rPr>
        <w:t>Restrictions on Ownership and Transfer to Preserve Tax Benefit</w:t>
      </w:r>
      <w:r>
        <w:rPr>
          <w:rFonts w:ascii="Times New Roman" w:cs="Times New Roman" w:eastAsia="Times New Roman" w:hAnsi="Times New Roman"/>
          <w:sz w:val="13"/>
          <w:szCs w:val="13"/>
          <w:color w:val="auto"/>
        </w:rPr>
        <w:t xml:space="preserve"> .</w:t>
      </w:r>
    </w:p>
    <w:p>
      <w:pPr>
        <w:spacing w:after="0" w:line="187" w:lineRule="exact"/>
        <w:rPr>
          <w:sz w:val="20"/>
          <w:szCs w:val="20"/>
          <w:color w:val="auto"/>
        </w:rPr>
      </w:pPr>
    </w:p>
    <w:p>
      <w:pPr>
        <w:ind w:left="600" w:right="1080" w:firstLine="312"/>
        <w:spacing w:after="0" w:line="305" w:lineRule="auto"/>
        <w:rPr>
          <w:sz w:val="20"/>
          <w:szCs w:val="20"/>
          <w:color w:val="auto"/>
        </w:rPr>
      </w:pPr>
      <w:r>
        <w:rPr>
          <w:rFonts w:ascii="Times New Roman" w:cs="Times New Roman" w:eastAsia="Times New Roman" w:hAnsi="Times New Roman"/>
          <w:sz w:val="13"/>
          <w:szCs w:val="13"/>
          <w:color w:val="auto"/>
        </w:rPr>
        <w:t xml:space="preserve">(a) </w:t>
      </w:r>
      <w:r>
        <w:rPr>
          <w:rFonts w:ascii="Times New Roman" w:cs="Times New Roman" w:eastAsia="Times New Roman" w:hAnsi="Times New Roman"/>
          <w:sz w:val="13"/>
          <w:szCs w:val="13"/>
          <w:u w:val="single" w:color="auto"/>
          <w:color w:val="auto"/>
        </w:rPr>
        <w:t>Definitions</w:t>
      </w:r>
      <w:r>
        <w:rPr>
          <w:rFonts w:ascii="Times New Roman" w:cs="Times New Roman" w:eastAsia="Times New Roman" w:hAnsi="Times New Roman"/>
          <w:sz w:val="13"/>
          <w:szCs w:val="13"/>
          <w:color w:val="auto"/>
        </w:rPr>
        <w:t xml:space="preserve"> . For the purposes of Section 5 and this Section 9 of these Articles Supplementary, the following terms shall have the following meanings:</w:t>
      </w:r>
    </w:p>
    <w:p>
      <w:pPr>
        <w:spacing w:after="0" w:line="12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Aggregate Stock Ownership Limit</w:t>
      </w:r>
      <w:r>
        <w:rPr>
          <w:rFonts w:ascii="Times New Roman" w:cs="Times New Roman" w:eastAsia="Times New Roman" w:hAnsi="Times New Roman"/>
          <w:sz w:val="13"/>
          <w:szCs w:val="13"/>
          <w:color w:val="auto"/>
        </w:rPr>
        <w:t xml:space="preserve"> ” has the meaning set forth in Article VI of the Charter.</w:t>
      </w:r>
    </w:p>
    <w:p>
      <w:pPr>
        <w:spacing w:after="0" w:line="186" w:lineRule="exact"/>
        <w:rPr>
          <w:sz w:val="20"/>
          <w:szCs w:val="20"/>
          <w:color w:val="auto"/>
        </w:rPr>
      </w:pPr>
    </w:p>
    <w:p>
      <w:pPr>
        <w:ind w:left="900" w:right="740" w:firstLine="312"/>
        <w:spacing w:after="0" w:line="281"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Beneficial Ownership</w:t>
      </w:r>
      <w:r>
        <w:rPr>
          <w:rFonts w:ascii="Times New Roman" w:cs="Times New Roman" w:eastAsia="Times New Roman" w:hAnsi="Times New Roman"/>
          <w:sz w:val="13"/>
          <w:szCs w:val="13"/>
          <w:color w:val="auto"/>
        </w:rPr>
        <w:t xml:space="preserve"> ” shall mean ownership of Series G Preferred Stock by a Person who is or would be treated as an owner of such Series G Preferred Stock either actually or constructively through the application of Section 544 of the Code, as modified by Sections 856(h)(1)(B) and 856(h)(3) of the Code. The terms “ </w:t>
      </w:r>
      <w:r>
        <w:rPr>
          <w:rFonts w:ascii="Times New Roman" w:cs="Times New Roman" w:eastAsia="Times New Roman" w:hAnsi="Times New Roman"/>
          <w:sz w:val="13"/>
          <w:szCs w:val="13"/>
          <w:u w:val="single" w:color="auto"/>
          <w:color w:val="auto"/>
        </w:rPr>
        <w:t>Beneficial Owner</w:t>
      </w:r>
      <w:r>
        <w:rPr>
          <w:rFonts w:ascii="Times New Roman" w:cs="Times New Roman" w:eastAsia="Times New Roman" w:hAnsi="Times New Roman"/>
          <w:sz w:val="13"/>
          <w:szCs w:val="13"/>
          <w:color w:val="auto"/>
        </w:rPr>
        <w:t xml:space="preserve"> ,” “ </w:t>
      </w:r>
      <w:r>
        <w:rPr>
          <w:rFonts w:ascii="Times New Roman" w:cs="Times New Roman" w:eastAsia="Times New Roman" w:hAnsi="Times New Roman"/>
          <w:sz w:val="13"/>
          <w:szCs w:val="13"/>
          <w:u w:val="single" w:color="auto"/>
          <w:color w:val="auto"/>
        </w:rPr>
        <w:t>Beneficially Owns</w:t>
      </w:r>
      <w:r>
        <w:rPr>
          <w:rFonts w:ascii="Times New Roman" w:cs="Times New Roman" w:eastAsia="Times New Roman" w:hAnsi="Times New Roman"/>
          <w:sz w:val="13"/>
          <w:szCs w:val="13"/>
          <w:color w:val="auto"/>
        </w:rPr>
        <w:t xml:space="preserve"> ” and “ </w:t>
      </w:r>
      <w:r>
        <w:rPr>
          <w:rFonts w:ascii="Times New Roman" w:cs="Times New Roman" w:eastAsia="Times New Roman" w:hAnsi="Times New Roman"/>
          <w:sz w:val="13"/>
          <w:szCs w:val="13"/>
          <w:u w:val="single" w:color="auto"/>
          <w:color w:val="auto"/>
        </w:rPr>
        <w:t>Beneficially Owned</w:t>
      </w:r>
      <w:r>
        <w:rPr>
          <w:rFonts w:ascii="Times New Roman" w:cs="Times New Roman" w:eastAsia="Times New Roman" w:hAnsi="Times New Roman"/>
          <w:sz w:val="13"/>
          <w:szCs w:val="13"/>
          <w:color w:val="auto"/>
        </w:rPr>
        <w:t xml:space="preserve"> ” shall have the correlative meanings.</w:t>
      </w:r>
    </w:p>
    <w:p>
      <w:pPr>
        <w:spacing w:after="0" w:line="14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Capital Stock</w:t>
      </w:r>
      <w:r>
        <w:rPr>
          <w:rFonts w:ascii="Times New Roman" w:cs="Times New Roman" w:eastAsia="Times New Roman" w:hAnsi="Times New Roman"/>
          <w:sz w:val="13"/>
          <w:szCs w:val="13"/>
          <w:color w:val="auto"/>
        </w:rPr>
        <w:t xml:space="preserve"> ” has the meaning set forth in Article VI of the Charter.</w:t>
      </w:r>
    </w:p>
    <w:p>
      <w:pPr>
        <w:spacing w:after="0" w:line="187" w:lineRule="exact"/>
        <w:rPr>
          <w:sz w:val="20"/>
          <w:szCs w:val="20"/>
          <w:color w:val="auto"/>
        </w:rPr>
      </w:pPr>
    </w:p>
    <w:p>
      <w:pPr>
        <w:ind w:left="900" w:right="620" w:firstLine="312"/>
        <w:spacing w:after="0" w:line="272"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Charitable Beneficiary</w:t>
      </w:r>
      <w:r>
        <w:rPr>
          <w:rFonts w:ascii="Times New Roman" w:cs="Times New Roman" w:eastAsia="Times New Roman" w:hAnsi="Times New Roman"/>
          <w:sz w:val="13"/>
          <w:szCs w:val="13"/>
          <w:color w:val="auto"/>
        </w:rPr>
        <w:t xml:space="preserve"> ” shall mean one or more beneficiaries of a Trust, as determined pursuant to Section 9(c)(vi) of these Articles Supplementary, each of which shall be an organization described in Sections 170(b)(1)(A), 170(c)(2) and 501(c)</w:t>
      </w:r>
    </w:p>
    <w:p>
      <w:pPr>
        <w:spacing w:after="0" w:line="1" w:lineRule="exact"/>
        <w:rPr>
          <w:sz w:val="20"/>
          <w:szCs w:val="20"/>
          <w:color w:val="auto"/>
        </w:rPr>
      </w:pPr>
    </w:p>
    <w:p>
      <w:pPr>
        <w:ind w:left="1100" w:hanging="194"/>
        <w:spacing w:after="0"/>
        <w:tabs>
          <w:tab w:leader="none" w:pos="1100" w:val="left"/>
        </w:tabs>
        <w:numPr>
          <w:ilvl w:val="0"/>
          <w:numId w:val="3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of the Code.</w:t>
      </w:r>
    </w:p>
    <w:p>
      <w:pPr>
        <w:spacing w:after="0" w:line="171" w:lineRule="exact"/>
        <w:rPr>
          <w:rFonts w:ascii="Times New Roman" w:cs="Times New Roman" w:eastAsia="Times New Roman" w:hAnsi="Times New Roman"/>
          <w:sz w:val="13"/>
          <w:szCs w:val="13"/>
          <w:color w:val="auto"/>
        </w:rPr>
      </w:pPr>
    </w:p>
    <w:p>
      <w:pPr>
        <w:ind w:left="900" w:right="800" w:firstLine="312"/>
        <w:spacing w:after="0" w:line="305"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Code</w:t>
      </w:r>
      <w:r>
        <w:rPr>
          <w:rFonts w:ascii="Times New Roman" w:cs="Times New Roman" w:eastAsia="Times New Roman" w:hAnsi="Times New Roman"/>
          <w:sz w:val="13"/>
          <w:szCs w:val="13"/>
          <w:color w:val="auto"/>
        </w:rPr>
        <w:t xml:space="preserve"> ” shall mean the Internal Revenue Code of 1986, as amended. All section references to the Code shall include any successor provisions thereof as may be adopted from time to time.</w:t>
      </w:r>
    </w:p>
    <w:p>
      <w:pPr>
        <w:spacing w:after="0" w:line="124" w:lineRule="exact"/>
        <w:rPr>
          <w:rFonts w:ascii="Times New Roman" w:cs="Times New Roman" w:eastAsia="Times New Roman" w:hAnsi="Times New Roman"/>
          <w:sz w:val="13"/>
          <w:szCs w:val="13"/>
          <w:color w:val="auto"/>
        </w:rPr>
      </w:pPr>
    </w:p>
    <w:p>
      <w:pPr>
        <w:ind w:left="900" w:right="680" w:firstLine="312"/>
        <w:spacing w:after="0" w:line="281"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Constructive Ownership</w:t>
      </w:r>
      <w:r>
        <w:rPr>
          <w:rFonts w:ascii="Times New Roman" w:cs="Times New Roman" w:eastAsia="Times New Roman" w:hAnsi="Times New Roman"/>
          <w:sz w:val="13"/>
          <w:szCs w:val="13"/>
          <w:color w:val="auto"/>
        </w:rPr>
        <w:t xml:space="preserve"> ” shall mean ownership of Series G Preferred Stock by a Person who is or would be treated as an owner of such Series G Preferred Stock either actually or constructively through the application of Section 318 of the Code, as modified by Section 856(d)(5) of the Code. The terms “ </w:t>
      </w:r>
      <w:r>
        <w:rPr>
          <w:rFonts w:ascii="Times New Roman" w:cs="Times New Roman" w:eastAsia="Times New Roman" w:hAnsi="Times New Roman"/>
          <w:sz w:val="13"/>
          <w:szCs w:val="13"/>
          <w:u w:val="single" w:color="auto"/>
          <w:color w:val="auto"/>
        </w:rPr>
        <w:t>Constructive Owner</w:t>
      </w:r>
      <w:r>
        <w:rPr>
          <w:rFonts w:ascii="Times New Roman" w:cs="Times New Roman" w:eastAsia="Times New Roman" w:hAnsi="Times New Roman"/>
          <w:sz w:val="13"/>
          <w:szCs w:val="13"/>
          <w:color w:val="auto"/>
        </w:rPr>
        <w:t xml:space="preserve"> ,” “ </w:t>
      </w:r>
      <w:r>
        <w:rPr>
          <w:rFonts w:ascii="Times New Roman" w:cs="Times New Roman" w:eastAsia="Times New Roman" w:hAnsi="Times New Roman"/>
          <w:sz w:val="13"/>
          <w:szCs w:val="13"/>
          <w:u w:val="single" w:color="auto"/>
          <w:color w:val="auto"/>
        </w:rPr>
        <w:t>Constructively Owns</w:t>
      </w:r>
      <w:r>
        <w:rPr>
          <w:rFonts w:ascii="Times New Roman" w:cs="Times New Roman" w:eastAsia="Times New Roman" w:hAnsi="Times New Roman"/>
          <w:sz w:val="13"/>
          <w:szCs w:val="13"/>
          <w:color w:val="auto"/>
        </w:rPr>
        <w:t xml:space="preserve"> ” and “ </w:t>
      </w:r>
      <w:r>
        <w:rPr>
          <w:rFonts w:ascii="Times New Roman" w:cs="Times New Roman" w:eastAsia="Times New Roman" w:hAnsi="Times New Roman"/>
          <w:sz w:val="13"/>
          <w:szCs w:val="13"/>
          <w:u w:val="single" w:color="auto"/>
          <w:color w:val="auto"/>
        </w:rPr>
        <w:t>Constructively Owned</w:t>
      </w:r>
      <w:r>
        <w:rPr>
          <w:rFonts w:ascii="Times New Roman" w:cs="Times New Roman" w:eastAsia="Times New Roman" w:hAnsi="Times New Roman"/>
          <w:sz w:val="13"/>
          <w:szCs w:val="13"/>
          <w:color w:val="auto"/>
        </w:rPr>
        <w:t xml:space="preserve"> ” shall have the correlative meanings.</w:t>
      </w:r>
    </w:p>
    <w:p>
      <w:pPr>
        <w:spacing w:after="0" w:line="140" w:lineRule="exact"/>
        <w:rPr>
          <w:sz w:val="20"/>
          <w:szCs w:val="20"/>
          <w:color w:val="auto"/>
        </w:rPr>
      </w:pPr>
    </w:p>
    <w:p>
      <w:pPr>
        <w:ind w:left="900" w:right="720" w:firstLine="312"/>
        <w:spacing w:after="0" w:line="281"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Individual</w:t>
      </w:r>
      <w:r>
        <w:rPr>
          <w:rFonts w:ascii="Times New Roman" w:cs="Times New Roman" w:eastAsia="Times New Roman" w:hAnsi="Times New Roman"/>
          <w:sz w:val="13"/>
          <w:szCs w:val="13"/>
          <w:color w:val="auto"/>
        </w:rPr>
        <w:t xml:space="preserve"> ” means an individual, a trust qualified under Section 401(a) or 501(c)(17) of the Code, a portion of a trust permanently set aside for or to be used exclusively for the purposes described in Section 642(c) of the Code, or a private foundation within the meaning of Section 509(a) of the Code, provided that a trust described in Section 401(a) of the Code and exempt from tax under Section 501(a) of the Code shall be excluded from this definition.</w:t>
      </w:r>
    </w:p>
    <w:p>
      <w:pPr>
        <w:spacing w:after="0" w:line="14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IRS</w:t>
      </w:r>
      <w:r>
        <w:rPr>
          <w:rFonts w:ascii="Times New Roman" w:cs="Times New Roman" w:eastAsia="Times New Roman" w:hAnsi="Times New Roman"/>
          <w:sz w:val="13"/>
          <w:szCs w:val="13"/>
          <w:color w:val="auto"/>
        </w:rPr>
        <w:t xml:space="preserve"> ” means the United States Internal Revenue Service.</w:t>
      </w:r>
    </w:p>
    <w:p>
      <w:pPr>
        <w:spacing w:after="0" w:line="187" w:lineRule="exact"/>
        <w:rPr>
          <w:sz w:val="20"/>
          <w:szCs w:val="20"/>
          <w:color w:val="auto"/>
        </w:rPr>
      </w:pPr>
    </w:p>
    <w:p>
      <w:pPr>
        <w:jc w:val="both"/>
        <w:ind w:left="900" w:right="840" w:firstLine="312"/>
        <w:spacing w:after="0" w:line="287"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Market Price</w:t>
      </w:r>
      <w:r>
        <w:rPr>
          <w:rFonts w:ascii="Times New Roman" w:cs="Times New Roman" w:eastAsia="Times New Roman" w:hAnsi="Times New Roman"/>
          <w:sz w:val="13"/>
          <w:szCs w:val="13"/>
          <w:color w:val="auto"/>
        </w:rPr>
        <w:t xml:space="preserve"> ” shall mean the last reported sales price reported on the NYSE of the Series G Preferred Stock on the Trading Day immediately preceding the relevant date, or if the Series G Preferred Stock is not then traded on the NYSE, the last reported sales price of the Series G Preferred Stock on the Trading Day immediately preceding the relevant date as reported on any exchange or quotation</w:t>
      </w:r>
    </w:p>
    <w:p>
      <w:pPr>
        <w:spacing w:after="0" w:line="200" w:lineRule="exact"/>
        <w:rPr>
          <w:sz w:val="20"/>
          <w:szCs w:val="20"/>
          <w:color w:val="auto"/>
        </w:rPr>
      </w:pPr>
    </w:p>
    <w:p>
      <w:pPr>
        <w:spacing w:after="0" w:line="24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316230</wp:posOffset>
            </wp:positionV>
            <wp:extent cx="4436110" cy="1524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63">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-48895</wp:posOffset>
            </wp:positionV>
            <wp:extent cx="5083810" cy="1524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64">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68" w:name="page369"/>
    <w:bookmarkEnd w:id="368"/>
    <w:p>
      <w:pPr>
        <w:ind w:left="900" w:right="640"/>
        <w:spacing w:after="0" w:line="287" w:lineRule="auto"/>
        <w:rPr>
          <w:sz w:val="20"/>
          <w:szCs w:val="20"/>
          <w:color w:val="auto"/>
        </w:rPr>
      </w:pPr>
      <w:r>
        <w:rPr>
          <w:rFonts w:ascii="Times New Roman" w:cs="Times New Roman" w:eastAsia="Times New Roman" w:hAnsi="Times New Roman"/>
          <w:sz w:val="13"/>
          <w:szCs w:val="13"/>
          <w:color w:val="auto"/>
        </w:rPr>
        <w:t>system over which the Series G Preferred Stock may be traded, or if the Series G Preferred Stock is not then traded over any exchange or quotation system, the market price of the Series G Preferred Stock on the relevant date as determined in good faith by the Board of Directors of the Company.</w:t>
      </w:r>
    </w:p>
    <w:p>
      <w:pPr>
        <w:spacing w:after="0" w:line="136" w:lineRule="exact"/>
        <w:rPr>
          <w:sz w:val="20"/>
          <w:szCs w:val="20"/>
          <w:color w:val="auto"/>
        </w:rPr>
      </w:pPr>
    </w:p>
    <w:p>
      <w:pPr>
        <w:ind w:left="900" w:right="640" w:firstLine="312"/>
        <w:spacing w:after="0" w:line="287"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Ownership Limit</w:t>
      </w:r>
      <w:r>
        <w:rPr>
          <w:rFonts w:ascii="Times New Roman" w:cs="Times New Roman" w:eastAsia="Times New Roman" w:hAnsi="Times New Roman"/>
          <w:sz w:val="13"/>
          <w:szCs w:val="13"/>
          <w:color w:val="auto"/>
        </w:rPr>
        <w:t xml:space="preserve"> ” shall mean 9.8% (by value or number of shares, whichever is more restrictive) of the outstanding shares of Series G Preferred Stock of the Company. The number and value of shares of outstanding Series G Preferred Stock of the Company shall be determined by the Board of Directors in good faith, which determination shall be conclusive for all purposes hereof.</w:t>
      </w:r>
    </w:p>
    <w:p>
      <w:pPr>
        <w:spacing w:after="0" w:line="136" w:lineRule="exact"/>
        <w:rPr>
          <w:sz w:val="20"/>
          <w:szCs w:val="20"/>
          <w:color w:val="auto"/>
        </w:rPr>
      </w:pPr>
    </w:p>
    <w:p>
      <w:pPr>
        <w:ind w:left="900" w:right="700" w:firstLine="312"/>
        <w:spacing w:after="0" w:line="278"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Person</w:t>
      </w:r>
      <w:r>
        <w:rPr>
          <w:rFonts w:ascii="Times New Roman" w:cs="Times New Roman" w:eastAsia="Times New Roman" w:hAnsi="Times New Roman"/>
          <w:sz w:val="13"/>
          <w:szCs w:val="13"/>
          <w:color w:val="auto"/>
        </w:rPr>
        <w:t xml:space="preserve"> ” shall mean an Individual, corporation, partnership, limited liability company, estate, trust (including a trust qualified under Section 401(a) or 501(c)(17) of the Code), association, joint stock company or other entity; but does not include an underwriter acting in a capacity as such in a public offering of shares of Series G Preferred Stock provided that the ownership of such shares of Series G Preferred Stock by such underwriter would not result in the Company being “closely held” within the meaning of Section 856(h) of the Code, or otherwise result in the Company failing to qualify as a REIT.</w:t>
      </w:r>
    </w:p>
    <w:p>
      <w:pPr>
        <w:spacing w:after="0" w:line="142" w:lineRule="exact"/>
        <w:rPr>
          <w:sz w:val="20"/>
          <w:szCs w:val="20"/>
          <w:color w:val="auto"/>
        </w:rPr>
      </w:pPr>
    </w:p>
    <w:p>
      <w:pPr>
        <w:ind w:left="900" w:right="620" w:firstLine="312"/>
        <w:spacing w:after="0" w:line="281"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Purported Beneficial Transferee</w:t>
      </w:r>
      <w:r>
        <w:rPr>
          <w:rFonts w:ascii="Times New Roman" w:cs="Times New Roman" w:eastAsia="Times New Roman" w:hAnsi="Times New Roman"/>
          <w:sz w:val="13"/>
          <w:szCs w:val="13"/>
          <w:color w:val="auto"/>
        </w:rPr>
        <w:t xml:space="preserve"> ” shall mean, with respect to any purported Transfer (or other event) which results in a transfer to a Trust, as provided in Section 9(b)(ii) of these Articles Supplementary, the Purported Record Transferee, unless the Purported Record Transferee would have acquired or owned shares of Series G Preferred Stock for another Person who is the beneficial transferee or beneficial owner of such shares, in which case the Purported Beneficial Transferee shall be such Person.</w:t>
      </w:r>
    </w:p>
    <w:p>
      <w:pPr>
        <w:spacing w:after="0" w:line="140" w:lineRule="exact"/>
        <w:rPr>
          <w:sz w:val="20"/>
          <w:szCs w:val="20"/>
          <w:color w:val="auto"/>
        </w:rPr>
      </w:pPr>
    </w:p>
    <w:p>
      <w:pPr>
        <w:ind w:left="900" w:right="700" w:firstLine="312"/>
        <w:spacing w:after="0" w:line="287"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Purported Record Transferee</w:t>
      </w:r>
      <w:r>
        <w:rPr>
          <w:rFonts w:ascii="Times New Roman" w:cs="Times New Roman" w:eastAsia="Times New Roman" w:hAnsi="Times New Roman"/>
          <w:sz w:val="13"/>
          <w:szCs w:val="13"/>
          <w:color w:val="auto"/>
        </w:rPr>
        <w:t xml:space="preserve"> ” shall mean, with respect to any purported Transfer (or other event) which results in a transfer to a Trust, as provided in Section 9(b)(ii) of these Articles Supplementary, the record holder of the Series G Preferred Stock if such Transfer had been valid under Section 9(b)(i) of these Articles Supplementary.</w:t>
      </w:r>
    </w:p>
    <w:p>
      <w:pPr>
        <w:spacing w:after="0" w:line="13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REIT</w:t>
      </w:r>
      <w:r>
        <w:rPr>
          <w:rFonts w:ascii="Times New Roman" w:cs="Times New Roman" w:eastAsia="Times New Roman" w:hAnsi="Times New Roman"/>
          <w:sz w:val="13"/>
          <w:szCs w:val="13"/>
          <w:color w:val="auto"/>
        </w:rPr>
        <w:t xml:space="preserve"> ” shall mean a real estate investment trust under Sections 856 through 860 of the Code.</w:t>
      </w:r>
    </w:p>
    <w:p>
      <w:pPr>
        <w:spacing w:after="0" w:line="186" w:lineRule="exact"/>
        <w:rPr>
          <w:sz w:val="20"/>
          <w:szCs w:val="20"/>
          <w:color w:val="auto"/>
        </w:rPr>
      </w:pPr>
    </w:p>
    <w:p>
      <w:pPr>
        <w:ind w:left="900" w:right="1040" w:firstLine="312"/>
        <w:spacing w:after="0" w:line="305"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Restriction Termination Date</w:t>
      </w:r>
      <w:r>
        <w:rPr>
          <w:rFonts w:ascii="Times New Roman" w:cs="Times New Roman" w:eastAsia="Times New Roman" w:hAnsi="Times New Roman"/>
          <w:sz w:val="13"/>
          <w:szCs w:val="13"/>
          <w:color w:val="auto"/>
        </w:rPr>
        <w:t xml:space="preserve"> ” shall mean the first day after the date hereof on which the Board of Directors of the Company determines that it is no longer in the best interests of the Company to attempt to, or continue to, qualify as a REIT.</w:t>
      </w:r>
    </w:p>
    <w:p>
      <w:pPr>
        <w:spacing w:after="0" w:line="124" w:lineRule="exact"/>
        <w:rPr>
          <w:sz w:val="20"/>
          <w:szCs w:val="20"/>
          <w:color w:val="auto"/>
        </w:rPr>
      </w:pPr>
    </w:p>
    <w:p>
      <w:pPr>
        <w:ind w:left="900" w:right="680" w:firstLine="312"/>
        <w:spacing w:after="0" w:line="281"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Trading Day</w:t>
      </w:r>
      <w:r>
        <w:rPr>
          <w:rFonts w:ascii="Times New Roman" w:cs="Times New Roman" w:eastAsia="Times New Roman" w:hAnsi="Times New Roman"/>
          <w:sz w:val="13"/>
          <w:szCs w:val="13"/>
          <w:color w:val="auto"/>
        </w:rPr>
        <w:t xml:space="preserve"> ” means a day during which trading in securities generally occurs on the NYSE or, if the Common Stock is not quoted on the NYSE, then a day during which trading in securities generally occurs on the principal U.S. securities exchange on which the Common Stock is listed or, if the Common Stock is not listed on a U.S. national or regional securities exchange, then on the principal other market on which the Common Stock is then traded or quoted.</w:t>
      </w:r>
    </w:p>
    <w:p>
      <w:pPr>
        <w:spacing w:after="0" w:line="140" w:lineRule="exact"/>
        <w:rPr>
          <w:sz w:val="20"/>
          <w:szCs w:val="20"/>
          <w:color w:val="auto"/>
        </w:rPr>
      </w:pPr>
    </w:p>
    <w:p>
      <w:pPr>
        <w:ind w:left="900" w:right="660" w:firstLine="312"/>
        <w:spacing w:after="0" w:line="275"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Transfer</w:t>
      </w:r>
      <w:r>
        <w:rPr>
          <w:rFonts w:ascii="Times New Roman" w:cs="Times New Roman" w:eastAsia="Times New Roman" w:hAnsi="Times New Roman"/>
          <w:sz w:val="13"/>
          <w:szCs w:val="13"/>
          <w:color w:val="auto"/>
        </w:rPr>
        <w:t xml:space="preserve"> ” shall mean any sale, issuance, transfer, gift, assignment, devise or other disposition of Series G Preferred Stock as well as any other event that causes any Person to Beneficially Own or Constructively Own Series G Preferred Stock, including (i) the granting of any option or entering into any agreement for the sale, transfer or other disposition of Series G Preferred Stock or (ii) the sale, transfer, assignment or other disposition of any securities (or rights convertible into or exchangeable for Series G Preferred Stock), whether voluntary or involuntary, whether such transfer has occurred of record or beneficially or Beneficially or Constructively (including but not limited to transfers of interests in other entities which result in changes in Beneficial or Constructive Ownership of Series G Preferred Stock), and whether such transfer has occurred by operation of law or otherwise.</w:t>
      </w:r>
    </w:p>
    <w:p>
      <w:pPr>
        <w:spacing w:after="0" w:line="13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Trust</w:t>
      </w:r>
      <w:r>
        <w:rPr>
          <w:rFonts w:ascii="Times New Roman" w:cs="Times New Roman" w:eastAsia="Times New Roman" w:hAnsi="Times New Roman"/>
          <w:sz w:val="13"/>
          <w:szCs w:val="13"/>
          <w:color w:val="auto"/>
        </w:rPr>
        <w:t xml:space="preserve"> ” shall mean each of the trusts provided for in Section 9(c) of these Articles Supplementary.</w:t>
      </w:r>
    </w:p>
    <w:p>
      <w:pPr>
        <w:spacing w:after="0" w:line="187" w:lineRule="exact"/>
        <w:rPr>
          <w:sz w:val="20"/>
          <w:szCs w:val="20"/>
          <w:color w:val="auto"/>
        </w:rPr>
      </w:pPr>
    </w:p>
    <w:p>
      <w:pPr>
        <w:ind w:left="900" w:right="1060" w:firstLine="312"/>
        <w:spacing w:after="0" w:line="305"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Trustee</w:t>
      </w:r>
      <w:r>
        <w:rPr>
          <w:rFonts w:ascii="Times New Roman" w:cs="Times New Roman" w:eastAsia="Times New Roman" w:hAnsi="Times New Roman"/>
          <w:sz w:val="13"/>
          <w:szCs w:val="13"/>
          <w:color w:val="auto"/>
        </w:rPr>
        <w:t xml:space="preserve"> ” shall mean any Person unaffiliated with the Company, or a Purported Beneficial Transferee, or a Purported Record Transferee, that is appointed by the Company to serve as trustee of a Trust.</w:t>
      </w:r>
    </w:p>
    <w:p>
      <w:pPr>
        <w:spacing w:after="0" w:line="124" w:lineRule="exact"/>
        <w:rPr>
          <w:sz w:val="20"/>
          <w:szCs w:val="20"/>
          <w:color w:val="auto"/>
        </w:rPr>
      </w:pPr>
    </w:p>
    <w:p>
      <w:pPr>
        <w:ind w:left="1080" w:hanging="174"/>
        <w:spacing w:after="0"/>
        <w:tabs>
          <w:tab w:leader="none" w:pos="1080" w:val="left"/>
        </w:tabs>
        <w:numPr>
          <w:ilvl w:val="0"/>
          <w:numId w:val="3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Restriction on Ownership and Transfers</w:t>
      </w:r>
      <w:r>
        <w:rPr>
          <w:rFonts w:ascii="Times New Roman" w:cs="Times New Roman" w:eastAsia="Times New Roman" w:hAnsi="Times New Roman"/>
          <w:sz w:val="13"/>
          <w:szCs w:val="13"/>
          <w:color w:val="auto"/>
        </w:rPr>
        <w:t xml:space="preserve"> .</w:t>
      </w:r>
    </w:p>
    <w:p>
      <w:pPr>
        <w:spacing w:after="0" w:line="186" w:lineRule="exact"/>
        <w:rPr>
          <w:rFonts w:ascii="Times New Roman" w:cs="Times New Roman" w:eastAsia="Times New Roman" w:hAnsi="Times New Roman"/>
          <w:sz w:val="13"/>
          <w:szCs w:val="13"/>
          <w:color w:val="auto"/>
        </w:rPr>
      </w:pPr>
    </w:p>
    <w:p>
      <w:pPr>
        <w:ind w:left="1380" w:hanging="161"/>
        <w:spacing w:after="0"/>
        <w:tabs>
          <w:tab w:leader="none" w:pos="1380" w:val="left"/>
        </w:tabs>
        <w:numPr>
          <w:ilvl w:val="1"/>
          <w:numId w:val="3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Prior to the Restriction Termination Date, but subject to Section 9(l):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354330</wp:posOffset>
            </wp:positionV>
            <wp:extent cx="5083810" cy="1524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65">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316230</wp:posOffset>
            </wp:positionV>
            <wp:extent cx="4436110" cy="1524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66">
                      <a:extLst>
                        <a:ext uri="{28A0092B-C50C-407E-A947-70E740481C1C}"/>
                      </a:extLst>
                    </a:blip>
                    <a:srcRect/>
                    <a:stretch>
                      <a:fillRect/>
                    </a:stretch>
                  </pic:blipFill>
                  <pic:spPr bwMode="auto">
                    <a:xfrm>
                      <a:off x="0" y="0"/>
                      <a:ext cx="44361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69" w:name="page370"/>
    <w:bookmarkEnd w:id="369"/>
    <w:p>
      <w:pPr>
        <w:ind w:left="1220" w:right="700" w:firstLine="311"/>
        <w:spacing w:after="0" w:line="281" w:lineRule="auto"/>
        <w:tabs>
          <w:tab w:leader="none" w:pos="1736" w:val="left"/>
        </w:tabs>
        <w:numPr>
          <w:ilvl w:val="0"/>
          <w:numId w:val="3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provided in Section 9(i) of these Articles Supplementary, (1) no Person shall Beneficially Own shares of Series G Preferred Stock in excess of the Ownership Limit and (2) no Person shall Beneficially Own shares of Series G Preferred Stock that, taking into account any other Capital Stock Beneficially Owned by such Person, would result in such Person Beneficially Owning Capital Stock in excess of the Aggregate Stock Ownership Limit;</w:t>
      </w:r>
    </w:p>
    <w:p>
      <w:pPr>
        <w:spacing w:after="0" w:line="140" w:lineRule="exact"/>
        <w:rPr>
          <w:sz w:val="20"/>
          <w:szCs w:val="20"/>
          <w:color w:val="auto"/>
        </w:rPr>
      </w:pPr>
    </w:p>
    <w:p>
      <w:pPr>
        <w:ind w:left="1220" w:right="700" w:firstLine="312"/>
        <w:spacing w:after="0" w:line="281" w:lineRule="auto"/>
        <w:rPr>
          <w:sz w:val="20"/>
          <w:szCs w:val="20"/>
          <w:color w:val="auto"/>
        </w:rPr>
      </w:pPr>
      <w:r>
        <w:rPr>
          <w:rFonts w:ascii="Times New Roman" w:cs="Times New Roman" w:eastAsia="Times New Roman" w:hAnsi="Times New Roman"/>
          <w:sz w:val="13"/>
          <w:szCs w:val="13"/>
          <w:color w:val="auto"/>
        </w:rPr>
        <w:t>(B) except as provided in Section 9(i) of these Articles Supplementary, (1) no Person shall Constructively Own shares of Series G Preferred Stock in excess of the Ownership Limit and (2) no Person shall Constructively Own shares of Series G Preferred Stock that, taking into account any other Capital Stock Constructively Owned by such Person, would result in such Person Constructively Owning Capital Stock in excess of the Aggregate Stock Ownership Limit;</w:t>
      </w:r>
    </w:p>
    <w:p>
      <w:pPr>
        <w:spacing w:after="0" w:line="140" w:lineRule="exact"/>
        <w:rPr>
          <w:sz w:val="20"/>
          <w:szCs w:val="20"/>
          <w:color w:val="auto"/>
        </w:rPr>
      </w:pPr>
    </w:p>
    <w:p>
      <w:pPr>
        <w:ind w:left="1220" w:right="700" w:firstLine="311"/>
        <w:spacing w:after="0" w:line="276" w:lineRule="auto"/>
        <w:tabs>
          <w:tab w:leader="none" w:pos="1736" w:val="left"/>
        </w:tabs>
        <w:numPr>
          <w:ilvl w:val="3"/>
          <w:numId w:val="3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Person shall Beneficially Own or Constructively Own Series G Preferred Stock which, taking into account any other Capital Stock of the Company Beneficially or Constructively Owned by such Person, would result in the Company being “closely held” within the meaning of Section 856(h) of the Code, or otherwise failing to qualify as a REIT (including but not limited to Beneficial or Constructive Ownership that would result in the Company owning (actually or Constructively) an interest in a tenant that is described in Section 856(d)(2)(B) of the Code if the income derived by the Company (either directly or indirectly through one or more subsidiaries) from such tenant would cause the Company to fail to satisfy any of the gross income requirements of Section 856(c) of the Code).</w:t>
      </w:r>
    </w:p>
    <w:p>
      <w:pPr>
        <w:spacing w:after="0" w:line="312" w:lineRule="exact"/>
        <w:rPr>
          <w:rFonts w:ascii="Times New Roman" w:cs="Times New Roman" w:eastAsia="Times New Roman" w:hAnsi="Times New Roman"/>
          <w:sz w:val="13"/>
          <w:szCs w:val="13"/>
          <w:color w:val="auto"/>
        </w:rPr>
      </w:pPr>
    </w:p>
    <w:p>
      <w:pPr>
        <w:ind w:left="600" w:right="640" w:firstLine="607"/>
        <w:spacing w:after="0" w:line="274" w:lineRule="auto"/>
        <w:tabs>
          <w:tab w:leader="none" w:pos="1404" w:val="left"/>
        </w:tabs>
        <w:numPr>
          <w:ilvl w:val="2"/>
          <w:numId w:val="3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prior to the Restriction Termination Date, any Transfer or other event occurs that, if effective, would result in any Person Beneficially or Constructively Owning Series G Preferred Stock in violation of Section 9(b)(i) of these Articles Supplementary, (A) then that number of shares of Series G Preferred Stock that otherwise would cause such Person to violate Section 9(b)(i) of these Articles Supplementary (rounded up to the nearest whole share) shall be automatically transferred to a Trust for the benefit of a Charitable Beneficiary, as described in Section 9(c), effective as of the close of business on the Business Day prior to the date of such Transfer or other event, and such Purported Beneficial Transferee shall thereafter have no rights in such shares or (B) if, for any reason, the transfer to the Trust described in clause (A) of this sentence is not automatically effective as provided therein to prevent any Person from Beneficially or Constructively Owning Series G Preferred Stock in violation of Section 9(b)(i) of these Articles Supplementary, then the Transfer of that number of shares of Series G Preferred Stock that otherwise would cause any Person to violate Section 9(b)(i) shall be void </w:t>
      </w:r>
      <w:r>
        <w:rPr>
          <w:rFonts w:ascii="Times New Roman" w:cs="Times New Roman" w:eastAsia="Times New Roman" w:hAnsi="Times New Roman"/>
          <w:sz w:val="13"/>
          <w:szCs w:val="13"/>
          <w:i w:val="1"/>
          <w:iCs w:val="1"/>
          <w:color w:val="auto"/>
        </w:rPr>
        <w:t>ab initio</w:t>
      </w:r>
      <w:r>
        <w:rPr>
          <w:rFonts w:ascii="Times New Roman" w:cs="Times New Roman" w:eastAsia="Times New Roman" w:hAnsi="Times New Roman"/>
          <w:sz w:val="13"/>
          <w:szCs w:val="13"/>
          <w:color w:val="auto"/>
        </w:rPr>
        <w:t xml:space="preserve"> , and the Purported Beneficial Transferee shall have no rights in such shares.</w:t>
      </w:r>
    </w:p>
    <w:p>
      <w:pPr>
        <w:spacing w:after="0" w:line="300" w:lineRule="exact"/>
        <w:rPr>
          <w:rFonts w:ascii="Times New Roman" w:cs="Times New Roman" w:eastAsia="Times New Roman" w:hAnsi="Times New Roman"/>
          <w:sz w:val="13"/>
          <w:szCs w:val="13"/>
          <w:color w:val="auto"/>
        </w:rPr>
      </w:pPr>
    </w:p>
    <w:p>
      <w:pPr>
        <w:ind w:left="600" w:right="760" w:firstLine="607"/>
        <w:spacing w:after="0" w:line="287" w:lineRule="auto"/>
        <w:tabs>
          <w:tab w:leader="none" w:pos="1428" w:val="left"/>
        </w:tabs>
        <w:numPr>
          <w:ilvl w:val="2"/>
          <w:numId w:val="3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Subject to Section 9(l) and prior to the Restriction Termination Date, any Transfer of Series G Preferred Stock that, if effective, would result in the capital stock of the Company being beneficially owned by fewer than 100 Persons (determined without reference to any rules of attribution) shall be void </w:t>
      </w:r>
      <w:r>
        <w:rPr>
          <w:rFonts w:ascii="Times New Roman" w:cs="Times New Roman" w:eastAsia="Times New Roman" w:hAnsi="Times New Roman"/>
          <w:sz w:val="13"/>
          <w:szCs w:val="13"/>
          <w:i w:val="1"/>
          <w:iCs w:val="1"/>
          <w:color w:val="auto"/>
        </w:rPr>
        <w:t>ab initio</w:t>
      </w:r>
      <w:r>
        <w:rPr>
          <w:rFonts w:ascii="Times New Roman" w:cs="Times New Roman" w:eastAsia="Times New Roman" w:hAnsi="Times New Roman"/>
          <w:sz w:val="13"/>
          <w:szCs w:val="13"/>
          <w:color w:val="auto"/>
        </w:rPr>
        <w:t xml:space="preserve"> , and the intended transferee shall acquire no rights in such Series G Preferred Stock.</w:t>
      </w:r>
    </w:p>
    <w:p>
      <w:pPr>
        <w:spacing w:after="0" w:line="135" w:lineRule="exact"/>
        <w:rPr>
          <w:rFonts w:ascii="Times New Roman" w:cs="Times New Roman" w:eastAsia="Times New Roman" w:hAnsi="Times New Roman"/>
          <w:sz w:val="13"/>
          <w:szCs w:val="13"/>
          <w:color w:val="auto"/>
        </w:rPr>
      </w:pPr>
    </w:p>
    <w:p>
      <w:pPr>
        <w:ind w:left="1080" w:hanging="174"/>
        <w:spacing w:after="0"/>
        <w:tabs>
          <w:tab w:leader="none" w:pos="1080" w:val="left"/>
        </w:tabs>
        <w:numPr>
          <w:ilvl w:val="0"/>
          <w:numId w:val="3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Transfers of Series G Preferred Stock in Trust</w:t>
      </w:r>
      <w:r>
        <w:rPr>
          <w:rFonts w:ascii="Times New Roman" w:cs="Times New Roman" w:eastAsia="Times New Roman" w:hAnsi="Times New Roman"/>
          <w:sz w:val="13"/>
          <w:szCs w:val="13"/>
          <w:color w:val="auto"/>
        </w:rPr>
        <w:t xml:space="preserve"> .</w:t>
      </w:r>
    </w:p>
    <w:p>
      <w:pPr>
        <w:spacing w:after="0" w:line="186" w:lineRule="exact"/>
        <w:rPr>
          <w:rFonts w:ascii="Times New Roman" w:cs="Times New Roman" w:eastAsia="Times New Roman" w:hAnsi="Times New Roman"/>
          <w:sz w:val="13"/>
          <w:szCs w:val="13"/>
          <w:color w:val="auto"/>
        </w:rPr>
      </w:pPr>
    </w:p>
    <w:p>
      <w:pPr>
        <w:ind w:left="600" w:right="740" w:firstLine="607"/>
        <w:spacing w:after="0" w:line="276" w:lineRule="auto"/>
        <w:tabs>
          <w:tab w:leader="none" w:pos="1368" w:val="left"/>
        </w:tabs>
        <w:numPr>
          <w:ilvl w:val="2"/>
          <w:numId w:val="3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any purported Transfer or other event described in Section 9(b)(ii) of these Articles Supplementary, such Series G Preferred Stock shall be deemed to have been transferred to the Trustee in his capacity as trustee of a Trust for the exclusive benefit of one or more Charitable Beneficiaries. Such transfer to the Trustee shall be deemed to be effective as of the close of business on the Business Day prior to the purported Transfer or other event that results in a transfer to the Trust pursuant to Section 9(b)(ii). The Trustee shall be appointed by the Company and shall be a Person unaffiliated with the Company, any Purported Beneficial Transferee or any Purported Record Transferee. Each Charitable Beneficiary shall be designated by the Company as provided in Section 9(c)(vi) of these Articles Supplementary.</w:t>
      </w:r>
    </w:p>
    <w:p>
      <w:pPr>
        <w:spacing w:after="0" w:line="144" w:lineRule="exact"/>
        <w:rPr>
          <w:rFonts w:ascii="Times New Roman" w:cs="Times New Roman" w:eastAsia="Times New Roman" w:hAnsi="Times New Roman"/>
          <w:sz w:val="13"/>
          <w:szCs w:val="13"/>
          <w:color w:val="auto"/>
        </w:rPr>
      </w:pPr>
    </w:p>
    <w:p>
      <w:pPr>
        <w:ind w:left="600" w:right="620" w:firstLine="475"/>
        <w:spacing w:after="0" w:line="287" w:lineRule="auto"/>
        <w:tabs>
          <w:tab w:leader="none" w:pos="1272" w:val="left"/>
        </w:tabs>
        <w:numPr>
          <w:ilvl w:val="1"/>
          <w:numId w:val="3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Series G Preferred Stock held by the Trustee shall be issued and outstanding Series G Preferred Stock of the Company. The Purported Beneficial Transferee or Purported Record Transferee shall have no rights in the shares of the Series G Preferred Stock held by the Trustee. The Purported Beneficial Transferee or Purported Record Transferee</w:t>
      </w:r>
    </w:p>
    <w:p>
      <w:pPr>
        <w:spacing w:after="0" w:line="3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125730</wp:posOffset>
            </wp:positionV>
            <wp:extent cx="4436110" cy="1524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67">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575310</wp:posOffset>
            </wp:positionV>
            <wp:extent cx="5083810" cy="1524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68">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70" w:name="page371"/>
    <w:bookmarkEnd w:id="370"/>
    <w:p>
      <w:pPr>
        <w:ind w:left="600" w:right="760"/>
        <w:spacing w:after="0" w:line="305" w:lineRule="auto"/>
        <w:rPr>
          <w:sz w:val="20"/>
          <w:szCs w:val="20"/>
          <w:color w:val="auto"/>
        </w:rPr>
      </w:pPr>
      <w:r>
        <w:rPr>
          <w:rFonts w:ascii="Times New Roman" w:cs="Times New Roman" w:eastAsia="Times New Roman" w:hAnsi="Times New Roman"/>
          <w:sz w:val="13"/>
          <w:szCs w:val="13"/>
          <w:color w:val="auto"/>
        </w:rPr>
        <w:t>shall not benefit economically from ownership of any shares held in trust by the Trustee, shall have no rights to dividends and shall not possess any rights to vote or other rights attributable to the shares of Series G Preferred Stock held in the Trust.</w:t>
      </w:r>
    </w:p>
    <w:p>
      <w:pPr>
        <w:spacing w:after="0" w:line="124" w:lineRule="exact"/>
        <w:rPr>
          <w:sz w:val="20"/>
          <w:szCs w:val="20"/>
          <w:color w:val="auto"/>
        </w:rPr>
      </w:pPr>
    </w:p>
    <w:p>
      <w:pPr>
        <w:ind w:left="600" w:right="660" w:firstLine="612"/>
        <w:spacing w:after="0" w:line="272" w:lineRule="auto"/>
        <w:rPr>
          <w:sz w:val="20"/>
          <w:szCs w:val="20"/>
          <w:color w:val="auto"/>
        </w:rPr>
      </w:pPr>
      <w:r>
        <w:rPr>
          <w:rFonts w:ascii="Times New Roman" w:cs="Times New Roman" w:eastAsia="Times New Roman" w:hAnsi="Times New Roman"/>
          <w:sz w:val="13"/>
          <w:szCs w:val="13"/>
          <w:color w:val="auto"/>
        </w:rPr>
        <w:t xml:space="preserve">(iii) The Trustee shall have all voting rights and rights to dividends with respect to Series G Preferred Stock held in the Trust, which rights shall be exercised for the exclusive benefit of the Charitable Beneficiary. Any dividend or distribution paid to or on behalf of the Purported Record Transferee or Purported Beneficial Transferee prior to the discovery by the Company that shares of Series G Preferred Stock have been transferred to the Trustee shall be paid to the Trustee upon demand, and any dividend or distribution declared but unpaid shall be paid when due to the Trustee with respect to such Series G Preferred Stock. Any dividends or distributions so paid over to the Trustee shall be held in trust for the Charitable Beneficiary. The Purported Record Transferee and Purported Beneficial Transferee shall have no voting rights with respect to the Series G Preferred Stock held in the Trust and, subject to Maryland law, effective as of the date the Series G Preferred Stock has been transferred to the Trustee, the Trustee shall have the authority (at the Trustee’s sole discretion) (A) to rescind as void any vote cast by a Purported Record Transferee with respect to such Series G Preferred Stock prior to the discovery by the Company that the Series G Preferred Stock has been transferred to the Trustee and (B) to recast such vote in accordance with the desires of the Trustee acting for the benefit of the Charitable Beneficiary;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 that if the Company has already taken irreversible corporate action, then the Trustee shall not have the authority to rescind and recast such vote. Notwithstanding any other provision of these Articles Supplementary to the contrary, until the Company has received notification that the Series G Preferred Stock has been transferred into a Trust, the Company shall be entitled to rely on its share transfer and other stockholder records for purposes of preparing lists of stockholders entitled to vote at meetings, determining the validity and authority of proxies and otherwise conducting votes of stockholders.</w:t>
      </w:r>
    </w:p>
    <w:p>
      <w:pPr>
        <w:spacing w:after="0" w:line="135" w:lineRule="exact"/>
        <w:rPr>
          <w:sz w:val="20"/>
          <w:szCs w:val="20"/>
          <w:color w:val="auto"/>
        </w:rPr>
      </w:pPr>
    </w:p>
    <w:p>
      <w:pPr>
        <w:ind w:left="600" w:right="640" w:firstLine="607"/>
        <w:spacing w:after="0" w:line="271" w:lineRule="auto"/>
        <w:tabs>
          <w:tab w:leader="none" w:pos="1428" w:val="left"/>
        </w:tabs>
        <w:numPr>
          <w:ilvl w:val="0"/>
          <w:numId w:val="3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Within twenty (20) days of receiving notice from the Company that shares of Series G Preferred Stock have been transferred to the Trust, the Trustee of the Trust shall sell the shares of Series G Preferred Stock held in the Trust to a Person, designated by the Trustee, whose ownership of the shares of Series G Preferred Stock will not violate the ownership limitations set forth in Section 9(b)(i). Upon such sale, the interest of the Charitable Beneficiary in the shares of Series G Preferred Stock sold shall terminate and the Trustee shall distribute the net proceeds of the sale to the Purported Record Transferee and to the Charitable Beneficiary as provided in this Section 9(c)(iv). The Purported Record Transferee shall receive the lesser of (A) the price paid by the Purported Record Transferee for the shares of Series G Preferred Stock in the transaction that resulted in such transfer to the Trust (or, if the event which resulted in the transfer to the Trust did not involve a purchase of such shares of Series G Preferred Stock at Market Price, the Market Price of such shares of Series G Preferred Stock on the day of the event which resulted in the transfer of such shares of Series G Preferred Stock to the Trust) and (B) the price per share received by the Trustee (net of any commissions and other expenses of sale) from the sale or other disposition of the shares of Series G Preferred Stock held in the Trust. The Trustee may reduce the amount payable to the Purported Record Transferee by the amount of dividends and distributions which have been paid to the Purported Record Transferee and are owed by the Purported Record Transferee to the Trustee pursuant to Section 9(c)(iii). Any net sales proceeds in excess of the amount payable to the Purported Record Transferee shall be immediately paid to the Charitable Beneficiary together with any dividends or other distributions thereon. If, prior to the discovery by the Company that shares of such Series G Preferred Stock have been transferred to the Trustee, such shares of Series G Preferred Stock are sold by a Purported Record Transferee then (1) such shares of Series G Preferred Stock shall be deemed to have been sold on behalf of the Trust and (2) to the extent that the Purported Record Transferee received an amount for such shares of Series G Preferred Stock that exceeds the amount that such Purported Record Transferee was entitled to receive pursuant to this Section 9(c)(iv), such excess shall be paid to the Trustee upon demand.</w:t>
      </w:r>
    </w:p>
    <w:p>
      <w:pPr>
        <w:spacing w:after="0" w:line="142" w:lineRule="exact"/>
        <w:rPr>
          <w:rFonts w:ascii="Times New Roman" w:cs="Times New Roman" w:eastAsia="Times New Roman" w:hAnsi="Times New Roman"/>
          <w:sz w:val="13"/>
          <w:szCs w:val="13"/>
          <w:color w:val="auto"/>
        </w:rPr>
      </w:pPr>
    </w:p>
    <w:p>
      <w:pPr>
        <w:ind w:left="600" w:right="680" w:firstLine="607"/>
        <w:spacing w:after="0" w:line="276" w:lineRule="auto"/>
        <w:tabs>
          <w:tab w:leader="none" w:pos="1392" w:val="left"/>
        </w:tabs>
        <w:numPr>
          <w:ilvl w:val="0"/>
          <w:numId w:val="3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Series G Preferred Stock transferred to the Trustee shall be deemed to have been offered for sale to the Company, or its designee, at a price per share equal to the lesser of (A) the price paid by the Purported Record Transferee for the shares of Series G Preferred Stock in the transaction that resulted in such transfer to the Trust (or, if the event which resulted in the transfer to the Trust did not involve a purchase of such shares of Series G Preferred Stock at Market Price, the Market Price of such shares of Series G Preferred Stock on the day of the event which resulted in the transfer of such shares of Series G Preferred Stock to the Trust) and (B) the Market Price on the date the Company, or its designee, accepts such offer. The Company may reduce the amount payable to the Purported</w:t>
      </w:r>
    </w:p>
    <w:p>
      <w:pPr>
        <w:spacing w:after="0" w:line="3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643890</wp:posOffset>
            </wp:positionV>
            <wp:extent cx="4436110" cy="1524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69">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354330</wp:posOffset>
            </wp:positionV>
            <wp:extent cx="5083810" cy="1524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70">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71" w:name="page372"/>
    <w:bookmarkEnd w:id="371"/>
    <w:p>
      <w:pPr>
        <w:jc w:val="both"/>
        <w:ind w:left="600" w:right="680"/>
        <w:spacing w:after="0" w:line="276" w:lineRule="auto"/>
        <w:rPr>
          <w:sz w:val="20"/>
          <w:szCs w:val="20"/>
          <w:color w:val="auto"/>
        </w:rPr>
      </w:pPr>
      <w:r>
        <w:rPr>
          <w:rFonts w:ascii="Times New Roman" w:cs="Times New Roman" w:eastAsia="Times New Roman" w:hAnsi="Times New Roman"/>
          <w:sz w:val="13"/>
          <w:szCs w:val="13"/>
          <w:color w:val="auto"/>
        </w:rPr>
        <w:t>Record Transferee by the amount of dividends and distributions which have been paid to the Purported Record Transferee and are owed by the Purported Record Transferee to the Trustee pursuant to Section 9(c)(iii). The Company shall have the right to accept such offer until the Trustee has sold the shares of Series G Preferred Stock held in the Trust pursuant to Section 9(c)(iv). Upon such a sale to the Company, the interest of the Charitable Beneficiary in the shares of Series G Preferred Stock sold shall terminate and the Trustee shall distribute the net proceeds of the sale to the Purported Record Transferee and any dividends or other distributions held by the Trustee with respect to such Series G Preferred Stock shall thereupon be paid to the Charitable Beneficiary.</w:t>
      </w:r>
    </w:p>
    <w:p>
      <w:pPr>
        <w:spacing w:after="0" w:line="145" w:lineRule="exact"/>
        <w:rPr>
          <w:sz w:val="20"/>
          <w:szCs w:val="20"/>
          <w:color w:val="auto"/>
        </w:rPr>
      </w:pPr>
    </w:p>
    <w:p>
      <w:pPr>
        <w:ind w:left="600" w:right="1100" w:firstLine="607"/>
        <w:spacing w:after="0" w:line="287" w:lineRule="auto"/>
        <w:tabs>
          <w:tab w:leader="none" w:pos="1428" w:val="left"/>
        </w:tabs>
        <w:numPr>
          <w:ilvl w:val="2"/>
          <w:numId w:val="3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written notice to the Trustee, the Company shall designate one or more nonprofit organizations to be the Charitable Beneficiary of the interest in the Trust such that the Series G Preferred Stock held in the Trust would not violate the restrictions set forth in Section 9(b)(i) in the hands of such Charitable Beneficiary.</w:t>
      </w:r>
    </w:p>
    <w:p>
      <w:pPr>
        <w:spacing w:after="0" w:line="135" w:lineRule="exact"/>
        <w:rPr>
          <w:rFonts w:ascii="Times New Roman" w:cs="Times New Roman" w:eastAsia="Times New Roman" w:hAnsi="Times New Roman"/>
          <w:sz w:val="13"/>
          <w:szCs w:val="13"/>
          <w:color w:val="auto"/>
        </w:rPr>
      </w:pPr>
    </w:p>
    <w:p>
      <w:pPr>
        <w:ind w:left="600" w:right="640" w:firstLine="306"/>
        <w:spacing w:after="0" w:line="270" w:lineRule="auto"/>
        <w:tabs>
          <w:tab w:leader="none" w:pos="1092" w:val="left"/>
        </w:tabs>
        <w:numPr>
          <w:ilvl w:val="1"/>
          <w:numId w:val="3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Remedies For Breach</w:t>
      </w:r>
      <w:r>
        <w:rPr>
          <w:rFonts w:ascii="Times New Roman" w:cs="Times New Roman" w:eastAsia="Times New Roman" w:hAnsi="Times New Roman"/>
          <w:sz w:val="13"/>
          <w:szCs w:val="13"/>
          <w:color w:val="auto"/>
        </w:rPr>
        <w:t xml:space="preserve"> . If the Board of Directors or a committee thereof or other designees if permitted by the MGCL shall at any time determine in good faith that a Transfer or other event has taken place in violation of Section 9(b) of these Articles Supplementary or that a Person intends to acquire, has attempted to acquire or may acquire beneficial ownership (determined without reference to any rules of attribution), Beneficial Ownership or Constructive Ownership of any shares of Series G Preferred Stock of the Company in violation of Section 9(b) of these Articles Supplementary, the Board of Directors or the Committee or other designees if permitted by the MGCL shall take such action as it deems advisable to refuse to give effect or to prevent such Transfer, including, but not limited to, causing the Company to redeem shares of Series G Preferred Stock, refusing to give effect to such Transfer on the books of the Company or instituting proceedings to enjoin such Transfer; </w:t>
      </w:r>
      <w:r>
        <w:rPr>
          <w:rFonts w:ascii="Times New Roman" w:cs="Times New Roman" w:eastAsia="Times New Roman" w:hAnsi="Times New Roman"/>
          <w:sz w:val="13"/>
          <w:szCs w:val="13"/>
          <w:u w:val="single" w:color="auto"/>
          <w:color w:val="auto"/>
        </w:rPr>
        <w:t>provided</w:t>
      </w:r>
    </w:p>
    <w:p>
      <w:pPr>
        <w:spacing w:after="0" w:line="2" w:lineRule="exact"/>
        <w:rPr>
          <w:rFonts w:ascii="Times New Roman" w:cs="Times New Roman" w:eastAsia="Times New Roman" w:hAnsi="Times New Roman"/>
          <w:sz w:val="13"/>
          <w:szCs w:val="13"/>
          <w:color w:val="auto"/>
        </w:rPr>
      </w:pPr>
    </w:p>
    <w:p>
      <w:pPr>
        <w:ind w:left="600" w:right="740" w:hanging="6"/>
        <w:spacing w:after="0" w:line="279" w:lineRule="auto"/>
        <w:tabs>
          <w:tab w:leader="none" w:pos="672" w:val="left"/>
        </w:tabs>
        <w:numPr>
          <w:ilvl w:val="0"/>
          <w:numId w:val="3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 that any Transfers (or, in the case of events other than a Transfer, ownership or Constructive Ownership or Beneficial Ownership) in violation of Section 9(b)(i) of these Articles Supplementary, shall automatically result in the transfer to a Trust as described in Section 9(b)(ii) and any Transfer in violation of Section 9(b)(iii) shall automatically be void </w:t>
      </w:r>
      <w:r>
        <w:rPr>
          <w:rFonts w:ascii="Times New Roman" w:cs="Times New Roman" w:eastAsia="Times New Roman" w:hAnsi="Times New Roman"/>
          <w:sz w:val="13"/>
          <w:szCs w:val="13"/>
          <w:i w:val="1"/>
          <w:iCs w:val="1"/>
          <w:color w:val="auto"/>
        </w:rPr>
        <w:t>ab initio</w:t>
      </w:r>
      <w:r>
        <w:rPr>
          <w:rFonts w:ascii="Times New Roman" w:cs="Times New Roman" w:eastAsia="Times New Roman" w:hAnsi="Times New Roman"/>
          <w:sz w:val="13"/>
          <w:szCs w:val="13"/>
          <w:color w:val="auto"/>
        </w:rPr>
        <w:t xml:space="preserve"> irrespective of any action (or non-action) by the Board of Directors.</w:t>
      </w:r>
    </w:p>
    <w:p>
      <w:pPr>
        <w:spacing w:after="0" w:line="129" w:lineRule="exact"/>
        <w:rPr>
          <w:rFonts w:ascii="Times New Roman" w:cs="Times New Roman" w:eastAsia="Times New Roman" w:hAnsi="Times New Roman"/>
          <w:sz w:val="13"/>
          <w:szCs w:val="13"/>
          <w:color w:val="auto"/>
        </w:rPr>
      </w:pPr>
    </w:p>
    <w:p>
      <w:pPr>
        <w:ind w:left="600" w:right="660" w:firstLine="306"/>
        <w:spacing w:after="0" w:line="278" w:lineRule="auto"/>
        <w:tabs>
          <w:tab w:leader="none" w:pos="1080" w:val="left"/>
        </w:tabs>
        <w:numPr>
          <w:ilvl w:val="1"/>
          <w:numId w:val="3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Notice of Restricted Transfer</w:t>
      </w:r>
      <w:r>
        <w:rPr>
          <w:rFonts w:ascii="Times New Roman" w:cs="Times New Roman" w:eastAsia="Times New Roman" w:hAnsi="Times New Roman"/>
          <w:sz w:val="13"/>
          <w:szCs w:val="13"/>
          <w:color w:val="auto"/>
        </w:rPr>
        <w:t xml:space="preserve"> . Any Person who acquires or attempts to acquire shares of Series G Preferred Stock in violation of Section 9(b) of these Articles Supplementary, or any Person who is a Purported Beneficial Transferee such that an automatic transfer to a Trust results under Section 9(b)(ii) of these Articles Supplementary, shall immediately give written notice to the Company of such event and shall provide to the Company such other information as the Company may request in order to determine the effect, if any, of such Transfer or attempted Transfer on the Company’s status as a REIT.</w:t>
      </w:r>
    </w:p>
    <w:p>
      <w:pPr>
        <w:spacing w:after="0" w:line="142" w:lineRule="exact"/>
        <w:rPr>
          <w:rFonts w:ascii="Times New Roman" w:cs="Times New Roman" w:eastAsia="Times New Roman" w:hAnsi="Times New Roman"/>
          <w:sz w:val="13"/>
          <w:szCs w:val="13"/>
          <w:color w:val="auto"/>
        </w:rPr>
      </w:pPr>
    </w:p>
    <w:p>
      <w:pPr>
        <w:ind w:left="600" w:right="600" w:firstLine="306"/>
        <w:spacing w:after="0" w:line="281" w:lineRule="auto"/>
        <w:tabs>
          <w:tab w:leader="none" w:pos="1056" w:val="left"/>
        </w:tabs>
        <w:numPr>
          <w:ilvl w:val="1"/>
          <w:numId w:val="3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Owners Required To Provide Information</w:t>
      </w:r>
      <w:r>
        <w:rPr>
          <w:rFonts w:ascii="Times New Roman" w:cs="Times New Roman" w:eastAsia="Times New Roman" w:hAnsi="Times New Roman"/>
          <w:sz w:val="13"/>
          <w:szCs w:val="13"/>
          <w:color w:val="auto"/>
        </w:rPr>
        <w:t xml:space="preserve"> . Prior to the Restriction Termination Date each Person who is a beneficial owner or Beneficial Owner or Constructive Owner of Series G Preferred Stock and each Person (including the stockholder of record) who is holding Series G Preferred Stock for a beneficial owner or Beneficial Owner or Constructive Owner shall provide to the Company such information that the Company may request, in good faith, in order to determine the Company’s status as a REIT.</w:t>
      </w:r>
    </w:p>
    <w:p>
      <w:pPr>
        <w:spacing w:after="0" w:line="140" w:lineRule="exact"/>
        <w:rPr>
          <w:sz w:val="20"/>
          <w:szCs w:val="20"/>
          <w:color w:val="auto"/>
        </w:rPr>
      </w:pPr>
    </w:p>
    <w:p>
      <w:pPr>
        <w:ind w:left="600" w:right="640" w:firstLine="312"/>
        <w:spacing w:after="0" w:line="287" w:lineRule="auto"/>
        <w:rPr>
          <w:sz w:val="20"/>
          <w:szCs w:val="20"/>
          <w:color w:val="auto"/>
        </w:rPr>
      </w:pPr>
      <w:r>
        <w:rPr>
          <w:rFonts w:ascii="Times New Roman" w:cs="Times New Roman" w:eastAsia="Times New Roman" w:hAnsi="Times New Roman"/>
          <w:sz w:val="13"/>
          <w:szCs w:val="13"/>
          <w:color w:val="auto"/>
        </w:rPr>
        <w:t xml:space="preserve">(g) </w:t>
      </w:r>
      <w:r>
        <w:rPr>
          <w:rFonts w:ascii="Times New Roman" w:cs="Times New Roman" w:eastAsia="Times New Roman" w:hAnsi="Times New Roman"/>
          <w:sz w:val="13"/>
          <w:szCs w:val="13"/>
          <w:u w:val="single" w:color="auto"/>
          <w:color w:val="auto"/>
        </w:rPr>
        <w:t>Remedies Not Limited</w:t>
      </w:r>
      <w:r>
        <w:rPr>
          <w:rFonts w:ascii="Times New Roman" w:cs="Times New Roman" w:eastAsia="Times New Roman" w:hAnsi="Times New Roman"/>
          <w:sz w:val="13"/>
          <w:szCs w:val="13"/>
          <w:color w:val="auto"/>
        </w:rPr>
        <w:t xml:space="preserve"> . Nothing contained in these Articles Supplementary (but subject to Section 9(l) of these Articles Supplementary) shall limit the authority of the Board of Directors to take such other action as it deems necessary or advisable to protect the Company and the interests of its stockholders by preservation of the Company’s status as a REIT.</w:t>
      </w:r>
    </w:p>
    <w:p>
      <w:pPr>
        <w:spacing w:after="0" w:line="136" w:lineRule="exact"/>
        <w:rPr>
          <w:sz w:val="20"/>
          <w:szCs w:val="20"/>
          <w:color w:val="auto"/>
        </w:rPr>
      </w:pPr>
    </w:p>
    <w:p>
      <w:pPr>
        <w:ind w:left="600" w:right="620" w:firstLine="306"/>
        <w:spacing w:after="0" w:line="274" w:lineRule="auto"/>
        <w:tabs>
          <w:tab w:leader="none" w:pos="1092" w:val="left"/>
        </w:tabs>
        <w:numPr>
          <w:ilvl w:val="0"/>
          <w:numId w:val="3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Ambiguity</w:t>
      </w:r>
      <w:r>
        <w:rPr>
          <w:rFonts w:ascii="Times New Roman" w:cs="Times New Roman" w:eastAsia="Times New Roman" w:hAnsi="Times New Roman"/>
          <w:sz w:val="13"/>
          <w:szCs w:val="13"/>
          <w:color w:val="auto"/>
        </w:rPr>
        <w:t xml:space="preserve"> . In the case of an ambiguity in the application of any of the provisions of this Section 9 of these Articles Supplementary, including any definition contained in Section 9(a), the Board of Directors shall have the power to determine the application of the provisions of this Section 9 with respect to any situation based on the facts known to it (subject, however, to the provisions of Section 9(l) of these Articles Supplementary). In the event Section 9 requires an action by the Board of Directors and these Articles Supplementary fail to provide specific guidance with respect to such action, the Board of Directors shall have the power to determine the action to be taken so long as such action is not contrary to the provisions of Section 9. Absent a decision to the contrary by the Board of Directors (which the Board of Directors may make in its sole and absolute discretion), if a Person would have (but for the remedies set forth in Section 9(b)) acquired Beneficial or Constructive Ownership of Series G Preferred Stock in violation of Section 9(b)(i), such remedies (as applicable) shall apply first to the shares of Series G</w:t>
      </w:r>
    </w:p>
    <w:p>
      <w:pPr>
        <w:spacing w:after="0" w:line="3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422910</wp:posOffset>
            </wp:positionV>
            <wp:extent cx="4436110" cy="1524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71">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354330</wp:posOffset>
            </wp:positionV>
            <wp:extent cx="5083810" cy="1524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72">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72" w:name="page373"/>
    <w:bookmarkEnd w:id="372"/>
    <w:p>
      <w:pPr>
        <w:ind w:left="600" w:right="840"/>
        <w:spacing w:after="0" w:line="281" w:lineRule="auto"/>
        <w:rPr>
          <w:sz w:val="20"/>
          <w:szCs w:val="20"/>
          <w:color w:val="auto"/>
        </w:rPr>
      </w:pPr>
      <w:r>
        <w:rPr>
          <w:rFonts w:ascii="Times New Roman" w:cs="Times New Roman" w:eastAsia="Times New Roman" w:hAnsi="Times New Roman"/>
          <w:sz w:val="13"/>
          <w:szCs w:val="13"/>
          <w:color w:val="auto"/>
        </w:rPr>
        <w:t>Preferred Stock which, but for such remedies, would have been actually owned by such Person, and second to shares of Series G Preferred Stock, which, but for such remedies, would have been Beneficially Owned or Constructively Owned (but not actually owned) by such Person, pro rata among the Persons who actually own such shares of Series G Preferred Stock based upon the relative number of the shares of Series G Preferred Stock held by each such Person.</w:t>
      </w:r>
    </w:p>
    <w:p>
      <w:pPr>
        <w:spacing w:after="0" w:line="140" w:lineRule="exact"/>
        <w:rPr>
          <w:sz w:val="20"/>
          <w:szCs w:val="20"/>
          <w:color w:val="auto"/>
        </w:rPr>
      </w:pPr>
    </w:p>
    <w:p>
      <w:pPr>
        <w:ind w:left="1040" w:hanging="134"/>
        <w:spacing w:after="0"/>
        <w:tabs>
          <w:tab w:leader="none" w:pos="1040" w:val="left"/>
        </w:tabs>
        <w:numPr>
          <w:ilvl w:val="0"/>
          <w:numId w:val="3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Exceptions</w:t>
      </w:r>
      <w:r>
        <w:rPr>
          <w:rFonts w:ascii="Times New Roman" w:cs="Times New Roman" w:eastAsia="Times New Roman" w:hAnsi="Times New Roman"/>
          <w:sz w:val="13"/>
          <w:szCs w:val="13"/>
          <w:color w:val="auto"/>
        </w:rPr>
        <w:t xml:space="preserve"> .</w:t>
      </w:r>
    </w:p>
    <w:p>
      <w:pPr>
        <w:spacing w:after="0" w:line="186" w:lineRule="exact"/>
        <w:rPr>
          <w:rFonts w:ascii="Times New Roman" w:cs="Times New Roman" w:eastAsia="Times New Roman" w:hAnsi="Times New Roman"/>
          <w:sz w:val="13"/>
          <w:szCs w:val="13"/>
          <w:color w:val="auto"/>
        </w:rPr>
      </w:pPr>
    </w:p>
    <w:p>
      <w:pPr>
        <w:ind w:left="600" w:right="660" w:firstLine="607"/>
        <w:spacing w:after="0" w:line="281" w:lineRule="auto"/>
        <w:tabs>
          <w:tab w:leader="none" w:pos="1368" w:val="left"/>
        </w:tabs>
        <w:numPr>
          <w:ilvl w:val="1"/>
          <w:numId w:val="3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Section 9(b)(i)(C), the Board of Directors, in its sole discretion, may exempt (prospectively or retroactively) a Person from the limitation on a Person Beneficially Owning shares of Series G Preferred Stock in violation of Section 9(b)(i)(A) if the Board of Directors determines that such exemption will not cause any Individual’s Beneficial Ownership of shares of Capital Stock to violate the Aggregate Stock Ownership Limit and that such exemption will not cause the Company to fail to qualify as a REIT under the Code.</w:t>
      </w:r>
    </w:p>
    <w:p>
      <w:pPr>
        <w:spacing w:after="0" w:line="140" w:lineRule="exact"/>
        <w:rPr>
          <w:rFonts w:ascii="Times New Roman" w:cs="Times New Roman" w:eastAsia="Times New Roman" w:hAnsi="Times New Roman"/>
          <w:sz w:val="13"/>
          <w:szCs w:val="13"/>
          <w:color w:val="auto"/>
        </w:rPr>
      </w:pPr>
    </w:p>
    <w:p>
      <w:pPr>
        <w:ind w:left="600" w:right="860" w:firstLine="607"/>
        <w:spacing w:after="0" w:line="287" w:lineRule="auto"/>
        <w:tabs>
          <w:tab w:leader="none" w:pos="1404" w:val="left"/>
        </w:tabs>
        <w:numPr>
          <w:ilvl w:val="1"/>
          <w:numId w:val="3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Section 9(b)(i)(C), the Board of Directors in its sole discretion, may exempt (prospectively or retroactively) a Person from the limitation on a Person Constructively Owning shares of Series G Preferred Stock in violation of Section 9(b)(i)(B), if the Board of Directors determines that such ownership would not cause the Company to fail to qualify as a REIT under the Code.</w:t>
      </w:r>
    </w:p>
    <w:p>
      <w:pPr>
        <w:spacing w:after="0" w:line="136" w:lineRule="exact"/>
        <w:rPr>
          <w:sz w:val="20"/>
          <w:szCs w:val="20"/>
          <w:color w:val="auto"/>
        </w:rPr>
      </w:pPr>
    </w:p>
    <w:p>
      <w:pPr>
        <w:ind w:left="600" w:right="720" w:firstLine="612"/>
        <w:spacing w:after="0" w:line="276" w:lineRule="auto"/>
        <w:rPr>
          <w:sz w:val="20"/>
          <w:szCs w:val="20"/>
          <w:color w:val="auto"/>
        </w:rPr>
      </w:pPr>
      <w:r>
        <w:rPr>
          <w:rFonts w:ascii="Times New Roman" w:cs="Times New Roman" w:eastAsia="Times New Roman" w:hAnsi="Times New Roman"/>
          <w:sz w:val="13"/>
          <w:szCs w:val="13"/>
          <w:color w:val="auto"/>
        </w:rPr>
        <w:t xml:space="preserve">(iii) Subject to Section 9(b)(i)(C) and the remainder of this Section 9(i)(iii), the Board of Directors may from time to time increase or decrease the Ownership Limit;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 that the decreased Ownership Limit will not be effective for any Person whose percentage ownership of Series G Preferred Stock is in excess of such decreased Ownership Limit until such time as such Person’s percentage of Series G Preferred Stock equals or falls below the decreased Ownership Limit, but any further acquisition of Series G Preferred Stock in excess of such percentage ownership of Series G Preferred Stock will be in violation of the Ownership Limit, and, provided further, that the new Ownership Limit would not allow five or fewer Persons to Beneficially Own more than 49% in value of the outstanding capital stock of the Company.</w:t>
      </w:r>
    </w:p>
    <w:p>
      <w:pPr>
        <w:spacing w:after="0" w:line="145" w:lineRule="exact"/>
        <w:rPr>
          <w:sz w:val="20"/>
          <w:szCs w:val="20"/>
          <w:color w:val="auto"/>
        </w:rPr>
      </w:pPr>
    </w:p>
    <w:p>
      <w:pPr>
        <w:ind w:left="600" w:right="700" w:firstLine="607"/>
        <w:spacing w:after="0" w:line="271" w:lineRule="auto"/>
        <w:tabs>
          <w:tab w:leader="none" w:pos="1428" w:val="left"/>
        </w:tabs>
        <w:numPr>
          <w:ilvl w:val="1"/>
          <w:numId w:val="3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granting a Person an exemption under Section 9(i)(i) or (ii) above, the Board of Directors may require such Person to make certain representations or undertakings or to agree that any violation or attempted violation of such representations or undertakings (or other action which is contrary to the restrictions contained in Section 9(b) of these Articles Supplementary) will result in such Series G Preferred Stock being transferred to a Trust in accordance with Section 9(b)(ii) of these Articles Supplementary. In granting any exception pursuant to Section 9(i)</w:t>
      </w:r>
    </w:p>
    <w:p>
      <w:pPr>
        <w:jc w:val="both"/>
        <w:ind w:left="600" w:right="860" w:hanging="6"/>
        <w:spacing w:after="0" w:line="284" w:lineRule="auto"/>
        <w:tabs>
          <w:tab w:leader="none" w:pos="757" w:val="left"/>
        </w:tabs>
        <w:numPr>
          <w:ilvl w:val="0"/>
          <w:numId w:val="3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or (ii) of these Articles Supplementary, the Board of Directors may require a ruling from the IRS, or an opinion of counsel, in either case in form and substance satisfactory to the Board of Directors in its sole discretion, as it may deem necessary or advisable in order to determine or ensure the Company’s status as a REIT.</w:t>
      </w:r>
    </w:p>
    <w:p>
      <w:pPr>
        <w:spacing w:after="0" w:line="138" w:lineRule="exact"/>
        <w:rPr>
          <w:sz w:val="20"/>
          <w:szCs w:val="20"/>
          <w:color w:val="auto"/>
        </w:rPr>
      </w:pPr>
    </w:p>
    <w:p>
      <w:pPr>
        <w:ind w:left="600" w:right="1180" w:firstLine="312"/>
        <w:spacing w:after="0" w:line="305" w:lineRule="auto"/>
        <w:rPr>
          <w:sz w:val="20"/>
          <w:szCs w:val="20"/>
          <w:color w:val="auto"/>
        </w:rPr>
      </w:pPr>
      <w:r>
        <w:rPr>
          <w:rFonts w:ascii="Times New Roman" w:cs="Times New Roman" w:eastAsia="Times New Roman" w:hAnsi="Times New Roman"/>
          <w:sz w:val="13"/>
          <w:szCs w:val="13"/>
          <w:color w:val="auto"/>
        </w:rPr>
        <w:t>(j)</w:t>
      </w:r>
      <w:r>
        <w:rPr>
          <w:rFonts w:ascii="Times New Roman" w:cs="Times New Roman" w:eastAsia="Times New Roman" w:hAnsi="Times New Roman"/>
          <w:sz w:val="13"/>
          <w:szCs w:val="13"/>
          <w:u w:val="single" w:color="auto"/>
          <w:color w:val="auto"/>
        </w:rPr>
        <w:t>Legends</w:t>
      </w:r>
      <w:r>
        <w:rPr>
          <w:rFonts w:ascii="Times New Roman" w:cs="Times New Roman" w:eastAsia="Times New Roman" w:hAnsi="Times New Roman"/>
          <w:sz w:val="13"/>
          <w:szCs w:val="13"/>
          <w:color w:val="auto"/>
        </w:rPr>
        <w:t xml:space="preserve"> . Each certificate for Series G Preferred Stock shall bear substantially the following legends in addition to any legends required to comply with federal and state securities laws:</w:t>
      </w:r>
    </w:p>
    <w:p>
      <w:pPr>
        <w:spacing w:after="0" w:line="12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3"/>
          <w:szCs w:val="13"/>
          <w:b w:val="1"/>
          <w:bCs w:val="1"/>
          <w:color w:val="auto"/>
        </w:rPr>
        <w:t>Classes of Stock</w:t>
      </w:r>
    </w:p>
    <w:p>
      <w:pPr>
        <w:spacing w:after="0" w:line="189" w:lineRule="exact"/>
        <w:rPr>
          <w:sz w:val="20"/>
          <w:szCs w:val="20"/>
          <w:color w:val="auto"/>
        </w:rPr>
      </w:pPr>
    </w:p>
    <w:p>
      <w:pPr>
        <w:ind w:left="900" w:right="740"/>
        <w:spacing w:after="0" w:line="273" w:lineRule="auto"/>
        <w:rPr>
          <w:sz w:val="20"/>
          <w:szCs w:val="20"/>
          <w:color w:val="auto"/>
        </w:rPr>
      </w:pPr>
      <w:r>
        <w:rPr>
          <w:rFonts w:ascii="Times New Roman" w:cs="Times New Roman" w:eastAsia="Times New Roman" w:hAnsi="Times New Roman"/>
          <w:sz w:val="13"/>
          <w:szCs w:val="13"/>
          <w:color w:val="auto"/>
        </w:rPr>
        <w:t>“THE COMPANY IS AUTHORIZED TO ISSUE CAPITAL STOCK OF MORE THAN ONE CLASS, CONSISTING OF COMMON STOCK AND ONE OR MORE CLASSES OF PREFERRED STOCK. THE BOARD OF DIRECTORS IS AUTHORIZED TO DETERMINE THE PREFERENCES, LIMITATIONS AND RELATIVE RIGHTS OF ANY CLASS OF THE PREFERRED STOCK BEFORE THE ISSUANCE OF SHARES OF SUCH CLASS OF PREFERRED STOCK. THE COMPANY WILL FURNISH, WITHOUT CHARGE, TO ANY STOCKHOLDER MAKING A WRITTEN REQUEST THEREFOR, A COPY OF THE COMPANY’S CHARTER AND A WRITTEN STATEMENT OF THE DESIGNATIONS, RELATIVE RIGHTS, PREFERENCES, CONVERSION OR OTHER RIGHTS, VOTING POWERS, RESTRICTIONS, LIMITATIONS AS TO DIVIDENDS AND OTHER DISTRIBUTIONS, QUALIFICATIONS AND TERMS AND CONDITIONS OF REDEMPTION OF THE STOCK OF EACH CLASS WHICH THE COMPANY HAS THE AUTHORITY TO ISSUE AND, IF THE COMPANY IS AUTHORIZED TO ISSUE ANY PREFERRED OR SPECIAL CLASS IN SERIES, (i) THE DIFFERENCES IN THE RELATIVE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681990</wp:posOffset>
            </wp:positionV>
            <wp:extent cx="5083810" cy="1524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73">
                      <a:extLst>
                        <a:ext uri="{28A0092B-C50C-407E-A947-70E740481C1C}"/>
                      </a:extLst>
                    </a:blip>
                    <a:srcRect/>
                    <a:stretch>
                      <a:fillRect/>
                    </a:stretch>
                  </pic:blipFill>
                  <pic:spPr bwMode="auto">
                    <a:xfrm>
                      <a:off x="0" y="0"/>
                      <a:ext cx="5083810" cy="15240"/>
                    </a:xfrm>
                    <a:prstGeom prst="rect">
                      <a:avLst/>
                    </a:prstGeom>
                    <a:noFill/>
                  </pic:spPr>
                </pic:pic>
              </a:graphicData>
            </a:graphic>
          </wp:anchor>
        </w:drawing>
        <w:drawing>
          <wp:anchor simplePos="0" relativeHeight="251657728" behindDoc="1" locked="0" layoutInCell="0" allowOverlap="1">
            <wp:simplePos x="0" y="0"/>
            <wp:positionH relativeFrom="column">
              <wp:posOffset>384810</wp:posOffset>
            </wp:positionH>
            <wp:positionV relativeFrom="paragraph">
              <wp:posOffset>316230</wp:posOffset>
            </wp:positionV>
            <wp:extent cx="4436110" cy="1524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74">
                      <a:extLst>
                        <a:ext uri="{28A0092B-C50C-407E-A947-70E740481C1C}"/>
                      </a:extLst>
                    </a:blip>
                    <a:srcRect/>
                    <a:stretch>
                      <a:fillRect/>
                    </a:stretch>
                  </pic:blipFill>
                  <pic:spPr bwMode="auto">
                    <a:xfrm>
                      <a:off x="0" y="0"/>
                      <a:ext cx="44361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73" w:name="page374"/>
    <w:bookmarkEnd w:id="373"/>
    <w:p>
      <w:pPr>
        <w:ind w:left="900" w:right="620"/>
        <w:spacing w:after="0" w:line="287" w:lineRule="auto"/>
        <w:rPr>
          <w:sz w:val="20"/>
          <w:szCs w:val="20"/>
          <w:color w:val="auto"/>
        </w:rPr>
      </w:pPr>
      <w:r>
        <w:rPr>
          <w:rFonts w:ascii="Times New Roman" w:cs="Times New Roman" w:eastAsia="Times New Roman" w:hAnsi="Times New Roman"/>
          <w:sz w:val="13"/>
          <w:szCs w:val="13"/>
          <w:color w:val="auto"/>
        </w:rPr>
        <w:t>RIGHTS AND PREFERENCES BETWEEN THE SHARES OF EACH SERIES TO THE EXTENT SET, AND (ii) THE AUTHORITY OF THE BOARD OF DIRECTORS TO SET SUCH RIGHTS AND PREFERENCES OF SUBSEQUENT SERIES. REQUESTS FOR SUCH WRITTEN STATEMENT MAY BE DIRECTED TO THE SECRETARY OF THE COMPANY AT ITS PRINCIPAL OFFICE.”</w:t>
      </w:r>
    </w:p>
    <w:p>
      <w:pPr>
        <w:spacing w:after="0" w:line="13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3"/>
          <w:szCs w:val="13"/>
          <w:b w:val="1"/>
          <w:bCs w:val="1"/>
          <w:color w:val="auto"/>
        </w:rPr>
        <w:t>Restriction on Ownership and Transfer</w:t>
      </w:r>
    </w:p>
    <w:p>
      <w:pPr>
        <w:spacing w:after="0" w:line="189" w:lineRule="exact"/>
        <w:rPr>
          <w:sz w:val="20"/>
          <w:szCs w:val="20"/>
          <w:color w:val="auto"/>
        </w:rPr>
      </w:pPr>
    </w:p>
    <w:p>
      <w:pPr>
        <w:ind w:left="900" w:right="640"/>
        <w:spacing w:after="0" w:line="270" w:lineRule="auto"/>
        <w:rPr>
          <w:sz w:val="20"/>
          <w:szCs w:val="20"/>
          <w:color w:val="auto"/>
        </w:rPr>
      </w:pPr>
      <w:r>
        <w:rPr>
          <w:rFonts w:ascii="Times New Roman" w:cs="Times New Roman" w:eastAsia="Times New Roman" w:hAnsi="Times New Roman"/>
          <w:sz w:val="13"/>
          <w:szCs w:val="13"/>
          <w:color w:val="auto"/>
        </w:rPr>
        <w:t xml:space="preserve">“THE SHARES OF THE COMPANY’S 5.875% SERIES G CUMULATIVE REDEEMABLE PREFERRED STOCK (“SERIES G PREFERRED STOCK”) REPRESENTED BY THIS CERTIFICATE ARE SUBJECT TO RESTRICTIONS ON BENEFICIAL AND CONSTRUCTIVE OWNERSHIP AND TRANSFER FOR THE PURPOSE OF THE COMPANY’S MAINTENANCE OF ITS STATUS AS A REAL ESTATE INVESTMENT TRUST UNDER THE INTERNAL REVENUE CODE OF 1986, AS AMENDED (THE “CODE”). SUBJECT TO CERTAIN FURTHER RESTRICTIONS AND EXCEPT AS EXPRESSLY PROVIDED IN THE ARTICLES SUPPLEMENTARY FOR THE SERIES G PREFERRED STOCK, (i) NO PERSON MAY BENEFICIALLY OR CONSTRUCTIVELY OWN SHARES OF SERIES G PREFERRED STOCK IN EXCESS OF 9.8% (BY VALUE OR BY NUMBER OF SHARES, WHICHEVER IS MORE RESTRICTIVE) OF THE OUTSTANDING SERIES G PREFERRED STOCK OF THE COMPANY; (ii) NO PERSON MAY BENEFICIALLY OR CONSTRUCTIVELY OWN SHARES OF SERIES G PREFERRED STOCK THAT, TAKING INTO ACCOUNT ANY OTHER CAPITAL STOCK OF THE COMPANY BENEFICIALLY OR CONSTRUCTIVELY OWNED BY SUCH PERSON, WOULD RESULT IN SUCH PERSON BENEFICIALLY OR CONSTRUCTIVELY OWNING CAPITAL STOCK WITH A VALUE IN EXCESS OF 9.8% OF THE VALUE OF THE COMPANY’S OUTSTANDING CAPITAL STOCK; (iii) NO PERSON MAY BENEFICIALLY OR CONSTRUCTIVELY OWN SHARES OF SERIES G PREFERRED STOCK THAT, TAKING INTO ACCOUNT ANY OTHER CAPITAL STOCK OF THE COMPANY BENEFICIALLY OR CONSTRUCTIVELY OWNED BY SUCH PERSON, WOULD RESULT IN THE COMPANY BEING “CLOSELY HELD” UNDER SECTION 856(h) OF THE CODE OR OTHERWISE CAUSE THE COMPANY TO FAIL TO QUALIFY AS A REIT; AND (iv) ANY TRANSFER OF SHARES OF SERIES G PREFERRED STOCK THAT, IF EFFECTIVE, WOULD RESULT IN THE CAPITAL STOCK OF THE COMPANY BEING BENEFICIALLY OWNED BY FEWER THAN 100 PERSONS WILL BE VOID </w:t>
      </w:r>
      <w:r>
        <w:rPr>
          <w:rFonts w:ascii="Times New Roman" w:cs="Times New Roman" w:eastAsia="Times New Roman" w:hAnsi="Times New Roman"/>
          <w:sz w:val="13"/>
          <w:szCs w:val="13"/>
          <w:i w:val="1"/>
          <w:iCs w:val="1"/>
          <w:color w:val="auto"/>
        </w:rPr>
        <w:t>AB INITIO</w:t>
      </w:r>
      <w:r>
        <w:rPr>
          <w:rFonts w:ascii="Times New Roman" w:cs="Times New Roman" w:eastAsia="Times New Roman" w:hAnsi="Times New Roman"/>
          <w:sz w:val="13"/>
          <w:szCs w:val="13"/>
          <w:color w:val="auto"/>
        </w:rPr>
        <w:t xml:space="preserve"> AND THE INTENDED TRANSFEREE WILL ACQUIRE NO RIGHTS IN SUCH SHARES OF SERIES G PREFERRED STOCK. ANY PERSON WHO BENEFICIALLY OR CONSTRUCTIVELY OWNS OR ATTEMPTS TO BENEFICIALLY OR CONSTRUCTIVELY OWN SERIES G PREFERRED STOCK WHICH CAUSES OR WILL CAUSE A PERSON TO BENEFICIALLY OR CONSTRUCTIVELY OWN SERIES G PREFERRED STOCK IN EXCESS OF THE ABOVE LIMITATIONS MUST IMMEDIATELY NOTIFY THE COMPANY. IF ANY OF THE RESTRICTIONS ON TRANSFER OR OWNERSHIP IN (i) THROUGH (iii) ABOVE ARE VIOLATED, THE SERIES G PREFERRED STOCK REPRESENTED HEREBY IN EXCESS OF SUCH RESTRICTIONS WILL BE AUTOMATICALLY TRANSFERRED TO THE TRUSTEE OF A TRUST FOR THE BENEFIT OF ONE OR MORE CHARITABLE BENEFICIARIES. IN ADDITION, THE COMPANY MAY REDEEM SHARES UPON THE TERMS AND CONDITIONS SPECIFIED BY THE BOARD OF DIRECTORS IN ITS SOLE DISCRETION IF THE BOARD OF DIRECTORS DETERMINES THAT OWNERSHIP OR A TRANSFER OR OTHER EVENT MAY VIOLATE THE RESTRICTIONS DESCRIBED ABOVE. FURTHERMORE, UPON THE OCCURRENCE OF CERTAIN EVENTS, ATTEMPTED TRANSFERS IN VIOLATION OF THE RESTRICTIONS DESCRIBED ABOVE MAY BE VOID </w:t>
      </w:r>
      <w:r>
        <w:rPr>
          <w:rFonts w:ascii="Times New Roman" w:cs="Times New Roman" w:eastAsia="Times New Roman" w:hAnsi="Times New Roman"/>
          <w:sz w:val="13"/>
          <w:szCs w:val="13"/>
          <w:i w:val="1"/>
          <w:iCs w:val="1"/>
          <w:color w:val="auto"/>
        </w:rPr>
        <w:t>AB INITIO</w:t>
      </w:r>
      <w:r>
        <w:rPr>
          <w:rFonts w:ascii="Times New Roman" w:cs="Times New Roman" w:eastAsia="Times New Roman" w:hAnsi="Times New Roman"/>
          <w:sz w:val="13"/>
          <w:szCs w:val="13"/>
          <w:color w:val="auto"/>
        </w:rPr>
        <w:t xml:space="preserve"> . ALL TERMS IN THIS LEGEND WHICH ARE DEFINED IN THE ARTICLES SUPPLEMENTARY FOR THE SERIES G PREFERRED STOCK SHALL HAVE THE MEANINGS ASCRIBED TO THEM IN SUCH ARTICLES SUPPLEMENTARY, AS THE SAME MAY BE AMENDED FROM TIME TO TIME, A COPY OF WHICH, INCLUDING THE RESTRICTIONS ON TRANSFER AND OWNERSHIP, WILL BE FURNISHED TO EACH HOLDER OF SERIES G PREFERRED STOCK ON REQUEST AND WITHOUT CHARGE. REQUESTS FOR SUCH A COPY MAY BE DIRECTED TO THE SECRETARY OF THE COMPANY AT ITS PRINCIPAL OFFICE.”</w:t>
      </w:r>
    </w:p>
    <w:p>
      <w:pPr>
        <w:spacing w:after="0" w:line="200" w:lineRule="exact"/>
        <w:rPr>
          <w:sz w:val="20"/>
          <w:szCs w:val="20"/>
          <w:color w:val="auto"/>
        </w:rPr>
      </w:pP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125730</wp:posOffset>
            </wp:positionV>
            <wp:extent cx="4436110" cy="1524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75">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575310</wp:posOffset>
            </wp:positionV>
            <wp:extent cx="5083810" cy="1524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76">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74" w:name="page375"/>
    <w:bookmarkEnd w:id="374"/>
    <w:p>
      <w:pPr>
        <w:ind w:left="600" w:right="860" w:firstLine="306"/>
        <w:spacing w:after="0" w:line="287" w:lineRule="auto"/>
        <w:tabs>
          <w:tab w:leader="none" w:pos="1080" w:val="left"/>
        </w:tabs>
        <w:numPr>
          <w:ilvl w:val="0"/>
          <w:numId w:val="3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Severability</w:t>
      </w:r>
      <w:r>
        <w:rPr>
          <w:rFonts w:ascii="Times New Roman" w:cs="Times New Roman" w:eastAsia="Times New Roman" w:hAnsi="Times New Roman"/>
          <w:sz w:val="13"/>
          <w:szCs w:val="13"/>
          <w:color w:val="auto"/>
        </w:rPr>
        <w:t xml:space="preserve"> . If any provision of this Section 9 or any application of any such provision is determined to be invalid by any federal or state court having jurisdiction over the issues, the validity of the remaining provisions shall not be affected and other applications of such provision shall be affected only to the extent necessary to comply with the determination of such court.</w:t>
      </w:r>
    </w:p>
    <w:p>
      <w:pPr>
        <w:spacing w:after="0" w:line="136" w:lineRule="exact"/>
        <w:rPr>
          <w:sz w:val="20"/>
          <w:szCs w:val="20"/>
          <w:color w:val="auto"/>
        </w:rPr>
      </w:pPr>
    </w:p>
    <w:p>
      <w:pPr>
        <w:ind w:left="600" w:right="700" w:firstLine="312"/>
        <w:spacing w:after="0" w:line="287" w:lineRule="auto"/>
        <w:rPr>
          <w:sz w:val="20"/>
          <w:szCs w:val="20"/>
          <w:color w:val="auto"/>
        </w:rPr>
      </w:pPr>
      <w:r>
        <w:rPr>
          <w:rFonts w:ascii="Times New Roman" w:cs="Times New Roman" w:eastAsia="Times New Roman" w:hAnsi="Times New Roman"/>
          <w:sz w:val="13"/>
          <w:szCs w:val="13"/>
          <w:color w:val="auto"/>
        </w:rPr>
        <w:t>(l)</w:t>
      </w:r>
      <w:r>
        <w:rPr>
          <w:rFonts w:ascii="Times New Roman" w:cs="Times New Roman" w:eastAsia="Times New Roman" w:hAnsi="Times New Roman"/>
          <w:sz w:val="13"/>
          <w:szCs w:val="13"/>
          <w:u w:val="single" w:color="auto"/>
          <w:color w:val="auto"/>
        </w:rPr>
        <w:t>NYSE</w:t>
      </w:r>
      <w:r>
        <w:rPr>
          <w:rFonts w:ascii="Times New Roman" w:cs="Times New Roman" w:eastAsia="Times New Roman" w:hAnsi="Times New Roman"/>
          <w:sz w:val="13"/>
          <w:szCs w:val="13"/>
          <w:color w:val="auto"/>
        </w:rPr>
        <w:t xml:space="preserve"> . Nothing in this Section 9 shall preclude the settlement of any transaction entered into through the facilities of the NYSE. The shares of Series G Preferred Stock that are the subject of such transaction shall continue to be subject to the provisions of this Section 9 after such settlement.</w:t>
      </w:r>
    </w:p>
    <w:p>
      <w:pPr>
        <w:spacing w:after="0" w:line="136" w:lineRule="exact"/>
        <w:rPr>
          <w:sz w:val="20"/>
          <w:szCs w:val="20"/>
          <w:color w:val="auto"/>
        </w:rPr>
      </w:pPr>
    </w:p>
    <w:p>
      <w:pPr>
        <w:ind w:left="600" w:right="840" w:firstLine="312"/>
        <w:spacing w:after="0" w:line="305" w:lineRule="auto"/>
        <w:rPr>
          <w:sz w:val="20"/>
          <w:szCs w:val="20"/>
          <w:color w:val="auto"/>
        </w:rPr>
      </w:pPr>
      <w:r>
        <w:rPr>
          <w:rFonts w:ascii="Times New Roman" w:cs="Times New Roman" w:eastAsia="Times New Roman" w:hAnsi="Times New Roman"/>
          <w:sz w:val="13"/>
          <w:szCs w:val="13"/>
          <w:color w:val="auto"/>
        </w:rPr>
        <w:t>(m)</w:t>
      </w:r>
      <w:r>
        <w:rPr>
          <w:rFonts w:ascii="Times New Roman" w:cs="Times New Roman" w:eastAsia="Times New Roman" w:hAnsi="Times New Roman"/>
          <w:sz w:val="13"/>
          <w:szCs w:val="13"/>
          <w:u w:val="single" w:color="auto"/>
          <w:color w:val="auto"/>
        </w:rPr>
        <w:t>Applicability of Section 9</w:t>
      </w:r>
      <w:r>
        <w:rPr>
          <w:rFonts w:ascii="Times New Roman" w:cs="Times New Roman" w:eastAsia="Times New Roman" w:hAnsi="Times New Roman"/>
          <w:sz w:val="13"/>
          <w:szCs w:val="13"/>
          <w:color w:val="auto"/>
        </w:rPr>
        <w:t xml:space="preserve"> . The provisions set forth in this Section 9 shall apply to the Series G Preferred Stock notwithstanding any contrary provisions of the Series G Preferred Stock provided for elsewhere in these Articles Supplementary.</w:t>
      </w:r>
    </w:p>
    <w:p>
      <w:pPr>
        <w:spacing w:after="0" w:line="124" w:lineRule="exact"/>
        <w:rPr>
          <w:sz w:val="20"/>
          <w:szCs w:val="20"/>
          <w:color w:val="auto"/>
        </w:rPr>
      </w:pPr>
    </w:p>
    <w:p>
      <w:pPr>
        <w:ind w:left="600" w:right="980" w:firstLine="312"/>
        <w:spacing w:after="0" w:line="305" w:lineRule="auto"/>
        <w:rPr>
          <w:sz w:val="20"/>
          <w:szCs w:val="20"/>
          <w:color w:val="auto"/>
        </w:rPr>
      </w:pPr>
      <w:r>
        <w:rPr>
          <w:rFonts w:ascii="Times New Roman" w:cs="Times New Roman" w:eastAsia="Times New Roman" w:hAnsi="Times New Roman"/>
          <w:sz w:val="13"/>
          <w:szCs w:val="13"/>
          <w:color w:val="auto"/>
        </w:rPr>
        <w:t xml:space="preserve">Section 10. </w:t>
      </w:r>
      <w:r>
        <w:rPr>
          <w:rFonts w:ascii="Times New Roman" w:cs="Times New Roman" w:eastAsia="Times New Roman" w:hAnsi="Times New Roman"/>
          <w:sz w:val="13"/>
          <w:szCs w:val="13"/>
          <w:u w:val="single" w:color="auto"/>
          <w:color w:val="auto"/>
        </w:rPr>
        <w:t>No Conversion Rights</w:t>
      </w:r>
      <w:r>
        <w:rPr>
          <w:rFonts w:ascii="Times New Roman" w:cs="Times New Roman" w:eastAsia="Times New Roman" w:hAnsi="Times New Roman"/>
          <w:sz w:val="13"/>
          <w:szCs w:val="13"/>
          <w:color w:val="auto"/>
        </w:rPr>
        <w:t xml:space="preserve"> . The shares of Series G Preferred Stock shall not be convertible into or exchangeable for any other property or securities of the Company or any other entity, except as otherwise provided herein.</w:t>
      </w:r>
    </w:p>
    <w:p>
      <w:pPr>
        <w:spacing w:after="0" w:line="124" w:lineRule="exact"/>
        <w:rPr>
          <w:sz w:val="20"/>
          <w:szCs w:val="20"/>
          <w:color w:val="auto"/>
        </w:rPr>
      </w:pPr>
    </w:p>
    <w:p>
      <w:pPr>
        <w:jc w:val="both"/>
        <w:ind w:left="600" w:right="940" w:firstLine="312"/>
        <w:spacing w:after="0" w:line="287" w:lineRule="auto"/>
        <w:rPr>
          <w:sz w:val="20"/>
          <w:szCs w:val="20"/>
          <w:color w:val="auto"/>
        </w:rPr>
      </w:pPr>
      <w:r>
        <w:rPr>
          <w:rFonts w:ascii="Times New Roman" w:cs="Times New Roman" w:eastAsia="Times New Roman" w:hAnsi="Times New Roman"/>
          <w:sz w:val="13"/>
          <w:szCs w:val="13"/>
          <w:color w:val="auto"/>
        </w:rPr>
        <w:t xml:space="preserve">Section 11. </w:t>
      </w:r>
      <w:r>
        <w:rPr>
          <w:rFonts w:ascii="Times New Roman" w:cs="Times New Roman" w:eastAsia="Times New Roman" w:hAnsi="Times New Roman"/>
          <w:sz w:val="13"/>
          <w:szCs w:val="13"/>
          <w:u w:val="single" w:color="auto"/>
          <w:color w:val="auto"/>
        </w:rPr>
        <w:t>Record Holders</w:t>
      </w:r>
      <w:r>
        <w:rPr>
          <w:rFonts w:ascii="Times New Roman" w:cs="Times New Roman" w:eastAsia="Times New Roman" w:hAnsi="Times New Roman"/>
          <w:sz w:val="13"/>
          <w:szCs w:val="13"/>
          <w:color w:val="auto"/>
        </w:rPr>
        <w:t xml:space="preserve"> . The Company and its transfer agent may deem and treat the record holder of any Series G Preferred Stock as the true and lawful owner thereof for all purposes, and neither the Company nor its transfer agent shall be affected by any notice to the contrary.</w:t>
      </w:r>
    </w:p>
    <w:p>
      <w:pPr>
        <w:spacing w:after="0" w:line="136" w:lineRule="exact"/>
        <w:rPr>
          <w:sz w:val="20"/>
          <w:szCs w:val="20"/>
          <w:color w:val="auto"/>
        </w:rPr>
      </w:pPr>
    </w:p>
    <w:p>
      <w:pPr>
        <w:ind w:left="600" w:right="780" w:firstLine="312"/>
        <w:spacing w:after="0" w:line="281" w:lineRule="auto"/>
        <w:rPr>
          <w:sz w:val="20"/>
          <w:szCs w:val="20"/>
          <w:color w:val="auto"/>
        </w:rPr>
      </w:pPr>
      <w:r>
        <w:rPr>
          <w:rFonts w:ascii="Times New Roman" w:cs="Times New Roman" w:eastAsia="Times New Roman" w:hAnsi="Times New Roman"/>
          <w:sz w:val="13"/>
          <w:szCs w:val="13"/>
          <w:color w:val="auto"/>
        </w:rPr>
        <w:t xml:space="preserve">Section 12. </w:t>
      </w:r>
      <w:r>
        <w:rPr>
          <w:rFonts w:ascii="Times New Roman" w:cs="Times New Roman" w:eastAsia="Times New Roman" w:hAnsi="Times New Roman"/>
          <w:sz w:val="13"/>
          <w:szCs w:val="13"/>
          <w:u w:val="single" w:color="auto"/>
          <w:color w:val="auto"/>
        </w:rPr>
        <w:t>No Maturity or Sinking Fund</w:t>
      </w:r>
      <w:r>
        <w:rPr>
          <w:rFonts w:ascii="Times New Roman" w:cs="Times New Roman" w:eastAsia="Times New Roman" w:hAnsi="Times New Roman"/>
          <w:sz w:val="13"/>
          <w:szCs w:val="13"/>
          <w:color w:val="auto"/>
        </w:rPr>
        <w:t xml:space="preserve"> . The Series G Preferred Stock has no maturity date, and no sinking fund has been established for the retirement or redemption of Series G Preferred Stock;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 that the Series G Preferred Stock owned by a stockholder in excess of the Ownership Limit or Aggregate Stock Ownership Limit shall be subject to the provisions of Section 5 and Section 9 of this Articles Supplementary.</w:t>
      </w:r>
    </w:p>
    <w:p>
      <w:pPr>
        <w:spacing w:after="0" w:line="140" w:lineRule="exact"/>
        <w:rPr>
          <w:sz w:val="20"/>
          <w:szCs w:val="20"/>
          <w:color w:val="auto"/>
        </w:rPr>
      </w:pPr>
    </w:p>
    <w:p>
      <w:pPr>
        <w:jc w:val="both"/>
        <w:ind w:left="600" w:right="780" w:firstLine="312"/>
        <w:spacing w:after="0" w:line="287" w:lineRule="auto"/>
        <w:rPr>
          <w:sz w:val="20"/>
          <w:szCs w:val="20"/>
          <w:color w:val="auto"/>
        </w:rPr>
      </w:pPr>
      <w:r>
        <w:rPr>
          <w:rFonts w:ascii="Times New Roman" w:cs="Times New Roman" w:eastAsia="Times New Roman" w:hAnsi="Times New Roman"/>
          <w:sz w:val="13"/>
          <w:szCs w:val="13"/>
          <w:color w:val="auto"/>
        </w:rPr>
        <w:t xml:space="preserve">Section 13. </w:t>
      </w:r>
      <w:r>
        <w:rPr>
          <w:rFonts w:ascii="Times New Roman" w:cs="Times New Roman" w:eastAsia="Times New Roman" w:hAnsi="Times New Roman"/>
          <w:sz w:val="13"/>
          <w:szCs w:val="13"/>
          <w:u w:val="single" w:color="auto"/>
          <w:color w:val="auto"/>
        </w:rPr>
        <w:t>Exclusion of Other Rights</w:t>
      </w:r>
      <w:r>
        <w:rPr>
          <w:rFonts w:ascii="Times New Roman" w:cs="Times New Roman" w:eastAsia="Times New Roman" w:hAnsi="Times New Roman"/>
          <w:sz w:val="13"/>
          <w:szCs w:val="13"/>
          <w:color w:val="auto"/>
        </w:rPr>
        <w:t xml:space="preserve"> . The Series G Preferred Stock shall not have any preferences or other rights, voting powers, restrictions, limitations as to dividends or other distributions, qualifications or terms or conditions of redemption other than expressly set forth in the Charter and these Articles Supplementary.</w:t>
      </w:r>
    </w:p>
    <w:p>
      <w:pPr>
        <w:spacing w:after="0" w:line="136" w:lineRule="exact"/>
        <w:rPr>
          <w:sz w:val="20"/>
          <w:szCs w:val="20"/>
          <w:color w:val="auto"/>
        </w:rPr>
      </w:pPr>
    </w:p>
    <w:p>
      <w:pPr>
        <w:ind w:left="600" w:right="800" w:firstLine="312"/>
        <w:spacing w:after="0" w:line="305" w:lineRule="auto"/>
        <w:rPr>
          <w:sz w:val="20"/>
          <w:szCs w:val="20"/>
          <w:color w:val="auto"/>
        </w:rPr>
      </w:pPr>
      <w:r>
        <w:rPr>
          <w:rFonts w:ascii="Times New Roman" w:cs="Times New Roman" w:eastAsia="Times New Roman" w:hAnsi="Times New Roman"/>
          <w:sz w:val="13"/>
          <w:szCs w:val="13"/>
          <w:color w:val="auto"/>
        </w:rPr>
        <w:t xml:space="preserve">Section 14. </w:t>
      </w:r>
      <w:r>
        <w:rPr>
          <w:rFonts w:ascii="Times New Roman" w:cs="Times New Roman" w:eastAsia="Times New Roman" w:hAnsi="Times New Roman"/>
          <w:sz w:val="13"/>
          <w:szCs w:val="13"/>
          <w:u w:val="single" w:color="auto"/>
          <w:color w:val="auto"/>
        </w:rPr>
        <w:t>Headings of Subdivisions</w:t>
      </w:r>
      <w:r>
        <w:rPr>
          <w:rFonts w:ascii="Times New Roman" w:cs="Times New Roman" w:eastAsia="Times New Roman" w:hAnsi="Times New Roman"/>
          <w:sz w:val="13"/>
          <w:szCs w:val="13"/>
          <w:color w:val="auto"/>
        </w:rPr>
        <w:t xml:space="preserve"> . The headings of the various subdivisions hereof are for convenience of reference only and shall not affect the interpretation of any of the provisions hereof.</w:t>
      </w:r>
    </w:p>
    <w:p>
      <w:pPr>
        <w:spacing w:after="0" w:line="124" w:lineRule="exact"/>
        <w:rPr>
          <w:sz w:val="20"/>
          <w:szCs w:val="20"/>
          <w:color w:val="auto"/>
        </w:rPr>
      </w:pPr>
    </w:p>
    <w:p>
      <w:pPr>
        <w:ind w:left="600" w:right="700" w:firstLine="312"/>
        <w:spacing w:after="0" w:line="274" w:lineRule="auto"/>
        <w:rPr>
          <w:sz w:val="20"/>
          <w:szCs w:val="20"/>
          <w:color w:val="auto"/>
        </w:rPr>
      </w:pPr>
      <w:r>
        <w:rPr>
          <w:rFonts w:ascii="Times New Roman" w:cs="Times New Roman" w:eastAsia="Times New Roman" w:hAnsi="Times New Roman"/>
          <w:sz w:val="13"/>
          <w:szCs w:val="13"/>
          <w:color w:val="auto"/>
        </w:rPr>
        <w:t xml:space="preserve">Section 15. </w:t>
      </w:r>
      <w:r>
        <w:rPr>
          <w:rFonts w:ascii="Times New Roman" w:cs="Times New Roman" w:eastAsia="Times New Roman" w:hAnsi="Times New Roman"/>
          <w:sz w:val="13"/>
          <w:szCs w:val="13"/>
          <w:u w:val="single" w:color="auto"/>
          <w:color w:val="auto"/>
        </w:rPr>
        <w:t>Severability of Provisions</w:t>
      </w:r>
      <w:r>
        <w:rPr>
          <w:rFonts w:ascii="Times New Roman" w:cs="Times New Roman" w:eastAsia="Times New Roman" w:hAnsi="Times New Roman"/>
          <w:sz w:val="13"/>
          <w:szCs w:val="13"/>
          <w:color w:val="auto"/>
        </w:rPr>
        <w:t xml:space="preserve"> . If any preferences or other rights, voting powers, restrictions, limitations as to dividends or other distributions, qualifications or terms or conditions of redemption of the Series G Preferred Stock set forth in the Charter and these Articles Supplementary are invalid, unlawful or incapable of being enforced by reason of any rule of law or public policy, all other preferences or other rights, voting powers, restrictions, limitations as to dividends or other distributions, qualifications or terms or conditions of redemption of Series G Preferred Stock set forth in the Charter which can be given effect without the invalid, unlawful or unenforceable provision thereof shall, nevertheless, remain in full force and effect and no preferences or other rights, voting powers, restrictions, limitations as to dividends or other distributions, qualifications or terms or conditions of redemption of the Series G Preferred Stock herein set forth shall be deemed dependent upon any other provision thereof unless so expressed therein.</w:t>
      </w:r>
    </w:p>
    <w:p>
      <w:pPr>
        <w:spacing w:after="0" w:line="135" w:lineRule="exact"/>
        <w:rPr>
          <w:sz w:val="20"/>
          <w:szCs w:val="20"/>
          <w:color w:val="auto"/>
        </w:rPr>
      </w:pPr>
    </w:p>
    <w:p>
      <w:pPr>
        <w:ind w:left="600" w:right="760" w:firstLine="312"/>
        <w:spacing w:after="0" w:line="287" w:lineRule="auto"/>
        <w:rPr>
          <w:sz w:val="20"/>
          <w:szCs w:val="20"/>
          <w:color w:val="auto"/>
        </w:rPr>
      </w:pPr>
      <w:r>
        <w:rPr>
          <w:rFonts w:ascii="Times New Roman" w:cs="Times New Roman" w:eastAsia="Times New Roman" w:hAnsi="Times New Roman"/>
          <w:sz w:val="13"/>
          <w:szCs w:val="13"/>
          <w:color w:val="auto"/>
        </w:rPr>
        <w:t xml:space="preserve">Section 16. </w:t>
      </w:r>
      <w:r>
        <w:rPr>
          <w:rFonts w:ascii="Times New Roman" w:cs="Times New Roman" w:eastAsia="Times New Roman" w:hAnsi="Times New Roman"/>
          <w:sz w:val="13"/>
          <w:szCs w:val="13"/>
          <w:u w:val="single" w:color="auto"/>
          <w:color w:val="auto"/>
        </w:rPr>
        <w:t>No Preemptive Rights</w:t>
      </w:r>
      <w:r>
        <w:rPr>
          <w:rFonts w:ascii="Times New Roman" w:cs="Times New Roman" w:eastAsia="Times New Roman" w:hAnsi="Times New Roman"/>
          <w:sz w:val="13"/>
          <w:szCs w:val="13"/>
          <w:color w:val="auto"/>
        </w:rPr>
        <w:t xml:space="preserve"> . No holder of Series G Preferred Stock shall be entitled to any preemptive rights to subscribe for or acquire any unissued shares of capital stock of the Company (whether now or hereafter authorized) or securities of the Company convertible into or carrying a right to subscribe to or acquire shares of capital stock of the Company.</w:t>
      </w:r>
    </w:p>
    <w:p>
      <w:pPr>
        <w:spacing w:after="0" w:line="136" w:lineRule="exact"/>
        <w:rPr>
          <w:sz w:val="20"/>
          <w:szCs w:val="20"/>
          <w:color w:val="auto"/>
        </w:rPr>
      </w:pPr>
    </w:p>
    <w:p>
      <w:pPr>
        <w:ind w:left="600" w:right="720" w:firstLine="312"/>
        <w:spacing w:after="0" w:line="305" w:lineRule="auto"/>
        <w:rPr>
          <w:sz w:val="20"/>
          <w:szCs w:val="20"/>
          <w:color w:val="auto"/>
        </w:rPr>
      </w:pPr>
      <w:r>
        <w:rPr>
          <w:rFonts w:ascii="Times New Roman" w:cs="Times New Roman" w:eastAsia="Times New Roman" w:hAnsi="Times New Roman"/>
          <w:sz w:val="13"/>
          <w:szCs w:val="13"/>
          <w:u w:val="single" w:color="auto"/>
          <w:color w:val="auto"/>
        </w:rPr>
        <w:t>FOURTH</w:t>
      </w:r>
      <w:r>
        <w:rPr>
          <w:rFonts w:ascii="Times New Roman" w:cs="Times New Roman" w:eastAsia="Times New Roman" w:hAnsi="Times New Roman"/>
          <w:sz w:val="13"/>
          <w:szCs w:val="13"/>
          <w:color w:val="auto"/>
        </w:rPr>
        <w:t xml:space="preserve"> : The Series G Preferred Stock have been classified and designated by the Board of Directors under the authority contained in the Charter.</w:t>
      </w:r>
    </w:p>
    <w:p>
      <w:pPr>
        <w:spacing w:after="0" w:line="12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u w:val="single" w:color="auto"/>
          <w:color w:val="auto"/>
        </w:rPr>
        <w:t>FIFTH</w:t>
      </w:r>
      <w:r>
        <w:rPr>
          <w:rFonts w:ascii="Times New Roman" w:cs="Times New Roman" w:eastAsia="Times New Roman" w:hAnsi="Times New Roman"/>
          <w:sz w:val="13"/>
          <w:szCs w:val="13"/>
          <w:color w:val="auto"/>
        </w:rPr>
        <w:t xml:space="preserve"> : These Articles Supplementary have been approved by the Board of Directors in the manner and by the vote required by law.</w:t>
      </w:r>
    </w:p>
    <w:p>
      <w:pPr>
        <w:spacing w:after="0" w:line="3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125730</wp:posOffset>
            </wp:positionV>
            <wp:extent cx="4436110" cy="762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77">
                      <a:extLst>
                        <a:ext uri="{28A0092B-C50C-407E-A947-70E740481C1C}"/>
                      </a:extLst>
                    </a:blip>
                    <a:srcRect/>
                    <a:stretch>
                      <a:fillRect/>
                    </a:stretch>
                  </pic:blipFill>
                  <pic:spPr bwMode="auto">
                    <a:xfrm>
                      <a:off x="0" y="0"/>
                      <a:ext cx="4436110"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567690</wp:posOffset>
            </wp:positionV>
            <wp:extent cx="5083810" cy="1524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78">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75" w:name="page376"/>
    <w:bookmarkEnd w:id="375"/>
    <w:p>
      <w:pPr>
        <w:ind w:left="900"/>
        <w:spacing w:after="0"/>
        <w:rPr>
          <w:sz w:val="20"/>
          <w:szCs w:val="20"/>
          <w:color w:val="auto"/>
        </w:rPr>
      </w:pPr>
      <w:r>
        <w:rPr>
          <w:rFonts w:ascii="Times New Roman" w:cs="Times New Roman" w:eastAsia="Times New Roman" w:hAnsi="Times New Roman"/>
          <w:sz w:val="13"/>
          <w:szCs w:val="13"/>
          <w:u w:val="single" w:color="auto"/>
          <w:color w:val="auto"/>
        </w:rPr>
        <w:t>SIXTH</w:t>
      </w:r>
      <w:r>
        <w:rPr>
          <w:rFonts w:ascii="Times New Roman" w:cs="Times New Roman" w:eastAsia="Times New Roman" w:hAnsi="Times New Roman"/>
          <w:sz w:val="13"/>
          <w:szCs w:val="13"/>
          <w:color w:val="auto"/>
        </w:rPr>
        <w:t xml:space="preserve"> : These Articles Supplementary shall be effective at the time the Department accepts these Articles Supplementary for record.</w:t>
      </w:r>
    </w:p>
    <w:p>
      <w:pPr>
        <w:spacing w:after="0" w:line="187" w:lineRule="exact"/>
        <w:rPr>
          <w:sz w:val="20"/>
          <w:szCs w:val="20"/>
          <w:color w:val="auto"/>
        </w:rPr>
      </w:pPr>
    </w:p>
    <w:p>
      <w:pPr>
        <w:ind w:left="600" w:right="580" w:firstLine="312"/>
        <w:spacing w:after="0" w:line="281" w:lineRule="auto"/>
        <w:rPr>
          <w:sz w:val="20"/>
          <w:szCs w:val="20"/>
          <w:color w:val="auto"/>
        </w:rPr>
      </w:pPr>
      <w:r>
        <w:rPr>
          <w:rFonts w:ascii="Times New Roman" w:cs="Times New Roman" w:eastAsia="Times New Roman" w:hAnsi="Times New Roman"/>
          <w:sz w:val="13"/>
          <w:szCs w:val="13"/>
          <w:u w:val="single" w:color="auto"/>
          <w:color w:val="auto"/>
        </w:rPr>
        <w:t>SEVENTH</w:t>
      </w:r>
      <w:r>
        <w:rPr>
          <w:rFonts w:ascii="Times New Roman" w:cs="Times New Roman" w:eastAsia="Times New Roman" w:hAnsi="Times New Roman"/>
          <w:sz w:val="13"/>
          <w:szCs w:val="13"/>
          <w:color w:val="auto"/>
        </w:rPr>
        <w:t xml:space="preserve"> : The undersigned Chief Executive Officer of the Company acknowledges these Articles Supplementary to be the corporate act of the Company and, as to all matters or facts required to be verified under oath, the undersigned Chief Executive Officer acknowledges that to the best of his knowledge, information and belief, these matters and facts are true in all material respects and that this statement is made under the penalties for perjury.</w:t>
      </w:r>
    </w:p>
    <w:p>
      <w:pPr>
        <w:spacing w:after="0" w:line="3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125730</wp:posOffset>
            </wp:positionV>
            <wp:extent cx="4436110" cy="1524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79">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575310</wp:posOffset>
            </wp:positionV>
            <wp:extent cx="5083810" cy="1524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80">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76" w:name="page377"/>
    <w:bookmarkEnd w:id="376"/>
    <w:p>
      <w:pPr>
        <w:ind w:left="600" w:right="700" w:firstLine="312"/>
        <w:spacing w:after="0" w:line="305" w:lineRule="auto"/>
        <w:rPr>
          <w:sz w:val="20"/>
          <w:szCs w:val="20"/>
          <w:color w:val="auto"/>
        </w:rPr>
      </w:pPr>
      <w:r>
        <w:rPr>
          <w:rFonts w:ascii="Times New Roman" w:cs="Times New Roman" w:eastAsia="Times New Roman" w:hAnsi="Times New Roman"/>
          <w:sz w:val="13"/>
          <w:szCs w:val="13"/>
          <w:color w:val="auto"/>
        </w:rPr>
        <w:t>IN WITNESS WHEREOF, the Company has caused these Articles Supplementary to be executed in its name and on its behalf by its Chief Executive Officer and attested to by its Chief Financial Officer, Chief Investment Officer and Secretary as of the date first written above.</w:t>
      </w:r>
    </w:p>
    <w:p>
      <w:pPr>
        <w:spacing w:after="0" w:line="12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3"/>
          <w:szCs w:val="13"/>
          <w:color w:val="auto"/>
        </w:rPr>
        <w:t>DIGITAL REALTY TRUST, INC.</w:t>
      </w:r>
    </w:p>
    <w:p>
      <w:pPr>
        <w:spacing w:after="0" w:line="22" w:lineRule="exact"/>
        <w:rPr>
          <w:sz w:val="20"/>
          <w:szCs w:val="20"/>
          <w:color w:val="auto"/>
        </w:rPr>
      </w:pPr>
    </w:p>
    <w:p>
      <w:pPr>
        <w:ind w:left="4360"/>
        <w:spacing w:after="0"/>
        <w:tabs>
          <w:tab w:leader="none" w:pos="4660" w:val="left"/>
        </w:tabs>
        <w:rPr>
          <w:sz w:val="20"/>
          <w:szCs w:val="20"/>
          <w:color w:val="auto"/>
        </w:rPr>
      </w:pPr>
      <w:r>
        <w:rPr>
          <w:rFonts w:ascii="Times New Roman" w:cs="Times New Roman" w:eastAsia="Times New Roman" w:hAnsi="Times New Roman"/>
          <w:sz w:val="13"/>
          <w:szCs w:val="13"/>
          <w:color w:val="auto"/>
        </w:rPr>
        <w:t>By:</w:t>
        <w:tab/>
        <w:t>/s/ Michael F. Foust</w:t>
      </w:r>
    </w:p>
    <w:p>
      <w:pPr>
        <w:ind w:left="4360"/>
        <w:spacing w:after="0" w:line="196" w:lineRule="auto"/>
        <w:rPr>
          <w:sz w:val="20"/>
          <w:szCs w:val="20"/>
          <w:color w:val="auto"/>
        </w:rPr>
      </w:pPr>
      <w:r>
        <w:rPr>
          <w:rFonts w:ascii="Times New Roman" w:cs="Times New Roman" w:eastAsia="Times New Roman" w:hAnsi="Times New Roman"/>
          <w:sz w:val="26"/>
          <w:szCs w:val="26"/>
          <w:color w:val="auto"/>
          <w:vertAlign w:val="superscript"/>
        </w:rPr>
        <w:t>Name:</w:t>
      </w:r>
      <w:r>
        <w:rPr>
          <w:rFonts w:ascii="Times New Roman" w:cs="Times New Roman" w:eastAsia="Times New Roman" w:hAnsi="Times New Roman"/>
          <w:sz w:val="13"/>
          <w:szCs w:val="13"/>
          <w:color w:val="auto"/>
        </w:rPr>
        <w:t>Michael F. Foust</w:t>
      </w:r>
    </w:p>
    <w:p>
      <w:pPr>
        <w:ind w:left="4360"/>
        <w:spacing w:after="0" w:line="232" w:lineRule="auto"/>
        <w:rPr>
          <w:sz w:val="20"/>
          <w:szCs w:val="20"/>
          <w:color w:val="auto"/>
        </w:rPr>
      </w:pPr>
      <w:r>
        <w:rPr>
          <w:rFonts w:ascii="Times New Roman" w:cs="Times New Roman" w:eastAsia="Times New Roman" w:hAnsi="Times New Roman"/>
          <w:sz w:val="13"/>
          <w:szCs w:val="13"/>
          <w:color w:val="auto"/>
        </w:rPr>
        <w:t>Title: Chief Executive Officer</w:t>
      </w:r>
    </w:p>
    <w:p>
      <w:pPr>
        <w:ind w:left="600"/>
        <w:spacing w:after="0"/>
        <w:rPr>
          <w:sz w:val="20"/>
          <w:szCs w:val="20"/>
          <w:color w:val="auto"/>
        </w:rPr>
      </w:pPr>
      <w:r>
        <w:rPr>
          <w:rFonts w:ascii="Times New Roman" w:cs="Times New Roman" w:eastAsia="Times New Roman" w:hAnsi="Times New Roman"/>
          <w:sz w:val="13"/>
          <w:szCs w:val="13"/>
          <w:color w:val="auto"/>
        </w:rPr>
        <w:t>ATTEST:</w:t>
      </w:r>
    </w:p>
    <w:p>
      <w:pPr>
        <w:spacing w:after="0" w:line="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DIGITAL REALTY TRUST, INC.</w:t>
      </w:r>
    </w:p>
    <w:p>
      <w:pPr>
        <w:spacing w:after="0" w:line="19" w:lineRule="exact"/>
        <w:rPr>
          <w:sz w:val="20"/>
          <w:szCs w:val="20"/>
          <w:color w:val="auto"/>
        </w:rPr>
      </w:pPr>
    </w:p>
    <w:p>
      <w:pPr>
        <w:ind w:left="600"/>
        <w:spacing w:after="0"/>
        <w:tabs>
          <w:tab w:leader="none" w:pos="940" w:val="left"/>
        </w:tabs>
        <w:rPr>
          <w:sz w:val="20"/>
          <w:szCs w:val="20"/>
          <w:color w:val="auto"/>
        </w:rPr>
      </w:pPr>
      <w:r>
        <w:rPr>
          <w:rFonts w:ascii="Times New Roman" w:cs="Times New Roman" w:eastAsia="Times New Roman" w:hAnsi="Times New Roman"/>
          <w:sz w:val="13"/>
          <w:szCs w:val="13"/>
          <w:color w:val="auto"/>
        </w:rPr>
        <w:t>By:</w:t>
        <w:tab/>
        <w:t>/s/ A. William Stein</w:t>
      </w:r>
    </w:p>
    <w:p>
      <w:pPr>
        <w:ind w:left="600"/>
        <w:spacing w:after="0" w:line="196" w:lineRule="auto"/>
        <w:rPr>
          <w:sz w:val="20"/>
          <w:szCs w:val="20"/>
          <w:color w:val="auto"/>
        </w:rPr>
      </w:pPr>
      <w:r>
        <w:rPr>
          <w:rFonts w:ascii="Times New Roman" w:cs="Times New Roman" w:eastAsia="Times New Roman" w:hAnsi="Times New Roman"/>
          <w:sz w:val="26"/>
          <w:szCs w:val="26"/>
          <w:color w:val="auto"/>
          <w:vertAlign w:val="superscript"/>
        </w:rPr>
        <w:t>Name:</w:t>
      </w:r>
      <w:r>
        <w:rPr>
          <w:rFonts w:ascii="Times New Roman" w:cs="Times New Roman" w:eastAsia="Times New Roman" w:hAnsi="Times New Roman"/>
          <w:sz w:val="13"/>
          <w:szCs w:val="13"/>
          <w:color w:val="auto"/>
        </w:rPr>
        <w:t xml:space="preserve"> A. William Stein</w:t>
      </w:r>
    </w:p>
    <w:p>
      <w:pPr>
        <w:spacing w:after="0" w:line="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Title: Chief Financial Officer, Chief</w:t>
      </w:r>
    </w:p>
    <w:p>
      <w:pPr>
        <w:spacing w:after="0" w:line="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Investment Officer and Secretary</w:t>
      </w:r>
    </w:p>
    <w:p>
      <w:pPr>
        <w:spacing w:after="0" w:line="1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3"/>
          <w:szCs w:val="13"/>
          <w:color w:val="auto"/>
        </w:rPr>
        <w:t>Signature Page to Articles Supplementary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581660</wp:posOffset>
            </wp:positionV>
            <wp:extent cx="5083810" cy="1524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81">
                      <a:extLst>
                        <a:ext uri="{28A0092B-C50C-407E-A947-70E740481C1C}"/>
                      </a:extLst>
                    </a:blip>
                    <a:srcRect/>
                    <a:stretch>
                      <a:fillRect/>
                    </a:stretch>
                  </pic:blipFill>
                  <pic:spPr bwMode="auto">
                    <a:xfrm>
                      <a:off x="0" y="0"/>
                      <a:ext cx="5083810" cy="15240"/>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261620</wp:posOffset>
            </wp:positionV>
            <wp:extent cx="4436110" cy="1524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82">
                      <a:extLst>
                        <a:ext uri="{28A0092B-C50C-407E-A947-70E740481C1C}"/>
                      </a:extLst>
                    </a:blip>
                    <a:srcRect/>
                    <a:stretch>
                      <a:fillRect/>
                    </a:stretch>
                  </pic:blipFill>
                  <pic:spPr bwMode="auto">
                    <a:xfrm>
                      <a:off x="0" y="0"/>
                      <a:ext cx="44361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77" w:name="page378"/>
    <w:bookmarkEnd w:id="377"/>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DIGITAL REALTY TRUST, INC.</w:t>
      </w:r>
    </w:p>
    <w:p>
      <w:pPr>
        <w:spacing w:after="0" w:line="1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ARTICLES OF AMENDMENT</w:t>
      </w:r>
    </w:p>
    <w:p>
      <w:pPr>
        <w:spacing w:after="0" w:line="18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Digital Realty Trust, Inc., a Maryland corporation (the “ </w:t>
      </w:r>
      <w:r>
        <w:rPr>
          <w:rFonts w:ascii="Times New Roman" w:cs="Times New Roman" w:eastAsia="Times New Roman" w:hAnsi="Times New Roman"/>
          <w:sz w:val="13"/>
          <w:szCs w:val="13"/>
          <w:u w:val="single" w:color="auto"/>
          <w:color w:val="auto"/>
        </w:rPr>
        <w:t>Corporation</w:t>
      </w:r>
      <w:r>
        <w:rPr>
          <w:rFonts w:ascii="Times New Roman" w:cs="Times New Roman" w:eastAsia="Times New Roman" w:hAnsi="Times New Roman"/>
          <w:sz w:val="13"/>
          <w:szCs w:val="13"/>
          <w:color w:val="auto"/>
        </w:rPr>
        <w:t xml:space="preserve"> ”), hereby certifies to the State Department of Assessments and</w:t>
      </w:r>
    </w:p>
    <w:p>
      <w:pPr>
        <w:spacing w:after="0" w:line="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Taxation of Maryland that:</w:t>
      </w:r>
    </w:p>
    <w:p>
      <w:pPr>
        <w:spacing w:after="0" w:line="183" w:lineRule="exact"/>
        <w:rPr>
          <w:sz w:val="20"/>
          <w:szCs w:val="20"/>
          <w:color w:val="auto"/>
        </w:rPr>
      </w:pPr>
    </w:p>
    <w:p>
      <w:pPr>
        <w:ind w:left="600" w:right="840" w:firstLine="312"/>
        <w:spacing w:after="0" w:line="305" w:lineRule="auto"/>
        <w:rPr>
          <w:sz w:val="20"/>
          <w:szCs w:val="20"/>
          <w:color w:val="auto"/>
        </w:rPr>
      </w:pPr>
      <w:r>
        <w:rPr>
          <w:rFonts w:ascii="Times New Roman" w:cs="Times New Roman" w:eastAsia="Times New Roman" w:hAnsi="Times New Roman"/>
          <w:sz w:val="13"/>
          <w:szCs w:val="13"/>
          <w:u w:val="single" w:color="auto"/>
          <w:color w:val="auto"/>
        </w:rPr>
        <w:t>FIRST</w:t>
      </w:r>
      <w:r>
        <w:rPr>
          <w:rFonts w:ascii="Times New Roman" w:cs="Times New Roman" w:eastAsia="Times New Roman" w:hAnsi="Times New Roman"/>
          <w:sz w:val="13"/>
          <w:szCs w:val="13"/>
          <w:color w:val="auto"/>
        </w:rPr>
        <w:t xml:space="preserve"> : The charter of the Corporation (the “ </w:t>
      </w:r>
      <w:r>
        <w:rPr>
          <w:rFonts w:ascii="Times New Roman" w:cs="Times New Roman" w:eastAsia="Times New Roman" w:hAnsi="Times New Roman"/>
          <w:sz w:val="13"/>
          <w:szCs w:val="13"/>
          <w:u w:val="single" w:color="auto"/>
          <w:color w:val="auto"/>
        </w:rPr>
        <w:t>Charter</w:t>
      </w:r>
      <w:r>
        <w:rPr>
          <w:rFonts w:ascii="Times New Roman" w:cs="Times New Roman" w:eastAsia="Times New Roman" w:hAnsi="Times New Roman"/>
          <w:sz w:val="13"/>
          <w:szCs w:val="13"/>
          <w:color w:val="auto"/>
        </w:rPr>
        <w:t xml:space="preserve"> ”) is hereby amended by deleting therefrom in their entirety the first two sentences of Section 5.1 of Article V and inserting in lieu thereof two new sentences to read as follows:</w:t>
      </w:r>
    </w:p>
    <w:p>
      <w:pPr>
        <w:spacing w:after="0" w:line="124" w:lineRule="exact"/>
        <w:rPr>
          <w:sz w:val="20"/>
          <w:szCs w:val="20"/>
          <w:color w:val="auto"/>
        </w:rPr>
      </w:pPr>
    </w:p>
    <w:p>
      <w:pPr>
        <w:jc w:val="both"/>
        <w:ind w:left="900" w:right="640"/>
        <w:spacing w:after="0" w:line="287" w:lineRule="auto"/>
        <w:rPr>
          <w:sz w:val="20"/>
          <w:szCs w:val="20"/>
          <w:color w:val="auto"/>
        </w:rPr>
      </w:pPr>
      <w:r>
        <w:rPr>
          <w:rFonts w:ascii="Times New Roman" w:cs="Times New Roman" w:eastAsia="Times New Roman" w:hAnsi="Times New Roman"/>
          <w:sz w:val="13"/>
          <w:szCs w:val="13"/>
          <w:color w:val="auto"/>
        </w:rPr>
        <w:t xml:space="preserve">The Corporation has authority to issue 285,000,000 shares of stock, consisting of 215,000,000 shares of Common Stock, $.01 par value per share (“ </w:t>
      </w:r>
      <w:r>
        <w:rPr>
          <w:rFonts w:ascii="Times New Roman" w:cs="Times New Roman" w:eastAsia="Times New Roman" w:hAnsi="Times New Roman"/>
          <w:sz w:val="13"/>
          <w:szCs w:val="13"/>
          <w:u w:val="single" w:color="auto"/>
          <w:color w:val="auto"/>
        </w:rPr>
        <w:t>Common Stock</w:t>
      </w:r>
      <w:r>
        <w:rPr>
          <w:rFonts w:ascii="Times New Roman" w:cs="Times New Roman" w:eastAsia="Times New Roman" w:hAnsi="Times New Roman"/>
          <w:sz w:val="13"/>
          <w:szCs w:val="13"/>
          <w:color w:val="auto"/>
        </w:rPr>
        <w:t xml:space="preserve"> ”), and 70,000,000 shares of Preferred Stock, $.01 par value per share (“ </w:t>
      </w:r>
      <w:r>
        <w:rPr>
          <w:rFonts w:ascii="Times New Roman" w:cs="Times New Roman" w:eastAsia="Times New Roman" w:hAnsi="Times New Roman"/>
          <w:sz w:val="13"/>
          <w:szCs w:val="13"/>
          <w:u w:val="single" w:color="auto"/>
          <w:color w:val="auto"/>
        </w:rPr>
        <w:t>Preferred Stock</w:t>
      </w:r>
      <w:r>
        <w:rPr>
          <w:rFonts w:ascii="Times New Roman" w:cs="Times New Roman" w:eastAsia="Times New Roman" w:hAnsi="Times New Roman"/>
          <w:sz w:val="13"/>
          <w:szCs w:val="13"/>
          <w:color w:val="auto"/>
        </w:rPr>
        <w:t xml:space="preserve"> ”). The aggregate par value of all authorized shares of stock having par value is $2,850,000.</w:t>
      </w:r>
    </w:p>
    <w:p>
      <w:pPr>
        <w:spacing w:after="0" w:line="136" w:lineRule="exact"/>
        <w:rPr>
          <w:sz w:val="20"/>
          <w:szCs w:val="20"/>
          <w:color w:val="auto"/>
        </w:rPr>
      </w:pPr>
    </w:p>
    <w:p>
      <w:pPr>
        <w:ind w:left="600" w:right="660" w:firstLine="312"/>
        <w:spacing w:after="0" w:line="287" w:lineRule="auto"/>
        <w:rPr>
          <w:sz w:val="20"/>
          <w:szCs w:val="20"/>
          <w:color w:val="auto"/>
        </w:rPr>
      </w:pPr>
      <w:r>
        <w:rPr>
          <w:rFonts w:ascii="Times New Roman" w:cs="Times New Roman" w:eastAsia="Times New Roman" w:hAnsi="Times New Roman"/>
          <w:sz w:val="13"/>
          <w:szCs w:val="13"/>
          <w:u w:val="single" w:color="auto"/>
          <w:color w:val="auto"/>
        </w:rPr>
        <w:t>SECOND</w:t>
      </w:r>
      <w:r>
        <w:rPr>
          <w:rFonts w:ascii="Times New Roman" w:cs="Times New Roman" w:eastAsia="Times New Roman" w:hAnsi="Times New Roman"/>
          <w:sz w:val="13"/>
          <w:szCs w:val="13"/>
          <w:color w:val="auto"/>
        </w:rPr>
        <w:t xml:space="preserve"> : The total number of shares of stock which the Corporation had authority to issue immediately prior to the foregoing amendment of the Charter was 195,000,000 shares of stock, consisting of 165,000,000 shares of Common Stock, $.01 par value per share, and 30,000,000 shares of Preferred Stock, $.01 par value per share. The aggregate par value of all authorized shares of stock having par value was $1,950,000.</w:t>
      </w:r>
    </w:p>
    <w:p>
      <w:pPr>
        <w:spacing w:after="0" w:line="136" w:lineRule="exact"/>
        <w:rPr>
          <w:sz w:val="20"/>
          <w:szCs w:val="20"/>
          <w:color w:val="auto"/>
        </w:rPr>
      </w:pPr>
    </w:p>
    <w:p>
      <w:pPr>
        <w:jc w:val="both"/>
        <w:ind w:left="600" w:right="880" w:firstLine="312"/>
        <w:spacing w:after="0" w:line="287" w:lineRule="auto"/>
        <w:rPr>
          <w:sz w:val="20"/>
          <w:szCs w:val="20"/>
          <w:color w:val="auto"/>
        </w:rPr>
      </w:pPr>
      <w:r>
        <w:rPr>
          <w:rFonts w:ascii="Times New Roman" w:cs="Times New Roman" w:eastAsia="Times New Roman" w:hAnsi="Times New Roman"/>
          <w:sz w:val="13"/>
          <w:szCs w:val="13"/>
          <w:u w:val="single" w:color="auto"/>
          <w:color w:val="auto"/>
        </w:rPr>
        <w:t>THIRD</w:t>
      </w:r>
      <w:r>
        <w:rPr>
          <w:rFonts w:ascii="Times New Roman" w:cs="Times New Roman" w:eastAsia="Times New Roman" w:hAnsi="Times New Roman"/>
          <w:sz w:val="13"/>
          <w:szCs w:val="13"/>
          <w:color w:val="auto"/>
        </w:rPr>
        <w:t xml:space="preserve"> : The total number of shares of stock which the Corporation has authority to issue pursuant to the foregoing amendment of the Charter is 285,000,000 shares of stock, consisting of 215,000,000 shares of Common Stock, $.01 par value per share, and 70,000,000 shares of Preferred Stock, $.01 par value per share. The aggregate par value of all authorized shares of stock having par value is $2,850,000.</w:t>
      </w:r>
    </w:p>
    <w:p>
      <w:pPr>
        <w:spacing w:after="0" w:line="136" w:lineRule="exact"/>
        <w:rPr>
          <w:sz w:val="20"/>
          <w:szCs w:val="20"/>
          <w:color w:val="auto"/>
        </w:rPr>
      </w:pPr>
    </w:p>
    <w:p>
      <w:pPr>
        <w:ind w:left="600" w:right="780" w:firstLine="312"/>
        <w:spacing w:after="0" w:line="305" w:lineRule="auto"/>
        <w:rPr>
          <w:sz w:val="20"/>
          <w:szCs w:val="20"/>
          <w:color w:val="auto"/>
        </w:rPr>
      </w:pPr>
      <w:r>
        <w:rPr>
          <w:rFonts w:ascii="Times New Roman" w:cs="Times New Roman" w:eastAsia="Times New Roman" w:hAnsi="Times New Roman"/>
          <w:sz w:val="13"/>
          <w:szCs w:val="13"/>
          <w:u w:val="single" w:color="auto"/>
          <w:color w:val="auto"/>
        </w:rPr>
        <w:t>FOURTH</w:t>
      </w:r>
      <w:r>
        <w:rPr>
          <w:rFonts w:ascii="Times New Roman" w:cs="Times New Roman" w:eastAsia="Times New Roman" w:hAnsi="Times New Roman"/>
          <w:sz w:val="13"/>
          <w:szCs w:val="13"/>
          <w:color w:val="auto"/>
        </w:rPr>
        <w:t xml:space="preserve"> : The information required by Section 2-607(b)(2)(i) of the Maryland General Corporation Law (the “ </w:t>
      </w:r>
      <w:r>
        <w:rPr>
          <w:rFonts w:ascii="Times New Roman" w:cs="Times New Roman" w:eastAsia="Times New Roman" w:hAnsi="Times New Roman"/>
          <w:sz w:val="13"/>
          <w:szCs w:val="13"/>
          <w:u w:val="single" w:color="auto"/>
          <w:color w:val="auto"/>
        </w:rPr>
        <w:t>MGCL</w:t>
      </w:r>
      <w:r>
        <w:rPr>
          <w:rFonts w:ascii="Times New Roman" w:cs="Times New Roman" w:eastAsia="Times New Roman" w:hAnsi="Times New Roman"/>
          <w:sz w:val="13"/>
          <w:szCs w:val="13"/>
          <w:color w:val="auto"/>
        </w:rPr>
        <w:t xml:space="preserve"> ”) is not changed by the foregoing amendment of the Charter.</w:t>
      </w:r>
    </w:p>
    <w:p>
      <w:pPr>
        <w:spacing w:after="0" w:line="124" w:lineRule="exact"/>
        <w:rPr>
          <w:sz w:val="20"/>
          <w:szCs w:val="20"/>
          <w:color w:val="auto"/>
        </w:rPr>
      </w:pPr>
    </w:p>
    <w:p>
      <w:pPr>
        <w:ind w:left="600" w:right="860" w:firstLine="312"/>
        <w:spacing w:after="0" w:line="287" w:lineRule="auto"/>
        <w:rPr>
          <w:sz w:val="20"/>
          <w:szCs w:val="20"/>
          <w:color w:val="auto"/>
        </w:rPr>
      </w:pPr>
      <w:r>
        <w:rPr>
          <w:rFonts w:ascii="Times New Roman" w:cs="Times New Roman" w:eastAsia="Times New Roman" w:hAnsi="Times New Roman"/>
          <w:sz w:val="13"/>
          <w:szCs w:val="13"/>
          <w:u w:val="single" w:color="auto"/>
          <w:color w:val="auto"/>
        </w:rPr>
        <w:t>FIFTH</w:t>
      </w:r>
      <w:r>
        <w:rPr>
          <w:rFonts w:ascii="Times New Roman" w:cs="Times New Roman" w:eastAsia="Times New Roman" w:hAnsi="Times New Roman"/>
          <w:sz w:val="13"/>
          <w:szCs w:val="13"/>
          <w:color w:val="auto"/>
        </w:rPr>
        <w:t xml:space="preserve"> : The foregoing amendment of the Charter was approved by a majority of the entire Board of Directors of the Corporation as required by law and was limited to a change expressly authorized by Section 2-105(a)(13) of the MGCL without any action by the stockholders of the Corporation.</w:t>
      </w:r>
    </w:p>
    <w:p>
      <w:pPr>
        <w:spacing w:after="0" w:line="136" w:lineRule="exact"/>
        <w:rPr>
          <w:sz w:val="20"/>
          <w:szCs w:val="20"/>
          <w:color w:val="auto"/>
        </w:rPr>
      </w:pPr>
    </w:p>
    <w:p>
      <w:pPr>
        <w:jc w:val="both"/>
        <w:ind w:left="600" w:right="860" w:firstLine="312"/>
        <w:spacing w:after="0" w:line="287" w:lineRule="auto"/>
        <w:rPr>
          <w:sz w:val="20"/>
          <w:szCs w:val="20"/>
          <w:color w:val="auto"/>
        </w:rPr>
      </w:pPr>
      <w:r>
        <w:rPr>
          <w:rFonts w:ascii="Times New Roman" w:cs="Times New Roman" w:eastAsia="Times New Roman" w:hAnsi="Times New Roman"/>
          <w:sz w:val="13"/>
          <w:szCs w:val="13"/>
          <w:u w:val="single" w:color="auto"/>
          <w:color w:val="auto"/>
        </w:rPr>
        <w:t>SIXTH</w:t>
      </w:r>
      <w:r>
        <w:rPr>
          <w:rFonts w:ascii="Times New Roman" w:cs="Times New Roman" w:eastAsia="Times New Roman" w:hAnsi="Times New Roman"/>
          <w:sz w:val="13"/>
          <w:szCs w:val="13"/>
          <w:color w:val="auto"/>
        </w:rPr>
        <w:t xml:space="preserve"> : The undersigned acknowledges these Articles of Amendment to be the corporate act of the Corporation and as to all matters or facts required to be verified under oath, the undersigned acknowledges that to the best of his knowledge, information and belief, these matters and facts are true in all material respects and that this statement is made under the penalties of perjury.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101600</wp:posOffset>
            </wp:positionV>
            <wp:extent cx="4436110" cy="762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83">
                      <a:extLst>
                        <a:ext uri="{28A0092B-C50C-407E-A947-70E740481C1C}"/>
                      </a:extLst>
                    </a:blip>
                    <a:srcRect/>
                    <a:stretch>
                      <a:fillRect/>
                    </a:stretch>
                  </pic:blipFill>
                  <pic:spPr bwMode="auto">
                    <a:xfrm>
                      <a:off x="0" y="0"/>
                      <a:ext cx="4436110"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535940</wp:posOffset>
            </wp:positionV>
            <wp:extent cx="5083810" cy="1524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84">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378" w:name="page379"/>
    <w:bookmarkEnd w:id="378"/>
    <w:p>
      <w:pPr>
        <w:jc w:val="both"/>
        <w:ind w:left="600" w:right="780" w:firstLine="312"/>
        <w:spacing w:after="0" w:line="271" w:lineRule="auto"/>
        <w:rPr>
          <w:sz w:val="20"/>
          <w:szCs w:val="20"/>
          <w:color w:val="auto"/>
        </w:rPr>
      </w:pPr>
      <w:r>
        <w:rPr>
          <w:rFonts w:ascii="Times New Roman" w:cs="Times New Roman" w:eastAsia="Times New Roman" w:hAnsi="Times New Roman"/>
          <w:sz w:val="13"/>
          <w:szCs w:val="13"/>
          <w:color w:val="auto"/>
        </w:rPr>
        <w:t>IN WITNESS WHEREOF, the Corporation has caused these Articles of Amendment to be executed in its name and on its behalf by its Chief Financial Officer, Chief Investment Officer and Secretary and attested to by its Senior Vice President, General Counsel and Assistant Secretary on this 6th day of May, 2013.</w:t>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DIGITAL REALTY TRUST, INC.</w:t>
      </w:r>
    </w:p>
    <w:p>
      <w:pPr>
        <w:spacing w:after="0" w:line="1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By:/s/ A. William Stein Name:A.</w:t>
      </w:r>
    </w:p>
    <w:p>
      <w:pPr>
        <w:spacing w:after="0" w:line="2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3"/>
          <w:szCs w:val="13"/>
          <w:color w:val="auto"/>
        </w:rPr>
        <w:t>William Stein</w:t>
      </w:r>
    </w:p>
    <w:p>
      <w:pPr>
        <w:spacing w:after="0" w:line="2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3"/>
          <w:szCs w:val="13"/>
          <w:color w:val="auto"/>
        </w:rPr>
        <w:t>Title: Chief Financial Officer, Chief Investment Officer and</w:t>
      </w:r>
    </w:p>
    <w:p>
      <w:pPr>
        <w:spacing w:after="0" w:line="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3"/>
          <w:szCs w:val="13"/>
          <w:color w:val="auto"/>
        </w:rPr>
        <w:t>Secretary</w:t>
      </w:r>
    </w:p>
    <w:p>
      <w:pPr>
        <w:spacing w:after="0" w:line="2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ATTEST:</w:t>
      </w:r>
    </w:p>
    <w:p>
      <w:pPr>
        <w:spacing w:after="0" w:line="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DIGITAL REALTY TRUST, INC.</w:t>
      </w:r>
    </w:p>
    <w:p>
      <w:pPr>
        <w:spacing w:after="0" w:line="2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By: /s/ Joshua A. Mills Name:</w:t>
      </w:r>
    </w:p>
    <w:p>
      <w:pPr>
        <w:spacing w:after="0" w:line="3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3"/>
          <w:szCs w:val="13"/>
          <w:color w:val="auto"/>
        </w:rPr>
        <w:t>Joshua A. Mills</w:t>
      </w:r>
    </w:p>
    <w:p>
      <w:pPr>
        <w:spacing w:after="0" w:line="2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3"/>
          <w:szCs w:val="13"/>
          <w:color w:val="auto"/>
        </w:rPr>
        <w:t>Title: Senior Vice President, General Counsel and Assistant</w:t>
      </w:r>
    </w:p>
    <w:p>
      <w:pPr>
        <w:spacing w:after="0" w:line="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3"/>
          <w:szCs w:val="13"/>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581660</wp:posOffset>
            </wp:positionV>
            <wp:extent cx="5083810" cy="1524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85">
                      <a:extLst>
                        <a:ext uri="{28A0092B-C50C-407E-A947-70E740481C1C}"/>
                      </a:extLst>
                    </a:blip>
                    <a:srcRect/>
                    <a:stretch>
                      <a:fillRect/>
                    </a:stretch>
                  </pic:blipFill>
                  <pic:spPr bwMode="auto">
                    <a:xfrm>
                      <a:off x="0" y="0"/>
                      <a:ext cx="5083810" cy="15240"/>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261620</wp:posOffset>
            </wp:positionV>
            <wp:extent cx="4436110" cy="1524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86">
                      <a:extLst>
                        <a:ext uri="{28A0092B-C50C-407E-A947-70E740481C1C}"/>
                      </a:extLst>
                    </a:blip>
                    <a:srcRect/>
                    <a:stretch>
                      <a:fillRect/>
                    </a:stretch>
                  </pic:blipFill>
                  <pic:spPr bwMode="auto">
                    <a:xfrm>
                      <a:off x="0" y="0"/>
                      <a:ext cx="44361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79" w:name="page380"/>
    <w:bookmarkEnd w:id="379"/>
    <w:p>
      <w:pPr>
        <w:ind w:left="3160"/>
        <w:spacing w:after="0"/>
        <w:rPr>
          <w:sz w:val="20"/>
          <w:szCs w:val="20"/>
          <w:color w:val="auto"/>
        </w:rPr>
      </w:pPr>
      <w:r>
        <w:rPr>
          <w:rFonts w:ascii="Times New Roman" w:cs="Times New Roman" w:eastAsia="Times New Roman" w:hAnsi="Times New Roman"/>
          <w:sz w:val="13"/>
          <w:szCs w:val="13"/>
          <w:b w:val="1"/>
          <w:bCs w:val="1"/>
          <w:color w:val="auto"/>
        </w:rPr>
        <w:t>DIGITAL REALTY TRUST, INC. ARTICLES</w:t>
      </w:r>
    </w:p>
    <w:p>
      <w:pPr>
        <w:spacing w:after="0" w:line="1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SUPPLEMENTARY 13,800,000 SHARES OF</w:t>
      </w:r>
    </w:p>
    <w:p>
      <w:pPr>
        <w:spacing w:after="0" w:line="1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7.375% SERIES H CUMULATIVE REDEEMABLE PREFERRED STOCK M</w:t>
      </w:r>
      <w:r>
        <w:rPr>
          <w:rFonts w:ascii="Times New Roman" w:cs="Times New Roman" w:eastAsia="Times New Roman" w:hAnsi="Times New Roman"/>
          <w:sz w:val="10"/>
          <w:szCs w:val="10"/>
          <w:b w:val="1"/>
          <w:bCs w:val="1"/>
          <w:color w:val="auto"/>
        </w:rPr>
        <w:t>ARCH</w:t>
      </w:r>
      <w:r>
        <w:rPr>
          <w:rFonts w:ascii="Times New Roman" w:cs="Times New Roman" w:eastAsia="Times New Roman" w:hAnsi="Times New Roman"/>
          <w:sz w:val="13"/>
          <w:szCs w:val="13"/>
          <w:b w:val="1"/>
          <w:bCs w:val="1"/>
          <w:color w:val="auto"/>
        </w:rPr>
        <w:t xml:space="preserve"> 25,</w:t>
      </w:r>
    </w:p>
    <w:p>
      <w:pPr>
        <w:spacing w:after="0" w:line="1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2014</w:t>
      </w:r>
    </w:p>
    <w:p>
      <w:pPr>
        <w:spacing w:after="0" w:line="10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Digital Realty Trust, Inc., a Maryland corporation (the “ </w:t>
      </w:r>
      <w:r>
        <w:rPr>
          <w:rFonts w:ascii="Times New Roman" w:cs="Times New Roman" w:eastAsia="Times New Roman" w:hAnsi="Times New Roman"/>
          <w:sz w:val="13"/>
          <w:szCs w:val="13"/>
          <w:u w:val="single" w:color="auto"/>
          <w:color w:val="auto"/>
        </w:rPr>
        <w:t>Company</w:t>
      </w:r>
      <w:r>
        <w:rPr>
          <w:rFonts w:ascii="Times New Roman" w:cs="Times New Roman" w:eastAsia="Times New Roman" w:hAnsi="Times New Roman"/>
          <w:sz w:val="13"/>
          <w:szCs w:val="13"/>
          <w:color w:val="auto"/>
        </w:rPr>
        <w:t xml:space="preserve"> ”), hereby certifies to the State Department of Assessments and</w:t>
      </w:r>
    </w:p>
    <w:p>
      <w:pPr>
        <w:spacing w:after="0" w:line="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 xml:space="preserve">Taxation of Maryland (the “ </w:t>
      </w:r>
      <w:r>
        <w:rPr>
          <w:rFonts w:ascii="Times New Roman" w:cs="Times New Roman" w:eastAsia="Times New Roman" w:hAnsi="Times New Roman"/>
          <w:sz w:val="13"/>
          <w:szCs w:val="13"/>
          <w:u w:val="single" w:color="auto"/>
          <w:color w:val="auto"/>
        </w:rPr>
        <w:t>Department</w:t>
      </w:r>
      <w:r>
        <w:rPr>
          <w:rFonts w:ascii="Times New Roman" w:cs="Times New Roman" w:eastAsia="Times New Roman" w:hAnsi="Times New Roman"/>
          <w:sz w:val="13"/>
          <w:szCs w:val="13"/>
          <w:color w:val="auto"/>
        </w:rPr>
        <w:t xml:space="preserve"> ”) that:</w:t>
      </w:r>
    </w:p>
    <w:p>
      <w:pPr>
        <w:spacing w:after="0" w:line="171" w:lineRule="exact"/>
        <w:rPr>
          <w:sz w:val="20"/>
          <w:szCs w:val="20"/>
          <w:color w:val="auto"/>
        </w:rPr>
      </w:pPr>
    </w:p>
    <w:p>
      <w:pPr>
        <w:ind w:left="600" w:right="600" w:firstLine="312"/>
        <w:spacing w:after="0" w:line="272" w:lineRule="auto"/>
        <w:rPr>
          <w:sz w:val="20"/>
          <w:szCs w:val="20"/>
          <w:color w:val="auto"/>
        </w:rPr>
      </w:pPr>
      <w:r>
        <w:rPr>
          <w:rFonts w:ascii="Times New Roman" w:cs="Times New Roman" w:eastAsia="Times New Roman" w:hAnsi="Times New Roman"/>
          <w:sz w:val="13"/>
          <w:szCs w:val="13"/>
          <w:u w:val="single" w:color="auto"/>
          <w:color w:val="auto"/>
        </w:rPr>
        <w:t>FIRST</w:t>
      </w:r>
      <w:r>
        <w:rPr>
          <w:rFonts w:ascii="Times New Roman" w:cs="Times New Roman" w:eastAsia="Times New Roman" w:hAnsi="Times New Roman"/>
          <w:sz w:val="13"/>
          <w:szCs w:val="13"/>
          <w:color w:val="auto"/>
        </w:rPr>
        <w:t xml:space="preserve"> : Pursuant to the authority expressly vested in the Board of Directors of the Company (the “ </w:t>
      </w:r>
      <w:r>
        <w:rPr>
          <w:rFonts w:ascii="Times New Roman" w:cs="Times New Roman" w:eastAsia="Times New Roman" w:hAnsi="Times New Roman"/>
          <w:sz w:val="13"/>
          <w:szCs w:val="13"/>
          <w:u w:val="single" w:color="auto"/>
          <w:color w:val="auto"/>
        </w:rPr>
        <w:t>Board of Directors</w:t>
      </w:r>
      <w:r>
        <w:rPr>
          <w:rFonts w:ascii="Times New Roman" w:cs="Times New Roman" w:eastAsia="Times New Roman" w:hAnsi="Times New Roman"/>
          <w:sz w:val="13"/>
          <w:szCs w:val="13"/>
          <w:color w:val="auto"/>
        </w:rPr>
        <w:t xml:space="preserve"> ”) by Article IV of the Articles of Amendment and Restatement of the Company filed with the Department on October 26, 2004 (as amended and supplemented to date and as may be amended and supplemented from time to time, the “ </w:t>
      </w:r>
      <w:r>
        <w:rPr>
          <w:rFonts w:ascii="Times New Roman" w:cs="Times New Roman" w:eastAsia="Times New Roman" w:hAnsi="Times New Roman"/>
          <w:sz w:val="13"/>
          <w:szCs w:val="13"/>
          <w:u w:val="single" w:color="auto"/>
          <w:color w:val="auto"/>
        </w:rPr>
        <w:t>Charter</w:t>
      </w:r>
      <w:r>
        <w:rPr>
          <w:rFonts w:ascii="Times New Roman" w:cs="Times New Roman" w:eastAsia="Times New Roman" w:hAnsi="Times New Roman"/>
          <w:sz w:val="13"/>
          <w:szCs w:val="13"/>
          <w:color w:val="auto"/>
        </w:rPr>
        <w:t xml:space="preserve"> ”) and Section 2- 105 of the Maryland General Corporation Law (the “ </w:t>
      </w:r>
      <w:r>
        <w:rPr>
          <w:rFonts w:ascii="Times New Roman" w:cs="Times New Roman" w:eastAsia="Times New Roman" w:hAnsi="Times New Roman"/>
          <w:sz w:val="13"/>
          <w:szCs w:val="13"/>
          <w:u w:val="single" w:color="auto"/>
          <w:color w:val="auto"/>
        </w:rPr>
        <w:t>MGCL</w:t>
      </w:r>
      <w:r>
        <w:rPr>
          <w:rFonts w:ascii="Times New Roman" w:cs="Times New Roman" w:eastAsia="Times New Roman" w:hAnsi="Times New Roman"/>
          <w:sz w:val="13"/>
          <w:szCs w:val="13"/>
          <w:color w:val="auto"/>
        </w:rPr>
        <w:t xml:space="preserve"> ”), the Board of Directors, by resolutions duly adopted on May 1, 2013 has authorized the issuance, classification and designation of a number of shares of the authorized but unissued preferred stock of the Company, par value $0.01 per share (“ </w:t>
      </w:r>
      <w:r>
        <w:rPr>
          <w:rFonts w:ascii="Times New Roman" w:cs="Times New Roman" w:eastAsia="Times New Roman" w:hAnsi="Times New Roman"/>
          <w:sz w:val="13"/>
          <w:szCs w:val="13"/>
          <w:u w:val="single" w:color="auto"/>
          <w:color w:val="auto"/>
        </w:rPr>
        <w:t>Preferred Stock</w:t>
      </w:r>
      <w:r>
        <w:rPr>
          <w:rFonts w:ascii="Times New Roman" w:cs="Times New Roman" w:eastAsia="Times New Roman" w:hAnsi="Times New Roman"/>
          <w:sz w:val="13"/>
          <w:szCs w:val="13"/>
          <w:color w:val="auto"/>
        </w:rPr>
        <w:t xml:space="preserve"> ”), as a separate class of Preferred Stock, that, on the date of issue, has a liquidation value or aggregate offering price of up to $400,000,000 (plus up to an additional 15% to cover any underwriter over-allotment option), and, pursuant to the powers contained in the Fourth Amended and Restated Bylaws (as may be amended from time to time, the “ </w:t>
      </w:r>
      <w:r>
        <w:rPr>
          <w:rFonts w:ascii="Times New Roman" w:cs="Times New Roman" w:eastAsia="Times New Roman" w:hAnsi="Times New Roman"/>
          <w:sz w:val="13"/>
          <w:szCs w:val="13"/>
          <w:u w:val="single" w:color="auto"/>
          <w:color w:val="auto"/>
        </w:rPr>
        <w:t>Bylaws</w:t>
      </w:r>
      <w:r>
        <w:rPr>
          <w:rFonts w:ascii="Times New Roman" w:cs="Times New Roman" w:eastAsia="Times New Roman" w:hAnsi="Times New Roman"/>
          <w:sz w:val="13"/>
          <w:szCs w:val="13"/>
          <w:color w:val="auto"/>
        </w:rPr>
        <w:t xml:space="preserve"> ”) of the Company and the MGCL, appointed a committee (the “ </w:t>
      </w:r>
      <w:r>
        <w:rPr>
          <w:rFonts w:ascii="Times New Roman" w:cs="Times New Roman" w:eastAsia="Times New Roman" w:hAnsi="Times New Roman"/>
          <w:sz w:val="13"/>
          <w:szCs w:val="13"/>
          <w:u w:val="single" w:color="auto"/>
          <w:color w:val="auto"/>
        </w:rPr>
        <w:t>Committee</w:t>
      </w:r>
      <w:r>
        <w:rPr>
          <w:rFonts w:ascii="Times New Roman" w:cs="Times New Roman" w:eastAsia="Times New Roman" w:hAnsi="Times New Roman"/>
          <w:sz w:val="13"/>
          <w:szCs w:val="13"/>
          <w:color w:val="auto"/>
        </w:rPr>
        <w:t xml:space="preserve"> ”) of the Board of Directors and delegated to the Committee, to the fullest extent permitted by the MGCL and the Charter and Bylaws of the Company, among other things, all powers of the Board of Directors with respect to (i) setting the number of shares of the Preferred Stock to be classified and designated, provided that in no event shall the liquidation value or aggregate offering price of such shares exceed $400,000,000 (plus up to an additional 15% to cover any underwriter over-allotment option), (ii) choosing the cumulative dividend percentage for the Preferred Stock, (iii) selecting the dates on which dividends will be paid on the Preferred Stock, (iv) establishing the price per share for the Preferred Stock, (v) authorizing, approving and filing these Articles Supplementary with the Department and (vi) authorizing and approving all such other actions as the Committee may deem necessary or desirable in connection with the classification, authorization, issuance, offer, and sale of the Preferred Stock.</w:t>
      </w:r>
    </w:p>
    <w:p>
      <w:pPr>
        <w:spacing w:after="0" w:line="304" w:lineRule="exact"/>
        <w:rPr>
          <w:sz w:val="20"/>
          <w:szCs w:val="20"/>
          <w:color w:val="auto"/>
        </w:rPr>
      </w:pPr>
    </w:p>
    <w:p>
      <w:pPr>
        <w:ind w:left="600" w:right="660" w:firstLine="312"/>
        <w:spacing w:after="0" w:line="278" w:lineRule="auto"/>
        <w:rPr>
          <w:sz w:val="20"/>
          <w:szCs w:val="20"/>
          <w:color w:val="auto"/>
        </w:rPr>
      </w:pPr>
      <w:r>
        <w:rPr>
          <w:rFonts w:ascii="Times New Roman" w:cs="Times New Roman" w:eastAsia="Times New Roman" w:hAnsi="Times New Roman"/>
          <w:sz w:val="13"/>
          <w:szCs w:val="13"/>
          <w:u w:val="single" w:color="auto"/>
          <w:color w:val="auto"/>
        </w:rPr>
        <w:t>SECOND</w:t>
      </w:r>
      <w:r>
        <w:rPr>
          <w:rFonts w:ascii="Times New Roman" w:cs="Times New Roman" w:eastAsia="Times New Roman" w:hAnsi="Times New Roman"/>
          <w:sz w:val="13"/>
          <w:szCs w:val="13"/>
          <w:color w:val="auto"/>
        </w:rPr>
        <w:t xml:space="preserve"> : The Committee has unanimously adopted resolutions classifying and designating the Preferred Stock as a separate class of Preferred Stock to be known as the “7.375% Series H Cumulative Redeemable Preferred Stock,” setting the preferences, conversion and other rights, voting powers, restrictions, limitations as to dividends and other distributions, transfers, qualifications, terms and conditions of redemption and other terms and conditions of such 7.375% Series H Cumulative Redeemable Preferred Stock, and authorizing the issuance of up to 12,000,000 (plus up to an additional 15% to cover any underwriter over-allotment option) shares of 7.375% Series H Cumulative Redeemable Preferred Stock.</w:t>
      </w:r>
    </w:p>
    <w:p>
      <w:pPr>
        <w:spacing w:after="0" w:line="311" w:lineRule="exact"/>
        <w:rPr>
          <w:sz w:val="20"/>
          <w:szCs w:val="20"/>
          <w:color w:val="auto"/>
        </w:rPr>
      </w:pPr>
    </w:p>
    <w:p>
      <w:pPr>
        <w:ind w:left="600" w:right="760" w:firstLine="312"/>
        <w:spacing w:after="0" w:line="278" w:lineRule="auto"/>
        <w:rPr>
          <w:sz w:val="20"/>
          <w:szCs w:val="20"/>
          <w:color w:val="auto"/>
        </w:rPr>
      </w:pPr>
      <w:r>
        <w:rPr>
          <w:rFonts w:ascii="Times New Roman" w:cs="Times New Roman" w:eastAsia="Times New Roman" w:hAnsi="Times New Roman"/>
          <w:sz w:val="13"/>
          <w:szCs w:val="13"/>
          <w:u w:val="single" w:color="auto"/>
          <w:color w:val="auto"/>
        </w:rPr>
        <w:t>THIRD</w:t>
      </w:r>
      <w:r>
        <w:rPr>
          <w:rFonts w:ascii="Times New Roman" w:cs="Times New Roman" w:eastAsia="Times New Roman" w:hAnsi="Times New Roman"/>
          <w:sz w:val="13"/>
          <w:szCs w:val="13"/>
          <w:color w:val="auto"/>
        </w:rPr>
        <w:t xml:space="preserve"> : The designation, number of shares, preferences, conversion and other rights, voting powers, restrictions, limitations as to dividends and other distributions, transfers, qualifications, terms and conditions of redemption and other terms and conditions of the separate class of Preferred Stock of the Company designated as the 7.375% Series H Cumulative Redeemable Preferred Stock are as follows, which upon any restatement of the Charter shall be made a part of or incorporated by reference into the Charter with any necessary or appropriate changes to the enumeration or lettering of Sections or subsections thereof:</w:t>
      </w:r>
    </w:p>
    <w:p>
      <w:pPr>
        <w:spacing w:after="0" w:line="143" w:lineRule="exact"/>
        <w:rPr>
          <w:sz w:val="20"/>
          <w:szCs w:val="20"/>
          <w:color w:val="auto"/>
        </w:rPr>
      </w:pPr>
    </w:p>
    <w:p>
      <w:pPr>
        <w:ind w:left="600" w:right="740" w:firstLine="312"/>
        <w:spacing w:after="0" w:line="305" w:lineRule="auto"/>
        <w:rPr>
          <w:sz w:val="20"/>
          <w:szCs w:val="20"/>
          <w:color w:val="auto"/>
        </w:rPr>
      </w:pPr>
      <w:r>
        <w:rPr>
          <w:rFonts w:ascii="Times New Roman" w:cs="Times New Roman" w:eastAsia="Times New Roman" w:hAnsi="Times New Roman"/>
          <w:sz w:val="13"/>
          <w:szCs w:val="13"/>
          <w:color w:val="auto"/>
        </w:rPr>
        <w:t xml:space="preserve">Section 1. </w:t>
      </w:r>
      <w:r>
        <w:rPr>
          <w:rFonts w:ascii="Times New Roman" w:cs="Times New Roman" w:eastAsia="Times New Roman" w:hAnsi="Times New Roman"/>
          <w:sz w:val="13"/>
          <w:szCs w:val="13"/>
          <w:u w:val="single" w:color="auto"/>
          <w:color w:val="auto"/>
        </w:rPr>
        <w:t>Designation and Number</w:t>
      </w:r>
      <w:r>
        <w:rPr>
          <w:rFonts w:ascii="Times New Roman" w:cs="Times New Roman" w:eastAsia="Times New Roman" w:hAnsi="Times New Roman"/>
          <w:sz w:val="13"/>
          <w:szCs w:val="13"/>
          <w:color w:val="auto"/>
        </w:rPr>
        <w:t xml:space="preserve"> . A series of Preferred Stock, designated the “7.375% Series H Cumulative Redeemable Preferred Stock” (the “ </w:t>
      </w:r>
      <w:r>
        <w:rPr>
          <w:rFonts w:ascii="Times New Roman" w:cs="Times New Roman" w:eastAsia="Times New Roman" w:hAnsi="Times New Roman"/>
          <w:sz w:val="13"/>
          <w:szCs w:val="13"/>
          <w:u w:val="single" w:color="auto"/>
          <w:color w:val="auto"/>
        </w:rPr>
        <w:t>Series H Preferred Stock</w:t>
      </w:r>
      <w:r>
        <w:rPr>
          <w:rFonts w:ascii="Times New Roman" w:cs="Times New Roman" w:eastAsia="Times New Roman" w:hAnsi="Times New Roman"/>
          <w:sz w:val="13"/>
          <w:szCs w:val="13"/>
          <w:color w:val="auto"/>
        </w:rPr>
        <w:t xml:space="preserve"> ”), is hereby established. The number of shares of Series H Preferred Stock shall be 13,800,000.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93980</wp:posOffset>
            </wp:positionV>
            <wp:extent cx="4436110" cy="1524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87">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535940</wp:posOffset>
            </wp:positionV>
            <wp:extent cx="5083810" cy="1524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88">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640" w:right="1440" w:bottom="1440" w:gutter="0" w:footer="0" w:header="0"/>
        </w:sectPr>
      </w:pPr>
    </w:p>
    <w:bookmarkStart w:id="380" w:name="page381"/>
    <w:bookmarkEnd w:id="380"/>
    <w:p>
      <w:pPr>
        <w:ind w:left="600" w:right="620" w:firstLine="312"/>
        <w:spacing w:after="0" w:line="270" w:lineRule="auto"/>
        <w:rPr>
          <w:sz w:val="20"/>
          <w:szCs w:val="20"/>
          <w:color w:val="auto"/>
        </w:rPr>
      </w:pPr>
      <w:r>
        <w:rPr>
          <w:rFonts w:ascii="Times New Roman" w:cs="Times New Roman" w:eastAsia="Times New Roman" w:hAnsi="Times New Roman"/>
          <w:sz w:val="13"/>
          <w:szCs w:val="13"/>
          <w:color w:val="auto"/>
        </w:rPr>
        <w:t xml:space="preserve">Section 2. </w:t>
      </w:r>
      <w:r>
        <w:rPr>
          <w:rFonts w:ascii="Times New Roman" w:cs="Times New Roman" w:eastAsia="Times New Roman" w:hAnsi="Times New Roman"/>
          <w:sz w:val="13"/>
          <w:szCs w:val="13"/>
          <w:u w:val="single" w:color="auto"/>
          <w:color w:val="auto"/>
        </w:rPr>
        <w:t>Rank</w:t>
      </w:r>
      <w:r>
        <w:rPr>
          <w:rFonts w:ascii="Times New Roman" w:cs="Times New Roman" w:eastAsia="Times New Roman" w:hAnsi="Times New Roman"/>
          <w:sz w:val="13"/>
          <w:szCs w:val="13"/>
          <w:color w:val="auto"/>
        </w:rPr>
        <w:t xml:space="preserve"> . The Series H Preferred Stock will, with respect to dividend rights and rights upon voluntary or involuntary liquidation, dissolution or winding up of the Company, rank: (a) senior to all classes or series of the Company’s common stock, par value $0.01 per share (the “ </w:t>
      </w:r>
      <w:r>
        <w:rPr>
          <w:rFonts w:ascii="Times New Roman" w:cs="Times New Roman" w:eastAsia="Times New Roman" w:hAnsi="Times New Roman"/>
          <w:sz w:val="13"/>
          <w:szCs w:val="13"/>
          <w:u w:val="single" w:color="auto"/>
          <w:color w:val="auto"/>
        </w:rPr>
        <w:t>Common Stock</w:t>
      </w:r>
      <w:r>
        <w:rPr>
          <w:rFonts w:ascii="Times New Roman" w:cs="Times New Roman" w:eastAsia="Times New Roman" w:hAnsi="Times New Roman"/>
          <w:sz w:val="13"/>
          <w:szCs w:val="13"/>
          <w:color w:val="auto"/>
        </w:rPr>
        <w:t xml:space="preserve"> ”), and all classes or series of capital stock of the Company now or hereafter authorized, issued or outstanding expressly designated as ranking junior to the Series H Preferred Stock as to dividend rights and rights upon voluntary or involuntary liquidation, dissolution or winding up of the Company; (b) on parity with the Series E Cumulative Redeemable Preferred Stock, par value $0.01 per share, the Series F Cumulative Redeemable Preferred Stock, par value</w:t>
      </w:r>
    </w:p>
    <w:p>
      <w:pPr>
        <w:spacing w:after="0" w:line="3" w:lineRule="exact"/>
        <w:rPr>
          <w:sz w:val="20"/>
          <w:szCs w:val="20"/>
          <w:color w:val="auto"/>
        </w:rPr>
      </w:pPr>
    </w:p>
    <w:p>
      <w:pPr>
        <w:ind w:left="600" w:right="660"/>
        <w:spacing w:after="0" w:line="274" w:lineRule="auto"/>
        <w:rPr>
          <w:sz w:val="20"/>
          <w:szCs w:val="20"/>
          <w:color w:val="auto"/>
        </w:rPr>
      </w:pPr>
      <w:r>
        <w:rPr>
          <w:rFonts w:ascii="Times New Roman" w:cs="Times New Roman" w:eastAsia="Times New Roman" w:hAnsi="Times New Roman"/>
          <w:sz w:val="13"/>
          <w:szCs w:val="13"/>
          <w:color w:val="auto"/>
        </w:rPr>
        <w:t xml:space="preserve">$0.01 per share, and the Series G Cumulative Redeemable Preferred Stock, par value $0.01 per share, of the Company and with any class or series of capital stock of the Company expressly designated as ranking on parity with the Series H Preferred Stock as to dividend rights and rights upon voluntary or involuntary liquidation, dissolution or winding up of the Company; and (c) junior to any class or series of capital stock of the Company expressly designated as ranking senior to the Series H Preferred Stock as to dividend rights and rights upon voluntary or involuntary liquidation, dissolution or winding up of the Company. The term “ </w:t>
      </w:r>
      <w:r>
        <w:rPr>
          <w:rFonts w:ascii="Times New Roman" w:cs="Times New Roman" w:eastAsia="Times New Roman" w:hAnsi="Times New Roman"/>
          <w:sz w:val="13"/>
          <w:szCs w:val="13"/>
          <w:u w:val="single" w:color="auto"/>
          <w:color w:val="auto"/>
        </w:rPr>
        <w:t>capital stock</w:t>
      </w:r>
      <w:r>
        <w:rPr>
          <w:rFonts w:ascii="Times New Roman" w:cs="Times New Roman" w:eastAsia="Times New Roman" w:hAnsi="Times New Roman"/>
          <w:sz w:val="13"/>
          <w:szCs w:val="13"/>
          <w:color w:val="auto"/>
        </w:rPr>
        <w:t xml:space="preserve"> ” does not include convertible or exchangeable debt securities, which will rank senior to the Series H Preferred Stock prior to conversion or exchange. The Series H Preferred Stock will also rank junior in right of payment to the Company’s existing and future debt obligations.</w:t>
      </w:r>
    </w:p>
    <w:p>
      <w:pPr>
        <w:spacing w:after="0" w:line="13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Section 3. </w:t>
      </w:r>
      <w:r>
        <w:rPr>
          <w:rFonts w:ascii="Times New Roman" w:cs="Times New Roman" w:eastAsia="Times New Roman" w:hAnsi="Times New Roman"/>
          <w:sz w:val="13"/>
          <w:szCs w:val="13"/>
          <w:u w:val="single" w:color="auto"/>
          <w:color w:val="auto"/>
        </w:rPr>
        <w:t>Dividends</w:t>
      </w:r>
      <w:r>
        <w:rPr>
          <w:rFonts w:ascii="Times New Roman" w:cs="Times New Roman" w:eastAsia="Times New Roman" w:hAnsi="Times New Roman"/>
          <w:sz w:val="13"/>
          <w:szCs w:val="13"/>
          <w:color w:val="auto"/>
        </w:rPr>
        <w:t xml:space="preserve"> .</w:t>
      </w:r>
    </w:p>
    <w:p>
      <w:pPr>
        <w:spacing w:after="0" w:line="187" w:lineRule="exact"/>
        <w:rPr>
          <w:sz w:val="20"/>
          <w:szCs w:val="20"/>
          <w:color w:val="auto"/>
        </w:rPr>
      </w:pPr>
    </w:p>
    <w:p>
      <w:pPr>
        <w:ind w:left="600" w:right="600" w:firstLine="306"/>
        <w:spacing w:after="0" w:line="271" w:lineRule="auto"/>
        <w:tabs>
          <w:tab w:leader="none" w:pos="1092" w:val="left"/>
        </w:tabs>
        <w:numPr>
          <w:ilvl w:val="0"/>
          <w:numId w:val="3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Subject to the preferential rights of the holders of any class or series of capital stock of the Company ranking senior to the Series H Preferred Stock as to dividends, the holders of shares of the Series H Preferred Stock shall be entitled to receive, when, as and if authorized by the Board of Directors and declared by the Company, out of funds legally available for the payment of dividends, cumulative cash dividends at the rate of 7.375% per annum of the $25.00 liquidation preference per share of the Series H Preferred Stock (equivalent to a fixed annual amount of $1.84375 per share of the Series H Preferred Stock). Such dividends shall accrue and be cumulative from and including the first date on which any shares of Series H Preferred Stock are issued (the “ </w:t>
      </w:r>
      <w:r>
        <w:rPr>
          <w:rFonts w:ascii="Times New Roman" w:cs="Times New Roman" w:eastAsia="Times New Roman" w:hAnsi="Times New Roman"/>
          <w:sz w:val="13"/>
          <w:szCs w:val="13"/>
          <w:u w:val="single" w:color="auto"/>
          <w:color w:val="auto"/>
        </w:rPr>
        <w:t>Original Issue Date</w:t>
      </w:r>
      <w:r>
        <w:rPr>
          <w:rFonts w:ascii="Times New Roman" w:cs="Times New Roman" w:eastAsia="Times New Roman" w:hAnsi="Times New Roman"/>
          <w:sz w:val="13"/>
          <w:szCs w:val="13"/>
          <w:color w:val="auto"/>
        </w:rPr>
        <w:t xml:space="preserve"> ”) and shall be payable quarterly in arrears on each Dividend Payment Date (as defined below), commencing June 30, 2014;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 that if any Dividend Payment Date is not a Business Day (as defined below), then the dividend which would otherwise have been payable on such Dividend Payment Date may be paid, at the Company’s option, on either the immediately preceding Business Day or the next succeeding Business Day, except that, if such Business Day is in the next succeeding calendar year, such payment shall be made on the immediately preceding Business Day, in each case with the same force and effect as if paid on such Dividend Payment Date, and no interest or additional dividends or other sums shall accrue on the amount so payable from such Dividend Payment Date to such next succeeding Business Day. The amount of any dividend payable on the Series H Preferred Stock for any partial Dividend Period (as defined below) shall be prorated and computed on the basis of a 360-day year consisting of twelve 30-day months. Dividends will be payable to holders of record as they appear in the stockholder records of the Company at the close of business on the applicable Dividend Record Date (as defined below). Notwithstanding any provision to the contrary contained herein, each outstanding share of Series H Preferred Stock shall be entitled to receive a dividend with respect to any Dividend Record Date equal to the dividend paid with respect to each other share of Series H Preferred Stock that is outstanding on such date. “ </w:t>
      </w:r>
      <w:r>
        <w:rPr>
          <w:rFonts w:ascii="Times New Roman" w:cs="Times New Roman" w:eastAsia="Times New Roman" w:hAnsi="Times New Roman"/>
          <w:sz w:val="13"/>
          <w:szCs w:val="13"/>
          <w:u w:val="single" w:color="auto"/>
          <w:color w:val="auto"/>
        </w:rPr>
        <w:t>Dividend Record Date</w:t>
      </w:r>
      <w:r>
        <w:rPr>
          <w:rFonts w:ascii="Times New Roman" w:cs="Times New Roman" w:eastAsia="Times New Roman" w:hAnsi="Times New Roman"/>
          <w:sz w:val="13"/>
          <w:szCs w:val="13"/>
          <w:color w:val="auto"/>
        </w:rPr>
        <w:t xml:space="preserve"> ” shall mean the date designated by the Board of Directors for the payment of dividends that is not more than 35 or fewer than 10 days prior to the applicable Dividend Payment Date. “ </w:t>
      </w:r>
      <w:r>
        <w:rPr>
          <w:rFonts w:ascii="Times New Roman" w:cs="Times New Roman" w:eastAsia="Times New Roman" w:hAnsi="Times New Roman"/>
          <w:sz w:val="13"/>
          <w:szCs w:val="13"/>
          <w:u w:val="single" w:color="auto"/>
          <w:color w:val="auto"/>
        </w:rPr>
        <w:t>Dividend Payment Date</w:t>
      </w:r>
      <w:r>
        <w:rPr>
          <w:rFonts w:ascii="Times New Roman" w:cs="Times New Roman" w:eastAsia="Times New Roman" w:hAnsi="Times New Roman"/>
          <w:sz w:val="13"/>
          <w:szCs w:val="13"/>
          <w:color w:val="auto"/>
        </w:rPr>
        <w:t xml:space="preserve"> ” shall mean the last calendar day of each March, June, September and December, commencing on June 30, 2014. “ </w:t>
      </w:r>
      <w:r>
        <w:rPr>
          <w:rFonts w:ascii="Times New Roman" w:cs="Times New Roman" w:eastAsia="Times New Roman" w:hAnsi="Times New Roman"/>
          <w:sz w:val="13"/>
          <w:szCs w:val="13"/>
          <w:u w:val="single" w:color="auto"/>
          <w:color w:val="auto"/>
        </w:rPr>
        <w:t>Dividend Period</w:t>
      </w:r>
      <w:r>
        <w:rPr>
          <w:rFonts w:ascii="Times New Roman" w:cs="Times New Roman" w:eastAsia="Times New Roman" w:hAnsi="Times New Roman"/>
          <w:sz w:val="13"/>
          <w:szCs w:val="13"/>
          <w:color w:val="auto"/>
        </w:rPr>
        <w:t xml:space="preserve"> ” shall mean the respective periods commencing on and including the first day of January, April, July and October of each year and ending on and including the day preceding the first day of the next succeeding Dividend Period (other than the initial Dividend Period, which shall commence on the Original Issue Date and end on and include June 30, 2014, and other than the Dividend Period during which any shares of Series H Preferred Stock shall be redeemed pursuant to Section 5 or Section 6, which shall end on and include the day preceding the redemption date with respect to the shares of Series H Preferred Stock being redeemed).</w:t>
      </w:r>
    </w:p>
    <w:p>
      <w:pPr>
        <w:spacing w:after="0" w:line="307" w:lineRule="exact"/>
        <w:rPr>
          <w:sz w:val="20"/>
          <w:szCs w:val="20"/>
          <w:color w:val="auto"/>
        </w:rPr>
      </w:pPr>
    </w:p>
    <w:p>
      <w:pPr>
        <w:ind w:left="600" w:right="900" w:firstLine="312"/>
        <w:spacing w:after="0" w:line="305" w:lineRule="auto"/>
        <w:rPr>
          <w:sz w:val="20"/>
          <w:szCs w:val="20"/>
          <w:color w:val="auto"/>
        </w:rPr>
      </w:pPr>
      <w:r>
        <w:rPr>
          <w:rFonts w:ascii="Times New Roman" w:cs="Times New Roman" w:eastAsia="Times New Roman" w:hAnsi="Times New Roman"/>
          <w:sz w:val="13"/>
          <w:szCs w:val="13"/>
          <w:color w:val="auto"/>
        </w:rPr>
        <w:t xml:space="preserve">The term “ </w:t>
      </w:r>
      <w:r>
        <w:rPr>
          <w:rFonts w:ascii="Times New Roman" w:cs="Times New Roman" w:eastAsia="Times New Roman" w:hAnsi="Times New Roman"/>
          <w:sz w:val="13"/>
          <w:szCs w:val="13"/>
          <w:u w:val="single" w:color="auto"/>
          <w:color w:val="auto"/>
        </w:rPr>
        <w:t>Business Day</w:t>
      </w:r>
      <w:r>
        <w:rPr>
          <w:rFonts w:ascii="Times New Roman" w:cs="Times New Roman" w:eastAsia="Times New Roman" w:hAnsi="Times New Roman"/>
          <w:sz w:val="13"/>
          <w:szCs w:val="13"/>
          <w:color w:val="auto"/>
        </w:rPr>
        <w:t xml:space="preserve"> ” shall mean each day, other than a Saturday or a Sunday, which is not a day on which banking institutions in New York, New York are authorized or required by law, regulation or executive order to close.</w:t>
      </w:r>
    </w:p>
    <w:p>
      <w:pPr>
        <w:spacing w:after="0" w:line="124" w:lineRule="exact"/>
        <w:rPr>
          <w:sz w:val="20"/>
          <w:szCs w:val="20"/>
          <w:color w:val="auto"/>
        </w:rPr>
      </w:pPr>
    </w:p>
    <w:p>
      <w:pPr>
        <w:ind w:left="600" w:right="720" w:firstLine="306"/>
        <w:spacing w:after="0" w:line="287" w:lineRule="auto"/>
        <w:tabs>
          <w:tab w:leader="none" w:pos="1092" w:val="left"/>
        </w:tabs>
        <w:numPr>
          <w:ilvl w:val="0"/>
          <w:numId w:val="3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anything contained herein to the contrary, dividends on the Series H Preferred Stock shall accrue whether or not the Company has earnings, whether or not there are funds legally available for the payment of such dividends, and whether or not such dividends are authorized or declared.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666750</wp:posOffset>
            </wp:positionV>
            <wp:extent cx="5083810" cy="1524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89">
                      <a:extLst>
                        <a:ext uri="{28A0092B-C50C-407E-A947-70E740481C1C}"/>
                      </a:extLst>
                    </a:blip>
                    <a:srcRect/>
                    <a:stretch>
                      <a:fillRect/>
                    </a:stretch>
                  </pic:blipFill>
                  <pic:spPr bwMode="auto">
                    <a:xfrm>
                      <a:off x="0" y="0"/>
                      <a:ext cx="5083810" cy="15240"/>
                    </a:xfrm>
                    <a:prstGeom prst="rect">
                      <a:avLst/>
                    </a:prstGeom>
                    <a:noFill/>
                  </pic:spPr>
                </pic:pic>
              </a:graphicData>
            </a:graphic>
          </wp:anchor>
        </w:drawing>
        <w:drawing>
          <wp:anchor simplePos="0" relativeHeight="251657728" behindDoc="1" locked="0" layoutInCell="0" allowOverlap="1">
            <wp:simplePos x="0" y="0"/>
            <wp:positionH relativeFrom="column">
              <wp:posOffset>384810</wp:posOffset>
            </wp:positionH>
            <wp:positionV relativeFrom="paragraph">
              <wp:posOffset>316230</wp:posOffset>
            </wp:positionV>
            <wp:extent cx="4436110" cy="762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90">
                      <a:extLst>
                        <a:ext uri="{28A0092B-C50C-407E-A947-70E740481C1C}"/>
                      </a:extLst>
                    </a:blip>
                    <a:srcRect/>
                    <a:stretch>
                      <a:fillRect/>
                    </a:stretch>
                  </pic:blipFill>
                  <pic:spPr bwMode="auto">
                    <a:xfrm>
                      <a:off x="0" y="0"/>
                      <a:ext cx="4436110" cy="762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81" w:name="page382"/>
    <w:bookmarkEnd w:id="381"/>
    <w:p>
      <w:pPr>
        <w:ind w:left="600" w:right="620" w:firstLine="306"/>
        <w:spacing w:after="0" w:line="272" w:lineRule="auto"/>
        <w:tabs>
          <w:tab w:leader="none" w:pos="1080" w:val="left"/>
        </w:tabs>
        <w:numPr>
          <w:ilvl w:val="0"/>
          <w:numId w:val="3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provided in Section 3(d) below, no dividends shall be declared and paid or declared and set apart for payment, and no other distribution of cash or other property may be declared and made, directly or indirectly, on or with respect to, any shares of Common Stock or shares of any other class or series of capital stock of the Company ranking, as to dividends, on parity with or junior to the Series H Preferred Stock (other than a dividend paid in shares of Common Stock or in shares of any other class or series of capital stock ranking junior to the Series H Preferred Stock as to payment of dividends and the distribution of assets upon the Company’s liquidation, dissolution or winding up) for any period, nor shall any shares of Common Stock or any other shares of any other class or series of capital stock of the Company ranking, as to payment of dividends and the distribution of assets upon the Company’s liquidation, dissolution or winding up, on parity with or junior to the Series H Preferred Stock be redeemed, purchased or otherwise acquired for any consideration, nor shall any funds be paid or made available for a sinking fund for the redemption of such shares, and no other distribution of cash or other property may be made, directly or indirectly, on or with respect thereto by the Company (except by conversion into or exchange for other shares of any class or series of capital stock of the Company ranking junior to the Series H Preferred Stock as to payment of dividends and the distribution of assets upon the Company’s liquidation, dissolution or winding up, and except for the acquisition of shares made pursuant to the provisions of Article VI of the Charter or Section 9 hereof), unless full cumulative dividends on the Series H Preferred Stock for all past dividend periods shall have been or contemporaneously are (i) declared and paid in cash or (ii) declared and a sum sufficient for the payment thereof in cash is set apart for such payment.</w:t>
      </w:r>
    </w:p>
    <w:p>
      <w:pPr>
        <w:spacing w:after="0" w:line="136" w:lineRule="exact"/>
        <w:rPr>
          <w:rFonts w:ascii="Times New Roman" w:cs="Times New Roman" w:eastAsia="Times New Roman" w:hAnsi="Times New Roman"/>
          <w:sz w:val="13"/>
          <w:szCs w:val="13"/>
          <w:color w:val="auto"/>
        </w:rPr>
      </w:pPr>
    </w:p>
    <w:p>
      <w:pPr>
        <w:ind w:left="600" w:right="640" w:firstLine="306"/>
        <w:spacing w:after="0" w:line="274" w:lineRule="auto"/>
        <w:tabs>
          <w:tab w:leader="none" w:pos="1092" w:val="left"/>
        </w:tabs>
        <w:numPr>
          <w:ilvl w:val="0"/>
          <w:numId w:val="3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When dividends are not paid in full (and a sum sufficient for such full payment is not so set apart) on the Series H Preferred Stock and the shares of any other class or series of capital stock ranking, as to dividends, on parity with the Series H Preferred Stock, all dividends declared upon the Series H Preferred Stock and each such other class or series of capital stock ranking, as to dividends, on parity with the Series H Preferred Stock shall be declared pro rata so that the amount of dividends declared per share of Series H Preferred Stock and such other class or series of capital stock shall in all cases bear to each other the same ratio that accrued dividends per share on the Series H Preferred Stock and such other class or series of capital stock (which shall not include any accrual in respect of unpaid dividends on such other class or series of capital stock for prior dividend periods if such other class or series of capital stock does not have a cumulative dividend) bear to each other. No interest, or sum of money in lieu of interest, shall be payable in respect of any dividend payment or payments on the Series H Preferred Stock which may be in arrears.</w:t>
      </w:r>
    </w:p>
    <w:p>
      <w:pPr>
        <w:spacing w:after="0" w:line="303" w:lineRule="exact"/>
        <w:rPr>
          <w:rFonts w:ascii="Times New Roman" w:cs="Times New Roman" w:eastAsia="Times New Roman" w:hAnsi="Times New Roman"/>
          <w:sz w:val="13"/>
          <w:szCs w:val="13"/>
          <w:color w:val="auto"/>
        </w:rPr>
      </w:pPr>
    </w:p>
    <w:p>
      <w:pPr>
        <w:ind w:left="600" w:right="660" w:firstLine="306"/>
        <w:spacing w:after="0" w:line="278" w:lineRule="auto"/>
        <w:tabs>
          <w:tab w:leader="none" w:pos="1092" w:val="left"/>
        </w:tabs>
        <w:numPr>
          <w:ilvl w:val="0"/>
          <w:numId w:val="3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Holders of shares of Series H Preferred Stock shall not be entitled to any dividend, whether payable in cash, property or shares of capital stock, in excess of full cumulative dividends on the Series H Preferred Stock as provided herein. Any dividend payment made on the Series H Preferred Stock shall first be credited against the earliest accrued but unpaid dividends due with respect to such shares which remain payable. Accrued but unpaid distributions on the Series H Preferred Stock will accumulate as of the Dividend Payment Date on which they first become payable.</w:t>
      </w:r>
    </w:p>
    <w:p>
      <w:pPr>
        <w:spacing w:after="0" w:line="14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Section 4. </w:t>
      </w:r>
      <w:r>
        <w:rPr>
          <w:rFonts w:ascii="Times New Roman" w:cs="Times New Roman" w:eastAsia="Times New Roman" w:hAnsi="Times New Roman"/>
          <w:sz w:val="13"/>
          <w:szCs w:val="13"/>
          <w:u w:val="single" w:color="auto"/>
          <w:color w:val="auto"/>
        </w:rPr>
        <w:t>Liquidation Preference</w:t>
      </w:r>
      <w:r>
        <w:rPr>
          <w:rFonts w:ascii="Times New Roman" w:cs="Times New Roman" w:eastAsia="Times New Roman" w:hAnsi="Times New Roman"/>
          <w:sz w:val="13"/>
          <w:szCs w:val="13"/>
          <w:color w:val="auto"/>
        </w:rPr>
        <w:t xml:space="preserve"> .</w:t>
      </w:r>
    </w:p>
    <w:p>
      <w:pPr>
        <w:spacing w:after="0" w:line="187" w:lineRule="exact"/>
        <w:rPr>
          <w:sz w:val="20"/>
          <w:szCs w:val="20"/>
          <w:color w:val="auto"/>
        </w:rPr>
      </w:pPr>
    </w:p>
    <w:p>
      <w:pPr>
        <w:ind w:left="600" w:right="600" w:firstLine="306"/>
        <w:spacing w:after="0" w:line="272" w:lineRule="auto"/>
        <w:tabs>
          <w:tab w:leader="none" w:pos="1092" w:val="left"/>
        </w:tabs>
        <w:numPr>
          <w:ilvl w:val="0"/>
          <w:numId w:val="3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any voluntary or involuntary liquidation, dissolution or winding up of the Company, before any distribution or payment shall be made to holders of shares of Common Stock or any other class or series of capital stock of the Company ranking, as to rights upon any voluntary or involuntary liquidation, dissolution or winding up of the Company, junior to the Series H Preferred Stock, the holders of shares of Series H Preferred Stock shall be entitled to be paid out of the assets of the Company legally available for distribution to its stockholders, after payment of or provision for the debts and other liabilities of the Company and, subject to compliance with section 7(f)(i) of these Articles Supplementary, any class or series of capital stock of the Company ranking, as to rights upon any voluntary or involuntary liquidation, dissolution or winding up of the Company, senior to the Series H Preferred Stock, a liquidation preference of $25.00 per share, plus an amount equal to any accrued and unpaid dividends (whether or not authorized or declared) to but excluding the date of payment. In the event that, upon such voluntary or involuntary liquidation, dissolution or winding up, the available assets of the Company are insufficient to pay the full amount of the liquidating distributions on all outstanding shares of Series H Preferred Stock and the corresponding amounts payable on all shares of other classes or series of capital stock of the Company ranking, as to rights upon the Company’s liquidation, dissolution or winding up, on parity with the Series H Preferred Stock in the distribution of assets, then the holders of the Series H Preferred Stock and each such other class or series of capital stock ranking, as to rights upon any voluntary or involuntary liquidation, dissolution or winding up, on parity with the Series H Preferred Stock shall share ratably in any such distribution of assets in proportion to the full liquidating distributions to which they would otherwise be respectively entitled.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681990</wp:posOffset>
            </wp:positionV>
            <wp:extent cx="5083810" cy="1524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91">
                      <a:extLst>
                        <a:ext uri="{28A0092B-C50C-407E-A947-70E740481C1C}"/>
                      </a:extLst>
                    </a:blip>
                    <a:srcRect/>
                    <a:stretch>
                      <a:fillRect/>
                    </a:stretch>
                  </pic:blipFill>
                  <pic:spPr bwMode="auto">
                    <a:xfrm>
                      <a:off x="0" y="0"/>
                      <a:ext cx="5083810" cy="15240"/>
                    </a:xfrm>
                    <a:prstGeom prst="rect">
                      <a:avLst/>
                    </a:prstGeom>
                    <a:noFill/>
                  </pic:spPr>
                </pic:pic>
              </a:graphicData>
            </a:graphic>
          </wp:anchor>
        </w:drawing>
        <w:drawing>
          <wp:anchor simplePos="0" relativeHeight="251657728" behindDoc="1" locked="0" layoutInCell="0" allowOverlap="1">
            <wp:simplePos x="0" y="0"/>
            <wp:positionH relativeFrom="column">
              <wp:posOffset>384810</wp:posOffset>
            </wp:positionH>
            <wp:positionV relativeFrom="paragraph">
              <wp:posOffset>316230</wp:posOffset>
            </wp:positionV>
            <wp:extent cx="4436110" cy="1524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92">
                      <a:extLst>
                        <a:ext uri="{28A0092B-C50C-407E-A947-70E740481C1C}"/>
                      </a:extLst>
                    </a:blip>
                    <a:srcRect/>
                    <a:stretch>
                      <a:fillRect/>
                    </a:stretch>
                  </pic:blipFill>
                  <pic:spPr bwMode="auto">
                    <a:xfrm>
                      <a:off x="0" y="0"/>
                      <a:ext cx="44361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82" w:name="page383"/>
    <w:bookmarkEnd w:id="382"/>
    <w:p>
      <w:pPr>
        <w:ind w:left="600" w:right="640"/>
        <w:spacing w:after="0" w:line="274" w:lineRule="auto"/>
        <w:rPr>
          <w:sz w:val="20"/>
          <w:szCs w:val="20"/>
          <w:color w:val="auto"/>
        </w:rPr>
      </w:pPr>
      <w:r>
        <w:rPr>
          <w:rFonts w:ascii="Times New Roman" w:cs="Times New Roman" w:eastAsia="Times New Roman" w:hAnsi="Times New Roman"/>
          <w:sz w:val="13"/>
          <w:szCs w:val="13"/>
          <w:color w:val="auto"/>
        </w:rPr>
        <w:t>Written notice of any such voluntary or involuntary liquidation, dissolution or winding up of the Company, stating the payment date or dates when, and the place or places where, the amounts distributable in such circumstances shall be payable, shall be given by first class mail, postage pre-paid, not fewer than 30 or more than 60 days prior to the payment date stated therein, to each record holder of shares of Series H Preferred Stock at the respective addresses of such holders as the same shall appear on the stock transfer records of the Company. After payment of the full amount of the liquidating distributions to which they are entitled, the holders of Series H Preferred Stock will have no right or claim to any of the remaining assets of the Company. The consolidation or merger of the Company with or into any other corporation, trust or entity, or the voluntary sale, lease, transfer or conveyance of all or substantially all of the property or business of the Company, shall not be deemed to constitute a liquidation, dissolution or winding up of the Company.</w:t>
      </w:r>
    </w:p>
    <w:p>
      <w:pPr>
        <w:spacing w:after="0" w:line="135" w:lineRule="exact"/>
        <w:rPr>
          <w:sz w:val="20"/>
          <w:szCs w:val="20"/>
          <w:color w:val="auto"/>
        </w:rPr>
      </w:pPr>
    </w:p>
    <w:p>
      <w:pPr>
        <w:ind w:left="1080" w:hanging="174"/>
        <w:spacing w:after="0"/>
        <w:tabs>
          <w:tab w:leader="none" w:pos="1080" w:val="left"/>
        </w:tabs>
        <w:numPr>
          <w:ilvl w:val="0"/>
          <w:numId w:val="3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determining whether a distribution (other than upon voluntary or involuntary liquidation), by dividend, redemption or other</w:t>
      </w:r>
    </w:p>
    <w:p>
      <w:pPr>
        <w:spacing w:after="0" w:line="22" w:lineRule="exact"/>
        <w:rPr>
          <w:rFonts w:ascii="Times New Roman" w:cs="Times New Roman" w:eastAsia="Times New Roman" w:hAnsi="Times New Roman"/>
          <w:sz w:val="13"/>
          <w:szCs w:val="13"/>
          <w:color w:val="auto"/>
        </w:rPr>
      </w:pPr>
    </w:p>
    <w:p>
      <w:pPr>
        <w:ind w:left="600" w:right="720"/>
        <w:spacing w:after="0" w:line="284"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acquisition of shares of capital stock of the Company or otherwise, is permitted under the MGCL, amounts that would be needed, if the Company were to be dissolved at the time of the distribution, to satisfy the preferential rights upon dissolution of holders of shares of Series H Preferred Stock shall not be added to the Company’s total liabilities.</w:t>
      </w:r>
    </w:p>
    <w:p>
      <w:pPr>
        <w:spacing w:after="0" w:line="13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Section 5. </w:t>
      </w:r>
      <w:r>
        <w:rPr>
          <w:rFonts w:ascii="Times New Roman" w:cs="Times New Roman" w:eastAsia="Times New Roman" w:hAnsi="Times New Roman"/>
          <w:sz w:val="13"/>
          <w:szCs w:val="13"/>
          <w:u w:val="single" w:color="auto"/>
          <w:color w:val="auto"/>
        </w:rPr>
        <w:t>Redemption</w:t>
      </w:r>
      <w:r>
        <w:rPr>
          <w:rFonts w:ascii="Times New Roman" w:cs="Times New Roman" w:eastAsia="Times New Roman" w:hAnsi="Times New Roman"/>
          <w:sz w:val="13"/>
          <w:szCs w:val="13"/>
          <w:color w:val="auto"/>
        </w:rPr>
        <w:t xml:space="preserve"> .</w:t>
      </w:r>
    </w:p>
    <w:p>
      <w:pPr>
        <w:spacing w:after="0" w:line="187" w:lineRule="exact"/>
        <w:rPr>
          <w:sz w:val="20"/>
          <w:szCs w:val="20"/>
          <w:color w:val="auto"/>
        </w:rPr>
      </w:pPr>
    </w:p>
    <w:p>
      <w:pPr>
        <w:ind w:left="600" w:right="740" w:firstLine="312"/>
        <w:spacing w:after="0" w:line="278" w:lineRule="auto"/>
        <w:rPr>
          <w:sz w:val="20"/>
          <w:szCs w:val="20"/>
          <w:color w:val="auto"/>
        </w:rPr>
      </w:pPr>
      <w:r>
        <w:rPr>
          <w:rFonts w:ascii="Times New Roman" w:cs="Times New Roman" w:eastAsia="Times New Roman" w:hAnsi="Times New Roman"/>
          <w:sz w:val="13"/>
          <w:szCs w:val="13"/>
          <w:color w:val="auto"/>
        </w:rPr>
        <w:t>(a) Shares of Series H Preferred Stock shall not be redeemable prior to March 26, 2019 except as set forth in Section 6 or to preserve the status of the Company as a REIT (as defined in Section 9(a)) for United States federal income tax purposes. In addition, the Series H Preferred Stock shall be subject to the provisions of Section 9 pursuant to which Series H Preferred Stock owned by a stockholder in excess of the Ownership Limit (as defined in Section 9(a)) shall automatically be transferred to a Trust (as defined in Section 9(a)) for the exclusive benefit of a Charitable Beneficiary (as defined in Section 9(a)).</w:t>
      </w:r>
    </w:p>
    <w:p>
      <w:pPr>
        <w:spacing w:after="0" w:line="143" w:lineRule="exact"/>
        <w:rPr>
          <w:sz w:val="20"/>
          <w:szCs w:val="20"/>
          <w:color w:val="auto"/>
        </w:rPr>
      </w:pPr>
    </w:p>
    <w:p>
      <w:pPr>
        <w:ind w:left="600" w:right="620" w:firstLine="312"/>
        <w:spacing w:after="0" w:line="271" w:lineRule="auto"/>
        <w:rPr>
          <w:sz w:val="20"/>
          <w:szCs w:val="20"/>
          <w:color w:val="auto"/>
        </w:rPr>
      </w:pPr>
      <w:r>
        <w:rPr>
          <w:rFonts w:ascii="Times New Roman" w:cs="Times New Roman" w:eastAsia="Times New Roman" w:hAnsi="Times New Roman"/>
          <w:sz w:val="13"/>
          <w:szCs w:val="13"/>
          <w:color w:val="auto"/>
        </w:rPr>
        <w:t xml:space="preserve">(b) On and after March 26, 2019, the Company, at its option upon not fewer than 30 or more than 60 days’ written notice, may redeem the Series H Preferred Stock, in whole or in part, at any time or from time to time, for cash at a redemption price of $25.00 per share, plus all accrued and unpaid dividends (whether or not authorized or declared) thereon up to but not including the date fixed for redemption, without interest, to the extent the Company has funds legally available therefor (the “ </w:t>
      </w:r>
      <w:r>
        <w:rPr>
          <w:rFonts w:ascii="Times New Roman" w:cs="Times New Roman" w:eastAsia="Times New Roman" w:hAnsi="Times New Roman"/>
          <w:sz w:val="13"/>
          <w:szCs w:val="13"/>
          <w:u w:val="single" w:color="auto"/>
          <w:color w:val="auto"/>
        </w:rPr>
        <w:t>Redemption Right</w:t>
      </w:r>
      <w:r>
        <w:rPr>
          <w:rFonts w:ascii="Times New Roman" w:cs="Times New Roman" w:eastAsia="Times New Roman" w:hAnsi="Times New Roman"/>
          <w:sz w:val="13"/>
          <w:szCs w:val="13"/>
          <w:color w:val="auto"/>
        </w:rPr>
        <w:t xml:space="preserve"> ”). If fewer than all of the outstanding shares of Series H Preferred Stock are to be redeemed, the shares of Series H Preferred Stock to be redeemed shall be redeemed pro rata (as nearly as may be practicable without creating fractional shares) or by lot as determined by the Company. If redemption is to be by lot and, as a result, any holder of shares of Series H Preferred Stock would have actual ownership, Beneficial Ownership or Constructive Ownership (each as defined in Section 9(a)) in excess of the Ownership Limit (as defined in Section 9(a)), the Aggregate Stock Ownership Limit (as defined in Section 9(a)), or such other limit as permitted by the Board of Directors or the Committee pursuant to Section 9(i), because such holder’s shares of Series H Preferred Stock were not redeemed, or were only redeemed in part, then, except as otherwise provided in the Charter, the Company shall redeem the requisite number of shares of Series H Preferred Stock of such holder such that no holder will hold an amount of Series H Preferred Stock in excess of the applicable ownership limit, subsequent to such redemption. Holders of Series H Preferred Stock to be redeemed shall surrender such Series H Preferred Stock at the place, or in accordance with the book entry procedures, designated in such notice and shall be entitled to the redemption price of $25.00 per share and any accrued and unpaid dividends payable upon such redemption following such surrender. If (i) notice of redemption of any shares of Series H Preferred Stock has been given (in the case of a redemption of the Series H Preferred Stock other than to preserve the status of the Company as a REIT), (ii) the funds necessary for such redemption have been set aside by the Company in trust for the benefit of the holders of any shares of Series H Preferred Stock so called for redemption, and (iii) irrevocable instructions have been given to pay the redemption price and all accrued and unpaid dividends, then from and after the redemption date, dividends shall cease to accrue on such shares of Series H Preferred Stock, such shares of Series H Preferred Stock shall no longer be deemed outstanding, and all rights of the holders of such shares shall terminate, except the right to receive the redemption price plus any accrued and unpaid dividends payable upon such redemption, without interest. So long as full cumulative dividends on the Series H Preferred</w:t>
      </w:r>
    </w:p>
    <w:p>
      <w:pPr>
        <w:spacing w:after="0" w:line="3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125730</wp:posOffset>
            </wp:positionV>
            <wp:extent cx="4436110" cy="1524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93">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575310</wp:posOffset>
            </wp:positionV>
            <wp:extent cx="5083810" cy="1524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94">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83" w:name="page384"/>
    <w:bookmarkEnd w:id="383"/>
    <w:p>
      <w:pPr>
        <w:ind w:left="600" w:right="780"/>
        <w:spacing w:after="0" w:line="278" w:lineRule="auto"/>
        <w:rPr>
          <w:sz w:val="20"/>
          <w:szCs w:val="20"/>
          <w:color w:val="auto"/>
        </w:rPr>
      </w:pPr>
      <w:r>
        <w:rPr>
          <w:rFonts w:ascii="Times New Roman" w:cs="Times New Roman" w:eastAsia="Times New Roman" w:hAnsi="Times New Roman"/>
          <w:sz w:val="13"/>
          <w:szCs w:val="13"/>
          <w:color w:val="auto"/>
        </w:rPr>
        <w:t>Stock for all past dividend periods shall have been or contemporaneously are (i) declared and paid in cash, or (ii) declared and a sum sufficient for the payment thereof in cash is set apart for payment, nothing herein shall prevent or restrict the Company’s right or ability to purchase, from time to time, either at a public or a private sale, all or any part of the Series H Preferred Stock at such price or prices as the Company may determine, subject to the provisions of applicable law, including the repurchase of shares of Series H Preferred Stock in open-market transactions duly authorized by the Board of Directors.</w:t>
      </w:r>
    </w:p>
    <w:p>
      <w:pPr>
        <w:spacing w:after="0" w:line="143" w:lineRule="exact"/>
        <w:rPr>
          <w:sz w:val="20"/>
          <w:szCs w:val="20"/>
          <w:color w:val="auto"/>
        </w:rPr>
      </w:pPr>
    </w:p>
    <w:p>
      <w:pPr>
        <w:ind w:left="600" w:right="700" w:firstLine="306"/>
        <w:spacing w:after="0" w:line="271" w:lineRule="auto"/>
        <w:tabs>
          <w:tab w:leader="none" w:pos="1092" w:val="left"/>
        </w:tabs>
        <w:numPr>
          <w:ilvl w:val="0"/>
          <w:numId w:val="3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event of any redemption of the Series H Preferred Stock in order to preserve the status of the Company as a REIT for United States federal income tax purposes, such redemption shall be made in accordance with the terms and conditions set forth in this Section 5 of these Articles Supplementary. If the Company calls for redemption any shares of Series H Preferred Stock pursuant to and in accordance with this Section 5(c), then the redemption price for such shares will be an amount in cash equal to</w:t>
      </w:r>
    </w:p>
    <w:p>
      <w:pPr>
        <w:ind w:left="60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$25.00 per share together with all accrued and unpaid dividends to but excluding the dated fixed for redemption.</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(d) Unless full cumulative dividends on the Series H Preferred Stock for all past dividend periods shall have been or  contemporaneously are</w:t>
      </w:r>
    </w:p>
    <w:p>
      <w:pPr>
        <w:spacing w:after="0" w:line="22" w:lineRule="exact"/>
        <w:rPr>
          <w:sz w:val="20"/>
          <w:szCs w:val="20"/>
          <w:color w:val="auto"/>
        </w:rPr>
      </w:pPr>
    </w:p>
    <w:p>
      <w:pPr>
        <w:ind w:left="600" w:right="660" w:hanging="6"/>
        <w:spacing w:after="0" w:line="272" w:lineRule="auto"/>
        <w:tabs>
          <w:tab w:leader="none" w:pos="756" w:val="left"/>
        </w:tabs>
        <w:numPr>
          <w:ilvl w:val="0"/>
          <w:numId w:val="3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declared and paid in cash, or (ii) declared and a sum sufficient for the payment thereof in cash is set apart for payment, no shares of Series H Preferred Stock shall be redeemed pursuant to the Redemption Right or Special Optional Redemption Right (defined below) unless all outstanding shares of Series H Preferred Stock are simultaneously redeemed, and the Company shall not purchase or otherwise acquire directly or indirectly any shares of Series H Preferred Stock or any class or series of capital stock of the Company ranking, as to payment of dividends and the distribution of assets upon liquidation, dissolution or winding up of the Company, on parity with or junior to the Series H Preferred Stock (except by conversion into or exchange for shares of capital stock of the Company ranking, as to payment of dividends and the distribution of assets upon liquidation, dissolution or winding up of the Company, junior to the Series H Preferred Stock);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 that the foregoing shall not prevent the purchase of Series H Preferred Stock, or any other class or series of capital stock of the Company ranking, as to payment of dividends and the distribution of assets upon liquidation, dissolution or winding up of the Company, on parity with or junior to the Series H Preferred Stock, by the Company in accordance with the terms of Sections 5(c) and 9 of these Articles Supplementary or otherwise, in order to ensure that the Company remains qualified as a REIT for United States federal income tax purposes, or the purchase or acquisition of Series H Preferred Stock pursuant to a purchase or exchange offer made on the same terms to holders of all outstanding shares of Series H Preferred Stock.</w:t>
      </w:r>
    </w:p>
    <w:p>
      <w:pPr>
        <w:spacing w:after="0" w:line="135" w:lineRule="exact"/>
        <w:rPr>
          <w:rFonts w:ascii="Times New Roman" w:cs="Times New Roman" w:eastAsia="Times New Roman" w:hAnsi="Times New Roman"/>
          <w:sz w:val="13"/>
          <w:szCs w:val="13"/>
          <w:color w:val="auto"/>
        </w:rPr>
      </w:pPr>
    </w:p>
    <w:p>
      <w:pPr>
        <w:ind w:left="600" w:right="600" w:firstLine="306"/>
        <w:spacing w:after="0" w:line="272" w:lineRule="auto"/>
        <w:tabs>
          <w:tab w:leader="none" w:pos="1080" w:val="left"/>
        </w:tabs>
        <w:numPr>
          <w:ilvl w:val="1"/>
          <w:numId w:val="3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Notice of redemption pursuant to the Redemption Right will be given by publication in a newspaper of general circulation in the City of New York, such publication to be made once a week for two successive weeks commencing not fewer than 30 or more than 60 days prior to the redemption date. A similar notice will be mailed by the Company, postage prepaid, not fewer than 30 or more than 60 days prior to the redemption date, addressed to the respective holders of record of the Series H Preferred Stock to be redeemed at their respective addresses as they appear on the transfer records of the Company. No failure to give or defect in such notice shall affect the validity of the proceedings for the redemption of any Series H Preferred Stock except as to the holder to whom such notice was defective or not given. In addition to any information required by law or by the applicable rules of any exchange upon which the Series H Preferred Stock may be listed or admitted to trading, each such notice shall state: (i) the redemption date; (ii) the redemption price; (iii) the number of shares of Series H Preferred Stock to be redeemed; (iv) the place or places where the certificates, if any, representing shares of Series H Preferred Stock are to be surrendered for payment of the redemption price; (v) procedures for surrendering noncertificated shares of Series H Preferred Stock for payment of the redemption price; (vi) that dividends on the shares of Series H Preferred Stock to be redeemed will cease to accumulate on such redemption date; and (vii) that payment of the redemption price and any accumulated and unpaid dividends will be made upon presentation and surrender of such Series H Preferred Stock. If fewer than all of the shares of Series H Preferred Stock held by any holder are to be redeemed, the notice mailed to such holder shall also specify the number of shares of Series H Preferred Stock held by such holder to be redeemed. Notwithstanding anything else to the contrary in these Articles Supplementary, the Company shall not be required to provide notice to the holder of Series H Preferred Stock in the event such holder’s Series H Preferred Stock is redeemed in accordance with Sections 5(c) and 9 of these Articles Supplementary to preserve the Company’s status as a REIT.</w:t>
      </w:r>
    </w:p>
    <w:p>
      <w:pPr>
        <w:spacing w:after="0" w:line="134" w:lineRule="exact"/>
        <w:rPr>
          <w:rFonts w:ascii="Times New Roman" w:cs="Times New Roman" w:eastAsia="Times New Roman" w:hAnsi="Times New Roman"/>
          <w:sz w:val="13"/>
          <w:szCs w:val="13"/>
          <w:color w:val="auto"/>
        </w:rPr>
      </w:pPr>
    </w:p>
    <w:p>
      <w:pPr>
        <w:ind w:left="600" w:right="580" w:firstLine="306"/>
        <w:spacing w:after="0" w:line="305" w:lineRule="auto"/>
        <w:tabs>
          <w:tab w:leader="none" w:pos="1068" w:val="left"/>
        </w:tabs>
        <w:numPr>
          <w:ilvl w:val="1"/>
          <w:numId w:val="3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 redemption date falls after a Dividend Record Date and on or prior to the corresponding Dividend Payment Date, each holder of Series H Preferred Stock at the close of business of such Dividend Record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674370</wp:posOffset>
            </wp:positionV>
            <wp:extent cx="5083810" cy="1524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95">
                      <a:extLst>
                        <a:ext uri="{28A0092B-C50C-407E-A947-70E740481C1C}"/>
                      </a:extLst>
                    </a:blip>
                    <a:srcRect/>
                    <a:stretch>
                      <a:fillRect/>
                    </a:stretch>
                  </pic:blipFill>
                  <pic:spPr bwMode="auto">
                    <a:xfrm>
                      <a:off x="0" y="0"/>
                      <a:ext cx="5083810" cy="15240"/>
                    </a:xfrm>
                    <a:prstGeom prst="rect">
                      <a:avLst/>
                    </a:prstGeom>
                    <a:noFill/>
                  </pic:spPr>
                </pic:pic>
              </a:graphicData>
            </a:graphic>
          </wp:anchor>
        </w:drawing>
        <w:drawing>
          <wp:anchor simplePos="0" relativeHeight="251657728" behindDoc="1" locked="0" layoutInCell="0" allowOverlap="1">
            <wp:simplePos x="0" y="0"/>
            <wp:positionH relativeFrom="column">
              <wp:posOffset>384810</wp:posOffset>
            </wp:positionH>
            <wp:positionV relativeFrom="paragraph">
              <wp:posOffset>316230</wp:posOffset>
            </wp:positionV>
            <wp:extent cx="4436110" cy="762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96">
                      <a:extLst>
                        <a:ext uri="{28A0092B-C50C-407E-A947-70E740481C1C}"/>
                      </a:extLst>
                    </a:blip>
                    <a:srcRect/>
                    <a:stretch>
                      <a:fillRect/>
                    </a:stretch>
                  </pic:blipFill>
                  <pic:spPr bwMode="auto">
                    <a:xfrm>
                      <a:off x="0" y="0"/>
                      <a:ext cx="4436110" cy="762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84" w:name="page385"/>
    <w:bookmarkEnd w:id="384"/>
    <w:p>
      <w:pPr>
        <w:ind w:left="600" w:right="700"/>
        <w:spacing w:after="0" w:line="271" w:lineRule="auto"/>
        <w:rPr>
          <w:sz w:val="20"/>
          <w:szCs w:val="20"/>
          <w:color w:val="auto"/>
        </w:rPr>
      </w:pPr>
      <w:r>
        <w:rPr>
          <w:rFonts w:ascii="Times New Roman" w:cs="Times New Roman" w:eastAsia="Times New Roman" w:hAnsi="Times New Roman"/>
          <w:sz w:val="13"/>
          <w:szCs w:val="13"/>
          <w:color w:val="auto"/>
        </w:rPr>
        <w:t>shall be entitled to the dividend payable on such shares on the corresponding Dividend Payment Date notwithstanding the redemption of such shares on or prior to such Dividend Payment Date, and each holder of Series H Preferred Stock that surrenders its shares on such redemption date will be entitled to the dividends accruing after the end of the Dividend Period to</w:t>
      </w:r>
    </w:p>
    <w:p>
      <w:pPr>
        <w:spacing w:after="0" w:line="1" w:lineRule="exact"/>
        <w:rPr>
          <w:sz w:val="20"/>
          <w:szCs w:val="20"/>
          <w:color w:val="auto"/>
        </w:rPr>
      </w:pPr>
    </w:p>
    <w:p>
      <w:pPr>
        <w:ind w:left="600" w:right="620"/>
        <w:spacing w:after="0" w:line="299" w:lineRule="auto"/>
        <w:rPr>
          <w:sz w:val="20"/>
          <w:szCs w:val="20"/>
          <w:color w:val="auto"/>
        </w:rPr>
      </w:pPr>
      <w:r>
        <w:rPr>
          <w:rFonts w:ascii="Times New Roman" w:cs="Times New Roman" w:eastAsia="Times New Roman" w:hAnsi="Times New Roman"/>
          <w:sz w:val="13"/>
          <w:szCs w:val="13"/>
          <w:color w:val="auto"/>
        </w:rPr>
        <w:t>which such Dividend Payment Date relates up to but excluding the redemption date. Except as provided herein, the Company shall make no payment or allowance for unpaid dividends, whether or not in arrears, on Series H Preferred Stock for which a notice of redemption has been given.</w:t>
      </w:r>
    </w:p>
    <w:p>
      <w:pPr>
        <w:spacing w:after="0" w:line="128" w:lineRule="exact"/>
        <w:rPr>
          <w:sz w:val="20"/>
          <w:szCs w:val="20"/>
          <w:color w:val="auto"/>
        </w:rPr>
      </w:pPr>
    </w:p>
    <w:p>
      <w:pPr>
        <w:ind w:left="600" w:right="1040" w:firstLine="306"/>
        <w:spacing w:after="0" w:line="287" w:lineRule="auto"/>
        <w:tabs>
          <w:tab w:leader="none" w:pos="1092" w:val="left"/>
        </w:tabs>
        <w:numPr>
          <w:ilvl w:val="0"/>
          <w:numId w:val="3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shares of the Series H Preferred Stock redeemed or repurchased pursuant to this Section 5, or otherwise acquired in any other manner by the Company, shall be retired and shall be restored to the status of authorized but unissued shares of Preferred Stock, without designation as to series or class.</w:t>
      </w:r>
    </w:p>
    <w:p>
      <w:pPr>
        <w:spacing w:after="0" w:line="135" w:lineRule="exact"/>
        <w:rPr>
          <w:rFonts w:ascii="Times New Roman" w:cs="Times New Roman" w:eastAsia="Times New Roman" w:hAnsi="Times New Roman"/>
          <w:sz w:val="13"/>
          <w:szCs w:val="13"/>
          <w:color w:val="auto"/>
        </w:rPr>
      </w:pPr>
    </w:p>
    <w:p>
      <w:pPr>
        <w:ind w:left="600" w:right="740" w:firstLine="306"/>
        <w:spacing w:after="0" w:line="287" w:lineRule="auto"/>
        <w:tabs>
          <w:tab w:leader="none" w:pos="1092" w:val="left"/>
        </w:tabs>
        <w:numPr>
          <w:ilvl w:val="0"/>
          <w:numId w:val="3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Series H Preferred Stock shall have no stated maturity and shall not be subject to any sinking fund or mandatory redemption;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 that the Series H Preferred Stock owned by a stockholder in excess of the applicable ownership limit shall be subject to the provisions of this Section 5 and Section 9 of these Articles Supplementary.</w:t>
      </w:r>
    </w:p>
    <w:p>
      <w:pPr>
        <w:spacing w:after="0" w:line="13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Section 6. </w:t>
      </w:r>
      <w:r>
        <w:rPr>
          <w:rFonts w:ascii="Times New Roman" w:cs="Times New Roman" w:eastAsia="Times New Roman" w:hAnsi="Times New Roman"/>
          <w:sz w:val="13"/>
          <w:szCs w:val="13"/>
          <w:u w:val="single" w:color="auto"/>
          <w:color w:val="auto"/>
        </w:rPr>
        <w:t>Special Optional Redemption by the Company</w:t>
      </w:r>
      <w:r>
        <w:rPr>
          <w:rFonts w:ascii="Times New Roman" w:cs="Times New Roman" w:eastAsia="Times New Roman" w:hAnsi="Times New Roman"/>
          <w:sz w:val="13"/>
          <w:szCs w:val="13"/>
          <w:color w:val="auto"/>
        </w:rPr>
        <w:t xml:space="preserve"> .</w:t>
      </w:r>
    </w:p>
    <w:p>
      <w:pPr>
        <w:spacing w:after="0" w:line="187" w:lineRule="exact"/>
        <w:rPr>
          <w:sz w:val="20"/>
          <w:szCs w:val="20"/>
          <w:color w:val="auto"/>
        </w:rPr>
      </w:pPr>
    </w:p>
    <w:p>
      <w:pPr>
        <w:ind w:left="600" w:right="640" w:firstLine="306"/>
        <w:spacing w:after="0" w:line="273" w:lineRule="auto"/>
        <w:tabs>
          <w:tab w:leader="none" w:pos="1092" w:val="left"/>
        </w:tabs>
        <w:numPr>
          <w:ilvl w:val="0"/>
          <w:numId w:val="3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Upon the occurrence of a Change of Control (as defined below), the Company will have the option upon written notice mailed by the Company, postage pre-paid, no fewer than 30 nor more than 60 days prior to the redemption date and addressed to the holders of record of shares of the Series H Preferred Stock to be redeemed at their respective addresses as they appear on the share transfer records of the Company, to redeem shares of the Series H Preferred Stock, in whole or in part within 120 days after the first date on which such Change of Control occurred, for cash at $25.00 per share plus accrued and unpaid dividends, if any, to, but not including, the redemption date (“ </w:t>
      </w:r>
      <w:r>
        <w:rPr>
          <w:rFonts w:ascii="Times New Roman" w:cs="Times New Roman" w:eastAsia="Times New Roman" w:hAnsi="Times New Roman"/>
          <w:sz w:val="13"/>
          <w:szCs w:val="13"/>
          <w:u w:val="single" w:color="auto"/>
          <w:color w:val="auto"/>
        </w:rPr>
        <w:t>Special Optional Redemption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Right</w:t>
      </w:r>
      <w:r>
        <w:rPr>
          <w:rFonts w:ascii="Times New Roman" w:cs="Times New Roman" w:eastAsia="Times New Roman" w:hAnsi="Times New Roman"/>
          <w:sz w:val="13"/>
          <w:szCs w:val="13"/>
          <w:color w:val="auto"/>
        </w:rPr>
        <w:t xml:space="preserve"> ”). No failure to give such notice or any defect thereto or in the mailing thereof shall affect the validity of the proceedings for the redemption of any shares of Series H Preferred Stock except as to the holder to whom notice was defective or not given. If, prior to the Change of Control Conversion Date (as defined below), the Company has provided or provides notice of redemption with respect to the Series H Preferred Stock (whether pursuant to the Redemption Right or the Special Optional Redemption Right), the holders of shares of Series H Preferred Stock will not have the conversion right described below in Section 8.</w:t>
      </w:r>
    </w:p>
    <w:p>
      <w:pPr>
        <w:spacing w:after="0" w:line="13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3"/>
          <w:szCs w:val="13"/>
          <w:color w:val="auto"/>
        </w:rPr>
        <w:t xml:space="preserve">A “ </w:t>
      </w:r>
      <w:r>
        <w:rPr>
          <w:rFonts w:ascii="Times New Roman" w:cs="Times New Roman" w:eastAsia="Times New Roman" w:hAnsi="Times New Roman"/>
          <w:sz w:val="13"/>
          <w:szCs w:val="13"/>
          <w:u w:val="single" w:color="auto"/>
          <w:color w:val="auto"/>
        </w:rPr>
        <w:t>Change of Control</w:t>
      </w:r>
      <w:r>
        <w:rPr>
          <w:rFonts w:ascii="Times New Roman" w:cs="Times New Roman" w:eastAsia="Times New Roman" w:hAnsi="Times New Roman"/>
          <w:sz w:val="13"/>
          <w:szCs w:val="13"/>
          <w:color w:val="auto"/>
        </w:rPr>
        <w:t xml:space="preserve"> ” is when, after the original issuance of the Series H Preferred Stock, the following have occurred and are</w:t>
      </w:r>
    </w:p>
    <w:p>
      <w:pPr>
        <w:spacing w:after="0" w:line="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continuing:</w:t>
      </w:r>
    </w:p>
    <w:p>
      <w:pPr>
        <w:spacing w:after="0" w:line="183" w:lineRule="exact"/>
        <w:rPr>
          <w:sz w:val="20"/>
          <w:szCs w:val="20"/>
          <w:color w:val="auto"/>
        </w:rPr>
      </w:pPr>
    </w:p>
    <w:p>
      <w:pPr>
        <w:ind w:left="600" w:right="720" w:firstLine="607"/>
        <w:spacing w:after="0" w:line="276" w:lineRule="auto"/>
        <w:tabs>
          <w:tab w:leader="none" w:pos="1368" w:val="left"/>
        </w:tabs>
        <w:numPr>
          <w:ilvl w:val="0"/>
          <w:numId w:val="3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acquisition by any person, including any syndicate or group deemed to be a “person” under Section 13(d)(3) of the Securities Exchange Act of 1934, as amended (the “ </w:t>
      </w:r>
      <w:r>
        <w:rPr>
          <w:rFonts w:ascii="Times New Roman" w:cs="Times New Roman" w:eastAsia="Times New Roman" w:hAnsi="Times New Roman"/>
          <w:sz w:val="13"/>
          <w:szCs w:val="13"/>
          <w:u w:val="single" w:color="auto"/>
          <w:color w:val="auto"/>
        </w:rPr>
        <w:t>Exchange Act</w:t>
      </w:r>
      <w:r>
        <w:rPr>
          <w:rFonts w:ascii="Times New Roman" w:cs="Times New Roman" w:eastAsia="Times New Roman" w:hAnsi="Times New Roman"/>
          <w:sz w:val="13"/>
          <w:szCs w:val="13"/>
          <w:color w:val="auto"/>
        </w:rPr>
        <w:t xml:space="preserve"> ”), of beneficial ownership, directly or indirectly, through a purchase, merger or other acquisition transaction or series of purchases, mergers or other acquisition transactions of stock of the Company entitling that person to exercise more than 50% of the total voting power of all stock of the Company entitled to vote generally in the election of the Company’s directors (except that such person will be deemed to have beneficial ownership of all securities that such person has the right to acquire, whether such right is currently exercisable or is exercisable only upon the occurrence of a subsequent condition); and</w:t>
      </w:r>
    </w:p>
    <w:p>
      <w:pPr>
        <w:spacing w:after="0" w:line="145" w:lineRule="exact"/>
        <w:rPr>
          <w:sz w:val="20"/>
          <w:szCs w:val="20"/>
          <w:color w:val="auto"/>
        </w:rPr>
      </w:pPr>
    </w:p>
    <w:p>
      <w:pPr>
        <w:jc w:val="both"/>
        <w:ind w:left="600" w:right="740" w:firstLine="612"/>
        <w:spacing w:after="0" w:line="281" w:lineRule="auto"/>
        <w:rPr>
          <w:sz w:val="20"/>
          <w:szCs w:val="20"/>
          <w:color w:val="auto"/>
        </w:rPr>
      </w:pPr>
      <w:r>
        <w:rPr>
          <w:rFonts w:ascii="Times New Roman" w:cs="Times New Roman" w:eastAsia="Times New Roman" w:hAnsi="Times New Roman"/>
          <w:sz w:val="13"/>
          <w:szCs w:val="13"/>
          <w:color w:val="auto"/>
        </w:rPr>
        <w:t xml:space="preserve">(ii) following the closing of any transaction referred to in (i) above, neither the Company nor the acquiring or surviving entity has a class of common securities (or American Depositary Receipts representing such securities) listed on the New York Stock Exchange (the “ </w:t>
      </w:r>
      <w:r>
        <w:rPr>
          <w:rFonts w:ascii="Times New Roman" w:cs="Times New Roman" w:eastAsia="Times New Roman" w:hAnsi="Times New Roman"/>
          <w:sz w:val="13"/>
          <w:szCs w:val="13"/>
          <w:u w:val="single" w:color="auto"/>
          <w:color w:val="auto"/>
        </w:rPr>
        <w:t>NYSE</w:t>
      </w:r>
      <w:r>
        <w:rPr>
          <w:rFonts w:ascii="Times New Roman" w:cs="Times New Roman" w:eastAsia="Times New Roman" w:hAnsi="Times New Roman"/>
          <w:sz w:val="13"/>
          <w:szCs w:val="13"/>
          <w:color w:val="auto"/>
        </w:rPr>
        <w:t xml:space="preserve"> ”), the NYSE MKT LLC (the “ </w:t>
      </w:r>
      <w:r>
        <w:rPr>
          <w:rFonts w:ascii="Times New Roman" w:cs="Times New Roman" w:eastAsia="Times New Roman" w:hAnsi="Times New Roman"/>
          <w:sz w:val="13"/>
          <w:szCs w:val="13"/>
          <w:u w:val="single" w:color="auto"/>
          <w:color w:val="auto"/>
        </w:rPr>
        <w:t>NYSE MKT</w:t>
      </w:r>
      <w:r>
        <w:rPr>
          <w:rFonts w:ascii="Times New Roman" w:cs="Times New Roman" w:eastAsia="Times New Roman" w:hAnsi="Times New Roman"/>
          <w:sz w:val="13"/>
          <w:szCs w:val="13"/>
          <w:color w:val="auto"/>
        </w:rPr>
        <w:t xml:space="preserve"> ”), or the NASDAQ Stock Market (“ </w:t>
      </w:r>
      <w:r>
        <w:rPr>
          <w:rFonts w:ascii="Times New Roman" w:cs="Times New Roman" w:eastAsia="Times New Roman" w:hAnsi="Times New Roman"/>
          <w:sz w:val="13"/>
          <w:szCs w:val="13"/>
          <w:u w:val="single" w:color="auto"/>
          <w:color w:val="auto"/>
        </w:rPr>
        <w:t>NASDAQ</w:t>
      </w:r>
      <w:r>
        <w:rPr>
          <w:rFonts w:ascii="Times New Roman" w:cs="Times New Roman" w:eastAsia="Times New Roman" w:hAnsi="Times New Roman"/>
          <w:sz w:val="13"/>
          <w:szCs w:val="13"/>
          <w:color w:val="auto"/>
        </w:rPr>
        <w:t xml:space="preserve"> ”), or listed or quoted on an exchange or quotation system that is a successor to the NYSE, the NYSE MKT or NASDAQ.</w:t>
      </w:r>
    </w:p>
    <w:p>
      <w:pPr>
        <w:spacing w:after="0" w:line="140" w:lineRule="exact"/>
        <w:rPr>
          <w:sz w:val="20"/>
          <w:szCs w:val="20"/>
          <w:color w:val="auto"/>
        </w:rPr>
      </w:pPr>
    </w:p>
    <w:p>
      <w:pPr>
        <w:ind w:left="600" w:right="700" w:firstLine="312"/>
        <w:spacing w:after="0" w:line="275" w:lineRule="auto"/>
        <w:rPr>
          <w:sz w:val="20"/>
          <w:szCs w:val="20"/>
          <w:color w:val="auto"/>
        </w:rPr>
      </w:pPr>
      <w:r>
        <w:rPr>
          <w:rFonts w:ascii="Times New Roman" w:cs="Times New Roman" w:eastAsia="Times New Roman" w:hAnsi="Times New Roman"/>
          <w:sz w:val="13"/>
          <w:szCs w:val="13"/>
          <w:color w:val="auto"/>
        </w:rPr>
        <w:t>(b) In addition to any information required by law or by the applicable rules of any exchange upon which the Series H Preferred Stock may be listed or admitted to trading, such notice shall state: (i) the redemption date; (ii) the redemption price; (iii) the number of shares of Series H Preferred Stock to be redeemed; (iv) the place or places where the certificates, if any, representing shares of Series H Preferred Stock are to be surrendered for payment of the redemption price; (v) procedures for surrendering noncertificated shares of Series H Preferred Stock for payment of the redemption price; (vi) that dividends on the shares of Series H Preferred Stock to be redeemed will cease to accumulate on the redemption date; (vii) that payment of the redemption price and any accumulated and unpaid dividends will be made upon presentation and surrender of such Series H Preferred Stock;</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674370</wp:posOffset>
            </wp:positionV>
            <wp:extent cx="5083810" cy="1524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97">
                      <a:extLst>
                        <a:ext uri="{28A0092B-C50C-407E-A947-70E740481C1C}"/>
                      </a:extLst>
                    </a:blip>
                    <a:srcRect/>
                    <a:stretch>
                      <a:fillRect/>
                    </a:stretch>
                  </pic:blipFill>
                  <pic:spPr bwMode="auto">
                    <a:xfrm>
                      <a:off x="0" y="0"/>
                      <a:ext cx="5083810" cy="15240"/>
                    </a:xfrm>
                    <a:prstGeom prst="rect">
                      <a:avLst/>
                    </a:prstGeom>
                    <a:noFill/>
                  </pic:spPr>
                </pic:pic>
              </a:graphicData>
            </a:graphic>
          </wp:anchor>
        </w:drawing>
        <w:drawing>
          <wp:anchor simplePos="0" relativeHeight="251657728" behindDoc="1" locked="0" layoutInCell="0" allowOverlap="1">
            <wp:simplePos x="0" y="0"/>
            <wp:positionH relativeFrom="column">
              <wp:posOffset>384810</wp:posOffset>
            </wp:positionH>
            <wp:positionV relativeFrom="paragraph">
              <wp:posOffset>316230</wp:posOffset>
            </wp:positionV>
            <wp:extent cx="4436110" cy="1524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98">
                      <a:extLst>
                        <a:ext uri="{28A0092B-C50C-407E-A947-70E740481C1C}"/>
                      </a:extLst>
                    </a:blip>
                    <a:srcRect/>
                    <a:stretch>
                      <a:fillRect/>
                    </a:stretch>
                  </pic:blipFill>
                  <pic:spPr bwMode="auto">
                    <a:xfrm>
                      <a:off x="0" y="0"/>
                      <a:ext cx="44361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85" w:name="page386"/>
    <w:bookmarkEnd w:id="385"/>
    <w:p>
      <w:pPr>
        <w:ind w:left="600" w:right="720" w:hanging="6"/>
        <w:spacing w:after="0" w:line="275" w:lineRule="auto"/>
        <w:tabs>
          <w:tab w:leader="none" w:pos="900" w:val="left"/>
        </w:tabs>
        <w:numPr>
          <w:ilvl w:val="0"/>
          <w:numId w:val="3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the shares of Series H Preferred Stock are being redeemed pursuant to the Special Optional Redemption Right in connection with the occurrence of a Change of Control and a brief description of the transaction or transactions constituting such Change of Control; and (ix) that holders of the shares of Series H Preferred Stock to which the notice relates will not be able to tender such shares of Series H Preferred Stock for conversion in connection with the Change of Control and each share of Series H Preferred Stock tendered for conversion that is selected, prior to the Change of Control Conversion Date, for redemption will be redeemed on the related redemption date instead of converted on the Change of Control Conversion Date. If fewer than all of the shares of Series H Preferred Stock held by any holder are to be redeemed, the notice mailed to such holder shall also specify the number of shares of Series H Preferred Stock held by such holder to be redeemed.</w:t>
      </w:r>
    </w:p>
    <w:p>
      <w:pPr>
        <w:spacing w:after="0" w:line="145" w:lineRule="exact"/>
        <w:rPr>
          <w:sz w:val="20"/>
          <w:szCs w:val="20"/>
          <w:color w:val="auto"/>
        </w:rPr>
      </w:pPr>
    </w:p>
    <w:p>
      <w:pPr>
        <w:ind w:left="600" w:right="680" w:firstLine="612"/>
        <w:spacing w:after="0" w:line="274" w:lineRule="auto"/>
        <w:rPr>
          <w:sz w:val="20"/>
          <w:szCs w:val="20"/>
          <w:color w:val="auto"/>
        </w:rPr>
      </w:pPr>
      <w:r>
        <w:rPr>
          <w:rFonts w:ascii="Times New Roman" w:cs="Times New Roman" w:eastAsia="Times New Roman" w:hAnsi="Times New Roman"/>
          <w:sz w:val="13"/>
          <w:szCs w:val="13"/>
          <w:color w:val="auto"/>
        </w:rPr>
        <w:t>If fewer than all of the outstanding shares of Series H Preferred Stock are to be redeemed, the shares of Series H Preferred Stock to be redeemed shall be redeemed pro rata (as nearly as may be practicable without creating fractional shares) or by lot as determined by the Company. If such redemption pursuant to the Special Optional Redemption Right is to be by lot and, as a result, any holder of shares of Series H Preferred Stock would have actual ownership, Beneficial Ownership or Constructive Ownership (each as defined in Section 9(a)) in excess of the Ownership Limit (as defined in Section 9(a)), the Aggregate Stock Ownership Limit (as defined in Section 9(a)), or such limit as permitted by the Board of Directors or a committee thereof pursuant to Section 9(i), because such holder’s shares of Series H Preferred Stock were not redeemed, or were only redeemed in part then, except as otherwise provided in the Charter, the Company shall redeem the requisite number of shares of Series H Preferred Stock of such holder such that no holder will hold an amount of Series H Preferred Stock in excess of the applicable ownership limit, subsequent to such redemption.</w:t>
      </w:r>
    </w:p>
    <w:p>
      <w:pPr>
        <w:spacing w:after="0" w:line="132" w:lineRule="exact"/>
        <w:rPr>
          <w:sz w:val="20"/>
          <w:szCs w:val="20"/>
          <w:color w:val="auto"/>
        </w:rPr>
      </w:pPr>
    </w:p>
    <w:p>
      <w:pPr>
        <w:ind w:left="600" w:right="660" w:firstLine="306"/>
        <w:spacing w:after="0" w:line="273" w:lineRule="auto"/>
        <w:tabs>
          <w:tab w:leader="none" w:pos="1092" w:val="left"/>
        </w:tabs>
        <w:numPr>
          <w:ilvl w:val="0"/>
          <w:numId w:val="3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Company has given a notice of redemption pursuant to the Special Optional Redemption Right and has set aside sufficient funds for the redemption in trust for the benefit of the holders of the Series H Preferred Stock called for redemption, then from and after the redemption date, those shares of Series H Preferred Stock will be treated as no longer being outstanding, no further dividends will accrue and all other rights of the holders of those shares of Series H Preferred Stock will terminate. The holders of those shares of Series H Preferred Stock will retain their right to receive the redemption price for their shares and any accrued and unpaid dividends to, but not including, the redemption date, without interest. So long as full cumulative dividends on the Series H Preferred Stock for all past dividend periods shall have been or contemporaneously are (i) declared and paid in cash, or (ii) declared and a sum sufficient for the payment thereof in cash is set apart for payment, nothing herein shall prevent or restrict the Company’s right or ability to purchase, from time to time, either at a public or a private sale, all or any part of the Series H Preferred Stock at such price or prices as the Company may determine, subject to the provisions of applicable law, including the repurchase of shares of Series H Preferred Stock in open-market transactions duly authorized by the Board of Directors.</w:t>
      </w:r>
    </w:p>
    <w:p>
      <w:pPr>
        <w:spacing w:after="0" w:line="136" w:lineRule="exact"/>
        <w:rPr>
          <w:sz w:val="20"/>
          <w:szCs w:val="20"/>
          <w:color w:val="auto"/>
        </w:rPr>
      </w:pPr>
    </w:p>
    <w:p>
      <w:pPr>
        <w:ind w:left="600" w:right="640" w:firstLine="312"/>
        <w:spacing w:after="0" w:line="276" w:lineRule="auto"/>
        <w:rPr>
          <w:sz w:val="20"/>
          <w:szCs w:val="20"/>
          <w:color w:val="auto"/>
        </w:rPr>
      </w:pPr>
      <w:r>
        <w:rPr>
          <w:rFonts w:ascii="Times New Roman" w:cs="Times New Roman" w:eastAsia="Times New Roman" w:hAnsi="Times New Roman"/>
          <w:sz w:val="13"/>
          <w:szCs w:val="13"/>
          <w:color w:val="auto"/>
        </w:rPr>
        <w:t>(d) The holders of Series H Preferred Stock at the close of business on a Dividend Record Date will be entitled to receive the dividend payable with respect to the Series H Preferred Stock on the corresponding Dividend Payment Date notwithstanding the redemption of the Series H Preferred Stock pursuant to the Special Optional Redemption Right between such Dividend Record Date and the corresponding Dividend Payment Date or the Company’s default in the payment of the dividend due. Except as provided herein, the Company shall make no payment or allowance for unpaid dividends, whether or not in arrears, on Series H Preferred Stock for which a notice of redemption pursuant to the Special Optional Redemption Right has been given.</w:t>
      </w:r>
    </w:p>
    <w:p>
      <w:pPr>
        <w:spacing w:after="0" w:line="145" w:lineRule="exact"/>
        <w:rPr>
          <w:sz w:val="20"/>
          <w:szCs w:val="20"/>
          <w:color w:val="auto"/>
        </w:rPr>
      </w:pPr>
    </w:p>
    <w:p>
      <w:pPr>
        <w:ind w:left="600" w:right="1040" w:firstLine="306"/>
        <w:spacing w:after="0" w:line="287" w:lineRule="auto"/>
        <w:tabs>
          <w:tab w:leader="none" w:pos="1092" w:val="left"/>
        </w:tabs>
        <w:numPr>
          <w:ilvl w:val="0"/>
          <w:numId w:val="3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shares of the Series H Preferred Stock redeemed or repurchased pursuant to this Section 6, or otherwise acquired in any other manner by the Company, shall be retired and shall be restored to the status of authorized but unissued shares of Preferred Stock, without designation as to series or class.</w:t>
      </w:r>
    </w:p>
    <w:p>
      <w:pPr>
        <w:spacing w:after="0" w:line="13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Section 7. </w:t>
      </w:r>
      <w:r>
        <w:rPr>
          <w:rFonts w:ascii="Times New Roman" w:cs="Times New Roman" w:eastAsia="Times New Roman" w:hAnsi="Times New Roman"/>
          <w:sz w:val="13"/>
          <w:szCs w:val="13"/>
          <w:u w:val="single" w:color="auto"/>
          <w:color w:val="auto"/>
        </w:rPr>
        <w:t>Voting Rights</w:t>
      </w:r>
      <w:r>
        <w:rPr>
          <w:rFonts w:ascii="Times New Roman" w:cs="Times New Roman" w:eastAsia="Times New Roman" w:hAnsi="Times New Roman"/>
          <w:sz w:val="13"/>
          <w:szCs w:val="13"/>
          <w:color w:val="auto"/>
        </w:rPr>
        <w:t xml:space="preserve"> .</w:t>
      </w:r>
    </w:p>
    <w:p>
      <w:pPr>
        <w:spacing w:after="0" w:line="187" w:lineRule="exact"/>
        <w:rPr>
          <w:sz w:val="20"/>
          <w:szCs w:val="20"/>
          <w:color w:val="auto"/>
        </w:rPr>
      </w:pPr>
    </w:p>
    <w:p>
      <w:pPr>
        <w:ind w:left="1080" w:hanging="174"/>
        <w:spacing w:after="0"/>
        <w:tabs>
          <w:tab w:leader="none" w:pos="1080" w:val="left"/>
        </w:tabs>
        <w:numPr>
          <w:ilvl w:val="0"/>
          <w:numId w:val="3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Holders of the Series H Preferred Stock shall not have any voting rights, except as set forth in this Section 7.</w:t>
      </w:r>
    </w:p>
    <w:p>
      <w:pPr>
        <w:spacing w:after="0" w:line="186" w:lineRule="exact"/>
        <w:rPr>
          <w:rFonts w:ascii="Times New Roman" w:cs="Times New Roman" w:eastAsia="Times New Roman" w:hAnsi="Times New Roman"/>
          <w:sz w:val="13"/>
          <w:szCs w:val="13"/>
          <w:color w:val="auto"/>
        </w:rPr>
      </w:pPr>
    </w:p>
    <w:p>
      <w:pPr>
        <w:ind w:left="600" w:right="800" w:firstLine="306"/>
        <w:spacing w:after="0" w:line="287" w:lineRule="auto"/>
        <w:tabs>
          <w:tab w:leader="none" w:pos="1092" w:val="left"/>
        </w:tabs>
        <w:numPr>
          <w:ilvl w:val="0"/>
          <w:numId w:val="3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Whenever dividends on any shares of Series H Preferred Stock shall be in arrears for six or more consecutive or non- consecutive quarterly periods (a “ </w:t>
      </w:r>
      <w:r>
        <w:rPr>
          <w:rFonts w:ascii="Times New Roman" w:cs="Times New Roman" w:eastAsia="Times New Roman" w:hAnsi="Times New Roman"/>
          <w:sz w:val="13"/>
          <w:szCs w:val="13"/>
          <w:u w:val="single" w:color="auto"/>
          <w:color w:val="auto"/>
        </w:rPr>
        <w:t>Preferred Dividend Default</w:t>
      </w:r>
      <w:r>
        <w:rPr>
          <w:rFonts w:ascii="Times New Roman" w:cs="Times New Roman" w:eastAsia="Times New Roman" w:hAnsi="Times New Roman"/>
          <w:sz w:val="13"/>
          <w:szCs w:val="13"/>
          <w:color w:val="auto"/>
        </w:rPr>
        <w:t xml:space="preserve"> ”), the holders of such Series H Preferred Stock (voting separately as a class together with all other classes or series of preferred stock of the Company ranking on parity</w:t>
      </w: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681990</wp:posOffset>
            </wp:positionV>
            <wp:extent cx="5083810" cy="1524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99">
                      <a:extLst>
                        <a:ext uri="{28A0092B-C50C-407E-A947-70E740481C1C}"/>
                      </a:extLst>
                    </a:blip>
                    <a:srcRect/>
                    <a:stretch>
                      <a:fillRect/>
                    </a:stretch>
                  </pic:blipFill>
                  <pic:spPr bwMode="auto">
                    <a:xfrm>
                      <a:off x="0" y="0"/>
                      <a:ext cx="5083810" cy="15240"/>
                    </a:xfrm>
                    <a:prstGeom prst="rect">
                      <a:avLst/>
                    </a:prstGeom>
                    <a:noFill/>
                  </pic:spPr>
                </pic:pic>
              </a:graphicData>
            </a:graphic>
          </wp:anchor>
        </w:drawing>
        <w:drawing>
          <wp:anchor simplePos="0" relativeHeight="251657728" behindDoc="1" locked="0" layoutInCell="0" allowOverlap="1">
            <wp:simplePos x="0" y="0"/>
            <wp:positionH relativeFrom="column">
              <wp:posOffset>384810</wp:posOffset>
            </wp:positionH>
            <wp:positionV relativeFrom="paragraph">
              <wp:posOffset>316230</wp:posOffset>
            </wp:positionV>
            <wp:extent cx="4436110" cy="1524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700">
                      <a:extLst>
                        <a:ext uri="{28A0092B-C50C-407E-A947-70E740481C1C}"/>
                      </a:extLst>
                    </a:blip>
                    <a:srcRect/>
                    <a:stretch>
                      <a:fillRect/>
                    </a:stretch>
                  </pic:blipFill>
                  <pic:spPr bwMode="auto">
                    <a:xfrm>
                      <a:off x="0" y="0"/>
                      <a:ext cx="44361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86" w:name="page387"/>
    <w:bookmarkEnd w:id="386"/>
    <w:p>
      <w:pPr>
        <w:ind w:left="600" w:right="600"/>
        <w:spacing w:after="0" w:line="276" w:lineRule="auto"/>
        <w:rPr>
          <w:sz w:val="20"/>
          <w:szCs w:val="20"/>
          <w:color w:val="auto"/>
        </w:rPr>
      </w:pPr>
      <w:r>
        <w:rPr>
          <w:rFonts w:ascii="Times New Roman" w:cs="Times New Roman" w:eastAsia="Times New Roman" w:hAnsi="Times New Roman"/>
          <w:sz w:val="13"/>
          <w:szCs w:val="13"/>
          <w:color w:val="auto"/>
        </w:rPr>
        <w:t xml:space="preserve">with the Series H Preferred Stock with respect to payment of dividends and the distribution of assets upon the Company’s liquidation, dissolution or winding up and upon which like voting rights have been conferred and are exercisable (“ </w:t>
      </w:r>
      <w:r>
        <w:rPr>
          <w:rFonts w:ascii="Times New Roman" w:cs="Times New Roman" w:eastAsia="Times New Roman" w:hAnsi="Times New Roman"/>
          <w:sz w:val="13"/>
          <w:szCs w:val="13"/>
          <w:u w:val="single" w:color="auto"/>
          <w:color w:val="auto"/>
        </w:rPr>
        <w:t>Parity Preferred</w:t>
      </w:r>
      <w:r>
        <w:rPr>
          <w:rFonts w:ascii="Times New Roman" w:cs="Times New Roman" w:eastAsia="Times New Roman" w:hAnsi="Times New Roman"/>
          <w:sz w:val="13"/>
          <w:szCs w:val="13"/>
          <w:color w:val="auto"/>
        </w:rPr>
        <w:t xml:space="preserve"> ”), including the Series E Cumulative Redeemable Preferred Stock, the Series F Cumulative Redeemable Preferred Stock and the Series G Cumulative Redeemable Preferred Stock of the Company) shall be entitled to vote for the election of a total of two additional directors of the Company (the “ </w:t>
      </w:r>
      <w:r>
        <w:rPr>
          <w:rFonts w:ascii="Times New Roman" w:cs="Times New Roman" w:eastAsia="Times New Roman" w:hAnsi="Times New Roman"/>
          <w:sz w:val="13"/>
          <w:szCs w:val="13"/>
          <w:u w:val="single" w:color="auto"/>
          <w:color w:val="auto"/>
        </w:rPr>
        <w:t>Preferred Directors</w:t>
      </w:r>
      <w:r>
        <w:rPr>
          <w:rFonts w:ascii="Times New Roman" w:cs="Times New Roman" w:eastAsia="Times New Roman" w:hAnsi="Times New Roman"/>
          <w:sz w:val="13"/>
          <w:szCs w:val="13"/>
          <w:color w:val="auto"/>
        </w:rPr>
        <w:t xml:space="preserve"> ”) until all dividends accumulated on such Series H Preferred Stock and Parity Preferred for the past dividend periods shall have been fully paid or declared and a sum sufficient for the payment thereof is set aside for payment. In such case, the entire Board of Directors will be increased by two directors.</w:t>
      </w:r>
    </w:p>
    <w:p>
      <w:pPr>
        <w:spacing w:after="0" w:line="145" w:lineRule="exact"/>
        <w:rPr>
          <w:sz w:val="20"/>
          <w:szCs w:val="20"/>
          <w:color w:val="auto"/>
        </w:rPr>
      </w:pPr>
    </w:p>
    <w:p>
      <w:pPr>
        <w:ind w:left="600" w:right="640" w:firstLine="306"/>
        <w:spacing w:after="0" w:line="273" w:lineRule="auto"/>
        <w:tabs>
          <w:tab w:leader="none" w:pos="1080" w:val="left"/>
        </w:tabs>
        <w:numPr>
          <w:ilvl w:val="0"/>
          <w:numId w:val="3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Preferred Directors will be elected by a plurality of the votes cast in the election for a one-year term and each Preferred Director will serve until his or her successor is duly elected and qualified or until such Preferred Director’s right to hold the office terminates, whichever occurs earlier, subject to such Preferred Director’s earlier death, disqualification, resignation or removal. The election will take place at (i) either (A) a special meeting called in accordance with Section 7(d) below if the request is received more than 90 days before the date fixed for the Company’s next annual or special meeting of stockholders or (B) the next annual or special meeting of stockholders if the request is received within 90 days of the date fixed for the Company’s next annual or special meeting of stockholders, and (ii) at each subsequent annual meeting of stockholders, or special meeting held in place thereof, until all such dividends in arrears on the Series H Preferred Stock and each such class or series of outstanding Parity Preferred have been paid in full. A dividend in respect of Series H Preferred Stock shall be considered timely made if made within two Business Days after the applicable Dividend Payment Date if at the time of such late payment date there shall not be any prior quarterly dividend periods in respect of which full dividends were not timely made at the applicable Dividend Payment Date.</w:t>
      </w:r>
    </w:p>
    <w:p>
      <w:pPr>
        <w:spacing w:after="0" w:line="136" w:lineRule="exact"/>
        <w:rPr>
          <w:rFonts w:ascii="Times New Roman" w:cs="Times New Roman" w:eastAsia="Times New Roman" w:hAnsi="Times New Roman"/>
          <w:sz w:val="13"/>
          <w:szCs w:val="13"/>
          <w:color w:val="auto"/>
        </w:rPr>
      </w:pPr>
    </w:p>
    <w:p>
      <w:pPr>
        <w:ind w:left="600" w:right="640" w:firstLine="306"/>
        <w:spacing w:after="0" w:line="271" w:lineRule="auto"/>
        <w:tabs>
          <w:tab w:leader="none" w:pos="1092" w:val="left"/>
        </w:tabs>
        <w:numPr>
          <w:ilvl w:val="0"/>
          <w:numId w:val="3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any time when such voting rights shall have vested, a proper officer of the Company shall call or cause to be called, upon written request of holders of record of at least 10% of the outstanding shares of Series H Preferred Stock and Parity Preferred, a special meeting of the holders of Series H Preferred Stock and each class or series of Parity Preferred by mailing or causing to be mailed to such holders a notice of such special meeting to be held not fewer than ten or more than 45 days after the date such notice is given. The record date for determining holders of the Series H Preferred Stock and Parity Preferred entitled to notice of and to vote at such special meeting will be the close of business on the third Business Day preceding the day on which such notice is mailed. At any such annual or special meeting, all of the holders of the Series H Preferred Stock and Parity Preferred, by plurality vote, voting together as a single class without regard to class or series will be entitled to elect two directors on the basis of one vote per $25.00 of liquidation preference to which such Series H Preferred Stock and Parity Preferred are entitled by their terms (excluding amounts in respect of accumulated and unpaid dividends) and not cumulatively. The holder or holders of one-third of the Series H Preferred Stock and Parity Preferred voting as a single class then outstanding, present in person or by proxy, will constitute a quorum for the election of the Preferred Directors except as otherwise provided by law. Notice of all meetings at which holders of the Series H Preferred Stock and the Parity Preferred shall be entitled to vote will be given to such holders at their addresses as they appear in the transfer records. At any such meeting or adjournment thereof in the absence of a quorum, subject to the provisions of any applicable law, a majority of the holders of the Series H Preferred Stock and Parity Preferred voting as a single class present in person or by proxy shall have the power to adjourn the meeting for the election of the Preferred Directors, without notice other than an announcement at the meeting, until a quorum is present. If a Preferred Dividend Default shall terminate after the notice of a special meeting has been given but before such special meeting has been held, the Company shall, as soon as practicable after such termination, mail or cause to be mailed notice of such termination to holders of the Series H Preferred Stock and the Parity Preferred that would have been entitled to vote at such special meeting.</w:t>
      </w:r>
    </w:p>
    <w:p>
      <w:pPr>
        <w:spacing w:after="0" w:line="142" w:lineRule="exact"/>
        <w:rPr>
          <w:rFonts w:ascii="Times New Roman" w:cs="Times New Roman" w:eastAsia="Times New Roman" w:hAnsi="Times New Roman"/>
          <w:sz w:val="13"/>
          <w:szCs w:val="13"/>
          <w:color w:val="auto"/>
        </w:rPr>
      </w:pPr>
    </w:p>
    <w:p>
      <w:pPr>
        <w:ind w:left="600" w:right="660" w:firstLine="306"/>
        <w:spacing w:after="0" w:line="275" w:lineRule="auto"/>
        <w:tabs>
          <w:tab w:leader="none" w:pos="1080" w:val="left"/>
        </w:tabs>
        <w:numPr>
          <w:ilvl w:val="0"/>
          <w:numId w:val="3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and when all accumulated dividends on such Series H Preferred Stock and all classes or series of Parity Preferred for the past dividend periods shall have been fully paid or declared and a sum sufficient for the payment thereof is set aside for payment, the right of the holders of Series H Preferred Stock and the Parity Preferred to elect such additional two directors shall immediately cease (subject to revesting in the event of each and every Preferred Dividend Default), and the term of office of each Preferred Director so elected shall terminate and the entire Board of Directors shall be reduced accordingly. Any Preferred Director may be removed at any time with or without cause by the vote of, and shall not be removed otherwise than by the vote of, the holders of record of a majority of the outstanding Series H Preferred Stock and the Parity Preferred entitled to vote thereon when they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666750</wp:posOffset>
            </wp:positionV>
            <wp:extent cx="5083810" cy="1524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701">
                      <a:extLst>
                        <a:ext uri="{28A0092B-C50C-407E-A947-70E740481C1C}"/>
                      </a:extLst>
                    </a:blip>
                    <a:srcRect/>
                    <a:stretch>
                      <a:fillRect/>
                    </a:stretch>
                  </pic:blipFill>
                  <pic:spPr bwMode="auto">
                    <a:xfrm>
                      <a:off x="0" y="0"/>
                      <a:ext cx="5083810" cy="15240"/>
                    </a:xfrm>
                    <a:prstGeom prst="rect">
                      <a:avLst/>
                    </a:prstGeom>
                    <a:noFill/>
                  </pic:spPr>
                </pic:pic>
              </a:graphicData>
            </a:graphic>
          </wp:anchor>
        </w:drawing>
        <w:drawing>
          <wp:anchor simplePos="0" relativeHeight="251657728" behindDoc="1" locked="0" layoutInCell="0" allowOverlap="1">
            <wp:simplePos x="0" y="0"/>
            <wp:positionH relativeFrom="column">
              <wp:posOffset>384810</wp:posOffset>
            </wp:positionH>
            <wp:positionV relativeFrom="paragraph">
              <wp:posOffset>316230</wp:posOffset>
            </wp:positionV>
            <wp:extent cx="4436110" cy="762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702">
                      <a:extLst>
                        <a:ext uri="{28A0092B-C50C-407E-A947-70E740481C1C}"/>
                      </a:extLst>
                    </a:blip>
                    <a:srcRect/>
                    <a:stretch>
                      <a:fillRect/>
                    </a:stretch>
                  </pic:blipFill>
                  <pic:spPr bwMode="auto">
                    <a:xfrm>
                      <a:off x="0" y="0"/>
                      <a:ext cx="4436110" cy="762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87" w:name="page388"/>
    <w:bookmarkEnd w:id="387"/>
    <w:p>
      <w:pPr>
        <w:ind w:left="600" w:right="640"/>
        <w:spacing w:after="0" w:line="281" w:lineRule="auto"/>
        <w:rPr>
          <w:sz w:val="20"/>
          <w:szCs w:val="20"/>
          <w:color w:val="auto"/>
        </w:rPr>
      </w:pPr>
      <w:r>
        <w:rPr>
          <w:rFonts w:ascii="Times New Roman" w:cs="Times New Roman" w:eastAsia="Times New Roman" w:hAnsi="Times New Roman"/>
          <w:sz w:val="13"/>
          <w:szCs w:val="13"/>
          <w:color w:val="auto"/>
        </w:rPr>
        <w:t>have the voting rights set forth in Section 7(b) (voting as a single class). So long as a Preferred Dividend Default shall continue, any vacancy in the office of a Preferred Director may be filled by written consent of the Preferred Director remaining in office, or if none remains in office, by a vote of the holders of record of a majority of the outstanding Series H Preferred Stock when they have the voting rights described above (voting as a single class with all other classes or series of Parity Preferred). Each of the Preferred Directors shall be entitled to one vote on any matter.</w:t>
      </w:r>
    </w:p>
    <w:p>
      <w:pPr>
        <w:spacing w:after="0" w:line="140" w:lineRule="exact"/>
        <w:rPr>
          <w:sz w:val="20"/>
          <w:szCs w:val="20"/>
          <w:color w:val="auto"/>
        </w:rPr>
      </w:pPr>
    </w:p>
    <w:p>
      <w:pPr>
        <w:ind w:left="600" w:right="620" w:firstLine="306"/>
        <w:spacing w:after="0" w:line="270" w:lineRule="auto"/>
        <w:tabs>
          <w:tab w:leader="none" w:pos="1068" w:val="left"/>
        </w:tabs>
        <w:numPr>
          <w:ilvl w:val="0"/>
          <w:numId w:val="3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So long as any shares of Series H Preferred Stock remain outstanding, the affirmative vote or consent of the holders of two-thirds of the shares of Series H Preferred Stock and each other class or series of Parity Preferred outstanding at the time, given in person or by proxy, either in writing or at a meeting (voting together as a single class) will be required to: (i) authorize, create or issue, or increase the number of authorized or issued shares of, any class or series of capital stock ranking senior to the Series H Preferred Stock with respect to payment of dividends or the distribution of assets upon liquidation, dissolution or winding up of the Company (collectively, “ </w:t>
      </w:r>
      <w:r>
        <w:rPr>
          <w:rFonts w:ascii="Times New Roman" w:cs="Times New Roman" w:eastAsia="Times New Roman" w:hAnsi="Times New Roman"/>
          <w:sz w:val="13"/>
          <w:szCs w:val="13"/>
          <w:u w:val="single" w:color="auto"/>
          <w:color w:val="auto"/>
        </w:rPr>
        <w:t>Senior Capital Stock</w:t>
      </w:r>
      <w:r>
        <w:rPr>
          <w:rFonts w:ascii="Times New Roman" w:cs="Times New Roman" w:eastAsia="Times New Roman" w:hAnsi="Times New Roman"/>
          <w:sz w:val="13"/>
          <w:szCs w:val="13"/>
          <w:color w:val="auto"/>
        </w:rPr>
        <w:t xml:space="preserve"> ”) or reclassify any authorized shares of capital stock of the Company into such capital stock, or create, authorize or issue any obligation or security convertible into or evidencing the right to purchase any such Senior Capital Stock; or (ii) amend, alter or repeal the provisions of the Charter, including the terms of the Series H Preferred Stock, whether by merger, consolidation, transfer or conveyance of all or substantially all of its assets or otherwise (an “</w:t>
      </w:r>
    </w:p>
    <w:p>
      <w:pPr>
        <w:spacing w:after="0" w:line="3" w:lineRule="exact"/>
        <w:rPr>
          <w:sz w:val="20"/>
          <w:szCs w:val="20"/>
          <w:color w:val="auto"/>
        </w:rPr>
      </w:pPr>
    </w:p>
    <w:p>
      <w:pPr>
        <w:ind w:left="600" w:right="640"/>
        <w:spacing w:after="0" w:line="271" w:lineRule="auto"/>
        <w:rPr>
          <w:sz w:val="20"/>
          <w:szCs w:val="20"/>
          <w:color w:val="auto"/>
        </w:rPr>
      </w:pPr>
      <w:r>
        <w:rPr>
          <w:rFonts w:ascii="Times New Roman" w:cs="Times New Roman" w:eastAsia="Times New Roman" w:hAnsi="Times New Roman"/>
          <w:sz w:val="13"/>
          <w:szCs w:val="13"/>
          <w:u w:val="single" w:color="auto"/>
          <w:color w:val="auto"/>
        </w:rPr>
        <w:t>Event</w:t>
      </w:r>
      <w:r>
        <w:rPr>
          <w:rFonts w:ascii="Times New Roman" w:cs="Times New Roman" w:eastAsia="Times New Roman" w:hAnsi="Times New Roman"/>
          <w:sz w:val="13"/>
          <w:szCs w:val="13"/>
          <w:color w:val="auto"/>
        </w:rPr>
        <w:t xml:space="preserve"> ”), so as to materially and adversely affect any right, preference, privilege or voting power of the Series H Preferred Stock;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 with respect to the occurrence of any of the Events set forth in (ii) above, so long as the Series H Preferred Stock remains outstanding with the terms thereof materially unchanged, taking into account that, upon the occurrence of an Event, the Company may not be the surviving entity, the occurrence of such Event shall not be deemed to materially and adversely affect such rights, preferences, privileges or voting power of Series H Preferred Stock, and in such case such holders shall not have any voting rights with respect to the occurrence of any of the Events set forth in (ii) above. In addition, if the holders of the Series H Preferred Stock receive the greater of the full trading price of the Series H Preferred Stock on the date of an Event set forth in (ii) above or the $25.00 liquidation preference per share of the Series H Preferred Stock pursuant to the occurrence of any of the Events set forth in (ii) above, then such holders shall not have any voting rights with respect to the Events set forth in (ii) above. If any Event set forth in (ii) above would materially and adversely affect the rights, preferences, privileges or voting powers of the Series H Preferred Stock disproportionately relative to other classes or series of Parity Preferred, the affirmative vote of the holders of at least two-thirds of the outstanding shares of the Series H Preferred Stock, voting separately as a class, will also be required. Holders of shares of Series H Preferred Stock shall not be entitled to vote with respect to (A) any increase in the total number of authorized shares of Common Stock or Preferred Stock of the Company, or (B) any increase in the number of authorized shares of Series H Preferred Stock or the creation or issuance of any other class or series of capital stock, or (C) any increase in the number of authorized shares of any other class or series of capital stock, in each case referred to in clause (A), (B) or (C) above ranking on parity with or junior to the Series H Preferred Stock with respect to the payment of dividends and the distribution of assets upon liquidation, dissolution or winding up of the Company. Except as set forth herein, holders of the Series H Preferred Stock shall not have any voting rights with respect to, and the consent of the holders of the Series H Preferred Stock shall not be required for, the taking of any corporate action, including an Event, regardless of the effect that such corporate action or Event may have upon the powers, preferences, voting power or other rights or privileges of the Series H Preferred Stock.</w:t>
      </w:r>
    </w:p>
    <w:p>
      <w:pPr>
        <w:spacing w:after="0" w:line="138" w:lineRule="exact"/>
        <w:rPr>
          <w:sz w:val="20"/>
          <w:szCs w:val="20"/>
          <w:color w:val="auto"/>
        </w:rPr>
      </w:pPr>
    </w:p>
    <w:p>
      <w:pPr>
        <w:ind w:left="600" w:right="640" w:firstLine="306"/>
        <w:spacing w:after="0" w:line="281" w:lineRule="auto"/>
        <w:tabs>
          <w:tab w:leader="none" w:pos="1092" w:val="left"/>
        </w:tabs>
        <w:numPr>
          <w:ilvl w:val="0"/>
          <w:numId w:val="3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foregoing voting provisions of this Section 7 shall not apply if, at or prior to the time when the act with respect to which such vote would otherwise be required shall be effected, all outstanding shares of Series H Preferred Stock shall have been redeemed or called for redemption upon proper notice pursuant to these Articles Supplementary, and sufficient funds, in cash, shall have been deposited in trust to effect such redemption.</w:t>
      </w:r>
    </w:p>
    <w:p>
      <w:pPr>
        <w:spacing w:after="0" w:line="140" w:lineRule="exact"/>
        <w:rPr>
          <w:sz w:val="20"/>
          <w:szCs w:val="20"/>
          <w:color w:val="auto"/>
        </w:rPr>
      </w:pPr>
    </w:p>
    <w:p>
      <w:pPr>
        <w:ind w:left="600" w:right="1220" w:firstLine="312"/>
        <w:spacing w:after="0" w:line="305" w:lineRule="auto"/>
        <w:rPr>
          <w:sz w:val="20"/>
          <w:szCs w:val="20"/>
          <w:color w:val="auto"/>
        </w:rPr>
      </w:pPr>
      <w:r>
        <w:rPr>
          <w:rFonts w:ascii="Times New Roman" w:cs="Times New Roman" w:eastAsia="Times New Roman" w:hAnsi="Times New Roman"/>
          <w:sz w:val="13"/>
          <w:szCs w:val="13"/>
          <w:color w:val="auto"/>
        </w:rPr>
        <w:t>(h) In any matter in which the Series H Preferred Stock may vote (as expressly provided herein), each share of Series H Preferred Stock shall be entitled to one vote per $25.00 of liquidation preference.</w:t>
      </w:r>
    </w:p>
    <w:p>
      <w:pPr>
        <w:spacing w:after="0" w:line="124" w:lineRule="exact"/>
        <w:rPr>
          <w:sz w:val="20"/>
          <w:szCs w:val="20"/>
          <w:color w:val="auto"/>
        </w:rPr>
      </w:pPr>
    </w:p>
    <w:p>
      <w:pPr>
        <w:ind w:left="600" w:right="1240" w:firstLine="312"/>
        <w:spacing w:after="0" w:line="305" w:lineRule="auto"/>
        <w:rPr>
          <w:sz w:val="20"/>
          <w:szCs w:val="20"/>
          <w:color w:val="auto"/>
        </w:rPr>
      </w:pPr>
      <w:r>
        <w:rPr>
          <w:rFonts w:ascii="Times New Roman" w:cs="Times New Roman" w:eastAsia="Times New Roman" w:hAnsi="Times New Roman"/>
          <w:sz w:val="13"/>
          <w:szCs w:val="13"/>
          <w:color w:val="auto"/>
        </w:rPr>
        <w:t xml:space="preserve">Section 8. </w:t>
      </w:r>
      <w:r>
        <w:rPr>
          <w:rFonts w:ascii="Times New Roman" w:cs="Times New Roman" w:eastAsia="Times New Roman" w:hAnsi="Times New Roman"/>
          <w:sz w:val="13"/>
          <w:szCs w:val="13"/>
          <w:u w:val="single" w:color="auto"/>
          <w:color w:val="auto"/>
        </w:rPr>
        <w:t>Conversion</w:t>
      </w:r>
      <w:r>
        <w:rPr>
          <w:rFonts w:ascii="Times New Roman" w:cs="Times New Roman" w:eastAsia="Times New Roman" w:hAnsi="Times New Roman"/>
          <w:sz w:val="13"/>
          <w:szCs w:val="13"/>
          <w:color w:val="auto"/>
        </w:rPr>
        <w:t xml:space="preserve"> . The shares of Series H Preferred Stock are not convertible into or exchangeable for any other property or securities of the Company, except as provided in this Section 8.</w:t>
      </w:r>
    </w:p>
    <w:p>
      <w:pPr>
        <w:spacing w:after="0" w:line="124" w:lineRule="exact"/>
        <w:rPr>
          <w:sz w:val="20"/>
          <w:szCs w:val="20"/>
          <w:color w:val="auto"/>
        </w:rPr>
      </w:pPr>
    </w:p>
    <w:p>
      <w:pPr>
        <w:ind w:left="600" w:right="780" w:firstLine="306"/>
        <w:spacing w:after="0" w:line="287" w:lineRule="auto"/>
        <w:tabs>
          <w:tab w:leader="none" w:pos="1080" w:val="left"/>
        </w:tabs>
        <w:numPr>
          <w:ilvl w:val="0"/>
          <w:numId w:val="3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the occurrence of a Change of Control, each holder of shares of Series H Preferred Stock shall have the right, unless, prior to the Change of Control Conversion Date, the Company has provided or provides notice of its election to redeem the Series H Preferred Stock pursuant to the Redemption Right or Special</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681990</wp:posOffset>
            </wp:positionV>
            <wp:extent cx="5083810" cy="1524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703">
                      <a:extLst>
                        <a:ext uri="{28A0092B-C50C-407E-A947-70E740481C1C}"/>
                      </a:extLst>
                    </a:blip>
                    <a:srcRect/>
                    <a:stretch>
                      <a:fillRect/>
                    </a:stretch>
                  </pic:blipFill>
                  <pic:spPr bwMode="auto">
                    <a:xfrm>
                      <a:off x="0" y="0"/>
                      <a:ext cx="5083810" cy="15240"/>
                    </a:xfrm>
                    <a:prstGeom prst="rect">
                      <a:avLst/>
                    </a:prstGeom>
                    <a:noFill/>
                  </pic:spPr>
                </pic:pic>
              </a:graphicData>
            </a:graphic>
          </wp:anchor>
        </w:drawing>
        <w:drawing>
          <wp:anchor simplePos="0" relativeHeight="251657728" behindDoc="1" locked="0" layoutInCell="0" allowOverlap="1">
            <wp:simplePos x="0" y="0"/>
            <wp:positionH relativeFrom="column">
              <wp:posOffset>384810</wp:posOffset>
            </wp:positionH>
            <wp:positionV relativeFrom="paragraph">
              <wp:posOffset>316230</wp:posOffset>
            </wp:positionV>
            <wp:extent cx="4436110" cy="1524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704">
                      <a:extLst>
                        <a:ext uri="{28A0092B-C50C-407E-A947-70E740481C1C}"/>
                      </a:extLst>
                    </a:blip>
                    <a:srcRect/>
                    <a:stretch>
                      <a:fillRect/>
                    </a:stretch>
                  </pic:blipFill>
                  <pic:spPr bwMode="auto">
                    <a:xfrm>
                      <a:off x="0" y="0"/>
                      <a:ext cx="44361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88" w:name="page389"/>
    <w:bookmarkEnd w:id="388"/>
    <w:p>
      <w:pPr>
        <w:ind w:left="600" w:right="840"/>
        <w:spacing w:after="0" w:line="271" w:lineRule="auto"/>
        <w:rPr>
          <w:sz w:val="20"/>
          <w:szCs w:val="20"/>
          <w:color w:val="auto"/>
        </w:rPr>
      </w:pPr>
      <w:r>
        <w:rPr>
          <w:rFonts w:ascii="Times New Roman" w:cs="Times New Roman" w:eastAsia="Times New Roman" w:hAnsi="Times New Roman"/>
          <w:sz w:val="13"/>
          <w:szCs w:val="13"/>
          <w:color w:val="auto"/>
        </w:rPr>
        <w:t xml:space="preserve">Optional Redemption Right, to convert some or all of the Series H Preferred Stock held by such holder (the “ </w:t>
      </w:r>
      <w:r>
        <w:rPr>
          <w:rFonts w:ascii="Times New Roman" w:cs="Times New Roman" w:eastAsia="Times New Roman" w:hAnsi="Times New Roman"/>
          <w:sz w:val="13"/>
          <w:szCs w:val="13"/>
          <w:u w:val="single" w:color="auto"/>
          <w:color w:val="auto"/>
        </w:rPr>
        <w:t>Change of Control Conversion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Right</w:t>
      </w:r>
      <w:r>
        <w:rPr>
          <w:rFonts w:ascii="Times New Roman" w:cs="Times New Roman" w:eastAsia="Times New Roman" w:hAnsi="Times New Roman"/>
          <w:sz w:val="13"/>
          <w:szCs w:val="13"/>
          <w:color w:val="auto"/>
        </w:rPr>
        <w:t xml:space="preserve"> ”) on the Change of Control Conversion Date into a number of shares of Common Stock, per share of Series H Preferred Stock to be converted (the “ </w:t>
      </w:r>
      <w:r>
        <w:rPr>
          <w:rFonts w:ascii="Times New Roman" w:cs="Times New Roman" w:eastAsia="Times New Roman" w:hAnsi="Times New Roman"/>
          <w:sz w:val="13"/>
          <w:szCs w:val="13"/>
          <w:u w:val="single" w:color="auto"/>
          <w:color w:val="auto"/>
        </w:rPr>
        <w:t>Common Stock Conversion Consideration</w:t>
      </w:r>
      <w:r>
        <w:rPr>
          <w:rFonts w:ascii="Times New Roman" w:cs="Times New Roman" w:eastAsia="Times New Roman" w:hAnsi="Times New Roman"/>
          <w:sz w:val="13"/>
          <w:szCs w:val="13"/>
          <w:color w:val="auto"/>
        </w:rPr>
        <w:t xml:space="preserve"> ”) equal to the lesser of (A) the quotient obtained by dividing (i) the sum of (x) the $25.00 liquidation preference per share of Series H Preferred Stock to be converted plus</w:t>
      </w:r>
    </w:p>
    <w:p>
      <w:pPr>
        <w:spacing w:after="0" w:line="1" w:lineRule="exact"/>
        <w:rPr>
          <w:sz w:val="20"/>
          <w:szCs w:val="20"/>
          <w:color w:val="auto"/>
        </w:rPr>
      </w:pPr>
    </w:p>
    <w:p>
      <w:pPr>
        <w:jc w:val="both"/>
        <w:ind w:left="600" w:right="680" w:hanging="6"/>
        <w:spacing w:after="0" w:line="279" w:lineRule="auto"/>
        <w:tabs>
          <w:tab w:leader="none" w:pos="792" w:val="left"/>
        </w:tabs>
        <w:numPr>
          <w:ilvl w:val="0"/>
          <w:numId w:val="3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amount of any accrued and unpaid dividends to, but not including, the Change of Control Conversion Date (unless the Change of Control Conversion Date is after a Dividend Record Date and prior to the corresponding Dividend Payment Date, in which case no additional amount for such accrued and unpaid dividends will be included in such sum) by (ii) the Common Stock Price (as defined herein) and (B) 0.9632 (the “ </w:t>
      </w:r>
      <w:r>
        <w:rPr>
          <w:rFonts w:ascii="Times New Roman" w:cs="Times New Roman" w:eastAsia="Times New Roman" w:hAnsi="Times New Roman"/>
          <w:sz w:val="13"/>
          <w:szCs w:val="13"/>
          <w:u w:val="single" w:color="auto"/>
          <w:color w:val="auto"/>
        </w:rPr>
        <w:t>Share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Cap</w:t>
      </w:r>
      <w:r>
        <w:rPr>
          <w:rFonts w:ascii="Times New Roman" w:cs="Times New Roman" w:eastAsia="Times New Roman" w:hAnsi="Times New Roman"/>
          <w:sz w:val="13"/>
          <w:szCs w:val="13"/>
          <w:color w:val="auto"/>
        </w:rPr>
        <w:t xml:space="preserve"> ”), subject to the immediately succeeding paragraph.</w:t>
      </w:r>
    </w:p>
    <w:p>
      <w:pPr>
        <w:spacing w:after="0" w:line="142" w:lineRule="exact"/>
        <w:rPr>
          <w:sz w:val="20"/>
          <w:szCs w:val="20"/>
          <w:color w:val="auto"/>
        </w:rPr>
      </w:pPr>
    </w:p>
    <w:p>
      <w:pPr>
        <w:ind w:left="600" w:right="740" w:firstLine="612"/>
        <w:spacing w:after="0" w:line="276" w:lineRule="auto"/>
        <w:rPr>
          <w:sz w:val="20"/>
          <w:szCs w:val="20"/>
          <w:color w:val="auto"/>
        </w:rPr>
      </w:pPr>
      <w:r>
        <w:rPr>
          <w:rFonts w:ascii="Times New Roman" w:cs="Times New Roman" w:eastAsia="Times New Roman" w:hAnsi="Times New Roman"/>
          <w:sz w:val="13"/>
          <w:szCs w:val="13"/>
          <w:color w:val="auto"/>
        </w:rPr>
        <w:t xml:space="preserve">The Share Cap is subject to pro rata adjustments for any share splits (including those effected pursuant to a distribution of the Common Stock), subdivisions or combinations (in each case, a “ </w:t>
      </w:r>
      <w:r>
        <w:rPr>
          <w:rFonts w:ascii="Times New Roman" w:cs="Times New Roman" w:eastAsia="Times New Roman" w:hAnsi="Times New Roman"/>
          <w:sz w:val="13"/>
          <w:szCs w:val="13"/>
          <w:u w:val="single" w:color="auto"/>
          <w:color w:val="auto"/>
        </w:rPr>
        <w:t>Share Split</w:t>
      </w:r>
      <w:r>
        <w:rPr>
          <w:rFonts w:ascii="Times New Roman" w:cs="Times New Roman" w:eastAsia="Times New Roman" w:hAnsi="Times New Roman"/>
          <w:sz w:val="13"/>
          <w:szCs w:val="13"/>
          <w:color w:val="auto"/>
        </w:rPr>
        <w:t xml:space="preserve"> ”) with respect to the Common Stock as follows: the adjusted Share Cap as the result of a Share Split shall be the number of shares of Common Stock that is equivalent to the product obtained by multiplying (i) the Share Cap in effect immediately prior to such Share Split by (ii) a fraction, the numerator of which is the number of shares of Common Stock outstanding after giving effect to such Share Split and the denominator of which is the number of shares of Common Stock outstanding immediately prior to such Share Split.</w:t>
      </w:r>
    </w:p>
    <w:p>
      <w:pPr>
        <w:spacing w:after="0" w:line="145" w:lineRule="exact"/>
        <w:rPr>
          <w:sz w:val="20"/>
          <w:szCs w:val="20"/>
          <w:color w:val="auto"/>
        </w:rPr>
      </w:pPr>
    </w:p>
    <w:p>
      <w:pPr>
        <w:ind w:left="600" w:right="740" w:firstLine="612"/>
        <w:spacing w:after="0" w:line="275" w:lineRule="auto"/>
        <w:rPr>
          <w:sz w:val="20"/>
          <w:szCs w:val="20"/>
          <w:color w:val="auto"/>
        </w:rPr>
      </w:pPr>
      <w:r>
        <w:rPr>
          <w:rFonts w:ascii="Times New Roman" w:cs="Times New Roman" w:eastAsia="Times New Roman" w:hAnsi="Times New Roman"/>
          <w:sz w:val="13"/>
          <w:szCs w:val="13"/>
          <w:color w:val="auto"/>
        </w:rPr>
        <w:t xml:space="preserve">For the avoidance of doubt, subject to the immediately succeeding sentence, the aggregate number of shares of Common Stock (or equivalent Alternative Conversion Consideration (as defined below), as applicable) issuable in connection with the exercise of the Change of Control Conversion Right shall not exceed 11,558,400 shares of Common Stock (or equivalent Alternative Conversion Consideration, as applicable), subject to increase to the extent the underwriters’ over-allotment option to purchase additional shares of Series H Preferred Stock in the initial public offering of Series H Preferred Stock is exercised, not to exceed 13,292,160 shares of Common Stock in total (or equivalent Alternative Conversion Consideration, as applicable) (the “ </w:t>
      </w:r>
      <w:r>
        <w:rPr>
          <w:rFonts w:ascii="Times New Roman" w:cs="Times New Roman" w:eastAsia="Times New Roman" w:hAnsi="Times New Roman"/>
          <w:sz w:val="13"/>
          <w:szCs w:val="13"/>
          <w:u w:val="single" w:color="auto"/>
          <w:color w:val="auto"/>
        </w:rPr>
        <w:t>Exchange Cap</w:t>
      </w:r>
      <w:r>
        <w:rPr>
          <w:rFonts w:ascii="Times New Roman" w:cs="Times New Roman" w:eastAsia="Times New Roman" w:hAnsi="Times New Roman"/>
          <w:sz w:val="13"/>
          <w:szCs w:val="13"/>
          <w:color w:val="auto"/>
        </w:rPr>
        <w:t xml:space="preserve"> ”). The Exchange Cap is subject to pro rata adjustments for any Share Splits on the same basis as the corresponding adjustment to the Share Cap.</w:t>
      </w:r>
    </w:p>
    <w:p>
      <w:pPr>
        <w:spacing w:after="0" w:line="145" w:lineRule="exact"/>
        <w:rPr>
          <w:sz w:val="20"/>
          <w:szCs w:val="20"/>
          <w:color w:val="auto"/>
        </w:rPr>
      </w:pPr>
    </w:p>
    <w:p>
      <w:pPr>
        <w:ind w:left="600" w:right="640" w:firstLine="612"/>
        <w:spacing w:after="0" w:line="275" w:lineRule="auto"/>
        <w:rPr>
          <w:sz w:val="20"/>
          <w:szCs w:val="20"/>
          <w:color w:val="auto"/>
        </w:rPr>
      </w:pPr>
      <w:r>
        <w:rPr>
          <w:rFonts w:ascii="Times New Roman" w:cs="Times New Roman" w:eastAsia="Times New Roman" w:hAnsi="Times New Roman"/>
          <w:sz w:val="13"/>
          <w:szCs w:val="13"/>
          <w:color w:val="auto"/>
        </w:rPr>
        <w:t xml:space="preserve">In the case of a Change of Control pursuant to which shares of Common Stock shall be converted into cash, securities or other property or assets (including any combination thereof) (the “ </w:t>
      </w:r>
      <w:r>
        <w:rPr>
          <w:rFonts w:ascii="Times New Roman" w:cs="Times New Roman" w:eastAsia="Times New Roman" w:hAnsi="Times New Roman"/>
          <w:sz w:val="13"/>
          <w:szCs w:val="13"/>
          <w:u w:val="single" w:color="auto"/>
          <w:color w:val="auto"/>
        </w:rPr>
        <w:t>Alternative Form Consideration</w:t>
      </w:r>
      <w:r>
        <w:rPr>
          <w:rFonts w:ascii="Times New Roman" w:cs="Times New Roman" w:eastAsia="Times New Roman" w:hAnsi="Times New Roman"/>
          <w:sz w:val="13"/>
          <w:szCs w:val="13"/>
          <w:color w:val="auto"/>
        </w:rPr>
        <w:t xml:space="preserve"> ”), a holder of shares of Series H Preferred Stock shall receive upon conversion of such shares of Series H Preferred Stock the kind and amount of Alternative Form Consideration which such holder would have owned or been entitled to receive upon the Change of Control had such holder held a number of shares of Common Stock equal to the Common Stock Conversion Consideration immediately prior to the effective time of the Change of Control (the “ </w:t>
      </w:r>
      <w:r>
        <w:rPr>
          <w:rFonts w:ascii="Times New Roman" w:cs="Times New Roman" w:eastAsia="Times New Roman" w:hAnsi="Times New Roman"/>
          <w:sz w:val="13"/>
          <w:szCs w:val="13"/>
          <w:u w:val="single" w:color="auto"/>
          <w:color w:val="auto"/>
        </w:rPr>
        <w:t>Alternative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Conversion Consideration</w:t>
      </w:r>
      <w:r>
        <w:rPr>
          <w:rFonts w:ascii="Times New Roman" w:cs="Times New Roman" w:eastAsia="Times New Roman" w:hAnsi="Times New Roman"/>
          <w:sz w:val="13"/>
          <w:szCs w:val="13"/>
          <w:color w:val="auto"/>
        </w:rPr>
        <w:t xml:space="preserve"> ”; and the Common Stock Conversion Consideration or the Alternative Conversion Consideration, as may be applicable to a Change of Control, shall be referred to herein as the “ </w:t>
      </w:r>
      <w:r>
        <w:rPr>
          <w:rFonts w:ascii="Times New Roman" w:cs="Times New Roman" w:eastAsia="Times New Roman" w:hAnsi="Times New Roman"/>
          <w:sz w:val="13"/>
          <w:szCs w:val="13"/>
          <w:u w:val="single" w:color="auto"/>
          <w:color w:val="auto"/>
        </w:rPr>
        <w:t>Conversion Consideration</w:t>
      </w:r>
      <w:r>
        <w:rPr>
          <w:rFonts w:ascii="Times New Roman" w:cs="Times New Roman" w:eastAsia="Times New Roman" w:hAnsi="Times New Roman"/>
          <w:sz w:val="13"/>
          <w:szCs w:val="13"/>
          <w:color w:val="auto"/>
        </w:rPr>
        <w:t xml:space="preserve"> ”).</w:t>
      </w:r>
    </w:p>
    <w:p>
      <w:pPr>
        <w:spacing w:after="0" w:line="145" w:lineRule="exact"/>
        <w:rPr>
          <w:sz w:val="20"/>
          <w:szCs w:val="20"/>
          <w:color w:val="auto"/>
        </w:rPr>
      </w:pPr>
    </w:p>
    <w:p>
      <w:pPr>
        <w:ind w:left="600" w:right="640" w:firstLine="612"/>
        <w:spacing w:after="0" w:line="276" w:lineRule="auto"/>
        <w:rPr>
          <w:sz w:val="20"/>
          <w:szCs w:val="20"/>
          <w:color w:val="auto"/>
        </w:rPr>
      </w:pPr>
      <w:r>
        <w:rPr>
          <w:rFonts w:ascii="Times New Roman" w:cs="Times New Roman" w:eastAsia="Times New Roman" w:hAnsi="Times New Roman"/>
          <w:sz w:val="13"/>
          <w:szCs w:val="13"/>
          <w:color w:val="auto"/>
        </w:rPr>
        <w:t>In the event that holders of Common Stock have the opportunity to elect the form of consideration to be received in the Change of Control, the Conversion Consideration will be deemed to be the kind and amount of consideration actually received by holders of a majority of the Common Stock that voted for such an election (if electing between two types of consideration) or holders of a plurality of the Common Stock that voted for such an election (if electing between more than two types of consideration), as the case may be, and will be subject to any limitations to which all holders of Common Stock are subject, including, without limitation, pro rata reductions applicable to any portion of the consideration payable in the Change of Control.</w:t>
      </w:r>
    </w:p>
    <w:p>
      <w:pPr>
        <w:spacing w:after="0" w:line="145" w:lineRule="exact"/>
        <w:rPr>
          <w:sz w:val="20"/>
          <w:szCs w:val="20"/>
          <w:color w:val="auto"/>
        </w:rPr>
      </w:pPr>
    </w:p>
    <w:p>
      <w:pPr>
        <w:ind w:left="600" w:right="700" w:firstLine="612"/>
        <w:spacing w:after="0" w:line="287" w:lineRule="auto"/>
        <w:rPr>
          <w:sz w:val="20"/>
          <w:szCs w:val="20"/>
          <w:color w:val="auto"/>
        </w:rPr>
      </w:pPr>
      <w:r>
        <w:rPr>
          <w:rFonts w:ascii="Times New Roman" w:cs="Times New Roman" w:eastAsia="Times New Roman" w:hAnsi="Times New Roman"/>
          <w:sz w:val="13"/>
          <w:szCs w:val="13"/>
          <w:color w:val="auto"/>
        </w:rPr>
        <w:t xml:space="preserve">The “ </w:t>
      </w:r>
      <w:r>
        <w:rPr>
          <w:rFonts w:ascii="Times New Roman" w:cs="Times New Roman" w:eastAsia="Times New Roman" w:hAnsi="Times New Roman"/>
          <w:sz w:val="13"/>
          <w:szCs w:val="13"/>
          <w:u w:val="single" w:color="auto"/>
          <w:color w:val="auto"/>
        </w:rPr>
        <w:t>Change of Control Conversion Date</w:t>
      </w:r>
      <w:r>
        <w:rPr>
          <w:rFonts w:ascii="Times New Roman" w:cs="Times New Roman" w:eastAsia="Times New Roman" w:hAnsi="Times New Roman"/>
          <w:sz w:val="13"/>
          <w:szCs w:val="13"/>
          <w:color w:val="auto"/>
        </w:rPr>
        <w:t xml:space="preserve"> ” shall be a Business Day set forth in the notice of Change of Control provided in accordance with Section 8(c) below that is no less than 20 days nor more than 35 days after the date on which the Company provides such notice pursuant to Section 8(c).</w:t>
      </w:r>
    </w:p>
    <w:p>
      <w:pPr>
        <w:spacing w:after="0" w:line="136" w:lineRule="exact"/>
        <w:rPr>
          <w:sz w:val="20"/>
          <w:szCs w:val="20"/>
          <w:color w:val="auto"/>
        </w:rPr>
      </w:pPr>
    </w:p>
    <w:p>
      <w:pPr>
        <w:ind w:left="600" w:right="520" w:firstLine="612"/>
        <w:spacing w:after="0" w:line="278" w:lineRule="auto"/>
        <w:rPr>
          <w:sz w:val="20"/>
          <w:szCs w:val="20"/>
          <w:color w:val="auto"/>
        </w:rPr>
      </w:pPr>
      <w:r>
        <w:rPr>
          <w:rFonts w:ascii="Times New Roman" w:cs="Times New Roman" w:eastAsia="Times New Roman" w:hAnsi="Times New Roman"/>
          <w:sz w:val="13"/>
          <w:szCs w:val="13"/>
          <w:color w:val="auto"/>
        </w:rPr>
        <w:t xml:space="preserve">The “ </w:t>
      </w:r>
      <w:r>
        <w:rPr>
          <w:rFonts w:ascii="Times New Roman" w:cs="Times New Roman" w:eastAsia="Times New Roman" w:hAnsi="Times New Roman"/>
          <w:sz w:val="13"/>
          <w:szCs w:val="13"/>
          <w:u w:val="single" w:color="auto"/>
          <w:color w:val="auto"/>
        </w:rPr>
        <w:t>Common Stock Price</w:t>
      </w:r>
      <w:r>
        <w:rPr>
          <w:rFonts w:ascii="Times New Roman" w:cs="Times New Roman" w:eastAsia="Times New Roman" w:hAnsi="Times New Roman"/>
          <w:sz w:val="13"/>
          <w:szCs w:val="13"/>
          <w:color w:val="auto"/>
        </w:rPr>
        <w:t xml:space="preserve"> ” shall be (i) if the consideration to be received in the Change of Control by the holders of Common Stock is solely cash, the amount of cash consideration per share of Common Stock or (ii) if the consideration to be received in the Change of Control by holders of Common Stock is other than solely cash (x) the average of the closing sale prices per share of Common Stock (or, if no closing sale price is reported, the average of the closing bid and ask prices or, if more than one in either case, the average of the average closing bid and the average closing ask prices) for the ten consecutive trading days immediately preceding, but</w:t>
      </w:r>
    </w:p>
    <w:p>
      <w:pPr>
        <w:spacing w:after="0" w:line="200" w:lineRule="exact"/>
        <w:rPr>
          <w:sz w:val="20"/>
          <w:szCs w:val="20"/>
          <w:color w:val="auto"/>
        </w:rPr>
      </w:pPr>
    </w:p>
    <w:p>
      <w:pPr>
        <w:spacing w:after="0" w:line="25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316230</wp:posOffset>
            </wp:positionV>
            <wp:extent cx="4436110" cy="1524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705">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-48895</wp:posOffset>
            </wp:positionV>
            <wp:extent cx="5083810" cy="1524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706">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89" w:name="page390"/>
    <w:bookmarkEnd w:id="389"/>
    <w:p>
      <w:pPr>
        <w:ind w:left="600" w:right="720"/>
        <w:spacing w:after="0" w:line="281" w:lineRule="auto"/>
        <w:rPr>
          <w:sz w:val="20"/>
          <w:szCs w:val="20"/>
          <w:color w:val="auto"/>
        </w:rPr>
      </w:pPr>
      <w:r>
        <w:rPr>
          <w:rFonts w:ascii="Times New Roman" w:cs="Times New Roman" w:eastAsia="Times New Roman" w:hAnsi="Times New Roman"/>
          <w:sz w:val="13"/>
          <w:szCs w:val="13"/>
          <w:color w:val="auto"/>
        </w:rPr>
        <w:t>not including, the effective date of the Change of Control as reported on the principal U.S. securities exchange on which the Common Stock is then traded, or (y) the average of the last quoted bid prices for the Common Stock in the over-the-counter market as reported by Pink Sheets LLC or similar organization for the ten consecutive trading days immediately preceding, but not including, the effective date of the Change of Control, if the Common Stock is not then listed for trading on a U.S. securities exchange.</w:t>
      </w:r>
    </w:p>
    <w:p>
      <w:pPr>
        <w:spacing w:after="0" w:line="140" w:lineRule="exact"/>
        <w:rPr>
          <w:sz w:val="20"/>
          <w:szCs w:val="20"/>
          <w:color w:val="auto"/>
        </w:rPr>
      </w:pPr>
    </w:p>
    <w:p>
      <w:pPr>
        <w:ind w:left="600" w:right="960" w:firstLine="306"/>
        <w:spacing w:after="0" w:line="305" w:lineRule="auto"/>
        <w:tabs>
          <w:tab w:leader="none" w:pos="1092" w:val="left"/>
        </w:tabs>
        <w:numPr>
          <w:ilvl w:val="1"/>
          <w:numId w:val="3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fractional shares of Common Stock shall be issued upon the conversion of Series H Preferred Stock. In lieu of fractional shares, holders shall be entitled to receive the cash value of such fractional shares based on the Common Stock Price.</w:t>
      </w:r>
    </w:p>
    <w:p>
      <w:pPr>
        <w:spacing w:after="0" w:line="124" w:lineRule="exact"/>
        <w:rPr>
          <w:rFonts w:ascii="Times New Roman" w:cs="Times New Roman" w:eastAsia="Times New Roman" w:hAnsi="Times New Roman"/>
          <w:sz w:val="13"/>
          <w:szCs w:val="13"/>
          <w:color w:val="auto"/>
        </w:rPr>
      </w:pPr>
    </w:p>
    <w:p>
      <w:pPr>
        <w:ind w:left="600" w:right="640" w:firstLine="306"/>
        <w:spacing w:after="0" w:line="272" w:lineRule="auto"/>
        <w:tabs>
          <w:tab w:leader="none" w:pos="1080" w:val="left"/>
        </w:tabs>
        <w:numPr>
          <w:ilvl w:val="1"/>
          <w:numId w:val="3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Within 15 days following the occurrence of a Change of Control, a notice of occurrence of the Change of Control, describing the resulting Change of Control Conversion Right, shall be delivered to the holders of record of the shares of Series H Preferred Stock at their addresses as they appear on the Company’s share transfer records and notice shall be provided to the Company’s transfer agent. No failure to give such notice or any defect thereto or in the mailing thereof shall affect the validity of the proceedings for the conversion of any share of Series H Preferred Stock except as to the holder to whom notice was defective or not given. Each notice shall state: (i) the events constituting the Change of Control; (ii) the date of the Change of Control; (iii) the last date on which the holders of Series H Preferred Stock may exercise their Change of Control Conversion Right; (iv) the method and period for calculating the Common Stock Price; (v) the Change of Control Conversion Date, which shall be a Business Day occurring within 20 to 35 days following the date of such notice; (vi) that if, prior to the Change of Control Conversion Date, the Company has provided or provides notice of its election to redeem all or any portion of the Series H Preferred Stock, the holder will not be able to convert shares of Series H Preferred Stock designated for redemption and such shares of Series H Preferred Stock shall be redeemed on the related redemption date, even if they have already been tendered for conversion pursuant to the Change of Control Conversion Right; (vii) if applicable, the type and amount of Alternative Conversion Consideration entitled to be received per share of Series H Preferred Stock; (viii) the name and address of the paying agent and the conversion agent; and (ix) the procedures that the holders of Series H Preferred Stock must follow to exercise the Change of Control Conversion Right.</w:t>
      </w:r>
    </w:p>
    <w:p>
      <w:pPr>
        <w:spacing w:after="0" w:line="136" w:lineRule="exact"/>
        <w:rPr>
          <w:rFonts w:ascii="Times New Roman" w:cs="Times New Roman" w:eastAsia="Times New Roman" w:hAnsi="Times New Roman"/>
          <w:sz w:val="13"/>
          <w:szCs w:val="13"/>
          <w:color w:val="auto"/>
        </w:rPr>
      </w:pPr>
    </w:p>
    <w:p>
      <w:pPr>
        <w:ind w:left="600" w:right="600" w:firstLine="306"/>
        <w:spacing w:after="0" w:line="278" w:lineRule="auto"/>
        <w:tabs>
          <w:tab w:leader="none" w:pos="1092" w:val="left"/>
        </w:tabs>
        <w:numPr>
          <w:ilvl w:val="1"/>
          <w:numId w:val="3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issue a press release for publication on the Dow Jones &amp; Company, Inc., Business Wire, PR Newswire or Bloomberg Business News (or, if such organizations are not in existence at the time of issuance of such press release, such other news or press organization as is reasonably calculated to broadly disseminate the relevant information to the public), or post notice on the Company’s website, in any event prior to the opening of business on the first Business Day following any date on which the Company provides notice pursuant to Section 8(c) above to the holders of Series H Preferred Stock.</w:t>
      </w:r>
    </w:p>
    <w:p>
      <w:pPr>
        <w:spacing w:after="0" w:line="142" w:lineRule="exact"/>
        <w:rPr>
          <w:rFonts w:ascii="Times New Roman" w:cs="Times New Roman" w:eastAsia="Times New Roman" w:hAnsi="Times New Roman"/>
          <w:sz w:val="13"/>
          <w:szCs w:val="13"/>
          <w:color w:val="auto"/>
        </w:rPr>
      </w:pPr>
    </w:p>
    <w:p>
      <w:pPr>
        <w:jc w:val="both"/>
        <w:ind w:left="600" w:right="660" w:firstLine="306"/>
        <w:spacing w:after="0" w:line="271" w:lineRule="auto"/>
        <w:tabs>
          <w:tab w:leader="none" w:pos="1080" w:val="left"/>
        </w:tabs>
        <w:numPr>
          <w:ilvl w:val="1"/>
          <w:numId w:val="3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order to exercise the Change of Control Conversion Right, a holder of shares of Series H Preferred Stock shall be required to deliver, on or before the close of business on the Change of Control Conversion Date, the certificates (if any) representing the shares of Series H Preferred Stock to be converted, duly endorsed for transfer, together with a written conversion notice completed, to the Company’s transfer agent. Such notice shall state: (i) the relevant Change of Control Conversion Date;</w:t>
      </w:r>
    </w:p>
    <w:p>
      <w:pPr>
        <w:ind w:left="600" w:right="860" w:hanging="6"/>
        <w:spacing w:after="0" w:line="284" w:lineRule="auto"/>
        <w:tabs>
          <w:tab w:leader="none" w:pos="794" w:val="left"/>
        </w:tabs>
        <w:numPr>
          <w:ilvl w:val="0"/>
          <w:numId w:val="3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number of shares of Series H Preferred Stock to be converted; and (iii) that the shares of Series H Preferred Stock are to be converted pursuant to the applicable provisions of these Articles Supplementary. Notwithstanding the foregoing, if the shares of Series H Preferred Stock are held in global form, such notice shall comply with applicable procedures of The Depository Trust Company (“ </w:t>
      </w:r>
      <w:r>
        <w:rPr>
          <w:rFonts w:ascii="Times New Roman" w:cs="Times New Roman" w:eastAsia="Times New Roman" w:hAnsi="Times New Roman"/>
          <w:sz w:val="13"/>
          <w:szCs w:val="13"/>
          <w:u w:val="single" w:color="auto"/>
          <w:color w:val="auto"/>
        </w:rPr>
        <w:t>DTC</w:t>
      </w:r>
      <w:r>
        <w:rPr>
          <w:rFonts w:ascii="Times New Roman" w:cs="Times New Roman" w:eastAsia="Times New Roman" w:hAnsi="Times New Roman"/>
          <w:sz w:val="13"/>
          <w:szCs w:val="13"/>
          <w:color w:val="auto"/>
        </w:rPr>
        <w:t xml:space="preserve"> ”).</w:t>
      </w:r>
    </w:p>
    <w:p>
      <w:pPr>
        <w:spacing w:after="0" w:line="137" w:lineRule="exact"/>
        <w:rPr>
          <w:rFonts w:ascii="Times New Roman" w:cs="Times New Roman" w:eastAsia="Times New Roman" w:hAnsi="Times New Roman"/>
          <w:sz w:val="13"/>
          <w:szCs w:val="13"/>
          <w:color w:val="auto"/>
        </w:rPr>
      </w:pPr>
    </w:p>
    <w:p>
      <w:pPr>
        <w:ind w:left="600" w:right="600" w:firstLine="306"/>
        <w:spacing w:after="0" w:line="276" w:lineRule="auto"/>
        <w:tabs>
          <w:tab w:leader="none" w:pos="1068" w:val="left"/>
        </w:tabs>
        <w:numPr>
          <w:ilvl w:val="1"/>
          <w:numId w:val="3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Holders of Series H Preferred Stock may withdraw any notice of exercise of a Change of Control Conversion Right (in whole or in part) by a written notice of withdrawal delivered to the Company’s transfer agent prior to the close of business on the Business Day prior to the Change of Control Conversion Date. The notice of withdrawal must state: (i) the number of withdrawn shares of Series H Preferred Stock; (ii) if certificated shares of Series H Preferred Stock have been issued, the certificate numbers of the shares of withdrawn Series H Preferred Stock; and (iii) the number of shares of Series H Preferred Stock, if any, which remain subject to the conversion notice. Notwithstanding the foregoing, if the shares of Series H Preferred Stock are held in global form, the notice of withdrawal shall comply with applicable procedures of DTC.</w:t>
      </w:r>
    </w:p>
    <w:p>
      <w:pPr>
        <w:spacing w:after="0" w:line="144" w:lineRule="exact"/>
        <w:rPr>
          <w:rFonts w:ascii="Times New Roman" w:cs="Times New Roman" w:eastAsia="Times New Roman" w:hAnsi="Times New Roman"/>
          <w:sz w:val="13"/>
          <w:szCs w:val="13"/>
          <w:color w:val="auto"/>
        </w:rPr>
      </w:pPr>
    </w:p>
    <w:p>
      <w:pPr>
        <w:ind w:left="600" w:right="760" w:firstLine="306"/>
        <w:spacing w:after="0" w:line="305" w:lineRule="auto"/>
        <w:tabs>
          <w:tab w:leader="none" w:pos="1092" w:val="left"/>
        </w:tabs>
        <w:numPr>
          <w:ilvl w:val="1"/>
          <w:numId w:val="3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Shares of Series H Preferred Stock as to which the Change of Control Conversion Right has been properly exercised and for which the conversion notice has not been properly withdrawn shall be converted 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322580</wp:posOffset>
            </wp:positionV>
            <wp:extent cx="5083810" cy="1524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707">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316230</wp:posOffset>
            </wp:positionV>
            <wp:extent cx="4436110" cy="1524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708">
                      <a:extLst>
                        <a:ext uri="{28A0092B-C50C-407E-A947-70E740481C1C}"/>
                      </a:extLst>
                    </a:blip>
                    <a:srcRect/>
                    <a:stretch>
                      <a:fillRect/>
                    </a:stretch>
                  </pic:blipFill>
                  <pic:spPr bwMode="auto">
                    <a:xfrm>
                      <a:off x="0" y="0"/>
                      <a:ext cx="44361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90" w:name="page391"/>
    <w:bookmarkEnd w:id="390"/>
    <w:p>
      <w:pPr>
        <w:ind w:left="600" w:right="660"/>
        <w:spacing w:after="0" w:line="276" w:lineRule="auto"/>
        <w:rPr>
          <w:sz w:val="20"/>
          <w:szCs w:val="20"/>
          <w:color w:val="auto"/>
        </w:rPr>
      </w:pPr>
      <w:r>
        <w:rPr>
          <w:rFonts w:ascii="Times New Roman" w:cs="Times New Roman" w:eastAsia="Times New Roman" w:hAnsi="Times New Roman"/>
          <w:sz w:val="13"/>
          <w:szCs w:val="13"/>
          <w:color w:val="auto"/>
        </w:rPr>
        <w:t>the applicable Conversion Consideration in accordance with the Change of Control Conversion Right on the Change of Control Conversion Date, unless, prior to the Change of Control Conversion Date, the Company has provided or provides notice of its election to redeem such shares of Series H Preferred Stock, whether pursuant to its Redemption Right or Special Optional Redemption Right. If the Company elects to redeem shares of Series H Preferred Stock that would otherwise be converted into the applicable Conversion Consideration on a Change of Control Conversion Date, such shares of Series H Preferred Stock shall not be so converted and the holders of such shares shall be entitled to receive on the applicable redemption date $25.00 per share, plus any accrued and unpaid dividends thereon to, but not including, the redemption date.</w:t>
      </w:r>
    </w:p>
    <w:p>
      <w:pPr>
        <w:spacing w:after="0" w:line="133" w:lineRule="exact"/>
        <w:rPr>
          <w:sz w:val="20"/>
          <w:szCs w:val="20"/>
          <w:color w:val="auto"/>
        </w:rPr>
      </w:pPr>
    </w:p>
    <w:p>
      <w:pPr>
        <w:ind w:left="600" w:right="1020" w:firstLine="306"/>
        <w:spacing w:after="0" w:line="305" w:lineRule="auto"/>
        <w:tabs>
          <w:tab w:leader="none" w:pos="1092" w:val="left"/>
        </w:tabs>
        <w:numPr>
          <w:ilvl w:val="0"/>
          <w:numId w:val="3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deliver the applicable Conversion Consideration no later than the third Business Day following the Change of Control Conversion Date.</w:t>
      </w:r>
    </w:p>
    <w:p>
      <w:pPr>
        <w:spacing w:after="0" w:line="112" w:lineRule="exact"/>
        <w:rPr>
          <w:rFonts w:ascii="Times New Roman" w:cs="Times New Roman" w:eastAsia="Times New Roman" w:hAnsi="Times New Roman"/>
          <w:sz w:val="13"/>
          <w:szCs w:val="13"/>
          <w:color w:val="auto"/>
        </w:rPr>
      </w:pPr>
    </w:p>
    <w:p>
      <w:pPr>
        <w:ind w:left="600" w:right="720" w:firstLine="306"/>
        <w:spacing w:after="0" w:line="278" w:lineRule="auto"/>
        <w:tabs>
          <w:tab w:leader="none" w:pos="1068" w:val="left"/>
        </w:tabs>
        <w:numPr>
          <w:ilvl w:val="0"/>
          <w:numId w:val="3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anything to the contrary contained herein, no holder of shares of Series H Preferred Stock will be entitled to convert such shares of Series H Preferred Stock into shares of Common Stock to the extent that receipt of such shares of Common Stock would cause the holder of such shares of Common Stock (or any other person) to have actual ownership, Beneficial Ownership or Constructive Ownership (each as defined in Section 9(a)) in excess of the Ownership Limit (as defined in Section 9(a)), the Aggregate Stock Ownership Limit (as defined in Section 9(a)), or such other limit as permitted by the Board of Directors or the Committee pursuant to Section 9(i).</w:t>
      </w:r>
    </w:p>
    <w:p>
      <w:pPr>
        <w:spacing w:after="0" w:line="10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Section 9. </w:t>
      </w:r>
      <w:r>
        <w:rPr>
          <w:rFonts w:ascii="Times New Roman" w:cs="Times New Roman" w:eastAsia="Times New Roman" w:hAnsi="Times New Roman"/>
          <w:sz w:val="13"/>
          <w:szCs w:val="13"/>
          <w:u w:val="single" w:color="auto"/>
          <w:color w:val="auto"/>
        </w:rPr>
        <w:t>Restrictions on Ownership and Transfer to Preserve Tax Benefit</w:t>
      </w:r>
      <w:r>
        <w:rPr>
          <w:rFonts w:ascii="Times New Roman" w:cs="Times New Roman" w:eastAsia="Times New Roman" w:hAnsi="Times New Roman"/>
          <w:sz w:val="13"/>
          <w:szCs w:val="13"/>
          <w:color w:val="auto"/>
        </w:rPr>
        <w:t xml:space="preserve"> .</w:t>
      </w:r>
    </w:p>
    <w:p>
      <w:pPr>
        <w:spacing w:after="0" w:line="175" w:lineRule="exact"/>
        <w:rPr>
          <w:sz w:val="20"/>
          <w:szCs w:val="20"/>
          <w:color w:val="auto"/>
        </w:rPr>
      </w:pPr>
    </w:p>
    <w:p>
      <w:pPr>
        <w:ind w:left="600" w:right="1080" w:firstLine="312"/>
        <w:spacing w:after="0" w:line="305" w:lineRule="auto"/>
        <w:rPr>
          <w:sz w:val="20"/>
          <w:szCs w:val="20"/>
          <w:color w:val="auto"/>
        </w:rPr>
      </w:pPr>
      <w:r>
        <w:rPr>
          <w:rFonts w:ascii="Times New Roman" w:cs="Times New Roman" w:eastAsia="Times New Roman" w:hAnsi="Times New Roman"/>
          <w:sz w:val="13"/>
          <w:szCs w:val="13"/>
          <w:color w:val="auto"/>
        </w:rPr>
        <w:t xml:space="preserve">(a) </w:t>
      </w:r>
      <w:r>
        <w:rPr>
          <w:rFonts w:ascii="Times New Roman" w:cs="Times New Roman" w:eastAsia="Times New Roman" w:hAnsi="Times New Roman"/>
          <w:sz w:val="13"/>
          <w:szCs w:val="13"/>
          <w:u w:val="single" w:color="auto"/>
          <w:color w:val="auto"/>
        </w:rPr>
        <w:t>Definitions</w:t>
      </w:r>
      <w:r>
        <w:rPr>
          <w:rFonts w:ascii="Times New Roman" w:cs="Times New Roman" w:eastAsia="Times New Roman" w:hAnsi="Times New Roman"/>
          <w:sz w:val="13"/>
          <w:szCs w:val="13"/>
          <w:color w:val="auto"/>
        </w:rPr>
        <w:t xml:space="preserve"> . For the purposes of Section 5 and this Section 9 of these Articles Supplementary, the following terms shall have the following meanings:</w:t>
      </w:r>
    </w:p>
    <w:p>
      <w:pPr>
        <w:spacing w:after="0" w:line="11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Aggregate Stock Ownership Limit</w:t>
      </w:r>
      <w:r>
        <w:rPr>
          <w:rFonts w:ascii="Times New Roman" w:cs="Times New Roman" w:eastAsia="Times New Roman" w:hAnsi="Times New Roman"/>
          <w:sz w:val="13"/>
          <w:szCs w:val="13"/>
          <w:color w:val="auto"/>
        </w:rPr>
        <w:t xml:space="preserve"> ” has the meaning set forth in Article VI of the Charter.</w:t>
      </w:r>
    </w:p>
    <w:p>
      <w:pPr>
        <w:spacing w:after="0" w:line="162" w:lineRule="exact"/>
        <w:rPr>
          <w:sz w:val="20"/>
          <w:szCs w:val="20"/>
          <w:color w:val="auto"/>
        </w:rPr>
      </w:pPr>
    </w:p>
    <w:p>
      <w:pPr>
        <w:ind w:left="900" w:right="740" w:firstLine="312"/>
        <w:spacing w:after="0" w:line="281"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Beneficial Ownership</w:t>
      </w:r>
      <w:r>
        <w:rPr>
          <w:rFonts w:ascii="Times New Roman" w:cs="Times New Roman" w:eastAsia="Times New Roman" w:hAnsi="Times New Roman"/>
          <w:sz w:val="13"/>
          <w:szCs w:val="13"/>
          <w:color w:val="auto"/>
        </w:rPr>
        <w:t xml:space="preserve"> ” shall mean ownership of Series H Preferred Stock by a Person who is or would be treated as an owner of such Series H Preferred Stock either actually or constructively through the application of Section 544 of the Code, as modified by Sections 856(h)(1)(B) and 856(h)(3) of the Code. The terms “ </w:t>
      </w:r>
      <w:r>
        <w:rPr>
          <w:rFonts w:ascii="Times New Roman" w:cs="Times New Roman" w:eastAsia="Times New Roman" w:hAnsi="Times New Roman"/>
          <w:sz w:val="13"/>
          <w:szCs w:val="13"/>
          <w:u w:val="single" w:color="auto"/>
          <w:color w:val="auto"/>
        </w:rPr>
        <w:t>Beneficial Owner</w:t>
      </w:r>
      <w:r>
        <w:rPr>
          <w:rFonts w:ascii="Times New Roman" w:cs="Times New Roman" w:eastAsia="Times New Roman" w:hAnsi="Times New Roman"/>
          <w:sz w:val="13"/>
          <w:szCs w:val="13"/>
          <w:color w:val="auto"/>
        </w:rPr>
        <w:t xml:space="preserve"> ,” “ </w:t>
      </w:r>
      <w:r>
        <w:rPr>
          <w:rFonts w:ascii="Times New Roman" w:cs="Times New Roman" w:eastAsia="Times New Roman" w:hAnsi="Times New Roman"/>
          <w:sz w:val="13"/>
          <w:szCs w:val="13"/>
          <w:u w:val="single" w:color="auto"/>
          <w:color w:val="auto"/>
        </w:rPr>
        <w:t>Beneficially Owns</w:t>
      </w:r>
      <w:r>
        <w:rPr>
          <w:rFonts w:ascii="Times New Roman" w:cs="Times New Roman" w:eastAsia="Times New Roman" w:hAnsi="Times New Roman"/>
          <w:sz w:val="13"/>
          <w:szCs w:val="13"/>
          <w:color w:val="auto"/>
        </w:rPr>
        <w:t xml:space="preserve"> ” and “ </w:t>
      </w:r>
      <w:r>
        <w:rPr>
          <w:rFonts w:ascii="Times New Roman" w:cs="Times New Roman" w:eastAsia="Times New Roman" w:hAnsi="Times New Roman"/>
          <w:sz w:val="13"/>
          <w:szCs w:val="13"/>
          <w:u w:val="single" w:color="auto"/>
          <w:color w:val="auto"/>
        </w:rPr>
        <w:t>Beneficially Owned</w:t>
      </w:r>
      <w:r>
        <w:rPr>
          <w:rFonts w:ascii="Times New Roman" w:cs="Times New Roman" w:eastAsia="Times New Roman" w:hAnsi="Times New Roman"/>
          <w:sz w:val="13"/>
          <w:szCs w:val="13"/>
          <w:color w:val="auto"/>
        </w:rPr>
        <w:t xml:space="preserve"> ” shall have the correlative meanings.</w:t>
      </w:r>
    </w:p>
    <w:p>
      <w:pPr>
        <w:spacing w:after="0" w:line="12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Capital Stock</w:t>
      </w:r>
      <w:r>
        <w:rPr>
          <w:rFonts w:ascii="Times New Roman" w:cs="Times New Roman" w:eastAsia="Times New Roman" w:hAnsi="Times New Roman"/>
          <w:sz w:val="13"/>
          <w:szCs w:val="13"/>
          <w:color w:val="auto"/>
        </w:rPr>
        <w:t xml:space="preserve"> ” has the meaning set forth in Article VI of the Charter.</w:t>
      </w:r>
    </w:p>
    <w:p>
      <w:pPr>
        <w:spacing w:after="0" w:line="163" w:lineRule="exact"/>
        <w:rPr>
          <w:sz w:val="20"/>
          <w:szCs w:val="20"/>
          <w:color w:val="auto"/>
        </w:rPr>
      </w:pPr>
    </w:p>
    <w:p>
      <w:pPr>
        <w:ind w:left="900" w:right="620" w:firstLine="312"/>
        <w:spacing w:after="0" w:line="272"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Charitable Beneficiary</w:t>
      </w:r>
      <w:r>
        <w:rPr>
          <w:rFonts w:ascii="Times New Roman" w:cs="Times New Roman" w:eastAsia="Times New Roman" w:hAnsi="Times New Roman"/>
          <w:sz w:val="13"/>
          <w:szCs w:val="13"/>
          <w:color w:val="auto"/>
        </w:rPr>
        <w:t xml:space="preserve"> ” shall mean one or more beneficiaries of a Trust, as determined pursuant to Section 9(c)(vi) of these Articles Supplementary, each of which shall be an organization described in Sections 170(b)(1)(A), 170(c)(2) and 501(c)</w:t>
      </w:r>
    </w:p>
    <w:p>
      <w:pPr>
        <w:spacing w:after="0" w:line="1" w:lineRule="exact"/>
        <w:rPr>
          <w:sz w:val="20"/>
          <w:szCs w:val="20"/>
          <w:color w:val="auto"/>
        </w:rPr>
      </w:pPr>
    </w:p>
    <w:p>
      <w:pPr>
        <w:ind w:left="1100" w:hanging="194"/>
        <w:spacing w:after="0"/>
        <w:tabs>
          <w:tab w:leader="none" w:pos="1100" w:val="left"/>
        </w:tabs>
        <w:numPr>
          <w:ilvl w:val="0"/>
          <w:numId w:val="3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of the Code.</w:t>
      </w:r>
    </w:p>
    <w:p>
      <w:pPr>
        <w:spacing w:after="0" w:line="159" w:lineRule="exact"/>
        <w:rPr>
          <w:rFonts w:ascii="Times New Roman" w:cs="Times New Roman" w:eastAsia="Times New Roman" w:hAnsi="Times New Roman"/>
          <w:sz w:val="13"/>
          <w:szCs w:val="13"/>
          <w:color w:val="auto"/>
        </w:rPr>
      </w:pPr>
    </w:p>
    <w:p>
      <w:pPr>
        <w:ind w:left="900" w:right="800" w:firstLine="312"/>
        <w:spacing w:after="0" w:line="305"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Code</w:t>
      </w:r>
      <w:r>
        <w:rPr>
          <w:rFonts w:ascii="Times New Roman" w:cs="Times New Roman" w:eastAsia="Times New Roman" w:hAnsi="Times New Roman"/>
          <w:sz w:val="13"/>
          <w:szCs w:val="13"/>
          <w:color w:val="auto"/>
        </w:rPr>
        <w:t xml:space="preserve"> ” shall mean the Internal Revenue Code of 1986, as amended. All section references to the Code shall include any successor provisions thereof as may be adopted from time to time.</w:t>
      </w:r>
    </w:p>
    <w:p>
      <w:pPr>
        <w:spacing w:after="0" w:line="112" w:lineRule="exact"/>
        <w:rPr>
          <w:rFonts w:ascii="Times New Roman" w:cs="Times New Roman" w:eastAsia="Times New Roman" w:hAnsi="Times New Roman"/>
          <w:sz w:val="13"/>
          <w:szCs w:val="13"/>
          <w:color w:val="auto"/>
        </w:rPr>
      </w:pPr>
    </w:p>
    <w:p>
      <w:pPr>
        <w:ind w:left="900" w:right="680" w:firstLine="312"/>
        <w:spacing w:after="0" w:line="281"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Constructive Ownership</w:t>
      </w:r>
      <w:r>
        <w:rPr>
          <w:rFonts w:ascii="Times New Roman" w:cs="Times New Roman" w:eastAsia="Times New Roman" w:hAnsi="Times New Roman"/>
          <w:sz w:val="13"/>
          <w:szCs w:val="13"/>
          <w:color w:val="auto"/>
        </w:rPr>
        <w:t xml:space="preserve"> ” shall mean ownership of Series H Preferred Stock by a Person who is or would be treated as an owner of such Series H Preferred Stock either actually or constructively through the application of Section 318 of the Code, as modified by Section 856(d)(5) of the Code. The terms “ </w:t>
      </w:r>
      <w:r>
        <w:rPr>
          <w:rFonts w:ascii="Times New Roman" w:cs="Times New Roman" w:eastAsia="Times New Roman" w:hAnsi="Times New Roman"/>
          <w:sz w:val="13"/>
          <w:szCs w:val="13"/>
          <w:u w:val="single" w:color="auto"/>
          <w:color w:val="auto"/>
        </w:rPr>
        <w:t>Constructive Owner</w:t>
      </w:r>
      <w:r>
        <w:rPr>
          <w:rFonts w:ascii="Times New Roman" w:cs="Times New Roman" w:eastAsia="Times New Roman" w:hAnsi="Times New Roman"/>
          <w:sz w:val="13"/>
          <w:szCs w:val="13"/>
          <w:color w:val="auto"/>
        </w:rPr>
        <w:t xml:space="preserve"> ,” “ </w:t>
      </w:r>
      <w:r>
        <w:rPr>
          <w:rFonts w:ascii="Times New Roman" w:cs="Times New Roman" w:eastAsia="Times New Roman" w:hAnsi="Times New Roman"/>
          <w:sz w:val="13"/>
          <w:szCs w:val="13"/>
          <w:u w:val="single" w:color="auto"/>
          <w:color w:val="auto"/>
        </w:rPr>
        <w:t>Constructively Owns</w:t>
      </w:r>
      <w:r>
        <w:rPr>
          <w:rFonts w:ascii="Times New Roman" w:cs="Times New Roman" w:eastAsia="Times New Roman" w:hAnsi="Times New Roman"/>
          <w:sz w:val="13"/>
          <w:szCs w:val="13"/>
          <w:color w:val="auto"/>
        </w:rPr>
        <w:t xml:space="preserve"> ” and “ </w:t>
      </w:r>
      <w:r>
        <w:rPr>
          <w:rFonts w:ascii="Times New Roman" w:cs="Times New Roman" w:eastAsia="Times New Roman" w:hAnsi="Times New Roman"/>
          <w:sz w:val="13"/>
          <w:szCs w:val="13"/>
          <w:u w:val="single" w:color="auto"/>
          <w:color w:val="auto"/>
        </w:rPr>
        <w:t>Constructively Owned</w:t>
      </w:r>
      <w:r>
        <w:rPr>
          <w:rFonts w:ascii="Times New Roman" w:cs="Times New Roman" w:eastAsia="Times New Roman" w:hAnsi="Times New Roman"/>
          <w:sz w:val="13"/>
          <w:szCs w:val="13"/>
          <w:color w:val="auto"/>
        </w:rPr>
        <w:t xml:space="preserve"> ” shall have the correlative meanings.</w:t>
      </w:r>
    </w:p>
    <w:p>
      <w:pPr>
        <w:spacing w:after="0" w:line="104" w:lineRule="exact"/>
        <w:rPr>
          <w:sz w:val="20"/>
          <w:szCs w:val="20"/>
          <w:color w:val="auto"/>
        </w:rPr>
      </w:pPr>
    </w:p>
    <w:p>
      <w:pPr>
        <w:ind w:left="900" w:right="720" w:firstLine="312"/>
        <w:spacing w:after="0" w:line="281"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Individual</w:t>
      </w:r>
      <w:r>
        <w:rPr>
          <w:rFonts w:ascii="Times New Roman" w:cs="Times New Roman" w:eastAsia="Times New Roman" w:hAnsi="Times New Roman"/>
          <w:sz w:val="13"/>
          <w:szCs w:val="13"/>
          <w:color w:val="auto"/>
        </w:rPr>
        <w:t xml:space="preserve"> ” means an individual, a trust qualified under Section 401(a) or 501(c)(17) of the Code, a portion of a trust permanently set aside for or to be used exclusively for the purposes described in Section 642(c) of the Code, or a private foundation within the meaning of Section 509(a) of the Code, provided that a trust described in Section 401(a) of the Code and exempt from tax under Section 501(a) of the Code shall be excluded from this definition.</w:t>
      </w:r>
    </w:p>
    <w:p>
      <w:pPr>
        <w:spacing w:after="0" w:line="12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IRS</w:t>
      </w:r>
      <w:r>
        <w:rPr>
          <w:rFonts w:ascii="Times New Roman" w:cs="Times New Roman" w:eastAsia="Times New Roman" w:hAnsi="Times New Roman"/>
          <w:sz w:val="13"/>
          <w:szCs w:val="13"/>
          <w:color w:val="auto"/>
        </w:rPr>
        <w:t xml:space="preserve"> ” means the United States Internal Revenue Service.</w:t>
      </w:r>
    </w:p>
    <w:p>
      <w:pPr>
        <w:spacing w:after="0" w:line="175" w:lineRule="exact"/>
        <w:rPr>
          <w:sz w:val="20"/>
          <w:szCs w:val="20"/>
          <w:color w:val="auto"/>
        </w:rPr>
      </w:pPr>
    </w:p>
    <w:p>
      <w:pPr>
        <w:ind w:left="900" w:right="780" w:firstLine="312"/>
        <w:spacing w:after="0" w:line="276"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Market Price</w:t>
      </w:r>
      <w:r>
        <w:rPr>
          <w:rFonts w:ascii="Times New Roman" w:cs="Times New Roman" w:eastAsia="Times New Roman" w:hAnsi="Times New Roman"/>
          <w:sz w:val="13"/>
          <w:szCs w:val="13"/>
          <w:color w:val="auto"/>
        </w:rPr>
        <w:t xml:space="preserve"> ” shall mean the last reported sales price reported on the NYSE of the Series H Preferred Stock on the Trading Day immediately preceding the relevant date, or if the Series H Preferred Stock is not then traded on the NYSE, the last reported sales price of the Series H Preferred Stock on the Trading Day immediately preceding the relevant date as reported on any exchange or quotation system over which the Series H Preferred Stock may be traded, or if the Series H Preferred Stock is not then traded over any exchange or quotation system, the market price of the Series H Preferred Stock on the relevant date as determined in good faith by the Board of Directors of the Company.</w:t>
      </w:r>
    </w:p>
    <w:p>
      <w:pPr>
        <w:spacing w:after="0" w:line="3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125730</wp:posOffset>
            </wp:positionV>
            <wp:extent cx="4436110" cy="762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709">
                      <a:extLst>
                        <a:ext uri="{28A0092B-C50C-407E-A947-70E740481C1C}"/>
                      </a:extLst>
                    </a:blip>
                    <a:srcRect/>
                    <a:stretch>
                      <a:fillRect/>
                    </a:stretch>
                  </pic:blipFill>
                  <pic:spPr bwMode="auto">
                    <a:xfrm>
                      <a:off x="0" y="0"/>
                      <a:ext cx="4436110"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567690</wp:posOffset>
            </wp:positionV>
            <wp:extent cx="5083810" cy="1524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710">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91" w:name="page392"/>
    <w:bookmarkEnd w:id="391"/>
    <w:p>
      <w:pPr>
        <w:ind w:left="900" w:right="640" w:firstLine="312"/>
        <w:spacing w:after="0" w:line="287"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Ownership Limit</w:t>
      </w:r>
      <w:r>
        <w:rPr>
          <w:rFonts w:ascii="Times New Roman" w:cs="Times New Roman" w:eastAsia="Times New Roman" w:hAnsi="Times New Roman"/>
          <w:sz w:val="13"/>
          <w:szCs w:val="13"/>
          <w:color w:val="auto"/>
        </w:rPr>
        <w:t xml:space="preserve"> ” shall mean 9.8% (by value or number of shares, whichever is more restrictive) of the outstanding shares of Series H Preferred Stock of the Company. The number and value of shares of outstanding Series H Preferred Stock of the Company shall be determined by the Board of Directors in good faith, which determination shall be conclusive for all purposes hereof.</w:t>
      </w:r>
    </w:p>
    <w:p>
      <w:pPr>
        <w:spacing w:after="0" w:line="136" w:lineRule="exact"/>
        <w:rPr>
          <w:sz w:val="20"/>
          <w:szCs w:val="20"/>
          <w:color w:val="auto"/>
        </w:rPr>
      </w:pPr>
    </w:p>
    <w:p>
      <w:pPr>
        <w:ind w:left="900" w:right="700" w:firstLine="312"/>
        <w:spacing w:after="0" w:line="278"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Person</w:t>
      </w:r>
      <w:r>
        <w:rPr>
          <w:rFonts w:ascii="Times New Roman" w:cs="Times New Roman" w:eastAsia="Times New Roman" w:hAnsi="Times New Roman"/>
          <w:sz w:val="13"/>
          <w:szCs w:val="13"/>
          <w:color w:val="auto"/>
        </w:rPr>
        <w:t xml:space="preserve"> ” shall mean an Individual, corporation, partnership, limited liability company, estate, trust (including a trust qualified under Section 401(a) or 501(c)(17) of the Code), association, joint stock company or other entity; but does not include an underwriter acting in a capacity as such in a public offering of shares of Series H Preferred Stock provided that the ownership of such shares of Series H Preferred Stock by such underwriter would not result in the Company being “closely held” within the meaning of Section 856(h) of the Code, or otherwise result in the Company failing to qualify as a REIT.</w:t>
      </w:r>
    </w:p>
    <w:p>
      <w:pPr>
        <w:spacing w:after="0" w:line="142" w:lineRule="exact"/>
        <w:rPr>
          <w:sz w:val="20"/>
          <w:szCs w:val="20"/>
          <w:color w:val="auto"/>
        </w:rPr>
      </w:pPr>
    </w:p>
    <w:p>
      <w:pPr>
        <w:ind w:left="900" w:right="620" w:firstLine="312"/>
        <w:spacing w:after="0" w:line="281"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Purported Beneficial Transferee</w:t>
      </w:r>
      <w:r>
        <w:rPr>
          <w:rFonts w:ascii="Times New Roman" w:cs="Times New Roman" w:eastAsia="Times New Roman" w:hAnsi="Times New Roman"/>
          <w:sz w:val="13"/>
          <w:szCs w:val="13"/>
          <w:color w:val="auto"/>
        </w:rPr>
        <w:t xml:space="preserve"> ” shall mean, with respect to any purported Transfer (or other event) which results in a transfer to a Trust, as provided in Section 9(b)(ii) of these Articles Supplementary, the Purported Record Transferee, unless the Purported Record Transferee would have acquired or owned shares of Series H Preferred Stock for another Person who is the beneficial transferee or beneficial owner of such shares, in which case the Purported Beneficial Transferee shall be such Person.</w:t>
      </w:r>
    </w:p>
    <w:p>
      <w:pPr>
        <w:spacing w:after="0" w:line="140" w:lineRule="exact"/>
        <w:rPr>
          <w:sz w:val="20"/>
          <w:szCs w:val="20"/>
          <w:color w:val="auto"/>
        </w:rPr>
      </w:pPr>
    </w:p>
    <w:p>
      <w:pPr>
        <w:ind w:left="900" w:right="700" w:firstLine="312"/>
        <w:spacing w:after="0" w:line="287"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Purported Record Transferee</w:t>
      </w:r>
      <w:r>
        <w:rPr>
          <w:rFonts w:ascii="Times New Roman" w:cs="Times New Roman" w:eastAsia="Times New Roman" w:hAnsi="Times New Roman"/>
          <w:sz w:val="13"/>
          <w:szCs w:val="13"/>
          <w:color w:val="auto"/>
        </w:rPr>
        <w:t xml:space="preserve"> ” shall mean, with respect to any purported Transfer (or other event) which results in a transfer to a Trust, as provided in Section 9(b)(ii) of these Articles Supplementary, the record holder of the Series H Preferred Stock if such Transfer had been valid under Section 9(b)(i) of these Articles Supplementary.</w:t>
      </w:r>
    </w:p>
    <w:p>
      <w:pPr>
        <w:spacing w:after="0" w:line="13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REIT</w:t>
      </w:r>
      <w:r>
        <w:rPr>
          <w:rFonts w:ascii="Times New Roman" w:cs="Times New Roman" w:eastAsia="Times New Roman" w:hAnsi="Times New Roman"/>
          <w:sz w:val="13"/>
          <w:szCs w:val="13"/>
          <w:color w:val="auto"/>
        </w:rPr>
        <w:t xml:space="preserve"> ” shall mean a real estate investment trust under Sections 856 through 860 of the Code.</w:t>
      </w:r>
    </w:p>
    <w:p>
      <w:pPr>
        <w:spacing w:after="0" w:line="186" w:lineRule="exact"/>
        <w:rPr>
          <w:sz w:val="20"/>
          <w:szCs w:val="20"/>
          <w:color w:val="auto"/>
        </w:rPr>
      </w:pPr>
    </w:p>
    <w:p>
      <w:pPr>
        <w:ind w:left="900" w:right="1040" w:firstLine="312"/>
        <w:spacing w:after="0" w:line="305"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Restriction Termination Date</w:t>
      </w:r>
      <w:r>
        <w:rPr>
          <w:rFonts w:ascii="Times New Roman" w:cs="Times New Roman" w:eastAsia="Times New Roman" w:hAnsi="Times New Roman"/>
          <w:sz w:val="13"/>
          <w:szCs w:val="13"/>
          <w:color w:val="auto"/>
        </w:rPr>
        <w:t xml:space="preserve"> ” shall mean the first day after the date hereof on which the Board of Directors of the Company determines that it is no longer in the best interests of the Company to attempt to, or continue to, qualify as a REIT.</w:t>
      </w:r>
    </w:p>
    <w:p>
      <w:pPr>
        <w:spacing w:after="0" w:line="124" w:lineRule="exact"/>
        <w:rPr>
          <w:sz w:val="20"/>
          <w:szCs w:val="20"/>
          <w:color w:val="auto"/>
        </w:rPr>
      </w:pPr>
    </w:p>
    <w:p>
      <w:pPr>
        <w:ind w:left="900" w:right="680" w:firstLine="312"/>
        <w:spacing w:after="0" w:line="281"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Trading Day</w:t>
      </w:r>
      <w:r>
        <w:rPr>
          <w:rFonts w:ascii="Times New Roman" w:cs="Times New Roman" w:eastAsia="Times New Roman" w:hAnsi="Times New Roman"/>
          <w:sz w:val="13"/>
          <w:szCs w:val="13"/>
          <w:color w:val="auto"/>
        </w:rPr>
        <w:t xml:space="preserve"> ” means a day during which trading in securities generally occurs on the NYSE or, if the Common Stock is not quoted on the NYSE, then a day during which trading in securities generally occurs on the principal U.S. securities exchange on which the Common Stock is listed or, if the Common Stock is not listed on a U.S. national or regional securities exchange, then on the principal other market on which the Common Stock is then traded or quoted.</w:t>
      </w:r>
    </w:p>
    <w:p>
      <w:pPr>
        <w:spacing w:after="0" w:line="140" w:lineRule="exact"/>
        <w:rPr>
          <w:sz w:val="20"/>
          <w:szCs w:val="20"/>
          <w:color w:val="auto"/>
        </w:rPr>
      </w:pPr>
    </w:p>
    <w:p>
      <w:pPr>
        <w:ind w:left="900" w:right="640" w:firstLine="312"/>
        <w:spacing w:after="0" w:line="275"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Transfer</w:t>
      </w:r>
      <w:r>
        <w:rPr>
          <w:rFonts w:ascii="Times New Roman" w:cs="Times New Roman" w:eastAsia="Times New Roman" w:hAnsi="Times New Roman"/>
          <w:sz w:val="13"/>
          <w:szCs w:val="13"/>
          <w:color w:val="auto"/>
        </w:rPr>
        <w:t xml:space="preserve"> ” shall mean any sale, issuance, transfer, gift, assignment, devise or other disposition of Series H Preferred Stock as well as any other event that causes any Person to Beneficially Own or Constructively Own Series H Preferred Stock, including (i) the granting of any option or entering into any agreement for the sale, transfer or other disposition of Series H Preferred Stock or (ii) the sale, transfer, assignment or other disposition of any securities (or rights convertible into or exchangeable for Series H Preferred Stock), whether voluntary or involuntary, whether such transfer has occurred of record or beneficially or Beneficially or Constructively (including but not limited to transfers of interests in other entities which result in changes in Beneficial or Constructive Ownership of Series H Preferred Stock), and whether such transfer has occurred by operation of law or otherwise.</w:t>
      </w:r>
    </w:p>
    <w:p>
      <w:pPr>
        <w:spacing w:after="0" w:line="14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Trust</w:t>
      </w:r>
      <w:r>
        <w:rPr>
          <w:rFonts w:ascii="Times New Roman" w:cs="Times New Roman" w:eastAsia="Times New Roman" w:hAnsi="Times New Roman"/>
          <w:sz w:val="13"/>
          <w:szCs w:val="13"/>
          <w:color w:val="auto"/>
        </w:rPr>
        <w:t xml:space="preserve"> ” shall mean each of the trusts provided for in Section 9(c) of these Articles Supplementary.</w:t>
      </w:r>
    </w:p>
    <w:p>
      <w:pPr>
        <w:spacing w:after="0" w:line="187" w:lineRule="exact"/>
        <w:rPr>
          <w:sz w:val="20"/>
          <w:szCs w:val="20"/>
          <w:color w:val="auto"/>
        </w:rPr>
      </w:pPr>
    </w:p>
    <w:p>
      <w:pPr>
        <w:ind w:left="900" w:right="1080" w:firstLine="300"/>
        <w:spacing w:after="0" w:line="305"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Trustee</w:t>
      </w:r>
      <w:r>
        <w:rPr>
          <w:rFonts w:ascii="Times New Roman" w:cs="Times New Roman" w:eastAsia="Times New Roman" w:hAnsi="Times New Roman"/>
          <w:sz w:val="13"/>
          <w:szCs w:val="13"/>
          <w:color w:val="auto"/>
        </w:rPr>
        <w:t xml:space="preserve"> ” shall mean any Person unaffiliated with the Company, or a Purported Beneficial Transferee, or a Purported Record Transferee, that is appointed by the Company to serve as trustee of a Trust.</w:t>
      </w:r>
    </w:p>
    <w:p>
      <w:pPr>
        <w:spacing w:after="0" w:line="124" w:lineRule="exact"/>
        <w:rPr>
          <w:sz w:val="20"/>
          <w:szCs w:val="20"/>
          <w:color w:val="auto"/>
        </w:rPr>
      </w:pPr>
    </w:p>
    <w:p>
      <w:pPr>
        <w:ind w:left="780" w:hanging="186"/>
        <w:spacing w:after="0"/>
        <w:tabs>
          <w:tab w:leader="none" w:pos="780" w:val="left"/>
        </w:tabs>
        <w:numPr>
          <w:ilvl w:val="0"/>
          <w:numId w:val="3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Restriction on Ownership and Transfers</w:t>
      </w:r>
      <w:r>
        <w:rPr>
          <w:rFonts w:ascii="Times New Roman" w:cs="Times New Roman" w:eastAsia="Times New Roman" w:hAnsi="Times New Roman"/>
          <w:sz w:val="13"/>
          <w:szCs w:val="13"/>
          <w:color w:val="auto"/>
        </w:rPr>
        <w:t xml:space="preserve"> .</w:t>
      </w:r>
    </w:p>
    <w:p>
      <w:pPr>
        <w:spacing w:after="0" w:line="186" w:lineRule="exact"/>
        <w:rPr>
          <w:rFonts w:ascii="Times New Roman" w:cs="Times New Roman" w:eastAsia="Times New Roman" w:hAnsi="Times New Roman"/>
          <w:sz w:val="13"/>
          <w:szCs w:val="13"/>
          <w:color w:val="auto"/>
        </w:rPr>
      </w:pPr>
    </w:p>
    <w:p>
      <w:pPr>
        <w:ind w:left="1380" w:hanging="161"/>
        <w:spacing w:after="0"/>
        <w:tabs>
          <w:tab w:leader="none" w:pos="1380" w:val="left"/>
        </w:tabs>
        <w:numPr>
          <w:ilvl w:val="1"/>
          <w:numId w:val="3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Prior to the Restriction Termination Date, but subject to Section 9(l):</w:t>
      </w:r>
    </w:p>
    <w:p>
      <w:pPr>
        <w:spacing w:after="0" w:line="186" w:lineRule="exact"/>
        <w:rPr>
          <w:rFonts w:ascii="Times New Roman" w:cs="Times New Roman" w:eastAsia="Times New Roman" w:hAnsi="Times New Roman"/>
          <w:sz w:val="13"/>
          <w:szCs w:val="13"/>
          <w:color w:val="auto"/>
        </w:rPr>
      </w:pPr>
    </w:p>
    <w:p>
      <w:pPr>
        <w:ind w:left="1220" w:right="700" w:firstLine="311"/>
        <w:spacing w:after="0" w:line="281" w:lineRule="auto"/>
        <w:tabs>
          <w:tab w:leader="none" w:pos="1736" w:val="left"/>
        </w:tabs>
        <w:numPr>
          <w:ilvl w:val="2"/>
          <w:numId w:val="3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provided in Section 9(i) of these Articles Supplementary, (1) no Person shall Beneficially Own shares of Series H Preferred Stock in excess of the Ownership Limit and (2) no Person shall Beneficially Own shares of Series H Preferred Stock that, taking into account any other Capital Stock Beneficially Owned by such Person, would result in such Person Beneficially Owning Capital Stock in excess of the Aggregate Stock Ownership Limit;</w:t>
      </w:r>
    </w:p>
    <w:p>
      <w:pPr>
        <w:spacing w:after="0" w:line="3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125730</wp:posOffset>
            </wp:positionV>
            <wp:extent cx="4436110" cy="1524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711">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575310</wp:posOffset>
            </wp:positionV>
            <wp:extent cx="5083810" cy="1524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712">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92" w:name="page393"/>
    <w:bookmarkEnd w:id="392"/>
    <w:p>
      <w:pPr>
        <w:ind w:left="1220" w:right="700" w:firstLine="312"/>
        <w:spacing w:after="0" w:line="281" w:lineRule="auto"/>
        <w:rPr>
          <w:sz w:val="20"/>
          <w:szCs w:val="20"/>
          <w:color w:val="auto"/>
        </w:rPr>
      </w:pPr>
      <w:r>
        <w:rPr>
          <w:rFonts w:ascii="Times New Roman" w:cs="Times New Roman" w:eastAsia="Times New Roman" w:hAnsi="Times New Roman"/>
          <w:sz w:val="13"/>
          <w:szCs w:val="13"/>
          <w:color w:val="auto"/>
        </w:rPr>
        <w:t>(B) except as provided in Section 9(i) of these Articles Supplementary, (1) no Person shall Constructively Own shares of Series H Preferred Stock in excess of the Ownership Limit and (2) no Person shall Constructively Own shares of Series H Preferred Stock that, taking into account any other Capital Stock Constructively Owned by such Person, would result in such Person Constructively Owning Capital Stock in excess of the Aggregate Stock Ownership Limit;</w:t>
      </w:r>
    </w:p>
    <w:p>
      <w:pPr>
        <w:spacing w:after="0" w:line="140" w:lineRule="exact"/>
        <w:rPr>
          <w:sz w:val="20"/>
          <w:szCs w:val="20"/>
          <w:color w:val="auto"/>
        </w:rPr>
      </w:pPr>
    </w:p>
    <w:p>
      <w:pPr>
        <w:ind w:left="1220" w:right="700" w:firstLine="311"/>
        <w:spacing w:after="0" w:line="276" w:lineRule="auto"/>
        <w:tabs>
          <w:tab w:leader="none" w:pos="1736" w:val="left"/>
        </w:tabs>
        <w:numPr>
          <w:ilvl w:val="2"/>
          <w:numId w:val="3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Person shall Beneficially Own or Constructively Own Series H Preferred Stock which, taking into account any other Capital Stock of the Company Beneficially or Constructively Owned by such Person, would result in the Company being “closely held” within the meaning of Section 856(h) of the Code, or otherwise failing to qualify as a REIT (including but not limited to Beneficial or Constructive Ownership that would result in the Company owning (actually or Constructively) an interest in a tenant that is described in Section 856(d)(2)(B) of the Code if the income derived by the Company (either directly or indirectly through one or more subsidiaries) from such tenant would cause the Company to fail to satisfy any of the gross income requirements of Section 856(c) of the Code).</w:t>
      </w:r>
    </w:p>
    <w:p>
      <w:pPr>
        <w:spacing w:after="0" w:line="312" w:lineRule="exact"/>
        <w:rPr>
          <w:rFonts w:ascii="Times New Roman" w:cs="Times New Roman" w:eastAsia="Times New Roman" w:hAnsi="Times New Roman"/>
          <w:sz w:val="13"/>
          <w:szCs w:val="13"/>
          <w:color w:val="auto"/>
        </w:rPr>
      </w:pPr>
    </w:p>
    <w:p>
      <w:pPr>
        <w:ind w:left="600" w:right="640" w:firstLine="607"/>
        <w:spacing w:after="0" w:line="274" w:lineRule="auto"/>
        <w:tabs>
          <w:tab w:leader="none" w:pos="1404" w:val="left"/>
        </w:tabs>
        <w:numPr>
          <w:ilvl w:val="1"/>
          <w:numId w:val="3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prior to the Restriction Termination Date, any Transfer or other event occurs that, if effective, would result in any Person Beneficially or Constructively Owning Series H Preferred Stock in violation of Section 9(b)(i) of these Articles Supplementary, (A) then that number of shares of Series H Preferred Stock that otherwise would cause such Person to violate Section 9(b)(i) of these Articles Supplementary (rounded up to the nearest whole share) shall be automatically transferred to a Trust for the benefit of a Charitable Beneficiary, as described in Section 9(c), effective as of the close of business on the Business Day prior to the date of such Transfer or other event, and such Purported Beneficial Transferee shall thereafter have no rights in such shares or (B) if, for any reason, the transfer to the Trust described in clause (A) of this sentence is not automatically effective as provided therein to prevent any Person from Beneficially or Constructively Owning Series H Preferred Stock in violation of Section 9(b)(i) of these Articles Supplementary, then the Transfer of that number of shares of Series H Preferred Stock that otherwise would cause any Person to violate Section 9(b)(i) shall be void </w:t>
      </w:r>
      <w:r>
        <w:rPr>
          <w:rFonts w:ascii="Times New Roman" w:cs="Times New Roman" w:eastAsia="Times New Roman" w:hAnsi="Times New Roman"/>
          <w:sz w:val="13"/>
          <w:szCs w:val="13"/>
          <w:i w:val="1"/>
          <w:iCs w:val="1"/>
          <w:color w:val="auto"/>
        </w:rPr>
        <w:t>ab initio</w:t>
      </w:r>
      <w:r>
        <w:rPr>
          <w:rFonts w:ascii="Times New Roman" w:cs="Times New Roman" w:eastAsia="Times New Roman" w:hAnsi="Times New Roman"/>
          <w:sz w:val="13"/>
          <w:szCs w:val="13"/>
          <w:color w:val="auto"/>
        </w:rPr>
        <w:t xml:space="preserve"> , and the Purported Beneficial Transferee shall have no rights in such shares.</w:t>
      </w:r>
    </w:p>
    <w:p>
      <w:pPr>
        <w:spacing w:after="0" w:line="300" w:lineRule="exact"/>
        <w:rPr>
          <w:rFonts w:ascii="Times New Roman" w:cs="Times New Roman" w:eastAsia="Times New Roman" w:hAnsi="Times New Roman"/>
          <w:sz w:val="13"/>
          <w:szCs w:val="13"/>
          <w:color w:val="auto"/>
        </w:rPr>
      </w:pPr>
    </w:p>
    <w:p>
      <w:pPr>
        <w:ind w:left="600" w:right="760" w:firstLine="607"/>
        <w:spacing w:after="0" w:line="287" w:lineRule="auto"/>
        <w:tabs>
          <w:tab w:leader="none" w:pos="1428" w:val="left"/>
        </w:tabs>
        <w:numPr>
          <w:ilvl w:val="1"/>
          <w:numId w:val="3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Subject to Section 9(l) and prior to the Restriction Termination Date, any Transfer of Series H Preferred Stock that, if effective, would result in the capital stock of the Company being beneficially owned by fewer than 100 Persons (determined without reference to any rules of attribution) shall be void </w:t>
      </w:r>
      <w:r>
        <w:rPr>
          <w:rFonts w:ascii="Times New Roman" w:cs="Times New Roman" w:eastAsia="Times New Roman" w:hAnsi="Times New Roman"/>
          <w:sz w:val="13"/>
          <w:szCs w:val="13"/>
          <w:i w:val="1"/>
          <w:iCs w:val="1"/>
          <w:color w:val="auto"/>
        </w:rPr>
        <w:t>ab initio</w:t>
      </w:r>
      <w:r>
        <w:rPr>
          <w:rFonts w:ascii="Times New Roman" w:cs="Times New Roman" w:eastAsia="Times New Roman" w:hAnsi="Times New Roman"/>
          <w:sz w:val="13"/>
          <w:szCs w:val="13"/>
          <w:color w:val="auto"/>
        </w:rPr>
        <w:t xml:space="preserve"> , and the intended transferee shall acquire no rights in such Series H Preferred Stock.</w:t>
      </w:r>
    </w:p>
    <w:p>
      <w:pPr>
        <w:spacing w:after="0" w:line="135" w:lineRule="exact"/>
        <w:rPr>
          <w:rFonts w:ascii="Times New Roman" w:cs="Times New Roman" w:eastAsia="Times New Roman" w:hAnsi="Times New Roman"/>
          <w:sz w:val="13"/>
          <w:szCs w:val="13"/>
          <w:color w:val="auto"/>
        </w:rPr>
      </w:pPr>
    </w:p>
    <w:p>
      <w:pPr>
        <w:ind w:left="1080" w:hanging="174"/>
        <w:spacing w:after="0"/>
        <w:tabs>
          <w:tab w:leader="none" w:pos="1080" w:val="left"/>
        </w:tabs>
        <w:numPr>
          <w:ilvl w:val="0"/>
          <w:numId w:val="3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Transfers of Series H Preferred Stock in Trust</w:t>
      </w:r>
      <w:r>
        <w:rPr>
          <w:rFonts w:ascii="Times New Roman" w:cs="Times New Roman" w:eastAsia="Times New Roman" w:hAnsi="Times New Roman"/>
          <w:sz w:val="13"/>
          <w:szCs w:val="13"/>
          <w:color w:val="auto"/>
        </w:rPr>
        <w:t xml:space="preserve"> .</w:t>
      </w:r>
    </w:p>
    <w:p>
      <w:pPr>
        <w:spacing w:after="0" w:line="186" w:lineRule="exact"/>
        <w:rPr>
          <w:rFonts w:ascii="Times New Roman" w:cs="Times New Roman" w:eastAsia="Times New Roman" w:hAnsi="Times New Roman"/>
          <w:sz w:val="13"/>
          <w:szCs w:val="13"/>
          <w:color w:val="auto"/>
        </w:rPr>
      </w:pPr>
    </w:p>
    <w:p>
      <w:pPr>
        <w:ind w:left="600" w:right="740" w:firstLine="607"/>
        <w:spacing w:after="0" w:line="276" w:lineRule="auto"/>
        <w:tabs>
          <w:tab w:leader="none" w:pos="1368" w:val="left"/>
        </w:tabs>
        <w:numPr>
          <w:ilvl w:val="1"/>
          <w:numId w:val="3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any purported Transfer or other event described in Section 9(b)(ii) of these Articles Supplementary, such Series H Preferred Stock shall be deemed to have been transferred to the Trustee in his capacity as trustee of a Trust for the exclusive benefit of one or more Charitable Beneficiaries. Such transfer to the Trustee shall be deemed to be effective as of the close of business on the Business Day prior to the purported Transfer or other event that results in a transfer to the Trust pursuant to Section 9(b)(ii). The Trustee shall be appointed by the Company and shall be a Person unaffiliated with the Company, any Purported Beneficial Transferee or any Purported Record Transferee. Each Charitable Beneficiary shall be designated by the Company as provided in Section 9(c)(vi) of these Articles Supplementary.</w:t>
      </w:r>
    </w:p>
    <w:p>
      <w:pPr>
        <w:spacing w:after="0" w:line="144" w:lineRule="exact"/>
        <w:rPr>
          <w:rFonts w:ascii="Times New Roman" w:cs="Times New Roman" w:eastAsia="Times New Roman" w:hAnsi="Times New Roman"/>
          <w:sz w:val="13"/>
          <w:szCs w:val="13"/>
          <w:color w:val="auto"/>
        </w:rPr>
      </w:pPr>
    </w:p>
    <w:p>
      <w:pPr>
        <w:ind w:left="600" w:right="820" w:firstLine="607"/>
        <w:spacing w:after="0" w:line="278" w:lineRule="auto"/>
        <w:tabs>
          <w:tab w:leader="none" w:pos="1404" w:val="left"/>
        </w:tabs>
        <w:numPr>
          <w:ilvl w:val="1"/>
          <w:numId w:val="3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Series H Preferred Stock held by the Trustee shall be issued and outstanding Series H Preferred Stock of the Company. The Purported Beneficial Transferee or Purported Record Transferee shall have no rights in the shares of the Series H Preferred Stock held by the Trustee. The Purported Beneficial Transferee or Purported Record Transferee shall not benefit economically from ownership of any shares held in trust by the Trustee, shall have no rights to dividends and shall not possess any rights to vote or other rights attributable to the shares of Series H Preferred Stock held in the Trust.</w:t>
      </w:r>
    </w:p>
    <w:p>
      <w:pPr>
        <w:spacing w:after="0" w:line="200" w:lineRule="exact"/>
        <w:rPr>
          <w:sz w:val="20"/>
          <w:szCs w:val="20"/>
          <w:color w:val="auto"/>
        </w:rPr>
      </w:pPr>
    </w:p>
    <w:p>
      <w:pPr>
        <w:spacing w:after="0" w:line="30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316230</wp:posOffset>
            </wp:positionV>
            <wp:extent cx="4436110" cy="1524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713">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-79375</wp:posOffset>
            </wp:positionV>
            <wp:extent cx="5083810" cy="1524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714">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93" w:name="page394"/>
    <w:bookmarkEnd w:id="393"/>
    <w:p>
      <w:pPr>
        <w:ind w:left="600" w:right="660" w:firstLine="612"/>
        <w:spacing w:after="0" w:line="272" w:lineRule="auto"/>
        <w:rPr>
          <w:sz w:val="20"/>
          <w:szCs w:val="20"/>
          <w:color w:val="auto"/>
        </w:rPr>
      </w:pPr>
      <w:r>
        <w:rPr>
          <w:rFonts w:ascii="Times New Roman" w:cs="Times New Roman" w:eastAsia="Times New Roman" w:hAnsi="Times New Roman"/>
          <w:sz w:val="13"/>
          <w:szCs w:val="13"/>
          <w:color w:val="auto"/>
        </w:rPr>
        <w:t xml:space="preserve">(iii) The Trustee shall have all voting rights and rights to dividends with respect to Series H Preferred Stock held in the Trust, which rights shall be exercised for the exclusive benefit of the Charitable Beneficiary. Any dividend or distribution paid to or on behalf of the Purported Record Transferee or Purported Beneficial Transferee prior to the discovery by the Company that shares of Series H Preferred Stock have been transferred to the Trustee shall be paid to the Trustee upon demand, and any dividend or distribution declared but unpaid shall be paid when due to the Trustee with respect to such Series H Preferred Stock. Any dividends or distributions so paid over to the Trustee shall be held in trust for the Charitable Beneficiary. The Purported Record Transferee and Purported Beneficial Transferee shall have no voting rights with respect to the Series H Preferred Stock held in the Trust and, subject to Maryland law, effective as of the date the Series H Preferred Stock has been transferred to the Trustee, the Trustee shall have the authority (at the Trustee’s sole discretion) (A) to rescind as void any vote cast by a Purported Record Transferee with respect to such Series H Preferred Stock prior to the discovery by the Company that the Series H Preferred Stock has been transferred to the Trustee and (B) to recast such vote in accordance with the desires of the Trustee acting for the benefit of the Charitable Beneficiary;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 that if the Company has already taken irreversible corporate action, then the Trustee shall not have the authority to rescind and recast such vote. Notwithstanding any other provision of these Articles Supplementary to the contrary, until the Company has received notification that the Series H Preferred Stock has been transferred into a Trust, the Company shall be entitled to rely on its share transfer and other stockholder records for purposes of preparing lists of stockholders entitled to vote at meetings, determining the validity and authority of proxies and otherwise conducting votes of stockholders.</w:t>
      </w:r>
    </w:p>
    <w:p>
      <w:pPr>
        <w:spacing w:after="0" w:line="135" w:lineRule="exact"/>
        <w:rPr>
          <w:sz w:val="20"/>
          <w:szCs w:val="20"/>
          <w:color w:val="auto"/>
        </w:rPr>
      </w:pPr>
    </w:p>
    <w:p>
      <w:pPr>
        <w:ind w:left="600" w:right="620" w:firstLine="607"/>
        <w:spacing w:after="0" w:line="272" w:lineRule="auto"/>
        <w:tabs>
          <w:tab w:leader="none" w:pos="1428" w:val="left"/>
        </w:tabs>
        <w:numPr>
          <w:ilvl w:val="0"/>
          <w:numId w:val="3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Within twenty (20) days of receiving notice from the Company that shares of Series H Preferred Stock have been transferred to the Trust, the Trustee of the Trust shall sell the shares of Series H Preferred Stock held in the Trust to a Person, designated by the Trustee, whose ownership of the shares of Series H Preferred Stock will not violate the ownership limitations set forth in Section 9(b)(i). Upon such sale, the interest of the Charitable Beneficiary in the shares of Series H Preferred Stock sold shall terminate and the Trustee shall distribute the net proceeds of the sale to the Purported Record Transferee and to the Charitable Beneficiary as provided in this Section 9(c)(iv). The Purported Record Transferee shall receive the lesser of (A) the price paid by the Purported Record Transferee for the shares of Series H Preferred Stock in the transaction that resulted in such transfer to the Trust (or, if the event which resulted in the transfer to the Trust did not involve a purchase of such shares of Series H Preferred Stock at Market Price, the Market Price of such shares of Series H Preferred Stock on the day of the event which resulted in the transfer of such shares of Series H Preferred Stock to the Trust) and (B) the price per share received by the Trustee (net of any commissions and other expenses of sale) from the sale or other disposition of the shares of Series H Preferred Stock held in the Trust. The Trustee may reduce the amount payable to the Purported Record Transferee by the amount of dividends and distributions which have been paid to the Purported Record Transferee and are owed by the Purported Record Transferee to the Trustee pursuant to Section 9(c)(iii). Any net sales proceeds in excess of the amount payable to the Purported Record Transferee shall be immediately paid to the Charitable Beneficiary together with any dividends or other distributions thereon. If, prior to the discovery by the Company that shares of such Series H Preferred Stock have been transferred to the Trustee, such shares of Series H Preferred Stock are sold by a Purported Record Transferee then (1) such shares of Series H Preferred Stock shall be deemed to have been sold on behalf of the Trust and (2) to the extent that the Purported Record Transferee received an amount for such shares of Series H Preferred Stock that exceeds the amount that such Purported Record Transferee was entitled to receive pursuant to this Section 9(c)(iv), such excess shall be paid to the Trustee upon demand.</w:t>
      </w:r>
    </w:p>
    <w:p>
      <w:pPr>
        <w:spacing w:after="0" w:line="300" w:lineRule="exact"/>
        <w:rPr>
          <w:rFonts w:ascii="Times New Roman" w:cs="Times New Roman" w:eastAsia="Times New Roman" w:hAnsi="Times New Roman"/>
          <w:sz w:val="13"/>
          <w:szCs w:val="13"/>
          <w:color w:val="auto"/>
        </w:rPr>
      </w:pPr>
    </w:p>
    <w:p>
      <w:pPr>
        <w:ind w:left="600" w:right="660" w:firstLine="607"/>
        <w:spacing w:after="0" w:line="276" w:lineRule="auto"/>
        <w:tabs>
          <w:tab w:leader="none" w:pos="1392" w:val="left"/>
        </w:tabs>
        <w:numPr>
          <w:ilvl w:val="0"/>
          <w:numId w:val="3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Series H Preferred Stock transferred to the Trustee shall be deemed to have been offered for sale to the Company, or its designee, at a price per share equal to the lesser of (A) the price paid by the Purported Record Transferee for the shares of Series H Preferred Stock in the transaction that resulted in such transfer to the Trust (or, if the event which resulted in the transfer to the Trust did not involve a purchase of such shares of Series H Preferred Stock at Market Price, the Market Price of such shares of Series H Preferred Stock on the day of the event which resulted in the transfer of such shares of Series H Preferred Stock to the Trust) and (B) the Market Price on the date the Company, or its designee, accepts such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335915</wp:posOffset>
            </wp:positionV>
            <wp:extent cx="5083810" cy="1524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715">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316230</wp:posOffset>
            </wp:positionV>
            <wp:extent cx="4436110" cy="1524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716">
                      <a:extLst>
                        <a:ext uri="{28A0092B-C50C-407E-A947-70E740481C1C}"/>
                      </a:extLst>
                    </a:blip>
                    <a:srcRect/>
                    <a:stretch>
                      <a:fillRect/>
                    </a:stretch>
                  </pic:blipFill>
                  <pic:spPr bwMode="auto">
                    <a:xfrm>
                      <a:off x="0" y="0"/>
                      <a:ext cx="44361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94" w:name="page395"/>
    <w:bookmarkEnd w:id="394"/>
    <w:p>
      <w:pPr>
        <w:ind w:left="600" w:right="700"/>
        <w:spacing w:after="0" w:line="276" w:lineRule="auto"/>
        <w:rPr>
          <w:sz w:val="20"/>
          <w:szCs w:val="20"/>
          <w:color w:val="auto"/>
        </w:rPr>
      </w:pPr>
      <w:r>
        <w:rPr>
          <w:rFonts w:ascii="Times New Roman" w:cs="Times New Roman" w:eastAsia="Times New Roman" w:hAnsi="Times New Roman"/>
          <w:sz w:val="13"/>
          <w:szCs w:val="13"/>
          <w:color w:val="auto"/>
        </w:rPr>
        <w:t>The Company may reduce the amount payable to the Purported Record Transferee by the amount of dividends and distributions which have been paid to the Purported Record Transferee and are owed by the Purported Record Transferee to the Trustee pursuant to Section 9(c)(iii). The Company shall have the right to accept such offer until the Trustee has sold the shares of Series H Preferred Stock held in the Trust pursuant to Section 9(c)(iv). Upon such a sale to the Company, the interest of the Charitable Beneficiary in the shares of Series H Preferred Stock sold shall terminate and the Trustee shall distribute the net proceeds of the sale to the Purported Record Transferee and any dividends or other distributions held by the Trustee with respect to such Series H Preferred Stock shall thereupon be paid to the Charitable Beneficiary.</w:t>
      </w:r>
    </w:p>
    <w:p>
      <w:pPr>
        <w:spacing w:after="0" w:line="145" w:lineRule="exact"/>
        <w:rPr>
          <w:sz w:val="20"/>
          <w:szCs w:val="20"/>
          <w:color w:val="auto"/>
        </w:rPr>
      </w:pPr>
    </w:p>
    <w:p>
      <w:pPr>
        <w:ind w:left="600" w:right="1100" w:firstLine="607"/>
        <w:spacing w:after="0" w:line="287" w:lineRule="auto"/>
        <w:tabs>
          <w:tab w:leader="none" w:pos="1428" w:val="left"/>
        </w:tabs>
        <w:numPr>
          <w:ilvl w:val="2"/>
          <w:numId w:val="3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written notice to the Trustee, the Company shall designate one or more nonprofit organizations to be the Charitable Beneficiary of the interest in the Trust such that the Series H Preferred Stock held in the Trust would not violate the restrictions set forth in Section 9(b)(i) in the hands of such Charitable Beneficiary.</w:t>
      </w:r>
    </w:p>
    <w:p>
      <w:pPr>
        <w:spacing w:after="0" w:line="135" w:lineRule="exact"/>
        <w:rPr>
          <w:rFonts w:ascii="Times New Roman" w:cs="Times New Roman" w:eastAsia="Times New Roman" w:hAnsi="Times New Roman"/>
          <w:sz w:val="13"/>
          <w:szCs w:val="13"/>
          <w:color w:val="auto"/>
        </w:rPr>
      </w:pPr>
    </w:p>
    <w:p>
      <w:pPr>
        <w:ind w:left="600" w:right="640" w:firstLine="306"/>
        <w:spacing w:after="0" w:line="270" w:lineRule="auto"/>
        <w:tabs>
          <w:tab w:leader="none" w:pos="1092" w:val="left"/>
        </w:tabs>
        <w:numPr>
          <w:ilvl w:val="1"/>
          <w:numId w:val="3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Remedies For Breach</w:t>
      </w:r>
      <w:r>
        <w:rPr>
          <w:rFonts w:ascii="Times New Roman" w:cs="Times New Roman" w:eastAsia="Times New Roman" w:hAnsi="Times New Roman"/>
          <w:sz w:val="13"/>
          <w:szCs w:val="13"/>
          <w:color w:val="auto"/>
        </w:rPr>
        <w:t xml:space="preserve"> . If the Board of Directors or a committee thereof or other designees if permitted by the MGCL shall at any time determine in good faith that a Transfer or other event has taken place in violation of Section 9(b) of these Articles Supplementary or that a Person intends to acquire, has attempted to acquire or may acquire beneficial ownership (determined without reference to any rules of attribution), Beneficial Ownership or Constructive Ownership of any shares of Series H Preferred Stock of the Company in violation of Section 9(b) of these Articles Supplementary, the Board of Directors or the Committee or other designees if permitted by the MGCL shall take such action as it deems advisable to refuse to give effect or to prevent such Transfer, including, but not limited to, causing the Company to redeem shares of Series H Preferred Stock, refusing to give effect to such Transfer on the books of the Company or instituting proceedings to enjoin such Transfer; </w:t>
      </w:r>
      <w:r>
        <w:rPr>
          <w:rFonts w:ascii="Times New Roman" w:cs="Times New Roman" w:eastAsia="Times New Roman" w:hAnsi="Times New Roman"/>
          <w:sz w:val="13"/>
          <w:szCs w:val="13"/>
          <w:u w:val="single" w:color="auto"/>
          <w:color w:val="auto"/>
        </w:rPr>
        <w:t>provided</w:t>
      </w:r>
    </w:p>
    <w:p>
      <w:pPr>
        <w:spacing w:after="0" w:line="2" w:lineRule="exact"/>
        <w:rPr>
          <w:rFonts w:ascii="Times New Roman" w:cs="Times New Roman" w:eastAsia="Times New Roman" w:hAnsi="Times New Roman"/>
          <w:sz w:val="13"/>
          <w:szCs w:val="13"/>
          <w:color w:val="auto"/>
        </w:rPr>
      </w:pPr>
    </w:p>
    <w:p>
      <w:pPr>
        <w:ind w:left="600" w:right="640" w:hanging="6"/>
        <w:spacing w:after="0" w:line="284" w:lineRule="auto"/>
        <w:tabs>
          <w:tab w:leader="none" w:pos="672" w:val="left"/>
        </w:tabs>
        <w:numPr>
          <w:ilvl w:val="0"/>
          <w:numId w:val="3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 that any Transfers (or, in the case of events other than a Transfer, ownership or Constructive Ownership or Beneficial Ownership) in violation of Section 9(b)(i) of these Articles Supplementary, shall automatically result in the transfer to a Trust as described in Section 9(b)(ii) and any Transfer in violation of Section 9(b)(iii) shall automatically be void </w:t>
      </w:r>
      <w:r>
        <w:rPr>
          <w:rFonts w:ascii="Times New Roman" w:cs="Times New Roman" w:eastAsia="Times New Roman" w:hAnsi="Times New Roman"/>
          <w:sz w:val="13"/>
          <w:szCs w:val="13"/>
          <w:i w:val="1"/>
          <w:iCs w:val="1"/>
          <w:color w:val="auto"/>
        </w:rPr>
        <w:t>ab initio</w:t>
      </w:r>
      <w:r>
        <w:rPr>
          <w:rFonts w:ascii="Times New Roman" w:cs="Times New Roman" w:eastAsia="Times New Roman" w:hAnsi="Times New Roman"/>
          <w:sz w:val="13"/>
          <w:szCs w:val="13"/>
          <w:color w:val="auto"/>
        </w:rPr>
        <w:t xml:space="preserve"> irrespective of any action (or non-action) by the Board of Directors.</w:t>
      </w:r>
    </w:p>
    <w:p>
      <w:pPr>
        <w:spacing w:after="0" w:line="293" w:lineRule="exact"/>
        <w:rPr>
          <w:rFonts w:ascii="Times New Roman" w:cs="Times New Roman" w:eastAsia="Times New Roman" w:hAnsi="Times New Roman"/>
          <w:sz w:val="13"/>
          <w:szCs w:val="13"/>
          <w:color w:val="auto"/>
        </w:rPr>
      </w:pPr>
    </w:p>
    <w:p>
      <w:pPr>
        <w:ind w:left="600" w:right="660" w:firstLine="306"/>
        <w:spacing w:after="0" w:line="278" w:lineRule="auto"/>
        <w:tabs>
          <w:tab w:leader="none" w:pos="1080" w:val="left"/>
        </w:tabs>
        <w:numPr>
          <w:ilvl w:val="1"/>
          <w:numId w:val="3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Notice of Restricted Transfer</w:t>
      </w:r>
      <w:r>
        <w:rPr>
          <w:rFonts w:ascii="Times New Roman" w:cs="Times New Roman" w:eastAsia="Times New Roman" w:hAnsi="Times New Roman"/>
          <w:sz w:val="13"/>
          <w:szCs w:val="13"/>
          <w:color w:val="auto"/>
        </w:rPr>
        <w:t xml:space="preserve"> . Any Person who acquires or attempts to acquire shares of Series H Preferred Stock in violation of Section 9(b) of these Articles Supplementary, or any Person who is a Purported Beneficial Transferee such that an automatic transfer to a Trust results under Section 9(b)(ii) of these Articles Supplementary, shall immediately give written notice to the Company of such event and shall provide to the Company such other information as the Company may request in order to determine the effect, if any, of such Transfer or attempted Transfer on the Company’s status as a REIT.</w:t>
      </w:r>
    </w:p>
    <w:p>
      <w:pPr>
        <w:spacing w:after="0" w:line="142" w:lineRule="exact"/>
        <w:rPr>
          <w:rFonts w:ascii="Times New Roman" w:cs="Times New Roman" w:eastAsia="Times New Roman" w:hAnsi="Times New Roman"/>
          <w:sz w:val="13"/>
          <w:szCs w:val="13"/>
          <w:color w:val="auto"/>
        </w:rPr>
      </w:pPr>
    </w:p>
    <w:p>
      <w:pPr>
        <w:ind w:left="600" w:right="680" w:firstLine="306"/>
        <w:spacing w:after="0" w:line="281" w:lineRule="auto"/>
        <w:tabs>
          <w:tab w:leader="none" w:pos="1056" w:val="left"/>
        </w:tabs>
        <w:numPr>
          <w:ilvl w:val="1"/>
          <w:numId w:val="3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Owners Required To Provide Information</w:t>
      </w:r>
      <w:r>
        <w:rPr>
          <w:rFonts w:ascii="Times New Roman" w:cs="Times New Roman" w:eastAsia="Times New Roman" w:hAnsi="Times New Roman"/>
          <w:sz w:val="13"/>
          <w:szCs w:val="13"/>
          <w:color w:val="auto"/>
        </w:rPr>
        <w:t xml:space="preserve"> . Prior to the Restriction Termination Date each Person who is a beneficial owner or Beneficial Owner or Constructive Owner of Series H Preferred Stock and each Person (including the stockholder of record) who is holding Series H Preferred Stock for a beneficial owner or Beneficial Owner or Constructive Owner shall provide to the Company such information that the Company may request, in good faith, in order to determine the Company’s status as a REIT.</w:t>
      </w:r>
    </w:p>
    <w:p>
      <w:pPr>
        <w:spacing w:after="0" w:line="140" w:lineRule="exact"/>
        <w:rPr>
          <w:sz w:val="20"/>
          <w:szCs w:val="20"/>
          <w:color w:val="auto"/>
        </w:rPr>
      </w:pPr>
    </w:p>
    <w:p>
      <w:pPr>
        <w:ind w:left="600" w:right="640" w:firstLine="312"/>
        <w:spacing w:after="0" w:line="287" w:lineRule="auto"/>
        <w:rPr>
          <w:sz w:val="20"/>
          <w:szCs w:val="20"/>
          <w:color w:val="auto"/>
        </w:rPr>
      </w:pPr>
      <w:r>
        <w:rPr>
          <w:rFonts w:ascii="Times New Roman" w:cs="Times New Roman" w:eastAsia="Times New Roman" w:hAnsi="Times New Roman"/>
          <w:sz w:val="13"/>
          <w:szCs w:val="13"/>
          <w:color w:val="auto"/>
        </w:rPr>
        <w:t xml:space="preserve">(g) </w:t>
      </w:r>
      <w:r>
        <w:rPr>
          <w:rFonts w:ascii="Times New Roman" w:cs="Times New Roman" w:eastAsia="Times New Roman" w:hAnsi="Times New Roman"/>
          <w:sz w:val="13"/>
          <w:szCs w:val="13"/>
          <w:u w:val="single" w:color="auto"/>
          <w:color w:val="auto"/>
        </w:rPr>
        <w:t>Remedies Not Limited</w:t>
      </w:r>
      <w:r>
        <w:rPr>
          <w:rFonts w:ascii="Times New Roman" w:cs="Times New Roman" w:eastAsia="Times New Roman" w:hAnsi="Times New Roman"/>
          <w:sz w:val="13"/>
          <w:szCs w:val="13"/>
          <w:color w:val="auto"/>
        </w:rPr>
        <w:t xml:space="preserve"> . Nothing contained in these Articles Supplementary (but subject to Section 9(l) of these Articles Supplementary) shall limit the authority of the Board of Directors to take such other action as it deems necessary or advisable to protect the Company and the interests of its stockholders by preservation of the Company’s status as a REIT.</w:t>
      </w:r>
    </w:p>
    <w:p>
      <w:pPr>
        <w:spacing w:after="0" w:line="136" w:lineRule="exact"/>
        <w:rPr>
          <w:sz w:val="20"/>
          <w:szCs w:val="20"/>
          <w:color w:val="auto"/>
        </w:rPr>
      </w:pPr>
    </w:p>
    <w:p>
      <w:pPr>
        <w:ind w:left="600" w:right="620" w:firstLine="306"/>
        <w:spacing w:after="0" w:line="278" w:lineRule="auto"/>
        <w:tabs>
          <w:tab w:leader="none" w:pos="1092" w:val="left"/>
        </w:tabs>
        <w:numPr>
          <w:ilvl w:val="0"/>
          <w:numId w:val="4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Ambiguity</w:t>
      </w:r>
      <w:r>
        <w:rPr>
          <w:rFonts w:ascii="Times New Roman" w:cs="Times New Roman" w:eastAsia="Times New Roman" w:hAnsi="Times New Roman"/>
          <w:sz w:val="13"/>
          <w:szCs w:val="13"/>
          <w:color w:val="auto"/>
        </w:rPr>
        <w:t xml:space="preserve"> . In the case of an ambiguity in the application of any of the provisions of this Section 9 of these Articles Supplementary, including any definition contained in Section 9(a), the Board of Directors shall have the power to determine the application of the provisions of this Section 9 with respect to any situation based on the facts known to it (subject, however, to the provisions of Section 9(l) of these Articles Supplementary). In the event Section 9 requires an action by the Board of Directors and these Articles Supplementary fail to provide specific guidance with respect to such action, the Board of Directors shall have the power to determine the action to</w:t>
      </w: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125730</wp:posOffset>
            </wp:positionV>
            <wp:extent cx="4436110" cy="1524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717">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575310</wp:posOffset>
            </wp:positionV>
            <wp:extent cx="5083810" cy="1524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718">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95" w:name="page396"/>
    <w:bookmarkEnd w:id="395"/>
    <w:p>
      <w:pPr>
        <w:ind w:left="600" w:right="620"/>
        <w:spacing w:after="0" w:line="275" w:lineRule="auto"/>
        <w:rPr>
          <w:sz w:val="20"/>
          <w:szCs w:val="20"/>
          <w:color w:val="auto"/>
        </w:rPr>
      </w:pPr>
      <w:r>
        <w:rPr>
          <w:rFonts w:ascii="Times New Roman" w:cs="Times New Roman" w:eastAsia="Times New Roman" w:hAnsi="Times New Roman"/>
          <w:sz w:val="13"/>
          <w:szCs w:val="13"/>
          <w:color w:val="auto"/>
        </w:rPr>
        <w:t>be taken so long as such action is not contrary to the provisions of Section 9. Absent a decision to the contrary by the Board of Directors (which the Board of Directors may make in its sole and absolute discretion), if a Person would have (but for the remedies set forth in Section 9(b)) acquired Beneficial or Constructive Ownership of Series H Preferred Stock in violation of Section 9(b)(i), such remedies (as applicable) shall apply first to the shares of Series H Preferred Stock which, but for such remedies, would have been actually owned by such Person, and second to shares of Series H Preferred Stock, which, but for such remedies, would have been Beneficially Owned or Constructively Owned (but not actually owned) by such Person, pro rata among the Persons who actually own such shares of Series H Preferred Stock based upon the relative number of the shares of Series H Preferred Stock held by each such Person.</w:t>
      </w:r>
    </w:p>
    <w:p>
      <w:pPr>
        <w:spacing w:after="0" w:line="145" w:lineRule="exact"/>
        <w:rPr>
          <w:sz w:val="20"/>
          <w:szCs w:val="20"/>
          <w:color w:val="auto"/>
        </w:rPr>
      </w:pPr>
    </w:p>
    <w:p>
      <w:pPr>
        <w:ind w:left="1040" w:hanging="134"/>
        <w:spacing w:after="0"/>
        <w:tabs>
          <w:tab w:leader="none" w:pos="1040" w:val="left"/>
        </w:tabs>
        <w:numPr>
          <w:ilvl w:val="0"/>
          <w:numId w:val="4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Exceptions</w:t>
      </w:r>
      <w:r>
        <w:rPr>
          <w:rFonts w:ascii="Times New Roman" w:cs="Times New Roman" w:eastAsia="Times New Roman" w:hAnsi="Times New Roman"/>
          <w:sz w:val="13"/>
          <w:szCs w:val="13"/>
          <w:color w:val="auto"/>
        </w:rPr>
        <w:t xml:space="preserve"> .</w:t>
      </w:r>
    </w:p>
    <w:p>
      <w:pPr>
        <w:spacing w:after="0" w:line="186" w:lineRule="exact"/>
        <w:rPr>
          <w:rFonts w:ascii="Times New Roman" w:cs="Times New Roman" w:eastAsia="Times New Roman" w:hAnsi="Times New Roman"/>
          <w:sz w:val="13"/>
          <w:szCs w:val="13"/>
          <w:color w:val="auto"/>
        </w:rPr>
      </w:pPr>
    </w:p>
    <w:p>
      <w:pPr>
        <w:ind w:left="600" w:right="660" w:firstLine="607"/>
        <w:spacing w:after="0" w:line="281" w:lineRule="auto"/>
        <w:tabs>
          <w:tab w:leader="none" w:pos="1368" w:val="left"/>
        </w:tabs>
        <w:numPr>
          <w:ilvl w:val="1"/>
          <w:numId w:val="4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Section 9(b)(i)(C), the Board of Directors, in its sole discretion, may exempt (prospectively or retroactively) a Person from the limitation on a Person Beneficially Owning shares of Series H Preferred Stock in violation of Section 9(b)(i)(A) if the Board of Directors determines that such exemption will not cause any Individual’s Beneficial Ownership of shares of Capital Stock to violate the Aggregate Stock Ownership Limit and that such exemption will not cause the Company to fail to qualify as a REIT under the Code.</w:t>
      </w:r>
    </w:p>
    <w:p>
      <w:pPr>
        <w:spacing w:after="0" w:line="140" w:lineRule="exact"/>
        <w:rPr>
          <w:rFonts w:ascii="Times New Roman" w:cs="Times New Roman" w:eastAsia="Times New Roman" w:hAnsi="Times New Roman"/>
          <w:sz w:val="13"/>
          <w:szCs w:val="13"/>
          <w:color w:val="auto"/>
        </w:rPr>
      </w:pPr>
    </w:p>
    <w:p>
      <w:pPr>
        <w:ind w:left="600" w:right="860" w:firstLine="607"/>
        <w:spacing w:after="0" w:line="287" w:lineRule="auto"/>
        <w:tabs>
          <w:tab w:leader="none" w:pos="1404" w:val="left"/>
        </w:tabs>
        <w:numPr>
          <w:ilvl w:val="1"/>
          <w:numId w:val="4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Section 9(b)(i)(C), the Board of Directors in its sole discretion, may exempt (prospectively or retroactively) a Person from the limitation on a Person Constructively Owning shares of Series H Preferred Stock in violation of Section 9(b)(i)(B), if the Board of Directors determines that such ownership would not cause the Company to fail to qualify as a REIT under the Code.</w:t>
      </w:r>
    </w:p>
    <w:p>
      <w:pPr>
        <w:spacing w:after="0" w:line="136" w:lineRule="exact"/>
        <w:rPr>
          <w:sz w:val="20"/>
          <w:szCs w:val="20"/>
          <w:color w:val="auto"/>
        </w:rPr>
      </w:pPr>
    </w:p>
    <w:p>
      <w:pPr>
        <w:ind w:left="600" w:right="720" w:firstLine="612"/>
        <w:spacing w:after="0" w:line="276" w:lineRule="auto"/>
        <w:rPr>
          <w:sz w:val="20"/>
          <w:szCs w:val="20"/>
          <w:color w:val="auto"/>
        </w:rPr>
      </w:pPr>
      <w:r>
        <w:rPr>
          <w:rFonts w:ascii="Times New Roman" w:cs="Times New Roman" w:eastAsia="Times New Roman" w:hAnsi="Times New Roman"/>
          <w:sz w:val="13"/>
          <w:szCs w:val="13"/>
          <w:color w:val="auto"/>
        </w:rPr>
        <w:t xml:space="preserve">(iii) Subject to Section 9(b)(i)(C) and the remainder of this Section 9(i)(iii), the Board of Directors may from time to time increase or decrease the Ownership Limit;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 that the decreased Ownership Limit will not be effective for any Person whose percentage ownership of Series H Preferred Stock is in excess of such decreased Ownership Limit until such time as such Person’s percentage of Series H Preferred Stock equals or falls below the decreased Ownership Limit, but any further acquisition of Series H Preferred Stock in excess of such percentage ownership of Series H Preferred Stock will be in violation of the Ownership Limit, and, provided further, that the new Ownership Limit would not allow five or fewer Persons to Beneficially Own more than 49% in value of the outstanding capital stock of the Company.</w:t>
      </w:r>
    </w:p>
    <w:p>
      <w:pPr>
        <w:spacing w:after="0" w:line="145" w:lineRule="exact"/>
        <w:rPr>
          <w:sz w:val="20"/>
          <w:szCs w:val="20"/>
          <w:color w:val="auto"/>
        </w:rPr>
      </w:pPr>
    </w:p>
    <w:p>
      <w:pPr>
        <w:ind w:left="600" w:right="700" w:firstLine="607"/>
        <w:spacing w:after="0" w:line="271" w:lineRule="auto"/>
        <w:tabs>
          <w:tab w:leader="none" w:pos="1428" w:val="left"/>
        </w:tabs>
        <w:numPr>
          <w:ilvl w:val="1"/>
          <w:numId w:val="4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granting a Person an exemption under Section 9(i)(i) or (ii) above, the Board of Directors may require such Person to make certain representations or undertakings or to agree that any violation or attempted violation of such representations or undertakings (or other action which is contrary to the restrictions contained in Section 9(b) of these Articles Supplementary) will result in such Series H Preferred Stock being transferred to a Trust in accordance with Section 9(b)(ii) of these Articles Supplementary. In granting any exception pursuant to Section 9(i)</w:t>
      </w:r>
    </w:p>
    <w:p>
      <w:pPr>
        <w:jc w:val="both"/>
        <w:ind w:left="600" w:right="860" w:hanging="6"/>
        <w:spacing w:after="0" w:line="284" w:lineRule="auto"/>
        <w:tabs>
          <w:tab w:leader="none" w:pos="757" w:val="left"/>
        </w:tabs>
        <w:numPr>
          <w:ilvl w:val="0"/>
          <w:numId w:val="4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or (ii) of these Articles Supplementary, the Board of Directors may require a ruling from the IRS, or an opinion of counsel, in either case in form and substance satisfactory to the Board of Directors in its sole discretion, as it may deem necessary or advisable in order to determine or ensure the Company’s status as a REIT.</w:t>
      </w:r>
    </w:p>
    <w:p>
      <w:pPr>
        <w:spacing w:after="0" w:line="126" w:lineRule="exact"/>
        <w:rPr>
          <w:sz w:val="20"/>
          <w:szCs w:val="20"/>
          <w:color w:val="auto"/>
        </w:rPr>
      </w:pPr>
    </w:p>
    <w:p>
      <w:pPr>
        <w:ind w:left="600" w:right="1180" w:firstLine="312"/>
        <w:spacing w:after="0" w:line="305" w:lineRule="auto"/>
        <w:rPr>
          <w:sz w:val="20"/>
          <w:szCs w:val="20"/>
          <w:color w:val="auto"/>
        </w:rPr>
      </w:pPr>
      <w:r>
        <w:rPr>
          <w:rFonts w:ascii="Times New Roman" w:cs="Times New Roman" w:eastAsia="Times New Roman" w:hAnsi="Times New Roman"/>
          <w:sz w:val="13"/>
          <w:szCs w:val="13"/>
          <w:color w:val="auto"/>
        </w:rPr>
        <w:t>(j)</w:t>
      </w:r>
      <w:r>
        <w:rPr>
          <w:rFonts w:ascii="Times New Roman" w:cs="Times New Roman" w:eastAsia="Times New Roman" w:hAnsi="Times New Roman"/>
          <w:sz w:val="13"/>
          <w:szCs w:val="13"/>
          <w:u w:val="single" w:color="auto"/>
          <w:color w:val="auto"/>
        </w:rPr>
        <w:t>Legends</w:t>
      </w:r>
      <w:r>
        <w:rPr>
          <w:rFonts w:ascii="Times New Roman" w:cs="Times New Roman" w:eastAsia="Times New Roman" w:hAnsi="Times New Roman"/>
          <w:sz w:val="13"/>
          <w:szCs w:val="13"/>
          <w:color w:val="auto"/>
        </w:rPr>
        <w:t xml:space="preserve"> . Each certificate for Series H Preferred Stock shall bear substantially the following legends in addition to any legends required to comply with federal and state securities laws:</w:t>
      </w:r>
    </w:p>
    <w:p>
      <w:pPr>
        <w:spacing w:after="0" w:line="12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3"/>
          <w:szCs w:val="13"/>
          <w:b w:val="1"/>
          <w:bCs w:val="1"/>
          <w:color w:val="auto"/>
        </w:rPr>
        <w:t>Classes of Stock</w:t>
      </w:r>
    </w:p>
    <w:p>
      <w:pPr>
        <w:spacing w:after="0" w:line="189" w:lineRule="exact"/>
        <w:rPr>
          <w:sz w:val="20"/>
          <w:szCs w:val="20"/>
          <w:color w:val="auto"/>
        </w:rPr>
      </w:pPr>
    </w:p>
    <w:p>
      <w:pPr>
        <w:ind w:left="1080" w:right="940"/>
        <w:spacing w:after="0" w:line="274" w:lineRule="auto"/>
        <w:rPr>
          <w:sz w:val="20"/>
          <w:szCs w:val="20"/>
          <w:color w:val="auto"/>
        </w:rPr>
      </w:pPr>
      <w:r>
        <w:rPr>
          <w:rFonts w:ascii="Times New Roman" w:cs="Times New Roman" w:eastAsia="Times New Roman" w:hAnsi="Times New Roman"/>
          <w:sz w:val="13"/>
          <w:szCs w:val="13"/>
          <w:color w:val="auto"/>
        </w:rPr>
        <w:t>“THE COMPANY IS AUTHORIZED TO ISSUE CAPITAL STOCK OF MORE THAN ONE CLASS, CONSISTING OF COMMON STOCK AND ONE OR MORE CLASSES OF PREFERRED STOCK. THE BOARD OF DIRECTORS IS AUTHORIZED TO DETERMINE THE PREFERENCES, LIMITATIONS AND RELATIVE RIGHTS OF ANY CLASS OF THE PREFERRED STOCK BEFORE THE ISSUANCE OF SHARES OF SUCH CLASS OF PREFERRED STOCK. THE COMPANY WILL FURNISH, WITHOUT CHARGE, TO ANY STOCKHOLDER MAKING A WRITTEN REQUEST THEREFOR, A COPY OF THE COMPANY’S CHARTER AND A WRITTEN STATEMENT OF THE DESIGNATIONS, RELATIVE RIGHTS, PREFERENCES, CONVERSION OR OTHER RIGHTS, VOTING POWERS, RESTRICTIONS, LIMITATIONS AS TO DIVIDENDS</w:t>
      </w:r>
    </w:p>
    <w:p>
      <w:pPr>
        <w:spacing w:after="0" w:line="3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125730</wp:posOffset>
            </wp:positionV>
            <wp:extent cx="4436110" cy="1524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719">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575310</wp:posOffset>
            </wp:positionV>
            <wp:extent cx="5083810" cy="1524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720">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96" w:name="page397"/>
    <w:bookmarkEnd w:id="396"/>
    <w:p>
      <w:pPr>
        <w:ind w:left="1080" w:right="740"/>
        <w:spacing w:after="0" w:line="276" w:lineRule="auto"/>
        <w:rPr>
          <w:sz w:val="20"/>
          <w:szCs w:val="20"/>
          <w:color w:val="auto"/>
        </w:rPr>
      </w:pPr>
      <w:r>
        <w:rPr>
          <w:rFonts w:ascii="Times New Roman" w:cs="Times New Roman" w:eastAsia="Times New Roman" w:hAnsi="Times New Roman"/>
          <w:sz w:val="13"/>
          <w:szCs w:val="13"/>
          <w:color w:val="auto"/>
        </w:rPr>
        <w:t>AND OTHER DISTRIBUTIONS, QUALIFICATIONS AND TERMS AND CONDITIONS OF REDEMPTION OF THE STOCK OF EACH CLASS WHICH THE COMPANY HAS THE AUTHORITY TO ISSUE AND, IF THE COMPANY IS AUTHORIZED TO ISSUE ANY PREFERRED OR SPECIAL CLASS IN SERIES, (i) THE DIFFERENCES IN THE RELATIVE RIGHTS AND PREFERENCES BETWEEN THE SHARES OF EACH SERIES TO THE EXTENT SET, AND (ii) THE AUTHORITY OF THE BOARD OF DIRECTORS TO SET SUCH RIGHTS AND PREFERENCES OF SUBSEQUENT SERIES. REQUESTS FOR SUCH WRITTEN STATEMENT MAY BE DIRECTED TO THE SECRETARY OF THE COMPANY AT ITS PRINCIPAL OFFICE.”</w:t>
      </w:r>
    </w:p>
    <w:p>
      <w:pPr>
        <w:spacing w:after="0" w:line="14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3"/>
          <w:szCs w:val="13"/>
          <w:b w:val="1"/>
          <w:bCs w:val="1"/>
          <w:color w:val="auto"/>
        </w:rPr>
        <w:t>Restriction on Ownership and Transfer</w:t>
      </w:r>
    </w:p>
    <w:p>
      <w:pPr>
        <w:spacing w:after="0" w:line="189" w:lineRule="exact"/>
        <w:rPr>
          <w:sz w:val="20"/>
          <w:szCs w:val="20"/>
          <w:color w:val="auto"/>
        </w:rPr>
      </w:pPr>
    </w:p>
    <w:p>
      <w:pPr>
        <w:ind w:left="1080" w:right="600"/>
        <w:spacing w:after="0" w:line="270" w:lineRule="auto"/>
        <w:rPr>
          <w:sz w:val="20"/>
          <w:szCs w:val="20"/>
          <w:color w:val="auto"/>
        </w:rPr>
      </w:pPr>
      <w:r>
        <w:rPr>
          <w:rFonts w:ascii="Times New Roman" w:cs="Times New Roman" w:eastAsia="Times New Roman" w:hAnsi="Times New Roman"/>
          <w:sz w:val="13"/>
          <w:szCs w:val="13"/>
          <w:color w:val="auto"/>
        </w:rPr>
        <w:t xml:space="preserve">“THE SHARES OF THE COMPANY’S 7.375% SERIES H CUMULATIVE REDEEMABLE PREFERRED STOCK (“SERIES H PREFERRED STOCK”) REPRESENTED BY THIS CERTIFICATE ARE SUBJECT TO RESTRICTIONS ON BENEFICIAL AND CONSTRUCTIVE OWNERSHIP AND TRANSFER FOR THE PURPOSE OF THE COMPANY’S MAINTENANCE OF ITS STATUS AS A REAL ESTATE INVESTMENT TRUST UNDER THE INTERNAL REVENUE CODE OF 1986, AS AMENDED (THE “CODE”). SUBJECT TO CERTAIN FURTHER RESTRICTIONS AND EXCEPT AS EXPRESSLY PROVIDED IN THE ARTICLES SUPPLEMENTARY FOR THE SERIES H PREFERRED STOCK, (i) NO PERSON MAY BENEFICIALLY OR CONSTRUCTIVELY OWN SHARES OF SERIES H PREFERRED STOCK IN EXCESS OF 9.8% (BY VALUE OR BY NUMBER OF SHARES, WHICHEVER IS MORE RESTRICTIVE) OF THE OUTSTANDING SERIES H PREFERRED STOCK OF THE COMPANY; (ii) NO PERSON MAY BENEFICIALLY OR CONSTRUCTIVELY OWN SHARES OF SERIES H PREFERRED STOCK THAT, TAKING INTO ACCOUNT ANY OTHER CAPITAL STOCK OF THE COMPANY BENEFICIALLY OR CONSTRUCTIVELY OWNED BY SUCH PERSON, WOULD RESULT IN SUCH PERSON BENEFICIALLY OR CONSTRUCTIVELY OWNING CAPITAL STOCK WITH A VALUE IN EXCESS OF 9.8% OF THE VALUE OF THE COMPANY’S OUTSTANDING CAPITAL STOCK; (iii) NO PERSON MAY BENEFICIALLY OR CONSTRUCTIVELY OWN SHARES OF SERIES H PREFERRED STOCK THAT, TAKING INTO ACCOUNT ANY OTHER CAPITAL STOCK OF THE COMPANY BENEFICIALLY OR CONSTRUCTIVELY OWNED BY SUCH PERSON, WOULD RESULT IN THE COMPANY BEING “CLOSELY HELD” UNDER SECTION 856(h) OF THE CODE OR OTHERWISE CAUSE THE COMPANY TO FAIL TO QUALIFY AS A REIT; AND (iv) ANY TRANSFER OF SHARES OF SERIES H PREFERRED STOCK THAT, IF EFFECTIVE, WOULD RESULT IN THE CAPITAL STOCK OF THE COMPANY BEING BENEFICIALLY OWNED BY FEWER THAN 100 PERSONS WILL BE VOID </w:t>
      </w:r>
      <w:r>
        <w:rPr>
          <w:rFonts w:ascii="Times New Roman" w:cs="Times New Roman" w:eastAsia="Times New Roman" w:hAnsi="Times New Roman"/>
          <w:sz w:val="13"/>
          <w:szCs w:val="13"/>
          <w:i w:val="1"/>
          <w:iCs w:val="1"/>
          <w:color w:val="auto"/>
        </w:rPr>
        <w:t>AB INITIO</w:t>
      </w:r>
      <w:r>
        <w:rPr>
          <w:rFonts w:ascii="Times New Roman" w:cs="Times New Roman" w:eastAsia="Times New Roman" w:hAnsi="Times New Roman"/>
          <w:sz w:val="13"/>
          <w:szCs w:val="13"/>
          <w:color w:val="auto"/>
        </w:rPr>
        <w:t xml:space="preserve"> AND THE INTENDED TRANSFEREE WILL ACQUIRE NO RIGHTS IN SUCH SHARES OF SERIES H PREFERRED STOCK. ANY PERSON WHO BENEFICIALLY OR CONSTRUCTIVELY OWNS OR ATTEMPTS TO BENEFICIALLY OR CONSTRUCTIVELY OWN SERIES H PREFERRED STOCK WHICH CAUSES OR WILL CAUSE A PERSON TO BENEFICIALLY OR CONSTRUCTIVELY OWN SERIES H PREFERRED STOCK IN EXCESS OF THE ABOVE LIMITATIONS MUST IMMEDIATELY NOTIFY THE COMPANY. IF ANY OF THE RESTRICTIONS ON TRANSFER OR OWNERSHIP IN (i) THROUGH (iii) ABOVE ARE VIOLATED, THE SERIES H PREFERRED STOCK REPRESENTED HEREBY IN EXCESS OF SUCH RESTRICTIONS WILL BE AUTOMATICALLY TRANSFERRED TO THE TRUSTEE OF A TRUST FOR THE BENEFIT OF ONE OR MORE CHARITABLE BENEFICIARIES. IN ADDITION, THE COMPANY MAY REDEEM SHARES UPON THE TERMS AND CONDITIONS SPECIFIED BY THE BOARD OF DIRECTORS IN ITS SOLE DISCRETION IF THE BOARD OF DIRECTORS DETERMINES THAT OWNERSHIP OR A TRANSFER OR OTHER EVENT MAY VIOLATE THE RESTRICTIONS DESCRIBED ABOVE. FURTHERMORE, UPON THE OCCURRENCE OF CERTAIN EVENTS, ATTEMPTED TRANSFERS IN VIOLATION OF THE RESTRICTIONS DESCRIBED ABOVE MAY BE VOID </w:t>
      </w:r>
      <w:r>
        <w:rPr>
          <w:rFonts w:ascii="Times New Roman" w:cs="Times New Roman" w:eastAsia="Times New Roman" w:hAnsi="Times New Roman"/>
          <w:sz w:val="13"/>
          <w:szCs w:val="13"/>
          <w:i w:val="1"/>
          <w:iCs w:val="1"/>
          <w:color w:val="auto"/>
        </w:rPr>
        <w:t>AB INITIO</w:t>
      </w:r>
      <w:r>
        <w:rPr>
          <w:rFonts w:ascii="Times New Roman" w:cs="Times New Roman" w:eastAsia="Times New Roman" w:hAnsi="Times New Roman"/>
          <w:sz w:val="13"/>
          <w:szCs w:val="13"/>
          <w:color w:val="auto"/>
        </w:rPr>
        <w:t xml:space="preserve"> . ALL TERMS IN THIS LEGEND WHICH ARE DEFINED IN THE ARTICLES SUPPLEMENTARY FOR THE SERIES H PREFERRED STOCK SHALL HAVE THE MEANINGS ASCRIBED TO THEM IN SUCH ARTICLES SUPPLEMENTARY, AS THE SAME MAY BE AMENDED FROM TIME TO TIME, A COPY OF WHICH, INCLUDING THE RESTRICTIONS ON TRANSFER AND OWNERSHIP, WILL BE FURNISHED TO EACH</w:t>
      </w:r>
    </w:p>
    <w:p>
      <w:pPr>
        <w:spacing w:after="0" w:line="3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125730</wp:posOffset>
            </wp:positionV>
            <wp:extent cx="4436110" cy="762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721">
                      <a:extLst>
                        <a:ext uri="{28A0092B-C50C-407E-A947-70E740481C1C}"/>
                      </a:extLst>
                    </a:blip>
                    <a:srcRect/>
                    <a:stretch>
                      <a:fillRect/>
                    </a:stretch>
                  </pic:blipFill>
                  <pic:spPr bwMode="auto">
                    <a:xfrm>
                      <a:off x="0" y="0"/>
                      <a:ext cx="4436110"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567690</wp:posOffset>
            </wp:positionV>
            <wp:extent cx="5083810" cy="1524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722">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97" w:name="page398"/>
    <w:bookmarkEnd w:id="397"/>
    <w:p>
      <w:pPr>
        <w:ind w:left="1080" w:right="660"/>
        <w:spacing w:after="0" w:line="305" w:lineRule="auto"/>
        <w:rPr>
          <w:sz w:val="20"/>
          <w:szCs w:val="20"/>
          <w:color w:val="auto"/>
        </w:rPr>
      </w:pPr>
      <w:r>
        <w:rPr>
          <w:rFonts w:ascii="Times New Roman" w:cs="Times New Roman" w:eastAsia="Times New Roman" w:hAnsi="Times New Roman"/>
          <w:sz w:val="13"/>
          <w:szCs w:val="13"/>
          <w:color w:val="auto"/>
        </w:rPr>
        <w:t>HOLDER OF SERIES H PREFERRED STOCK ON REQUEST AND WITHOUT CHARGE. REQUESTS FOR SUCH A COPY MAY BE DIRECTED TO THE SECRETARY OF THE COMPANY AT ITS PRINCIPAL OFFICE.”</w:t>
      </w:r>
    </w:p>
    <w:p>
      <w:pPr>
        <w:spacing w:after="0" w:line="124" w:lineRule="exact"/>
        <w:rPr>
          <w:sz w:val="20"/>
          <w:szCs w:val="20"/>
          <w:color w:val="auto"/>
        </w:rPr>
      </w:pPr>
    </w:p>
    <w:p>
      <w:pPr>
        <w:ind w:left="600" w:right="860" w:firstLine="306"/>
        <w:spacing w:after="0" w:line="287" w:lineRule="auto"/>
        <w:tabs>
          <w:tab w:leader="none" w:pos="1080" w:val="left"/>
        </w:tabs>
        <w:numPr>
          <w:ilvl w:val="0"/>
          <w:numId w:val="4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Severability</w:t>
      </w:r>
      <w:r>
        <w:rPr>
          <w:rFonts w:ascii="Times New Roman" w:cs="Times New Roman" w:eastAsia="Times New Roman" w:hAnsi="Times New Roman"/>
          <w:sz w:val="13"/>
          <w:szCs w:val="13"/>
          <w:color w:val="auto"/>
        </w:rPr>
        <w:t xml:space="preserve"> . If any provision of this Section 9 or any application of any such provision is determined to be invalid by any federal or state court having jurisdiction over the issues, the validity of the remaining provisions shall not be affected and other applications of such provision shall be affected only to the extent necessary to comply with the determination of such court.</w:t>
      </w:r>
    </w:p>
    <w:p>
      <w:pPr>
        <w:spacing w:after="0" w:line="136" w:lineRule="exact"/>
        <w:rPr>
          <w:sz w:val="20"/>
          <w:szCs w:val="20"/>
          <w:color w:val="auto"/>
        </w:rPr>
      </w:pPr>
    </w:p>
    <w:p>
      <w:pPr>
        <w:ind w:left="600" w:right="700" w:firstLine="312"/>
        <w:spacing w:after="0" w:line="287" w:lineRule="auto"/>
        <w:rPr>
          <w:sz w:val="20"/>
          <w:szCs w:val="20"/>
          <w:color w:val="auto"/>
        </w:rPr>
      </w:pPr>
      <w:r>
        <w:rPr>
          <w:rFonts w:ascii="Times New Roman" w:cs="Times New Roman" w:eastAsia="Times New Roman" w:hAnsi="Times New Roman"/>
          <w:sz w:val="13"/>
          <w:szCs w:val="13"/>
          <w:color w:val="auto"/>
        </w:rPr>
        <w:t>(l)</w:t>
      </w:r>
      <w:r>
        <w:rPr>
          <w:rFonts w:ascii="Times New Roman" w:cs="Times New Roman" w:eastAsia="Times New Roman" w:hAnsi="Times New Roman"/>
          <w:sz w:val="13"/>
          <w:szCs w:val="13"/>
          <w:u w:val="single" w:color="auto"/>
          <w:color w:val="auto"/>
        </w:rPr>
        <w:t>NYSE</w:t>
      </w:r>
      <w:r>
        <w:rPr>
          <w:rFonts w:ascii="Times New Roman" w:cs="Times New Roman" w:eastAsia="Times New Roman" w:hAnsi="Times New Roman"/>
          <w:sz w:val="13"/>
          <w:szCs w:val="13"/>
          <w:color w:val="auto"/>
        </w:rPr>
        <w:t xml:space="preserve"> . Nothing in this Section 9 shall preclude the settlement of any transaction entered into through the facilities of the NYSE. The shares of Series H Preferred Stock that are the subject of such transaction shall continue to be subject to the provisions of this Section 9 after such settlement.</w:t>
      </w:r>
    </w:p>
    <w:p>
      <w:pPr>
        <w:spacing w:after="0" w:line="136" w:lineRule="exact"/>
        <w:rPr>
          <w:sz w:val="20"/>
          <w:szCs w:val="20"/>
          <w:color w:val="auto"/>
        </w:rPr>
      </w:pPr>
    </w:p>
    <w:p>
      <w:pPr>
        <w:ind w:left="600" w:right="840" w:firstLine="312"/>
        <w:spacing w:after="0" w:line="305" w:lineRule="auto"/>
        <w:rPr>
          <w:sz w:val="20"/>
          <w:szCs w:val="20"/>
          <w:color w:val="auto"/>
        </w:rPr>
      </w:pPr>
      <w:r>
        <w:rPr>
          <w:rFonts w:ascii="Times New Roman" w:cs="Times New Roman" w:eastAsia="Times New Roman" w:hAnsi="Times New Roman"/>
          <w:sz w:val="13"/>
          <w:szCs w:val="13"/>
          <w:color w:val="auto"/>
        </w:rPr>
        <w:t>(m)</w:t>
      </w:r>
      <w:r>
        <w:rPr>
          <w:rFonts w:ascii="Times New Roman" w:cs="Times New Roman" w:eastAsia="Times New Roman" w:hAnsi="Times New Roman"/>
          <w:sz w:val="13"/>
          <w:szCs w:val="13"/>
          <w:u w:val="single" w:color="auto"/>
          <w:color w:val="auto"/>
        </w:rPr>
        <w:t>Applicability of Section 9</w:t>
      </w:r>
      <w:r>
        <w:rPr>
          <w:rFonts w:ascii="Times New Roman" w:cs="Times New Roman" w:eastAsia="Times New Roman" w:hAnsi="Times New Roman"/>
          <w:sz w:val="13"/>
          <w:szCs w:val="13"/>
          <w:color w:val="auto"/>
        </w:rPr>
        <w:t xml:space="preserve"> . The provisions set forth in this Section 9 shall apply to the Series H Preferred Stock notwithstanding any contrary provisions of the Series H Preferred Stock provided for elsewhere in these Articles Supplementary.</w:t>
      </w:r>
    </w:p>
    <w:p>
      <w:pPr>
        <w:spacing w:after="0" w:line="124" w:lineRule="exact"/>
        <w:rPr>
          <w:sz w:val="20"/>
          <w:szCs w:val="20"/>
          <w:color w:val="auto"/>
        </w:rPr>
      </w:pPr>
    </w:p>
    <w:p>
      <w:pPr>
        <w:ind w:left="600" w:right="980" w:firstLine="312"/>
        <w:spacing w:after="0" w:line="305" w:lineRule="auto"/>
        <w:rPr>
          <w:sz w:val="20"/>
          <w:szCs w:val="20"/>
          <w:color w:val="auto"/>
        </w:rPr>
      </w:pPr>
      <w:r>
        <w:rPr>
          <w:rFonts w:ascii="Times New Roman" w:cs="Times New Roman" w:eastAsia="Times New Roman" w:hAnsi="Times New Roman"/>
          <w:sz w:val="13"/>
          <w:szCs w:val="13"/>
          <w:color w:val="auto"/>
        </w:rPr>
        <w:t xml:space="preserve">Section 10. </w:t>
      </w:r>
      <w:r>
        <w:rPr>
          <w:rFonts w:ascii="Times New Roman" w:cs="Times New Roman" w:eastAsia="Times New Roman" w:hAnsi="Times New Roman"/>
          <w:sz w:val="13"/>
          <w:szCs w:val="13"/>
          <w:u w:val="single" w:color="auto"/>
          <w:color w:val="auto"/>
        </w:rPr>
        <w:t>No Conversion Rights</w:t>
      </w:r>
      <w:r>
        <w:rPr>
          <w:rFonts w:ascii="Times New Roman" w:cs="Times New Roman" w:eastAsia="Times New Roman" w:hAnsi="Times New Roman"/>
          <w:sz w:val="13"/>
          <w:szCs w:val="13"/>
          <w:color w:val="auto"/>
        </w:rPr>
        <w:t xml:space="preserve"> . The shares of Series H Preferred Stock shall not be convertible into or exchangeable for any other property or securities of the Company or any other entity, except as otherwise provided herein.</w:t>
      </w:r>
    </w:p>
    <w:p>
      <w:pPr>
        <w:spacing w:after="0" w:line="124" w:lineRule="exact"/>
        <w:rPr>
          <w:sz w:val="20"/>
          <w:szCs w:val="20"/>
          <w:color w:val="auto"/>
        </w:rPr>
      </w:pPr>
    </w:p>
    <w:p>
      <w:pPr>
        <w:jc w:val="both"/>
        <w:ind w:left="600" w:right="940" w:firstLine="312"/>
        <w:spacing w:after="0" w:line="287" w:lineRule="auto"/>
        <w:rPr>
          <w:sz w:val="20"/>
          <w:szCs w:val="20"/>
          <w:color w:val="auto"/>
        </w:rPr>
      </w:pPr>
      <w:r>
        <w:rPr>
          <w:rFonts w:ascii="Times New Roman" w:cs="Times New Roman" w:eastAsia="Times New Roman" w:hAnsi="Times New Roman"/>
          <w:sz w:val="13"/>
          <w:szCs w:val="13"/>
          <w:color w:val="auto"/>
        </w:rPr>
        <w:t xml:space="preserve">Section 11. </w:t>
      </w:r>
      <w:r>
        <w:rPr>
          <w:rFonts w:ascii="Times New Roman" w:cs="Times New Roman" w:eastAsia="Times New Roman" w:hAnsi="Times New Roman"/>
          <w:sz w:val="13"/>
          <w:szCs w:val="13"/>
          <w:u w:val="single" w:color="auto"/>
          <w:color w:val="auto"/>
        </w:rPr>
        <w:t>Record Holders</w:t>
      </w:r>
      <w:r>
        <w:rPr>
          <w:rFonts w:ascii="Times New Roman" w:cs="Times New Roman" w:eastAsia="Times New Roman" w:hAnsi="Times New Roman"/>
          <w:sz w:val="13"/>
          <w:szCs w:val="13"/>
          <w:color w:val="auto"/>
        </w:rPr>
        <w:t xml:space="preserve"> . The Company and its transfer agent may deem and treat the record holder of any Series H Preferred Stock as the true and lawful owner thereof for all purposes, and neither the Company nor its transfer agent shall be affected by any notice to the contrary.</w:t>
      </w:r>
    </w:p>
    <w:p>
      <w:pPr>
        <w:spacing w:after="0" w:line="136" w:lineRule="exact"/>
        <w:rPr>
          <w:sz w:val="20"/>
          <w:szCs w:val="20"/>
          <w:color w:val="auto"/>
        </w:rPr>
      </w:pPr>
    </w:p>
    <w:p>
      <w:pPr>
        <w:ind w:left="600" w:right="700" w:firstLine="312"/>
        <w:spacing w:after="0" w:line="281" w:lineRule="auto"/>
        <w:rPr>
          <w:sz w:val="20"/>
          <w:szCs w:val="20"/>
          <w:color w:val="auto"/>
        </w:rPr>
      </w:pPr>
      <w:r>
        <w:rPr>
          <w:rFonts w:ascii="Times New Roman" w:cs="Times New Roman" w:eastAsia="Times New Roman" w:hAnsi="Times New Roman"/>
          <w:sz w:val="13"/>
          <w:szCs w:val="13"/>
          <w:color w:val="auto"/>
        </w:rPr>
        <w:t xml:space="preserve">Section 12. </w:t>
      </w:r>
      <w:r>
        <w:rPr>
          <w:rFonts w:ascii="Times New Roman" w:cs="Times New Roman" w:eastAsia="Times New Roman" w:hAnsi="Times New Roman"/>
          <w:sz w:val="13"/>
          <w:szCs w:val="13"/>
          <w:u w:val="single" w:color="auto"/>
          <w:color w:val="auto"/>
        </w:rPr>
        <w:t>No Maturity or Sinking Fund</w:t>
      </w:r>
      <w:r>
        <w:rPr>
          <w:rFonts w:ascii="Times New Roman" w:cs="Times New Roman" w:eastAsia="Times New Roman" w:hAnsi="Times New Roman"/>
          <w:sz w:val="13"/>
          <w:szCs w:val="13"/>
          <w:color w:val="auto"/>
        </w:rPr>
        <w:t xml:space="preserve"> . The Series H Preferred Stock has no maturity date, and no sinking fund has been established for the retirement or redemption of Series H Preferred Stock;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 that the Series H Preferred Stock owned by a stockholder in excess of the Ownership Limit or Aggregate Stock Ownership Limit shall be subject to the provisions of Section 5 and Section 9 of this Articles Supplementary.</w:t>
      </w:r>
    </w:p>
    <w:p>
      <w:pPr>
        <w:spacing w:after="0" w:line="140" w:lineRule="exact"/>
        <w:rPr>
          <w:sz w:val="20"/>
          <w:szCs w:val="20"/>
          <w:color w:val="auto"/>
        </w:rPr>
      </w:pPr>
    </w:p>
    <w:p>
      <w:pPr>
        <w:jc w:val="both"/>
        <w:ind w:left="600" w:right="780" w:firstLine="312"/>
        <w:spacing w:after="0" w:line="287" w:lineRule="auto"/>
        <w:rPr>
          <w:sz w:val="20"/>
          <w:szCs w:val="20"/>
          <w:color w:val="auto"/>
        </w:rPr>
      </w:pPr>
      <w:r>
        <w:rPr>
          <w:rFonts w:ascii="Times New Roman" w:cs="Times New Roman" w:eastAsia="Times New Roman" w:hAnsi="Times New Roman"/>
          <w:sz w:val="13"/>
          <w:szCs w:val="13"/>
          <w:color w:val="auto"/>
        </w:rPr>
        <w:t xml:space="preserve">Section 13. </w:t>
      </w:r>
      <w:r>
        <w:rPr>
          <w:rFonts w:ascii="Times New Roman" w:cs="Times New Roman" w:eastAsia="Times New Roman" w:hAnsi="Times New Roman"/>
          <w:sz w:val="13"/>
          <w:szCs w:val="13"/>
          <w:u w:val="single" w:color="auto"/>
          <w:color w:val="auto"/>
        </w:rPr>
        <w:t>Exclusion of Other Rights</w:t>
      </w:r>
      <w:r>
        <w:rPr>
          <w:rFonts w:ascii="Times New Roman" w:cs="Times New Roman" w:eastAsia="Times New Roman" w:hAnsi="Times New Roman"/>
          <w:sz w:val="13"/>
          <w:szCs w:val="13"/>
          <w:color w:val="auto"/>
        </w:rPr>
        <w:t xml:space="preserve"> . The Series H Preferred Stock shall not have any preferences or other rights, voting powers, restrictions, limitations as to dividends or other distributions, qualifications or terms or conditions of redemption other than expressly set forth in the Charter and these Articles Supplementary.</w:t>
      </w:r>
    </w:p>
    <w:p>
      <w:pPr>
        <w:spacing w:after="0" w:line="136" w:lineRule="exact"/>
        <w:rPr>
          <w:sz w:val="20"/>
          <w:szCs w:val="20"/>
          <w:color w:val="auto"/>
        </w:rPr>
      </w:pPr>
    </w:p>
    <w:p>
      <w:pPr>
        <w:ind w:left="600" w:right="800" w:firstLine="312"/>
        <w:spacing w:after="0" w:line="305" w:lineRule="auto"/>
        <w:rPr>
          <w:sz w:val="20"/>
          <w:szCs w:val="20"/>
          <w:color w:val="auto"/>
        </w:rPr>
      </w:pPr>
      <w:r>
        <w:rPr>
          <w:rFonts w:ascii="Times New Roman" w:cs="Times New Roman" w:eastAsia="Times New Roman" w:hAnsi="Times New Roman"/>
          <w:sz w:val="13"/>
          <w:szCs w:val="13"/>
          <w:color w:val="auto"/>
        </w:rPr>
        <w:t xml:space="preserve">Section 14. </w:t>
      </w:r>
      <w:r>
        <w:rPr>
          <w:rFonts w:ascii="Times New Roman" w:cs="Times New Roman" w:eastAsia="Times New Roman" w:hAnsi="Times New Roman"/>
          <w:sz w:val="13"/>
          <w:szCs w:val="13"/>
          <w:u w:val="single" w:color="auto"/>
          <w:color w:val="auto"/>
        </w:rPr>
        <w:t>Headings of Subdivisions</w:t>
      </w:r>
      <w:r>
        <w:rPr>
          <w:rFonts w:ascii="Times New Roman" w:cs="Times New Roman" w:eastAsia="Times New Roman" w:hAnsi="Times New Roman"/>
          <w:sz w:val="13"/>
          <w:szCs w:val="13"/>
          <w:color w:val="auto"/>
        </w:rPr>
        <w:t xml:space="preserve"> . The headings of the various subdivisions hereof are for convenience of reference only and shall not affect the interpretation of any of the provisions hereof.</w:t>
      </w:r>
    </w:p>
    <w:p>
      <w:pPr>
        <w:spacing w:after="0" w:line="124" w:lineRule="exact"/>
        <w:rPr>
          <w:sz w:val="20"/>
          <w:szCs w:val="20"/>
          <w:color w:val="auto"/>
        </w:rPr>
      </w:pPr>
    </w:p>
    <w:p>
      <w:pPr>
        <w:ind w:left="600" w:right="700" w:firstLine="312"/>
        <w:spacing w:after="0" w:line="274" w:lineRule="auto"/>
        <w:rPr>
          <w:sz w:val="20"/>
          <w:szCs w:val="20"/>
          <w:color w:val="auto"/>
        </w:rPr>
      </w:pPr>
      <w:r>
        <w:rPr>
          <w:rFonts w:ascii="Times New Roman" w:cs="Times New Roman" w:eastAsia="Times New Roman" w:hAnsi="Times New Roman"/>
          <w:sz w:val="13"/>
          <w:szCs w:val="13"/>
          <w:color w:val="auto"/>
        </w:rPr>
        <w:t xml:space="preserve">Section 15. </w:t>
      </w:r>
      <w:r>
        <w:rPr>
          <w:rFonts w:ascii="Times New Roman" w:cs="Times New Roman" w:eastAsia="Times New Roman" w:hAnsi="Times New Roman"/>
          <w:sz w:val="13"/>
          <w:szCs w:val="13"/>
          <w:u w:val="single" w:color="auto"/>
          <w:color w:val="auto"/>
        </w:rPr>
        <w:t>Severability of Provisions</w:t>
      </w:r>
      <w:r>
        <w:rPr>
          <w:rFonts w:ascii="Times New Roman" w:cs="Times New Roman" w:eastAsia="Times New Roman" w:hAnsi="Times New Roman"/>
          <w:sz w:val="13"/>
          <w:szCs w:val="13"/>
          <w:color w:val="auto"/>
        </w:rPr>
        <w:t xml:space="preserve"> . If any preferences or other rights, voting powers, restrictions, limitations as to dividends or other distributions, qualifications or terms or conditions of redemption of the Series H Preferred Stock set forth in the Charter and these Articles Supplementary are invalid, unlawful or incapable of being enforced by reason of any rule of law or public policy, all other preferences or other rights, voting powers, restrictions, limitations as to dividends or other distributions, qualifications or terms or conditions of redemption of Series H Preferred Stock set forth in the Charter which can be given effect without the invalid, unlawful or unenforceable provision thereof shall, nevertheless, remain in full force and effect and no preferences or other rights, voting powers, restrictions, limitations as to dividends or other distributions, qualifications or terms or conditions of redemption of the Series H Preferred Stock herein set forth shall be deemed dependent upon any other provision thereof unless so expressed therein.</w:t>
      </w:r>
    </w:p>
    <w:p>
      <w:pPr>
        <w:spacing w:after="0" w:line="135" w:lineRule="exact"/>
        <w:rPr>
          <w:sz w:val="20"/>
          <w:szCs w:val="20"/>
          <w:color w:val="auto"/>
        </w:rPr>
      </w:pPr>
    </w:p>
    <w:p>
      <w:pPr>
        <w:ind w:left="600" w:right="760" w:firstLine="312"/>
        <w:spacing w:after="0" w:line="287" w:lineRule="auto"/>
        <w:rPr>
          <w:sz w:val="20"/>
          <w:szCs w:val="20"/>
          <w:color w:val="auto"/>
        </w:rPr>
      </w:pPr>
      <w:r>
        <w:rPr>
          <w:rFonts w:ascii="Times New Roman" w:cs="Times New Roman" w:eastAsia="Times New Roman" w:hAnsi="Times New Roman"/>
          <w:sz w:val="13"/>
          <w:szCs w:val="13"/>
          <w:color w:val="auto"/>
        </w:rPr>
        <w:t xml:space="preserve">Section 16. </w:t>
      </w:r>
      <w:r>
        <w:rPr>
          <w:rFonts w:ascii="Times New Roman" w:cs="Times New Roman" w:eastAsia="Times New Roman" w:hAnsi="Times New Roman"/>
          <w:sz w:val="13"/>
          <w:szCs w:val="13"/>
          <w:u w:val="single" w:color="auto"/>
          <w:color w:val="auto"/>
        </w:rPr>
        <w:t>No Preemptive Rights</w:t>
      </w:r>
      <w:r>
        <w:rPr>
          <w:rFonts w:ascii="Times New Roman" w:cs="Times New Roman" w:eastAsia="Times New Roman" w:hAnsi="Times New Roman"/>
          <w:sz w:val="13"/>
          <w:szCs w:val="13"/>
          <w:color w:val="auto"/>
        </w:rPr>
        <w:t xml:space="preserve"> . No holder of Series H Preferred Stock shall be entitled to any preemptive rights to subscribe for or acquire any unissued shares of capital stock of the Company (whether now or hereafter authorized) or securities of the Company convertible into or carrying a right to subscribe to or acquire shares of capital stock of the Company.</w:t>
      </w:r>
    </w:p>
    <w:p>
      <w:pPr>
        <w:spacing w:after="0" w:line="136" w:lineRule="exact"/>
        <w:rPr>
          <w:sz w:val="20"/>
          <w:szCs w:val="20"/>
          <w:color w:val="auto"/>
        </w:rPr>
      </w:pPr>
    </w:p>
    <w:p>
      <w:pPr>
        <w:ind w:left="600" w:right="700" w:firstLine="312"/>
        <w:spacing w:after="0" w:line="305" w:lineRule="auto"/>
        <w:rPr>
          <w:sz w:val="20"/>
          <w:szCs w:val="20"/>
          <w:color w:val="auto"/>
        </w:rPr>
      </w:pPr>
      <w:r>
        <w:rPr>
          <w:rFonts w:ascii="Times New Roman" w:cs="Times New Roman" w:eastAsia="Times New Roman" w:hAnsi="Times New Roman"/>
          <w:sz w:val="13"/>
          <w:szCs w:val="13"/>
          <w:u w:val="single" w:color="auto"/>
          <w:color w:val="auto"/>
        </w:rPr>
        <w:t>FOURTH</w:t>
      </w:r>
      <w:r>
        <w:rPr>
          <w:rFonts w:ascii="Times New Roman" w:cs="Times New Roman" w:eastAsia="Times New Roman" w:hAnsi="Times New Roman"/>
          <w:sz w:val="13"/>
          <w:szCs w:val="13"/>
          <w:color w:val="auto"/>
        </w:rPr>
        <w:t xml:space="preserve"> : The Series H Preferred Stock have been classified and designated by the Board of Directors under the authority contained in the Charter.</w:t>
      </w:r>
    </w:p>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125730</wp:posOffset>
            </wp:positionV>
            <wp:extent cx="4436110" cy="1524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723">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575310</wp:posOffset>
            </wp:positionV>
            <wp:extent cx="5083810" cy="1524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724">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98" w:name="page399"/>
    <w:bookmarkEnd w:id="398"/>
    <w:p>
      <w:pPr>
        <w:ind w:left="900"/>
        <w:spacing w:after="0"/>
        <w:rPr>
          <w:sz w:val="20"/>
          <w:szCs w:val="20"/>
          <w:color w:val="auto"/>
        </w:rPr>
      </w:pPr>
      <w:r>
        <w:rPr>
          <w:rFonts w:ascii="Times New Roman" w:cs="Times New Roman" w:eastAsia="Times New Roman" w:hAnsi="Times New Roman"/>
          <w:sz w:val="13"/>
          <w:szCs w:val="13"/>
          <w:u w:val="single" w:color="auto"/>
          <w:color w:val="auto"/>
        </w:rPr>
        <w:t>FIFTH</w:t>
      </w:r>
      <w:r>
        <w:rPr>
          <w:rFonts w:ascii="Times New Roman" w:cs="Times New Roman" w:eastAsia="Times New Roman" w:hAnsi="Times New Roman"/>
          <w:sz w:val="13"/>
          <w:szCs w:val="13"/>
          <w:color w:val="auto"/>
        </w:rPr>
        <w:t xml:space="preserve"> : These Articles Supplementary have been approved by the Board of Directors in the manner and by the vote required by law.</w:t>
      </w:r>
    </w:p>
    <w:p>
      <w:pPr>
        <w:spacing w:after="0" w:line="18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u w:val="single" w:color="auto"/>
          <w:color w:val="auto"/>
        </w:rPr>
        <w:t>SIXTH</w:t>
      </w:r>
      <w:r>
        <w:rPr>
          <w:rFonts w:ascii="Times New Roman" w:cs="Times New Roman" w:eastAsia="Times New Roman" w:hAnsi="Times New Roman"/>
          <w:sz w:val="13"/>
          <w:szCs w:val="13"/>
          <w:color w:val="auto"/>
        </w:rPr>
        <w:t xml:space="preserve"> : These Articles Supplementary shall be effective at the time the Department accepts these Articles Supplementary for record.</w:t>
      </w:r>
    </w:p>
    <w:p>
      <w:pPr>
        <w:spacing w:after="0" w:line="187" w:lineRule="exact"/>
        <w:rPr>
          <w:sz w:val="20"/>
          <w:szCs w:val="20"/>
          <w:color w:val="auto"/>
        </w:rPr>
      </w:pPr>
    </w:p>
    <w:p>
      <w:pPr>
        <w:ind w:left="600" w:right="620" w:firstLine="312"/>
        <w:spacing w:after="0" w:line="278" w:lineRule="auto"/>
        <w:rPr>
          <w:sz w:val="20"/>
          <w:szCs w:val="20"/>
          <w:color w:val="auto"/>
        </w:rPr>
      </w:pPr>
      <w:r>
        <w:rPr>
          <w:rFonts w:ascii="Times New Roman" w:cs="Times New Roman" w:eastAsia="Times New Roman" w:hAnsi="Times New Roman"/>
          <w:sz w:val="13"/>
          <w:szCs w:val="13"/>
          <w:u w:val="single" w:color="auto"/>
          <w:color w:val="auto"/>
        </w:rPr>
        <w:t>SEVENTH</w:t>
      </w:r>
      <w:r>
        <w:rPr>
          <w:rFonts w:ascii="Times New Roman" w:cs="Times New Roman" w:eastAsia="Times New Roman" w:hAnsi="Times New Roman"/>
          <w:sz w:val="13"/>
          <w:szCs w:val="13"/>
          <w:color w:val="auto"/>
        </w:rPr>
        <w:t xml:space="preserve"> : The undersigned Interim Chief Executive Officer, Chief Financial Officer, Chief Investment Officer and Secretary of the Company acknowledges these Articles Supplementary to be the corporate act of the Company and, as to all matters or facts required to be verified under oath, the undersigned Interim Chief Executive Officer, Chief Financial Officer, Chief Investment Officer and Secretary acknowledges that to the best of his knowledge, information and belief, these matters and facts are true in all material respects and that this statement is made under the penalties for perjury.</w:t>
      </w: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125730</wp:posOffset>
            </wp:positionV>
            <wp:extent cx="4436110" cy="1524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725">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575310</wp:posOffset>
            </wp:positionV>
            <wp:extent cx="5083810" cy="1524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726">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399" w:name="page400"/>
    <w:bookmarkEnd w:id="399"/>
    <w:p>
      <w:pPr>
        <w:jc w:val="both"/>
        <w:ind w:left="600" w:right="960" w:firstLine="312"/>
        <w:spacing w:after="0" w:line="271" w:lineRule="auto"/>
        <w:rPr>
          <w:sz w:val="20"/>
          <w:szCs w:val="20"/>
          <w:color w:val="auto"/>
        </w:rPr>
      </w:pPr>
      <w:r>
        <w:rPr>
          <w:rFonts w:ascii="Times New Roman" w:cs="Times New Roman" w:eastAsia="Times New Roman" w:hAnsi="Times New Roman"/>
          <w:sz w:val="13"/>
          <w:szCs w:val="13"/>
          <w:color w:val="auto"/>
        </w:rPr>
        <w:t>IN WITNESS WHEREOF, the Company has caused these Articles Supplementary to be executed in its name and on its behalf by its Interim Chief Executive Officer, Chief Financial Officer, Chief Investment Officer and Secretary and attested to by its Senior Vice President, General Counsel and Assistant Secretary as of the date first written above.</w:t>
      </w:r>
    </w:p>
    <w:p>
      <w:pPr>
        <w:spacing w:after="0" w:line="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3"/>
          <w:szCs w:val="13"/>
          <w:color w:val="auto"/>
        </w:rPr>
        <w:t>DIGITAL REALTY TRUST, INC.</w:t>
      </w:r>
    </w:p>
    <w:p>
      <w:pPr>
        <w:ind w:left="4100"/>
        <w:spacing w:after="0" w:line="187" w:lineRule="auto"/>
        <w:tabs>
          <w:tab w:leader="none" w:pos="4420" w:val="left"/>
        </w:tabs>
        <w:rPr>
          <w:sz w:val="20"/>
          <w:szCs w:val="20"/>
          <w:color w:val="auto"/>
        </w:rPr>
      </w:pPr>
      <w:r>
        <w:rPr>
          <w:rFonts w:ascii="Times New Roman" w:cs="Times New Roman" w:eastAsia="Times New Roman" w:hAnsi="Times New Roman"/>
          <w:sz w:val="13"/>
          <w:szCs w:val="13"/>
          <w:color w:val="auto"/>
        </w:rPr>
        <w:t>By:</w:t>
        <w:tab/>
        <w:t xml:space="preserve">/s/ A. William Stein </w:t>
      </w:r>
      <w:r>
        <w:rPr>
          <w:rFonts w:ascii="Times New Roman" w:cs="Times New Roman" w:eastAsia="Times New Roman" w:hAnsi="Times New Roman"/>
          <w:sz w:val="26"/>
          <w:szCs w:val="26"/>
          <w:color w:val="auto"/>
          <w:vertAlign w:val="superscript"/>
        </w:rPr>
        <w:t>Name:</w:t>
      </w:r>
      <w:r>
        <w:rPr>
          <w:rFonts w:ascii="Times New Roman" w:cs="Times New Roman" w:eastAsia="Times New Roman" w:hAnsi="Times New Roman"/>
          <w:sz w:val="13"/>
          <w:szCs w:val="13"/>
          <w:color w:val="auto"/>
        </w:rPr>
        <w:t>A.</w:t>
      </w:r>
    </w:p>
    <w:p>
      <w:pPr>
        <w:ind w:left="4100"/>
        <w:spacing w:after="0"/>
        <w:rPr>
          <w:sz w:val="20"/>
          <w:szCs w:val="20"/>
          <w:color w:val="auto"/>
        </w:rPr>
      </w:pPr>
      <w:r>
        <w:rPr>
          <w:rFonts w:ascii="Times New Roman" w:cs="Times New Roman" w:eastAsia="Times New Roman" w:hAnsi="Times New Roman"/>
          <w:sz w:val="13"/>
          <w:szCs w:val="13"/>
          <w:color w:val="auto"/>
        </w:rPr>
        <w:t>William Stein</w:t>
      </w:r>
    </w:p>
    <w:p>
      <w:pPr>
        <w:spacing w:after="0" w:line="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3"/>
          <w:szCs w:val="13"/>
          <w:color w:val="auto"/>
        </w:rPr>
        <w:t>Title: Interim Chief Executive Officer, Chief Financial Officer, Chief</w:t>
      </w:r>
    </w:p>
    <w:p>
      <w:pPr>
        <w:spacing w:after="0" w:line="1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3"/>
          <w:szCs w:val="13"/>
          <w:color w:val="auto"/>
        </w:rPr>
        <w:t>Investment Officer and Secretary</w:t>
      </w:r>
    </w:p>
    <w:p>
      <w:pPr>
        <w:spacing w:after="0" w:line="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ATTEST:</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DIGITAL REALTY TRUST, INC.</w:t>
      </w:r>
    </w:p>
    <w:p>
      <w:pPr>
        <w:ind w:left="600"/>
        <w:spacing w:after="0" w:line="188" w:lineRule="auto"/>
        <w:tabs>
          <w:tab w:leader="none" w:pos="940" w:val="left"/>
        </w:tabs>
        <w:rPr>
          <w:sz w:val="20"/>
          <w:szCs w:val="20"/>
          <w:color w:val="auto"/>
        </w:rPr>
      </w:pPr>
      <w:r>
        <w:rPr>
          <w:rFonts w:ascii="Times New Roman" w:cs="Times New Roman" w:eastAsia="Times New Roman" w:hAnsi="Times New Roman"/>
          <w:sz w:val="13"/>
          <w:szCs w:val="13"/>
          <w:color w:val="auto"/>
        </w:rPr>
        <w:t>By:</w:t>
        <w:tab/>
        <w:t xml:space="preserve">/s/ Joshua A. Mills </w:t>
      </w:r>
      <w:r>
        <w:rPr>
          <w:rFonts w:ascii="Times New Roman" w:cs="Times New Roman" w:eastAsia="Times New Roman" w:hAnsi="Times New Roman"/>
          <w:sz w:val="26"/>
          <w:szCs w:val="26"/>
          <w:color w:val="auto"/>
          <w:vertAlign w:val="superscript"/>
        </w:rPr>
        <w:t>Name:</w:t>
      </w:r>
      <w:r>
        <w:rPr>
          <w:rFonts w:ascii="Times New Roman" w:cs="Times New Roman" w:eastAsia="Times New Roman" w:hAnsi="Times New Roman"/>
          <w:sz w:val="13"/>
          <w:szCs w:val="13"/>
          <w:color w:val="auto"/>
        </w:rPr>
        <w:t xml:space="preserve"> Joshua</w:t>
      </w:r>
    </w:p>
    <w:p>
      <w:pPr>
        <w:ind w:left="600"/>
        <w:spacing w:after="0"/>
        <w:rPr>
          <w:sz w:val="20"/>
          <w:szCs w:val="20"/>
          <w:color w:val="auto"/>
        </w:rPr>
      </w:pPr>
      <w:r>
        <w:rPr>
          <w:rFonts w:ascii="Times New Roman" w:cs="Times New Roman" w:eastAsia="Times New Roman" w:hAnsi="Times New Roman"/>
          <w:sz w:val="13"/>
          <w:szCs w:val="13"/>
          <w:color w:val="auto"/>
        </w:rPr>
        <w:t>A. Mills</w:t>
      </w:r>
    </w:p>
    <w:p>
      <w:pPr>
        <w:spacing w:after="0" w:line="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Title: Senior Vice President, General Counsel and Assistant Secretary</w:t>
      </w:r>
    </w:p>
    <w:p>
      <w:pPr>
        <w:spacing w:after="0" w:line="1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3"/>
          <w:szCs w:val="13"/>
          <w:color w:val="auto"/>
        </w:rPr>
        <w:t>[Signature Page to Articles Supplementary]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116205</wp:posOffset>
            </wp:positionV>
            <wp:extent cx="4436110" cy="762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727">
                      <a:extLst>
                        <a:ext uri="{28A0092B-C50C-407E-A947-70E740481C1C}"/>
                      </a:extLst>
                    </a:blip>
                    <a:srcRect/>
                    <a:stretch>
                      <a:fillRect/>
                    </a:stretch>
                  </pic:blipFill>
                  <pic:spPr bwMode="auto">
                    <a:xfrm>
                      <a:off x="0" y="0"/>
                      <a:ext cx="4436110"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558165</wp:posOffset>
            </wp:positionV>
            <wp:extent cx="5083810" cy="1524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728">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00" w:name="page401"/>
    <w:bookmarkEnd w:id="400"/>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DIGITAL REALTY TRUST, INC.</w:t>
      </w:r>
    </w:p>
    <w:p>
      <w:pPr>
        <w:spacing w:after="0" w:line="1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CERTIFICATE OF CORRECTION</w:t>
      </w:r>
    </w:p>
    <w:p>
      <w:pPr>
        <w:spacing w:after="0" w:line="1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THIS IS TO CERTIFY THAT:</w:t>
      </w:r>
    </w:p>
    <w:p>
      <w:pPr>
        <w:spacing w:after="0" w:line="18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u w:val="single" w:color="auto"/>
          <w:color w:val="auto"/>
        </w:rPr>
        <w:t>FIRST</w:t>
      </w:r>
      <w:r>
        <w:rPr>
          <w:rFonts w:ascii="Times New Roman" w:cs="Times New Roman" w:eastAsia="Times New Roman" w:hAnsi="Times New Roman"/>
          <w:sz w:val="13"/>
          <w:szCs w:val="13"/>
          <w:color w:val="auto"/>
        </w:rPr>
        <w:t xml:space="preserve"> : The title of the document being corrected is Articles Supplementary (the “Articles”).</w:t>
      </w:r>
    </w:p>
    <w:p>
      <w:pPr>
        <w:spacing w:after="0" w:line="18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u w:val="single" w:color="auto"/>
          <w:color w:val="auto"/>
        </w:rPr>
        <w:t>SECOND</w:t>
      </w:r>
      <w:r>
        <w:rPr>
          <w:rFonts w:ascii="Times New Roman" w:cs="Times New Roman" w:eastAsia="Times New Roman" w:hAnsi="Times New Roman"/>
          <w:sz w:val="13"/>
          <w:szCs w:val="13"/>
          <w:color w:val="auto"/>
        </w:rPr>
        <w:t xml:space="preserve"> : The sole party to the Articles is Digital Realty Trust, Inc., a Maryland corporation (the “Company”).</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u w:val="single" w:color="auto"/>
          <w:color w:val="auto"/>
        </w:rPr>
        <w:t>THIRD</w:t>
      </w:r>
      <w:r>
        <w:rPr>
          <w:rFonts w:ascii="Times New Roman" w:cs="Times New Roman" w:eastAsia="Times New Roman" w:hAnsi="Times New Roman"/>
          <w:sz w:val="13"/>
          <w:szCs w:val="13"/>
          <w:color w:val="auto"/>
        </w:rPr>
        <w:t xml:space="preserve"> : The Articles were filed with the State Department of Assessments and Taxation of Maryland (the “Department”) on March 25,</w:t>
      </w:r>
    </w:p>
    <w:p>
      <w:pPr>
        <w:spacing w:after="0" w:line="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2014.</w:t>
      </w:r>
    </w:p>
    <w:p>
      <w:pPr>
        <w:spacing w:after="0" w:line="183" w:lineRule="exact"/>
        <w:rPr>
          <w:sz w:val="20"/>
          <w:szCs w:val="20"/>
          <w:color w:val="auto"/>
        </w:rPr>
      </w:pPr>
    </w:p>
    <w:p>
      <w:pPr>
        <w:ind w:left="600" w:right="1020" w:firstLine="312"/>
        <w:spacing w:after="0" w:line="305" w:lineRule="auto"/>
        <w:rPr>
          <w:sz w:val="20"/>
          <w:szCs w:val="20"/>
          <w:color w:val="auto"/>
        </w:rPr>
      </w:pPr>
      <w:r>
        <w:rPr>
          <w:rFonts w:ascii="Times New Roman" w:cs="Times New Roman" w:eastAsia="Times New Roman" w:hAnsi="Times New Roman"/>
          <w:sz w:val="13"/>
          <w:szCs w:val="13"/>
          <w:u w:val="single" w:color="auto"/>
          <w:color w:val="auto"/>
        </w:rPr>
        <w:t>FOURTH</w:t>
      </w:r>
      <w:r>
        <w:rPr>
          <w:rFonts w:ascii="Times New Roman" w:cs="Times New Roman" w:eastAsia="Times New Roman" w:hAnsi="Times New Roman"/>
          <w:sz w:val="13"/>
          <w:szCs w:val="13"/>
          <w:color w:val="auto"/>
        </w:rPr>
        <w:t xml:space="preserve"> : The last sentence of the third paragraph of Section 8(a) of the Articles as previously filed with the Department is set forth below:</w:t>
      </w:r>
    </w:p>
    <w:p>
      <w:pPr>
        <w:spacing w:after="0" w:line="124" w:lineRule="exact"/>
        <w:rPr>
          <w:sz w:val="20"/>
          <w:szCs w:val="20"/>
          <w:color w:val="auto"/>
        </w:rPr>
      </w:pPr>
    </w:p>
    <w:p>
      <w:pPr>
        <w:ind w:left="900" w:right="860"/>
        <w:spacing w:after="0" w:line="305" w:lineRule="auto"/>
        <w:rPr>
          <w:sz w:val="20"/>
          <w:szCs w:val="20"/>
          <w:color w:val="auto"/>
        </w:rPr>
      </w:pPr>
      <w:r>
        <w:rPr>
          <w:rFonts w:ascii="Times New Roman" w:cs="Times New Roman" w:eastAsia="Times New Roman" w:hAnsi="Times New Roman"/>
          <w:sz w:val="13"/>
          <w:szCs w:val="13"/>
          <w:color w:val="auto"/>
        </w:rPr>
        <w:t>The Exchange Cap is subject to pro rata adjustments for any Share Splits on the same basis as the corresponding adjustment to the Share Cap.</w:t>
      </w:r>
    </w:p>
    <w:p>
      <w:pPr>
        <w:spacing w:after="0" w:line="12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u w:val="single" w:color="auto"/>
          <w:color w:val="auto"/>
        </w:rPr>
        <w:t>FIFTH</w:t>
      </w:r>
      <w:r>
        <w:rPr>
          <w:rFonts w:ascii="Times New Roman" w:cs="Times New Roman" w:eastAsia="Times New Roman" w:hAnsi="Times New Roman"/>
          <w:sz w:val="13"/>
          <w:szCs w:val="13"/>
          <w:color w:val="auto"/>
        </w:rPr>
        <w:t xml:space="preserve"> : The last sentence of the third paragraph of Section 8(a) of the Articles as corrected hereby is set forth below:</w:t>
      </w:r>
    </w:p>
    <w:p>
      <w:pPr>
        <w:spacing w:after="0" w:line="187" w:lineRule="exact"/>
        <w:rPr>
          <w:sz w:val="20"/>
          <w:szCs w:val="20"/>
          <w:color w:val="auto"/>
        </w:rPr>
      </w:pPr>
    </w:p>
    <w:p>
      <w:pPr>
        <w:jc w:val="both"/>
        <w:ind w:left="900" w:right="660"/>
        <w:spacing w:after="0" w:line="287" w:lineRule="auto"/>
        <w:rPr>
          <w:sz w:val="20"/>
          <w:szCs w:val="20"/>
          <w:color w:val="auto"/>
        </w:rPr>
      </w:pPr>
      <w:r>
        <w:rPr>
          <w:rFonts w:ascii="Times New Roman" w:cs="Times New Roman" w:eastAsia="Times New Roman" w:hAnsi="Times New Roman"/>
          <w:sz w:val="13"/>
          <w:szCs w:val="13"/>
          <w:color w:val="auto"/>
        </w:rPr>
        <w:t>The Exchange Cap (i) shall be increased on a pro rata basis with respect to any additional shares of Series H Preferred Stock designated and authorized for issuance pursuant to any subsequent articles supplementary and (ii) is subject to pro rata adjustments for any Share Splits on the same basis as the corresponding adjustment to the Share Cap.</w:t>
      </w:r>
    </w:p>
    <w:p>
      <w:pPr>
        <w:spacing w:after="0" w:line="136" w:lineRule="exact"/>
        <w:rPr>
          <w:sz w:val="20"/>
          <w:szCs w:val="20"/>
          <w:color w:val="auto"/>
        </w:rPr>
      </w:pPr>
    </w:p>
    <w:p>
      <w:pPr>
        <w:jc w:val="both"/>
        <w:ind w:left="600" w:right="720" w:firstLine="312"/>
        <w:spacing w:after="0" w:line="287" w:lineRule="auto"/>
        <w:rPr>
          <w:sz w:val="20"/>
          <w:szCs w:val="20"/>
          <w:color w:val="auto"/>
        </w:rPr>
      </w:pPr>
      <w:r>
        <w:rPr>
          <w:rFonts w:ascii="Times New Roman" w:cs="Times New Roman" w:eastAsia="Times New Roman" w:hAnsi="Times New Roman"/>
          <w:sz w:val="13"/>
          <w:szCs w:val="13"/>
          <w:u w:val="single" w:color="auto"/>
          <w:color w:val="auto"/>
        </w:rPr>
        <w:t>SIXTH</w:t>
      </w:r>
      <w:r>
        <w:rPr>
          <w:rFonts w:ascii="Times New Roman" w:cs="Times New Roman" w:eastAsia="Times New Roman" w:hAnsi="Times New Roman"/>
          <w:sz w:val="13"/>
          <w:szCs w:val="13"/>
          <w:color w:val="auto"/>
        </w:rPr>
        <w:t xml:space="preserve"> : The undersigned acknowledges this Certificate of Correction to be the corporate act of the Company and as to all matters or facts required to be verified under oath, the undersigned acknowledges that to the best of his knowledge, information and belief, these matters and facts are true in all material respects and that this statement is made under the penalties for perjury.</w:t>
      </w:r>
    </w:p>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125730</wp:posOffset>
            </wp:positionV>
            <wp:extent cx="4436110" cy="1524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729">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575310</wp:posOffset>
            </wp:positionV>
            <wp:extent cx="5083810" cy="1524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730">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401" w:name="page402"/>
    <w:bookmarkEnd w:id="401"/>
    <w:p>
      <w:pPr>
        <w:jc w:val="both"/>
        <w:ind w:left="600" w:right="720" w:firstLine="312"/>
        <w:spacing w:after="0" w:line="271" w:lineRule="auto"/>
        <w:rPr>
          <w:sz w:val="20"/>
          <w:szCs w:val="20"/>
          <w:color w:val="auto"/>
        </w:rPr>
      </w:pPr>
      <w:r>
        <w:rPr>
          <w:rFonts w:ascii="Times New Roman" w:cs="Times New Roman" w:eastAsia="Times New Roman" w:hAnsi="Times New Roman"/>
          <w:sz w:val="13"/>
          <w:szCs w:val="13"/>
          <w:color w:val="auto"/>
        </w:rPr>
        <w:t>IN WITNESS WHEREOF, the Company has caused this Certificate of Correction to be signed in its name and on its behalf by its Interim Chief Executive Officer, Chief Financial Officer, Chief Investment Officer and Secretary and attested to by its Senior Vice President, General Counsel and Assistant Secretary on April 4, 2014.</w:t>
      </w:r>
    </w:p>
    <w:p>
      <w:pPr>
        <w:spacing w:after="0" w:line="1" w:lineRule="exact"/>
        <w:rPr>
          <w:sz w:val="20"/>
          <w:szCs w:val="20"/>
          <w:color w:val="auto"/>
        </w:rPr>
      </w:pPr>
    </w:p>
    <w:tbl>
      <w:tblPr>
        <w:tblLayout w:type="fixed"/>
        <w:tblInd w:w="480" w:type="dxa"/>
        <w:tblCellMar>
          <w:top w:w="0" w:type="dxa"/>
          <w:left w:w="0" w:type="dxa"/>
          <w:bottom w:w="0" w:type="dxa"/>
          <w:right w:w="0" w:type="dxa"/>
        </w:tblCellMar>
      </w:tblPr>
      <w:tr>
        <w:trPr>
          <w:trHeight w:val="164"/>
        </w:trPr>
        <w:tc>
          <w:tcPr>
            <w:tcW w:w="35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ATTEST</w:t>
            </w:r>
          </w:p>
        </w:tc>
        <w:tc>
          <w:tcPr>
            <w:tcW w:w="36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DIGITAL REALTY TRUST, INC.</w:t>
            </w:r>
          </w:p>
        </w:tc>
        <w:tc>
          <w:tcPr>
            <w:tcW w:w="880" w:type="dxa"/>
            <w:vAlign w:val="bottom"/>
          </w:tcPr>
          <w:p>
            <w:pPr>
              <w:spacing w:after="0"/>
              <w:rPr>
                <w:sz w:val="14"/>
                <w:szCs w:val="14"/>
                <w:color w:val="auto"/>
              </w:rPr>
            </w:pPr>
          </w:p>
        </w:tc>
      </w:tr>
      <w:tr>
        <w:trPr>
          <w:trHeight w:val="156"/>
        </w:trPr>
        <w:tc>
          <w:tcPr>
            <w:tcW w:w="35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/s/ Joshua A. Mills</w:t>
            </w:r>
          </w:p>
        </w:tc>
        <w:tc>
          <w:tcPr>
            <w:tcW w:w="36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By:   /s/ A. William Stein</w:t>
            </w:r>
          </w:p>
        </w:tc>
        <w:tc>
          <w:tcPr>
            <w:tcW w:w="880" w:type="dxa"/>
            <w:vAlign w:val="bottom"/>
          </w:tcPr>
          <w:p>
            <w:pPr>
              <w:spacing w:after="0"/>
              <w:rPr>
                <w:sz w:val="13"/>
                <w:szCs w:val="13"/>
                <w:color w:val="auto"/>
              </w:rPr>
            </w:pPr>
          </w:p>
        </w:tc>
      </w:tr>
      <w:tr>
        <w:trPr>
          <w:trHeight w:val="216"/>
        </w:trPr>
        <w:tc>
          <w:tcPr>
            <w:tcW w:w="35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Name: Joshua A. Mills</w:t>
            </w:r>
          </w:p>
        </w:tc>
        <w:tc>
          <w:tcPr>
            <w:tcW w:w="3600" w:type="dxa"/>
            <w:vAlign w:val="bottom"/>
          </w:tcPr>
          <w:p>
            <w:pPr>
              <w:ind w:left="240"/>
              <w:spacing w:after="0" w:line="216" w:lineRule="exact"/>
              <w:rPr>
                <w:sz w:val="20"/>
                <w:szCs w:val="20"/>
                <w:color w:val="auto"/>
              </w:rPr>
            </w:pPr>
            <w:r>
              <w:rPr>
                <w:rFonts w:ascii="Times New Roman" w:cs="Times New Roman" w:eastAsia="Times New Roman" w:hAnsi="Times New Roman"/>
                <w:sz w:val="25"/>
                <w:szCs w:val="25"/>
                <w:color w:val="auto"/>
                <w:vertAlign w:val="superscript"/>
              </w:rPr>
              <w:t>Name:</w:t>
            </w:r>
            <w:r>
              <w:rPr>
                <w:rFonts w:ascii="Times New Roman" w:cs="Times New Roman" w:eastAsia="Times New Roman" w:hAnsi="Times New Roman"/>
                <w:sz w:val="13"/>
                <w:szCs w:val="13"/>
                <w:color w:val="auto"/>
              </w:rPr>
              <w:t>A. William Stein</w:t>
            </w:r>
          </w:p>
        </w:tc>
        <w:tc>
          <w:tcPr>
            <w:tcW w:w="880" w:type="dxa"/>
            <w:vAlign w:val="bottom"/>
          </w:tcPr>
          <w:p>
            <w:pPr>
              <w:spacing w:after="0"/>
              <w:rPr>
                <w:sz w:val="18"/>
                <w:szCs w:val="18"/>
                <w:color w:val="auto"/>
              </w:rPr>
            </w:pPr>
          </w:p>
        </w:tc>
      </w:tr>
      <w:tr>
        <w:trPr>
          <w:trHeight w:val="168"/>
        </w:trPr>
        <w:tc>
          <w:tcPr>
            <w:tcW w:w="35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Title: Senior Vice President, General Counsel and Assistant</w:t>
            </w:r>
          </w:p>
        </w:tc>
        <w:tc>
          <w:tcPr>
            <w:tcW w:w="360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Title: Interim Chief Executive Officer, Chief</w:t>
            </w:r>
          </w:p>
        </w:tc>
        <w:tc>
          <w:tcPr>
            <w:tcW w:w="880" w:type="dxa"/>
            <w:vAlign w:val="bottom"/>
          </w:tcPr>
          <w:p>
            <w:pPr>
              <w:spacing w:after="0"/>
              <w:rPr>
                <w:sz w:val="14"/>
                <w:szCs w:val="14"/>
                <w:color w:val="auto"/>
              </w:rPr>
            </w:pPr>
          </w:p>
        </w:tc>
      </w:tr>
      <w:tr>
        <w:trPr>
          <w:trHeight w:val="168"/>
        </w:trPr>
        <w:tc>
          <w:tcPr>
            <w:tcW w:w="120" w:type="dxa"/>
            <w:vAlign w:val="bottom"/>
          </w:tcPr>
          <w:p>
            <w:pPr>
              <w:spacing w:after="0"/>
              <w:rPr>
                <w:sz w:val="14"/>
                <w:szCs w:val="14"/>
                <w:color w:val="auto"/>
              </w:rPr>
            </w:pPr>
          </w:p>
        </w:tc>
        <w:tc>
          <w:tcPr>
            <w:tcW w:w="34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Secretary</w:t>
            </w:r>
          </w:p>
        </w:tc>
        <w:tc>
          <w:tcPr>
            <w:tcW w:w="360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Financial Officer,</w:t>
            </w:r>
          </w:p>
        </w:tc>
        <w:tc>
          <w:tcPr>
            <w:tcW w:w="880" w:type="dxa"/>
            <w:vAlign w:val="bottom"/>
          </w:tcPr>
          <w:p>
            <w:pPr>
              <w:spacing w:after="0"/>
              <w:rPr>
                <w:sz w:val="14"/>
                <w:szCs w:val="14"/>
                <w:color w:val="auto"/>
              </w:rPr>
            </w:pPr>
          </w:p>
        </w:tc>
      </w:tr>
      <w:tr>
        <w:trPr>
          <w:trHeight w:val="172"/>
        </w:trPr>
        <w:tc>
          <w:tcPr>
            <w:tcW w:w="1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Chief Investment Officer and Secretary</w:t>
            </w:r>
          </w:p>
        </w:tc>
        <w:tc>
          <w:tcPr>
            <w:tcW w:w="880" w:type="dxa"/>
            <w:vAlign w:val="bottom"/>
          </w:tcPr>
          <w:p>
            <w:pPr>
              <w:spacing w:after="0"/>
              <w:rPr>
                <w:sz w:val="14"/>
                <w:szCs w:val="14"/>
                <w:color w:val="auto"/>
              </w:rPr>
            </w:pPr>
          </w:p>
        </w:tc>
      </w:tr>
      <w:tr>
        <w:trPr>
          <w:trHeight w:val="492"/>
        </w:trPr>
        <w:tc>
          <w:tcPr>
            <w:tcW w:w="1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6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-2-</w:t>
            </w:r>
          </w:p>
        </w:tc>
        <w:tc>
          <w:tcPr>
            <w:tcW w:w="880" w:type="dxa"/>
            <w:vAlign w:val="bottom"/>
          </w:tcPr>
          <w:p>
            <w:pPr>
              <w:spacing w:after="0"/>
              <w:rPr>
                <w:sz w:val="24"/>
                <w:szCs w:val="24"/>
                <w:color w:val="auto"/>
              </w:rPr>
            </w:pPr>
          </w:p>
        </w:tc>
      </w:tr>
      <w:tr>
        <w:trPr>
          <w:trHeight w:val="180"/>
        </w:trPr>
        <w:tc>
          <w:tcPr>
            <w:tcW w:w="120" w:type="dxa"/>
            <w:vAlign w:val="bottom"/>
          </w:tcPr>
          <w:p>
            <w:pPr>
              <w:spacing w:after="0"/>
              <w:rPr>
                <w:sz w:val="15"/>
                <w:szCs w:val="15"/>
                <w:color w:val="auto"/>
              </w:rPr>
            </w:pPr>
          </w:p>
        </w:tc>
        <w:tc>
          <w:tcPr>
            <w:tcW w:w="340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tcPr>
          <w:p>
            <w:pPr>
              <w:spacing w:after="0"/>
              <w:rPr>
                <w:sz w:val="15"/>
                <w:szCs w:val="15"/>
                <w:color w:val="auto"/>
              </w:rPr>
            </w:pPr>
          </w:p>
        </w:tc>
        <w:tc>
          <w:tcPr>
            <w:tcW w:w="880" w:type="dxa"/>
            <w:vAlign w:val="bottom"/>
          </w:tcPr>
          <w:p>
            <w:pPr>
              <w:spacing w:after="0"/>
              <w:rPr>
                <w:sz w:val="15"/>
                <w:szCs w:val="15"/>
                <w:color w:val="auto"/>
              </w:rPr>
            </w:pPr>
          </w:p>
        </w:tc>
      </w:tr>
      <w:tr>
        <w:trPr>
          <w:trHeight w:val="688"/>
        </w:trPr>
        <w:tc>
          <w:tcPr>
            <w:tcW w:w="1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bl>
    <w:p>
      <w:pPr>
        <w:sectPr>
          <w:pgSz w:w="11900" w:h="16840" w:orient="portrait"/>
          <w:cols w:equalWidth="0" w:num="1">
            <w:col w:w="9020"/>
          </w:cols>
          <w:pgMar w:left="1440" w:top="558" w:right="1440" w:bottom="1440" w:gutter="0" w:footer="0" w:header="0"/>
        </w:sectPr>
      </w:pPr>
    </w:p>
    <w:bookmarkStart w:id="402" w:name="page403"/>
    <w:bookmarkEnd w:id="402"/>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DIGITAL REALTY TRUST, INC.</w:t>
      </w:r>
    </w:p>
    <w:p>
      <w:pPr>
        <w:spacing w:after="0" w:line="1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ARTICLES SUPPLEMENTARY</w:t>
      </w:r>
    </w:p>
    <w:p>
      <w:pPr>
        <w:spacing w:after="0" w:line="18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Digital Realty Trust, Inc., a Maryland corporation (the “Company”), hereby certifies to the State Department of Assessments and Taxation of</w:t>
      </w:r>
    </w:p>
    <w:p>
      <w:pPr>
        <w:spacing w:after="0" w:line="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Maryland (the “Department”) that:</w:t>
      </w:r>
    </w:p>
    <w:p>
      <w:pPr>
        <w:spacing w:after="0" w:line="183" w:lineRule="exact"/>
        <w:rPr>
          <w:sz w:val="20"/>
          <w:szCs w:val="20"/>
          <w:color w:val="auto"/>
        </w:rPr>
      </w:pPr>
    </w:p>
    <w:p>
      <w:pPr>
        <w:ind w:left="600" w:right="740" w:firstLine="312"/>
        <w:spacing w:after="0" w:line="276" w:lineRule="auto"/>
        <w:rPr>
          <w:sz w:val="20"/>
          <w:szCs w:val="20"/>
          <w:color w:val="auto"/>
        </w:rPr>
      </w:pPr>
      <w:r>
        <w:rPr>
          <w:rFonts w:ascii="Times New Roman" w:cs="Times New Roman" w:eastAsia="Times New Roman" w:hAnsi="Times New Roman"/>
          <w:sz w:val="13"/>
          <w:szCs w:val="13"/>
          <w:u w:val="single" w:color="auto"/>
          <w:color w:val="auto"/>
        </w:rPr>
        <w:t>FIRST</w:t>
      </w:r>
      <w:r>
        <w:rPr>
          <w:rFonts w:ascii="Times New Roman" w:cs="Times New Roman" w:eastAsia="Times New Roman" w:hAnsi="Times New Roman"/>
          <w:sz w:val="13"/>
          <w:szCs w:val="13"/>
          <w:color w:val="auto"/>
        </w:rPr>
        <w:t xml:space="preserve"> : Under a power contained in Article IV of the charter of the Company (the “Charter”), the Board of Directors of the Company (the “Board of Directors”), by duly adopted resolutions, classified and designated an additional 2,000,000 authorized but unissued shares of preferred stock, par value $0.01 per share, of the Company (the “Shares”) as shares of 7.375% Series H Cumulative Redeemable Preferred Stock, par value $0.01 per share, of the Company (the “Series H Preferred Stock”). The total number of shares of Series H Preferred Stock which the Company has authority to issue after giving effect to these Articles Supplementary is 15,800,000. There has been no increase in the authorized shares of stock of the Company effected by these Articles Supplementary.</w:t>
      </w:r>
    </w:p>
    <w:p>
      <w:pPr>
        <w:spacing w:after="0" w:line="145" w:lineRule="exact"/>
        <w:rPr>
          <w:sz w:val="20"/>
          <w:szCs w:val="20"/>
          <w:color w:val="auto"/>
        </w:rPr>
      </w:pPr>
    </w:p>
    <w:p>
      <w:pPr>
        <w:ind w:left="600" w:right="700" w:firstLine="312"/>
        <w:spacing w:after="0" w:line="281" w:lineRule="auto"/>
        <w:rPr>
          <w:sz w:val="20"/>
          <w:szCs w:val="20"/>
          <w:color w:val="auto"/>
        </w:rPr>
      </w:pPr>
      <w:r>
        <w:rPr>
          <w:rFonts w:ascii="Times New Roman" w:cs="Times New Roman" w:eastAsia="Times New Roman" w:hAnsi="Times New Roman"/>
          <w:sz w:val="13"/>
          <w:szCs w:val="13"/>
          <w:u w:val="single" w:color="auto"/>
          <w:color w:val="auto"/>
        </w:rPr>
        <w:t>SECOND</w:t>
      </w:r>
      <w:r>
        <w:rPr>
          <w:rFonts w:ascii="Times New Roman" w:cs="Times New Roman" w:eastAsia="Times New Roman" w:hAnsi="Times New Roman"/>
          <w:sz w:val="13"/>
          <w:szCs w:val="13"/>
          <w:color w:val="auto"/>
        </w:rPr>
        <w:t xml:space="preserve"> : A description of the preferences, conversion and other rights, voting powers, restrictions, limitations as to dividends and other distributions, transfers, qualifications, terms and conditions of redemption, and other terms and conditions of the Series H Preferred Stock is contained in the Articles Supplementary filed with, and accepted for record by, the Department on March 25, 2014, as corrected by the Certificate of Correction filed with, and accepted for record by, the Department on the date hereof.</w:t>
      </w:r>
    </w:p>
    <w:p>
      <w:pPr>
        <w:spacing w:after="0" w:line="14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u w:val="single" w:color="auto"/>
          <w:color w:val="auto"/>
        </w:rPr>
        <w:t>THIRD</w:t>
      </w:r>
      <w:r>
        <w:rPr>
          <w:rFonts w:ascii="Times New Roman" w:cs="Times New Roman" w:eastAsia="Times New Roman" w:hAnsi="Times New Roman"/>
          <w:sz w:val="13"/>
          <w:szCs w:val="13"/>
          <w:color w:val="auto"/>
        </w:rPr>
        <w:t xml:space="preserve"> : The Shares have been classified and designated by the Board of Directors under the authority contained in the Charter.</w:t>
      </w:r>
    </w:p>
    <w:p>
      <w:pPr>
        <w:spacing w:after="0" w:line="18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u w:val="single" w:color="auto"/>
          <w:color w:val="auto"/>
        </w:rPr>
        <w:t>FOURTH</w:t>
      </w:r>
      <w:r>
        <w:rPr>
          <w:rFonts w:ascii="Times New Roman" w:cs="Times New Roman" w:eastAsia="Times New Roman" w:hAnsi="Times New Roman"/>
          <w:sz w:val="13"/>
          <w:szCs w:val="13"/>
          <w:color w:val="auto"/>
        </w:rPr>
        <w:t xml:space="preserve"> : These Articles Supplementary have been approved by the Board of Directors in the manner and by the vote required by law.</w:t>
      </w:r>
    </w:p>
    <w:p>
      <w:pPr>
        <w:spacing w:after="0" w:line="187" w:lineRule="exact"/>
        <w:rPr>
          <w:sz w:val="20"/>
          <w:szCs w:val="20"/>
          <w:color w:val="auto"/>
        </w:rPr>
      </w:pPr>
    </w:p>
    <w:p>
      <w:pPr>
        <w:jc w:val="both"/>
        <w:ind w:left="600" w:right="660" w:firstLine="312"/>
        <w:spacing w:after="0" w:line="287" w:lineRule="auto"/>
        <w:rPr>
          <w:sz w:val="20"/>
          <w:szCs w:val="20"/>
          <w:color w:val="auto"/>
        </w:rPr>
      </w:pPr>
      <w:r>
        <w:rPr>
          <w:rFonts w:ascii="Times New Roman" w:cs="Times New Roman" w:eastAsia="Times New Roman" w:hAnsi="Times New Roman"/>
          <w:sz w:val="13"/>
          <w:szCs w:val="13"/>
          <w:u w:val="single" w:color="auto"/>
          <w:color w:val="auto"/>
        </w:rPr>
        <w:t>FIFTH</w:t>
      </w:r>
      <w:r>
        <w:rPr>
          <w:rFonts w:ascii="Times New Roman" w:cs="Times New Roman" w:eastAsia="Times New Roman" w:hAnsi="Times New Roman"/>
          <w:sz w:val="13"/>
          <w:szCs w:val="13"/>
          <w:color w:val="auto"/>
        </w:rPr>
        <w:t xml:space="preserve"> : The undersigned acknowledges these Articles Supplementary to be the corporate act of the Company and, as to all matters or facts required to be verified under oath, the undersigned acknowledges that, to the best of his knowledge, information and belief, these matters and facts are true in all material respects and that this statement is made under the penalties for perjury.</w:t>
      </w:r>
    </w:p>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125730</wp:posOffset>
            </wp:positionV>
            <wp:extent cx="4436110" cy="762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731">
                      <a:extLst>
                        <a:ext uri="{28A0092B-C50C-407E-A947-70E740481C1C}"/>
                      </a:extLst>
                    </a:blip>
                    <a:srcRect/>
                    <a:stretch>
                      <a:fillRect/>
                    </a:stretch>
                  </pic:blipFill>
                  <pic:spPr bwMode="auto">
                    <a:xfrm>
                      <a:off x="0" y="0"/>
                      <a:ext cx="4436110"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567690</wp:posOffset>
            </wp:positionV>
            <wp:extent cx="5083810" cy="1524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732">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403" w:name="page404"/>
    <w:bookmarkEnd w:id="403"/>
    <w:p>
      <w:pPr>
        <w:ind w:left="600" w:right="720" w:firstLine="312"/>
        <w:spacing w:after="0" w:line="287" w:lineRule="auto"/>
        <w:rPr>
          <w:sz w:val="20"/>
          <w:szCs w:val="20"/>
          <w:color w:val="auto"/>
        </w:rPr>
      </w:pPr>
      <w:r>
        <w:rPr>
          <w:rFonts w:ascii="Times New Roman" w:cs="Times New Roman" w:eastAsia="Times New Roman" w:hAnsi="Times New Roman"/>
          <w:sz w:val="13"/>
          <w:szCs w:val="13"/>
          <w:color w:val="auto"/>
        </w:rPr>
        <w:t>IN WITNESS WHEREOF, the Company has caused these Articles Supplementary to be signed in its name and on its behalf by its Interim Chief Executive Officer, Chief Financial Officer, Chief Investment Officer and Secretary and attested to by its Senior Vice President, General Counsel and Assistant Secretary on April 4, 2014.</w:t>
      </w:r>
    </w:p>
    <w:p>
      <w:pPr>
        <w:sectPr>
          <w:pgSz w:w="11900" w:h="16840" w:orient="portrait"/>
          <w:cols w:equalWidth="0" w:num="1">
            <w:col w:w="9020"/>
          </w:cols>
          <w:pgMar w:left="1440" w:top="558" w:right="1440" w:bottom="1440" w:gutter="0" w:footer="0" w:header="0"/>
        </w:sectPr>
      </w:pPr>
    </w:p>
    <w:p>
      <w:pPr>
        <w:spacing w:after="0" w:line="13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ATTEST</w:t>
      </w:r>
    </w:p>
    <w:p>
      <w:pPr>
        <w:spacing w:after="0" w:line="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/s/ Joshua A. Mills</w:t>
      </w:r>
    </w:p>
    <w:p>
      <w:pPr>
        <w:spacing w:after="0" w:line="5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Name: Joshua A. Mills</w:t>
      </w:r>
    </w:p>
    <w:p>
      <w:pPr>
        <w:spacing w:after="0" w:line="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Title: Senior Vice President, General Counsel and Assistant</w:t>
      </w:r>
    </w:p>
    <w:p>
      <w:pPr>
        <w:spacing w:after="0" w:line="1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Secretary</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DIGITAL REALTY TRUST, INC.</w:t>
      </w:r>
    </w:p>
    <w:p>
      <w:pPr>
        <w:spacing w:after="0" w:line="2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3"/>
          <w:szCs w:val="13"/>
          <w:color w:val="auto"/>
        </w:rPr>
        <w:t>By:</w:t>
        <w:tab/>
        <w:t>/s/ A. William Stein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Name:A. William Stein</w:t>
      </w:r>
    </w:p>
    <w:p>
      <w:pPr>
        <w:spacing w:after="0" w:line="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Title: Interim Chief Executive Officer, Chief</w:t>
      </w:r>
    </w:p>
    <w:p>
      <w:pPr>
        <w:spacing w:after="0" w:line="1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3"/>
          <w:szCs w:val="13"/>
          <w:color w:val="auto"/>
        </w:rPr>
        <w:t>Financial Officer,</w:t>
      </w:r>
    </w:p>
    <w:p>
      <w:pPr>
        <w:spacing w:after="0" w:line="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Chief Investment Officer and Secretary</w:t>
      </w:r>
    </w:p>
    <w:p>
      <w:pPr>
        <w:spacing w:after="0" w:line="19" w:lineRule="exact"/>
        <w:rPr>
          <w:sz w:val="20"/>
          <w:szCs w:val="20"/>
          <w:color w:val="auto"/>
        </w:rPr>
      </w:pPr>
    </w:p>
    <w:p>
      <w:pPr>
        <w:sectPr>
          <w:pgSz w:w="11900" w:h="16840" w:orient="portrait"/>
          <w:cols w:equalWidth="0" w:num="2">
            <w:col w:w="3760" w:space="480"/>
            <w:col w:w="4780"/>
          </w:cols>
          <w:pgMar w:left="1440" w:top="558" w:right="1440"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3"/>
          <w:szCs w:val="13"/>
          <w:color w:val="auto"/>
        </w:rPr>
        <w:t>[Signature Page to Articles Supplementary]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116205</wp:posOffset>
            </wp:positionV>
            <wp:extent cx="4436110" cy="1524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733">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565785</wp:posOffset>
            </wp:positionV>
            <wp:extent cx="5083810" cy="1524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734">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type w:val="continuous"/>
        </w:sectPr>
      </w:pPr>
    </w:p>
    <w:bookmarkStart w:id="404" w:name="page405"/>
    <w:bookmarkEnd w:id="404"/>
    <w:p>
      <w:pPr>
        <w:ind w:left="3160"/>
        <w:spacing w:after="0"/>
        <w:rPr>
          <w:sz w:val="20"/>
          <w:szCs w:val="20"/>
          <w:color w:val="auto"/>
        </w:rPr>
      </w:pPr>
      <w:r>
        <w:rPr>
          <w:rFonts w:ascii="Times New Roman" w:cs="Times New Roman" w:eastAsia="Times New Roman" w:hAnsi="Times New Roman"/>
          <w:sz w:val="13"/>
          <w:szCs w:val="13"/>
          <w:b w:val="1"/>
          <w:bCs w:val="1"/>
          <w:color w:val="auto"/>
        </w:rPr>
        <w:t>DIGITAL REALTY TRUST, INC. ARTICLES</w:t>
      </w:r>
    </w:p>
    <w:p>
      <w:pPr>
        <w:spacing w:after="0" w:line="1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SUPPLEMENTARY 11,500,000 SHARES OF</w:t>
      </w:r>
    </w:p>
    <w:p>
      <w:pPr>
        <w:spacing w:after="0" w:line="1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6.350% SERIES I CUMULATIVE REDEEMABLE PREFERRED STOCK AUGUST</w:t>
      </w:r>
    </w:p>
    <w:p>
      <w:pPr>
        <w:spacing w:after="0" w:line="1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21, 2015</w:t>
      </w:r>
    </w:p>
    <w:p>
      <w:pPr>
        <w:spacing w:after="0" w:line="10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Digital Realty Trust, Inc., a Maryland corporation (the “</w:t>
      </w:r>
      <w:r>
        <w:rPr>
          <w:rFonts w:ascii="Times New Roman" w:cs="Times New Roman" w:eastAsia="Times New Roman" w:hAnsi="Times New Roman"/>
          <w:sz w:val="13"/>
          <w:szCs w:val="13"/>
          <w:u w:val="single" w:color="auto"/>
          <w:color w:val="auto"/>
        </w:rPr>
        <w:t>Company</w:t>
      </w:r>
      <w:r>
        <w:rPr>
          <w:rFonts w:ascii="Times New Roman" w:cs="Times New Roman" w:eastAsia="Times New Roman" w:hAnsi="Times New Roman"/>
          <w:sz w:val="13"/>
          <w:szCs w:val="13"/>
          <w:color w:val="auto"/>
        </w:rPr>
        <w:t>”), hereby certifies to the State Department of Assessments and</w:t>
      </w:r>
    </w:p>
    <w:p>
      <w:pPr>
        <w:spacing w:after="0" w:line="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Taxation of Maryland (the “</w:t>
      </w:r>
      <w:r>
        <w:rPr>
          <w:rFonts w:ascii="Times New Roman" w:cs="Times New Roman" w:eastAsia="Times New Roman" w:hAnsi="Times New Roman"/>
          <w:sz w:val="13"/>
          <w:szCs w:val="13"/>
          <w:u w:val="single" w:color="auto"/>
          <w:color w:val="auto"/>
        </w:rPr>
        <w:t>Department</w:t>
      </w:r>
      <w:r>
        <w:rPr>
          <w:rFonts w:ascii="Times New Roman" w:cs="Times New Roman" w:eastAsia="Times New Roman" w:hAnsi="Times New Roman"/>
          <w:sz w:val="13"/>
          <w:szCs w:val="13"/>
          <w:color w:val="auto"/>
        </w:rPr>
        <w:t>”) that:</w:t>
      </w:r>
    </w:p>
    <w:p>
      <w:pPr>
        <w:spacing w:after="0" w:line="171" w:lineRule="exact"/>
        <w:rPr>
          <w:sz w:val="20"/>
          <w:szCs w:val="20"/>
          <w:color w:val="auto"/>
        </w:rPr>
      </w:pPr>
    </w:p>
    <w:p>
      <w:pPr>
        <w:jc w:val="both"/>
        <w:ind w:left="600" w:right="600" w:firstLine="480"/>
        <w:spacing w:after="0" w:line="272" w:lineRule="auto"/>
        <w:rPr>
          <w:sz w:val="20"/>
          <w:szCs w:val="20"/>
          <w:color w:val="auto"/>
        </w:rPr>
      </w:pPr>
      <w:r>
        <w:rPr>
          <w:rFonts w:ascii="Times New Roman" w:cs="Times New Roman" w:eastAsia="Times New Roman" w:hAnsi="Times New Roman"/>
          <w:sz w:val="13"/>
          <w:szCs w:val="13"/>
          <w:u w:val="single" w:color="auto"/>
          <w:color w:val="auto"/>
        </w:rPr>
        <w:t>FIRST</w:t>
      </w:r>
      <w:r>
        <w:rPr>
          <w:rFonts w:ascii="Times New Roman" w:cs="Times New Roman" w:eastAsia="Times New Roman" w:hAnsi="Times New Roman"/>
          <w:sz w:val="13"/>
          <w:szCs w:val="13"/>
          <w:color w:val="auto"/>
        </w:rPr>
        <w:t>: Pursuant to the authority expressly vested in the Board of Directors of the Company (the “</w:t>
      </w:r>
      <w:r>
        <w:rPr>
          <w:rFonts w:ascii="Times New Roman" w:cs="Times New Roman" w:eastAsia="Times New Roman" w:hAnsi="Times New Roman"/>
          <w:sz w:val="13"/>
          <w:szCs w:val="13"/>
          <w:u w:val="single" w:color="auto"/>
          <w:color w:val="auto"/>
        </w:rPr>
        <w:t>Board of Directors</w:t>
      </w:r>
      <w:r>
        <w:rPr>
          <w:rFonts w:ascii="Times New Roman" w:cs="Times New Roman" w:eastAsia="Times New Roman" w:hAnsi="Times New Roman"/>
          <w:sz w:val="13"/>
          <w:szCs w:val="13"/>
          <w:color w:val="auto"/>
        </w:rPr>
        <w:t>”) by Article V of the Articles of Amendment and Restatement of the Company filed with the Department on April 4, 2014 (as amended and supplemented to date and as may be amended and supplemented from time to time, the “</w:t>
      </w:r>
      <w:r>
        <w:rPr>
          <w:rFonts w:ascii="Times New Roman" w:cs="Times New Roman" w:eastAsia="Times New Roman" w:hAnsi="Times New Roman"/>
          <w:sz w:val="13"/>
          <w:szCs w:val="13"/>
          <w:u w:val="single" w:color="auto"/>
          <w:color w:val="auto"/>
        </w:rPr>
        <w:t>Charter</w:t>
      </w:r>
      <w:r>
        <w:rPr>
          <w:rFonts w:ascii="Times New Roman" w:cs="Times New Roman" w:eastAsia="Times New Roman" w:hAnsi="Times New Roman"/>
          <w:sz w:val="13"/>
          <w:szCs w:val="13"/>
          <w:color w:val="auto"/>
        </w:rPr>
        <w:t>”) and Section 2-105 of the Maryland General Corporation Law (the “</w:t>
      </w:r>
      <w:r>
        <w:rPr>
          <w:rFonts w:ascii="Times New Roman" w:cs="Times New Roman" w:eastAsia="Times New Roman" w:hAnsi="Times New Roman"/>
          <w:sz w:val="13"/>
          <w:szCs w:val="13"/>
          <w:u w:val="single" w:color="auto"/>
          <w:color w:val="auto"/>
        </w:rPr>
        <w:t>MGCL</w:t>
      </w:r>
      <w:r>
        <w:rPr>
          <w:rFonts w:ascii="Times New Roman" w:cs="Times New Roman" w:eastAsia="Times New Roman" w:hAnsi="Times New Roman"/>
          <w:sz w:val="13"/>
          <w:szCs w:val="13"/>
          <w:color w:val="auto"/>
        </w:rPr>
        <w:t xml:space="preserve">”), the Board of Directors, by resolutions duly adopted on July 12, 2015 has authorized the issuance, classification and designation of a number of shares of the authorized but unissued preferred stock of the Company, par value $0.01 per share (“ </w:t>
      </w:r>
      <w:r>
        <w:rPr>
          <w:rFonts w:ascii="Times New Roman" w:cs="Times New Roman" w:eastAsia="Times New Roman" w:hAnsi="Times New Roman"/>
          <w:sz w:val="13"/>
          <w:szCs w:val="13"/>
          <w:u w:val="single" w:color="auto"/>
          <w:color w:val="auto"/>
        </w:rPr>
        <w:t>Preferred Stock</w:t>
      </w:r>
      <w:r>
        <w:rPr>
          <w:rFonts w:ascii="Times New Roman" w:cs="Times New Roman" w:eastAsia="Times New Roman" w:hAnsi="Times New Roman"/>
          <w:sz w:val="13"/>
          <w:szCs w:val="13"/>
          <w:color w:val="auto"/>
        </w:rPr>
        <w:t xml:space="preserve">”), as a separate class of Preferred Stock, that, on the date of issue, has a liquidation value or aggregate offering price of up to $250,000,000 (plus up to an additional 15% to cover any underwriter over- allotment option), and, pursuant to the powers contained in the Fifth Amended and Restated Bylaws (as may be amended from time to time, the “ </w:t>
      </w:r>
      <w:r>
        <w:rPr>
          <w:rFonts w:ascii="Times New Roman" w:cs="Times New Roman" w:eastAsia="Times New Roman" w:hAnsi="Times New Roman"/>
          <w:sz w:val="13"/>
          <w:szCs w:val="13"/>
          <w:u w:val="single" w:color="auto"/>
          <w:color w:val="auto"/>
        </w:rPr>
        <w:t>Bylaws</w:t>
      </w:r>
      <w:r>
        <w:rPr>
          <w:rFonts w:ascii="Times New Roman" w:cs="Times New Roman" w:eastAsia="Times New Roman" w:hAnsi="Times New Roman"/>
          <w:sz w:val="13"/>
          <w:szCs w:val="13"/>
          <w:color w:val="auto"/>
        </w:rPr>
        <w:t>”) of the Company and the MGCL, delegated to the Pricing Committee of the Board of Directors (the “</w:t>
      </w:r>
      <w:r>
        <w:rPr>
          <w:rFonts w:ascii="Times New Roman" w:cs="Times New Roman" w:eastAsia="Times New Roman" w:hAnsi="Times New Roman"/>
          <w:sz w:val="13"/>
          <w:szCs w:val="13"/>
          <w:u w:val="single" w:color="auto"/>
          <w:color w:val="auto"/>
        </w:rPr>
        <w:t>Committee</w:t>
      </w:r>
      <w:r>
        <w:rPr>
          <w:rFonts w:ascii="Times New Roman" w:cs="Times New Roman" w:eastAsia="Times New Roman" w:hAnsi="Times New Roman"/>
          <w:sz w:val="13"/>
          <w:szCs w:val="13"/>
          <w:color w:val="auto"/>
        </w:rPr>
        <w:t>”), to the fullest extent permitted by the MGCL and the Charter and Bylaws of the Company, among other things, all powers of the Board of Directors with respect to (i) setting the number of shares of the Preferred Stock to be classified and designated, provided that in no event shall the liquidation value or aggregate offering price of such shares exceed $250,000,000 (plus up to an additional 15% to cover any underwriter over-allotment option), (ii) choosing the cumulative dividend percentage for the Preferred Stock, (iii) selecting the dates on which dividends will be paid on the Preferred Stock, (iv) establishing the price per share for the Preferred Stock, (v) authorizing, approving and filing these Articles Supplementary with the Department and (vi) authorizing and approving all such other actions as the Committee may deem necessary or desirable in connection with the classification, authorization, issuance, offer, and sale of the Preferred Stock.</w:t>
      </w:r>
    </w:p>
    <w:p>
      <w:pPr>
        <w:spacing w:after="0" w:line="135" w:lineRule="exact"/>
        <w:rPr>
          <w:sz w:val="20"/>
          <w:szCs w:val="20"/>
          <w:color w:val="auto"/>
        </w:rPr>
      </w:pPr>
    </w:p>
    <w:p>
      <w:pPr>
        <w:jc w:val="both"/>
        <w:ind w:left="600" w:right="600" w:firstLine="480"/>
        <w:spacing w:after="0" w:line="278" w:lineRule="auto"/>
        <w:rPr>
          <w:sz w:val="20"/>
          <w:szCs w:val="20"/>
          <w:color w:val="auto"/>
        </w:rPr>
      </w:pPr>
      <w:r>
        <w:rPr>
          <w:rFonts w:ascii="Times New Roman" w:cs="Times New Roman" w:eastAsia="Times New Roman" w:hAnsi="Times New Roman"/>
          <w:sz w:val="13"/>
          <w:szCs w:val="13"/>
          <w:u w:val="single" w:color="auto"/>
          <w:color w:val="auto"/>
        </w:rPr>
        <w:t>SECOND</w:t>
      </w:r>
      <w:r>
        <w:rPr>
          <w:rFonts w:ascii="Times New Roman" w:cs="Times New Roman" w:eastAsia="Times New Roman" w:hAnsi="Times New Roman"/>
          <w:sz w:val="13"/>
          <w:szCs w:val="13"/>
          <w:color w:val="auto"/>
        </w:rPr>
        <w:t>: The Committee has unanimously adopted resolutions classifying and designating the Preferred Stock as a separate class of Preferred Stock to be known as the “6.350% Series I Cumulative Redeemable Preferred Stock,” setting the preferences, conversion and other rights, voting powers, restrictions, limitations as to dividends and other distributions, transfers, qualifications, terms and conditions of redemption and other terms and conditions of such 6.350% Series I Cumulative Redeemable Preferred Stock, and authorizing the issuance of up to 10,000,000 (plus up to an additional 15% to cover any underwriter over-allotment option) shares of 6.350% Series I Cumulative Redeemable Preferred Stock.</w:t>
      </w:r>
    </w:p>
    <w:p>
      <w:pPr>
        <w:spacing w:after="0" w:line="143" w:lineRule="exact"/>
        <w:rPr>
          <w:sz w:val="20"/>
          <w:szCs w:val="20"/>
          <w:color w:val="auto"/>
        </w:rPr>
      </w:pPr>
    </w:p>
    <w:p>
      <w:pPr>
        <w:jc w:val="both"/>
        <w:ind w:left="600" w:right="600" w:firstLine="480"/>
        <w:spacing w:after="0" w:line="278" w:lineRule="auto"/>
        <w:rPr>
          <w:sz w:val="20"/>
          <w:szCs w:val="20"/>
          <w:color w:val="auto"/>
        </w:rPr>
      </w:pPr>
      <w:r>
        <w:rPr>
          <w:rFonts w:ascii="Times New Roman" w:cs="Times New Roman" w:eastAsia="Times New Roman" w:hAnsi="Times New Roman"/>
          <w:sz w:val="13"/>
          <w:szCs w:val="13"/>
          <w:u w:val="single" w:color="auto"/>
          <w:color w:val="auto"/>
        </w:rPr>
        <w:t>THIRD</w:t>
      </w:r>
      <w:r>
        <w:rPr>
          <w:rFonts w:ascii="Times New Roman" w:cs="Times New Roman" w:eastAsia="Times New Roman" w:hAnsi="Times New Roman"/>
          <w:sz w:val="13"/>
          <w:szCs w:val="13"/>
          <w:color w:val="auto"/>
        </w:rPr>
        <w:t>: The designation, number of shares, preferences, conversion and other rights, voting powers, restrictions, limitations as to dividends and other distributions, transfers, qualifications, terms and conditions of redemption and other terms and conditions of the separate class of Preferred Stock of the Company designated as the 6.350% Series I Cumulative Redeemable Preferred Stock are as follows, which upon any restatement of the Charter shall be made a part of or incorporated by reference into the Charter with any necessary or appropriate changes to the enumeration or lettering of Sections or subsections thereof:</w:t>
      </w:r>
    </w:p>
    <w:p>
      <w:pPr>
        <w:spacing w:after="0" w:line="143" w:lineRule="exact"/>
        <w:rPr>
          <w:sz w:val="20"/>
          <w:szCs w:val="20"/>
          <w:color w:val="auto"/>
        </w:rPr>
      </w:pPr>
    </w:p>
    <w:p>
      <w:pPr>
        <w:jc w:val="both"/>
        <w:ind w:left="600" w:right="620" w:firstLine="480"/>
        <w:spacing w:after="0" w:line="305" w:lineRule="auto"/>
        <w:rPr>
          <w:sz w:val="20"/>
          <w:szCs w:val="20"/>
          <w:color w:val="auto"/>
        </w:rPr>
      </w:pPr>
      <w:r>
        <w:rPr>
          <w:rFonts w:ascii="Times New Roman" w:cs="Times New Roman" w:eastAsia="Times New Roman" w:hAnsi="Times New Roman"/>
          <w:sz w:val="13"/>
          <w:szCs w:val="13"/>
          <w:u w:val="single" w:color="auto"/>
          <w:color w:val="auto"/>
        </w:rPr>
        <w:t>Designation and Number</w:t>
      </w:r>
      <w:r>
        <w:rPr>
          <w:rFonts w:ascii="Times New Roman" w:cs="Times New Roman" w:eastAsia="Times New Roman" w:hAnsi="Times New Roman"/>
          <w:sz w:val="13"/>
          <w:szCs w:val="13"/>
          <w:color w:val="auto"/>
        </w:rPr>
        <w:t>. A series of Preferred Stock, designated the “6.350% Series I Cumulative Redeemable Preferred Stock” (the “</w:t>
      </w:r>
      <w:r>
        <w:rPr>
          <w:rFonts w:ascii="Times New Roman" w:cs="Times New Roman" w:eastAsia="Times New Roman" w:hAnsi="Times New Roman"/>
          <w:sz w:val="13"/>
          <w:szCs w:val="13"/>
          <w:u w:val="single" w:color="auto"/>
          <w:color w:val="auto"/>
        </w:rPr>
        <w:t>Series I Preferred Stock</w:t>
      </w:r>
      <w:r>
        <w:rPr>
          <w:rFonts w:ascii="Times New Roman" w:cs="Times New Roman" w:eastAsia="Times New Roman" w:hAnsi="Times New Roman"/>
          <w:sz w:val="13"/>
          <w:szCs w:val="13"/>
          <w:color w:val="auto"/>
        </w:rPr>
        <w:t xml:space="preserve"> ”), is hereby established. The number of shares of Series I Preferred Stock shall be 11,500,000.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93980</wp:posOffset>
            </wp:positionV>
            <wp:extent cx="4436110" cy="1524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735">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535940</wp:posOffset>
            </wp:positionV>
            <wp:extent cx="5083810" cy="1524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736">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640" w:right="1440" w:bottom="1440" w:gutter="0" w:footer="0" w:header="0"/>
        </w:sectPr>
      </w:pPr>
    </w:p>
    <w:bookmarkStart w:id="405" w:name="page406"/>
    <w:bookmarkEnd w:id="405"/>
    <w:p>
      <w:pPr>
        <w:jc w:val="both"/>
        <w:ind w:left="600" w:right="600" w:firstLine="480"/>
        <w:spacing w:after="0" w:line="272" w:lineRule="auto"/>
        <w:rPr>
          <w:sz w:val="20"/>
          <w:szCs w:val="20"/>
          <w:color w:val="auto"/>
        </w:rPr>
      </w:pPr>
      <w:r>
        <w:rPr>
          <w:rFonts w:ascii="Times New Roman" w:cs="Times New Roman" w:eastAsia="Times New Roman" w:hAnsi="Times New Roman"/>
          <w:sz w:val="13"/>
          <w:szCs w:val="13"/>
          <w:u w:val="single" w:color="auto"/>
          <w:color w:val="auto"/>
        </w:rPr>
        <w:t>Rank</w:t>
      </w:r>
      <w:r>
        <w:rPr>
          <w:rFonts w:ascii="Times New Roman" w:cs="Times New Roman" w:eastAsia="Times New Roman" w:hAnsi="Times New Roman"/>
          <w:sz w:val="13"/>
          <w:szCs w:val="13"/>
          <w:color w:val="auto"/>
        </w:rPr>
        <w:t xml:space="preserve">. The Series I Preferred Stock will, with respect to dividend rights and rights upon voluntary or involuntary liquidation, dissolution or winding up of the Company, rank: (a) senior to all classes or series of the Company’s common stock, par value $0.01 per share (the “ </w:t>
      </w:r>
      <w:r>
        <w:rPr>
          <w:rFonts w:ascii="Times New Roman" w:cs="Times New Roman" w:eastAsia="Times New Roman" w:hAnsi="Times New Roman"/>
          <w:sz w:val="13"/>
          <w:szCs w:val="13"/>
          <w:u w:val="single" w:color="auto"/>
          <w:color w:val="auto"/>
        </w:rPr>
        <w:t>Common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Stock</w:t>
      </w:r>
      <w:r>
        <w:rPr>
          <w:rFonts w:ascii="Times New Roman" w:cs="Times New Roman" w:eastAsia="Times New Roman" w:hAnsi="Times New Roman"/>
          <w:sz w:val="13"/>
          <w:szCs w:val="13"/>
          <w:color w:val="auto"/>
        </w:rPr>
        <w:t>”), and all classes or series of capital stock of the Company now or hereafter authorized, issued or outstanding expressly designated as ranking junior to the Series I Preferred Stock as to dividend rights and rights upon voluntary or involuntary liquidation, dissolution or winding up of the Company; (b) on parity with the Series E Cumulative Redeemable Preferred Stock, par value $0.01 per share, the Series F Cumulative Redeemable Preferred Stock, par value $0.01 per share, the Series G Cumulative Redeemable Preferred Stock, par value $0.01 per share, of the Company and the Series H Cumulative Redeemable Preferred Stock, par value $0.01 per share, of the Company, and with any class or series of capital stock of the Company expressly designated as ranking on parity with the Series I Preferred Stock as to dividend rights and rights upon voluntary or involuntary liquidation, dissolution or winding up of the Company; and (c) junior to any class or series of capital stock of the Company expressly designated as ranking senior to the Series I Preferred Stock as to dividend rights and rights upon voluntary or involuntary liquidation, dissolution or winding up of the Company. The term “</w:t>
      </w:r>
      <w:r>
        <w:rPr>
          <w:rFonts w:ascii="Times New Roman" w:cs="Times New Roman" w:eastAsia="Times New Roman" w:hAnsi="Times New Roman"/>
          <w:sz w:val="13"/>
          <w:szCs w:val="13"/>
          <w:u w:val="single" w:color="auto"/>
          <w:color w:val="auto"/>
        </w:rPr>
        <w:t>capital stock</w:t>
      </w:r>
      <w:r>
        <w:rPr>
          <w:rFonts w:ascii="Times New Roman" w:cs="Times New Roman" w:eastAsia="Times New Roman" w:hAnsi="Times New Roman"/>
          <w:sz w:val="13"/>
          <w:szCs w:val="13"/>
          <w:color w:val="auto"/>
        </w:rPr>
        <w:t>” does not include convertible or exchangeable debt securities, which will rank senior to the Series I Preferred Stock prior to conversion or exchange. The Series I Preferred Stock will also rank junior in right of payment to the Company’s existing and future debt obligations.</w:t>
      </w:r>
    </w:p>
    <w:p>
      <w:pPr>
        <w:spacing w:after="0" w:line="13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u w:val="single" w:color="auto"/>
          <w:color w:val="auto"/>
        </w:rPr>
        <w:t>Dividends</w:t>
      </w:r>
      <w:r>
        <w:rPr>
          <w:rFonts w:ascii="Times New Roman" w:cs="Times New Roman" w:eastAsia="Times New Roman" w:hAnsi="Times New Roman"/>
          <w:sz w:val="13"/>
          <w:szCs w:val="13"/>
          <w:color w:val="auto"/>
        </w:rPr>
        <w:t>.</w:t>
      </w:r>
    </w:p>
    <w:p>
      <w:pPr>
        <w:spacing w:after="0" w:line="187" w:lineRule="exact"/>
        <w:rPr>
          <w:sz w:val="20"/>
          <w:szCs w:val="20"/>
          <w:color w:val="auto"/>
        </w:rPr>
      </w:pPr>
    </w:p>
    <w:p>
      <w:pPr>
        <w:jc w:val="both"/>
        <w:ind w:left="600" w:right="600" w:firstLine="480"/>
        <w:spacing w:after="0" w:line="271" w:lineRule="auto"/>
        <w:rPr>
          <w:sz w:val="20"/>
          <w:szCs w:val="20"/>
          <w:color w:val="auto"/>
        </w:rPr>
      </w:pPr>
      <w:r>
        <w:rPr>
          <w:rFonts w:ascii="Times New Roman" w:cs="Times New Roman" w:eastAsia="Times New Roman" w:hAnsi="Times New Roman"/>
          <w:sz w:val="13"/>
          <w:szCs w:val="13"/>
          <w:color w:val="auto"/>
        </w:rPr>
        <w:t>Subject to the preferential rights of the holders of any class or series of capital stock of the Company ranking senior to the Series I Preferred Stock as to dividends, the holders of shares of the Series I Preferred Stock shall be entitled to receive, when, as and if authorized by the Board of Directors and declared by the Company, out of funds legally available for the payment of dividends, cumulative cash dividends at the rate of 6.350% per annum of the $25.00 liquidation preference per share of the Series I Preferred Stock (equivalent to a fixed annual amount of $1.5875 per share of the Series I Preferred Stock). Such dividends shall accrue and be cumulative from and including the first date on which any shares of Series I Preferred Stock are issued (the “</w:t>
      </w:r>
      <w:r>
        <w:rPr>
          <w:rFonts w:ascii="Times New Roman" w:cs="Times New Roman" w:eastAsia="Times New Roman" w:hAnsi="Times New Roman"/>
          <w:sz w:val="13"/>
          <w:szCs w:val="13"/>
          <w:u w:val="single" w:color="auto"/>
          <w:color w:val="auto"/>
        </w:rPr>
        <w:t>Original Issue Date</w:t>
      </w:r>
      <w:r>
        <w:rPr>
          <w:rFonts w:ascii="Times New Roman" w:cs="Times New Roman" w:eastAsia="Times New Roman" w:hAnsi="Times New Roman"/>
          <w:sz w:val="13"/>
          <w:szCs w:val="13"/>
          <w:color w:val="auto"/>
        </w:rPr>
        <w:t xml:space="preserve"> ”) and shall be payable quarterly in arrears on each Dividend Payment Date (as defined below), commencing December 31, 2015;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if any Dividend Payment Date is not a Business Day (as defined below), then the dividend which would otherwise have been payable on such Dividend Payment Date may be paid, at the Company’s option, on either the immediately preceding Business Day or the next succeeding Business Day, except that, if such Business Day is in the next succeeding calendar year, such payment shall be made on the immediately preceding Business Day, in each case with the same force and effect as if paid on such Dividend Payment Date, and no interest or additional dividends or other sums shall accrue on the amount so payable from such Dividend Payment Date to such next succeeding Business Day. The amount of any dividend payable on the Series I Preferred Stock for any partial Dividend Period (as defined below) shall be prorated and computed on the basis of a 360-day year consisting of twelve 30-day months. Dividends will be payable to holders of record as they appear in the stockholder records of the Company at the close of business on the applicable Dividend Record Date (as defined below). Notwithstanding any provision to the contrary contained herein, each outstanding share of Series I Preferred Stock shall be entitled to receive a dividend with respect to any Dividend Record Date equal to the dividend paid with respect to each other share of Series I Preferred Stock that is outstanding on such date. “</w:t>
      </w:r>
      <w:r>
        <w:rPr>
          <w:rFonts w:ascii="Times New Roman" w:cs="Times New Roman" w:eastAsia="Times New Roman" w:hAnsi="Times New Roman"/>
          <w:sz w:val="13"/>
          <w:szCs w:val="13"/>
          <w:u w:val="single" w:color="auto"/>
          <w:color w:val="auto"/>
        </w:rPr>
        <w:t>Dividend Record Date</w:t>
      </w:r>
      <w:r>
        <w:rPr>
          <w:rFonts w:ascii="Times New Roman" w:cs="Times New Roman" w:eastAsia="Times New Roman" w:hAnsi="Times New Roman"/>
          <w:sz w:val="13"/>
          <w:szCs w:val="13"/>
          <w:color w:val="auto"/>
        </w:rPr>
        <w:t>” shall mean the date designated by the Board of Directors for the payment of dividends that is not more than 35 or fewer than 10 days prior to the applicable Dividend Payment Date. “</w:t>
      </w:r>
      <w:r>
        <w:rPr>
          <w:rFonts w:ascii="Times New Roman" w:cs="Times New Roman" w:eastAsia="Times New Roman" w:hAnsi="Times New Roman"/>
          <w:sz w:val="13"/>
          <w:szCs w:val="13"/>
          <w:u w:val="single" w:color="auto"/>
          <w:color w:val="auto"/>
        </w:rPr>
        <w:t>Dividend Payment Date</w:t>
      </w:r>
      <w:r>
        <w:rPr>
          <w:rFonts w:ascii="Times New Roman" w:cs="Times New Roman" w:eastAsia="Times New Roman" w:hAnsi="Times New Roman"/>
          <w:sz w:val="13"/>
          <w:szCs w:val="13"/>
          <w:color w:val="auto"/>
        </w:rPr>
        <w:t xml:space="preserve">” shall mean the last calendar day of each March, June, September and December, commencing on December 31, 2015. “ </w:t>
      </w:r>
      <w:r>
        <w:rPr>
          <w:rFonts w:ascii="Times New Roman" w:cs="Times New Roman" w:eastAsia="Times New Roman" w:hAnsi="Times New Roman"/>
          <w:sz w:val="13"/>
          <w:szCs w:val="13"/>
          <w:u w:val="single" w:color="auto"/>
          <w:color w:val="auto"/>
        </w:rPr>
        <w:t>Dividend Period</w:t>
      </w:r>
      <w:r>
        <w:rPr>
          <w:rFonts w:ascii="Times New Roman" w:cs="Times New Roman" w:eastAsia="Times New Roman" w:hAnsi="Times New Roman"/>
          <w:sz w:val="13"/>
          <w:szCs w:val="13"/>
          <w:color w:val="auto"/>
        </w:rPr>
        <w:t>” shall mean the respective periods commencing on and including the first day of January, April, July and October of each year and ending on and including the day preceding the first day of the next succeeding Dividend Period (other than the initial Dividend Period, which shall commence on the Original Issue Date and end on and include December 31, 2015, and other than the Dividend Period during which any shares of Series I Preferred Stock shall be redeemed pursuant to Section 5 or Section 6 hereof, which shall end on and include the day preceding the redemption date with respect to the shares of Series I Preferred Stock being redeemed).</w:t>
      </w:r>
    </w:p>
    <w:p>
      <w:pPr>
        <w:spacing w:after="0" w:line="138" w:lineRule="exact"/>
        <w:rPr>
          <w:sz w:val="20"/>
          <w:szCs w:val="20"/>
          <w:color w:val="auto"/>
        </w:rPr>
      </w:pPr>
    </w:p>
    <w:p>
      <w:pPr>
        <w:jc w:val="both"/>
        <w:ind w:left="600" w:right="620" w:firstLine="480"/>
        <w:spacing w:after="0" w:line="305" w:lineRule="auto"/>
        <w:rPr>
          <w:sz w:val="20"/>
          <w:szCs w:val="20"/>
          <w:color w:val="auto"/>
        </w:rPr>
      </w:pPr>
      <w:r>
        <w:rPr>
          <w:rFonts w:ascii="Times New Roman" w:cs="Times New Roman" w:eastAsia="Times New Roman" w:hAnsi="Times New Roman"/>
          <w:sz w:val="13"/>
          <w:szCs w:val="13"/>
          <w:color w:val="auto"/>
        </w:rPr>
        <w:t>The term “</w:t>
      </w:r>
      <w:r>
        <w:rPr>
          <w:rFonts w:ascii="Times New Roman" w:cs="Times New Roman" w:eastAsia="Times New Roman" w:hAnsi="Times New Roman"/>
          <w:sz w:val="13"/>
          <w:szCs w:val="13"/>
          <w:u w:val="single" w:color="auto"/>
          <w:color w:val="auto"/>
        </w:rPr>
        <w:t>Business Day</w:t>
      </w:r>
      <w:r>
        <w:rPr>
          <w:rFonts w:ascii="Times New Roman" w:cs="Times New Roman" w:eastAsia="Times New Roman" w:hAnsi="Times New Roman"/>
          <w:sz w:val="13"/>
          <w:szCs w:val="13"/>
          <w:color w:val="auto"/>
        </w:rPr>
        <w:t>” shall mean each day, other than a Saturday or a Sunday, which is not a day on which banking institutions in New York, New York are authorized or required by law, regulation or executive order to close.</w:t>
      </w:r>
    </w:p>
    <w:p>
      <w:pPr>
        <w:spacing w:after="0" w:line="124" w:lineRule="exact"/>
        <w:rPr>
          <w:sz w:val="20"/>
          <w:szCs w:val="20"/>
          <w:color w:val="auto"/>
        </w:rPr>
      </w:pPr>
    </w:p>
    <w:p>
      <w:pPr>
        <w:jc w:val="both"/>
        <w:ind w:left="600" w:right="600" w:firstLine="480"/>
        <w:spacing w:after="0" w:line="287" w:lineRule="auto"/>
        <w:rPr>
          <w:sz w:val="20"/>
          <w:szCs w:val="20"/>
          <w:color w:val="auto"/>
        </w:rPr>
      </w:pPr>
      <w:r>
        <w:rPr>
          <w:rFonts w:ascii="Times New Roman" w:cs="Times New Roman" w:eastAsia="Times New Roman" w:hAnsi="Times New Roman"/>
          <w:sz w:val="13"/>
          <w:szCs w:val="13"/>
          <w:color w:val="auto"/>
        </w:rPr>
        <w:t>Notwithstanding anything contained herein to the contrary, dividends on the Series I Preferred Stock shall accrue whether or not the Company has earnings, whether or not there are funds legally available for the payment of such dividends, and whether or not such dividends are authorized or declared.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101600</wp:posOffset>
            </wp:positionV>
            <wp:extent cx="4436110" cy="762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737">
                      <a:extLst>
                        <a:ext uri="{28A0092B-C50C-407E-A947-70E740481C1C}"/>
                      </a:extLst>
                    </a:blip>
                    <a:srcRect/>
                    <a:stretch>
                      <a:fillRect/>
                    </a:stretch>
                  </pic:blipFill>
                  <pic:spPr bwMode="auto">
                    <a:xfrm>
                      <a:off x="0" y="0"/>
                      <a:ext cx="4436110"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535940</wp:posOffset>
            </wp:positionV>
            <wp:extent cx="5083810" cy="1524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738">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06" w:name="page407"/>
    <w:bookmarkEnd w:id="406"/>
    <w:p>
      <w:pPr>
        <w:jc w:val="both"/>
        <w:ind w:left="600" w:right="600" w:firstLine="480"/>
        <w:spacing w:after="0" w:line="272" w:lineRule="auto"/>
        <w:rPr>
          <w:sz w:val="20"/>
          <w:szCs w:val="20"/>
          <w:color w:val="auto"/>
        </w:rPr>
      </w:pPr>
      <w:r>
        <w:rPr>
          <w:rFonts w:ascii="Times New Roman" w:cs="Times New Roman" w:eastAsia="Times New Roman" w:hAnsi="Times New Roman"/>
          <w:sz w:val="13"/>
          <w:szCs w:val="13"/>
          <w:color w:val="auto"/>
        </w:rPr>
        <w:t>Except as provided in Section 3(d) below, no dividends shall be declared and paid or declared and set apart for payment, and no other distribution of cash or other property may be declared and made, directly or indirectly, on or with respect to, any shares of Common Stock or shares of any other class or series of capital stock of the Company ranking, as to dividends, on parity with or junior to the Series I Preferred Stock (other than a dividend paid in shares of Common Stock or in shares of any other class or series of capital stock ranking junior to the Series I Preferred Stock as to payment of dividends and the distribution of assets upon the Company’s liquidation, dissolution or winding up) for any period, nor shall any shares of Common Stock or any other shares of any other class or series of capital stock of the Company ranking, as to payment of dividends and the distribution of assets upon the Company’s liquidation, dissolution or winding up, on parity with or junior to the Series I Preferred Stock be redeemed, purchased or otherwise acquired for any consideration, nor shall any funds be paid or made available for a sinking fund for the redemption of such shares, and no other distribution of cash or other property may be made, directly or indirectly, on or with respect thereto by the Company (except by conversion into or exchange for other shares of any class or series of capital stock of the Company ranking junior to the Series I Preferred Stock as to payment of dividends and the distribution of assets upon the Company’s liquidation, dissolution or winding up, and except for the acquisition of shares made pursuant to the provisions of Article VI of the Charter or Section 9 hereof), unless full cumulative dividends on the Series I Preferred Stock for all past Dividend Periods shall have been or contemporaneously are (i) declared and paid in cash or (ii) declared and a sum sufficient for the payment thereof in cash is set apart for such payment.</w:t>
      </w:r>
    </w:p>
    <w:p>
      <w:pPr>
        <w:spacing w:after="0" w:line="137" w:lineRule="exact"/>
        <w:rPr>
          <w:sz w:val="20"/>
          <w:szCs w:val="20"/>
          <w:color w:val="auto"/>
        </w:rPr>
      </w:pPr>
    </w:p>
    <w:p>
      <w:pPr>
        <w:jc w:val="both"/>
        <w:ind w:left="600" w:right="600" w:firstLine="480"/>
        <w:spacing w:after="0" w:line="274" w:lineRule="auto"/>
        <w:rPr>
          <w:sz w:val="20"/>
          <w:szCs w:val="20"/>
          <w:color w:val="auto"/>
        </w:rPr>
      </w:pPr>
      <w:r>
        <w:rPr>
          <w:rFonts w:ascii="Times New Roman" w:cs="Times New Roman" w:eastAsia="Times New Roman" w:hAnsi="Times New Roman"/>
          <w:sz w:val="13"/>
          <w:szCs w:val="13"/>
          <w:color w:val="auto"/>
        </w:rPr>
        <w:t>When dividends are not paid in full (and a sum sufficient for such full payment is not so set apart) on the Series I Preferred Stock and the shares of any other class or series of capital stock ranking, as to dividends, on parity with the Series I Preferred Stock, all dividends declared upon the Series I Preferred Stock and each such other class or series of capital stock ranking, as to dividends, on parity with the Series I Preferred Stock shall be declared pro rata so that the amount of dividends declared per share of Series I Preferred Stock and such other class or series of capital stock shall in all cases bear to each other the same ratio that accrued dividends per share on the Series I Preferred Stock and such other class or series of capital stock (which shall not include any accrual in respect of unpaid dividends on such other class or series of capital stock for prior Dividend Periods if such other class or series of capital stock does not have a cumulative dividend) bear to each other. No interest, or sum of money in lieu of interest, shall be payable in respect of any dividend payment or payments on the Series I Preferred Stock which may be in arrears.</w:t>
      </w:r>
    </w:p>
    <w:p>
      <w:pPr>
        <w:spacing w:after="0" w:line="135" w:lineRule="exact"/>
        <w:rPr>
          <w:sz w:val="20"/>
          <w:szCs w:val="20"/>
          <w:color w:val="auto"/>
        </w:rPr>
      </w:pPr>
    </w:p>
    <w:p>
      <w:pPr>
        <w:jc w:val="both"/>
        <w:ind w:left="600" w:right="600" w:firstLine="480"/>
        <w:spacing w:after="0" w:line="281" w:lineRule="auto"/>
        <w:rPr>
          <w:sz w:val="20"/>
          <w:szCs w:val="20"/>
          <w:color w:val="auto"/>
        </w:rPr>
      </w:pPr>
      <w:r>
        <w:rPr>
          <w:rFonts w:ascii="Times New Roman" w:cs="Times New Roman" w:eastAsia="Times New Roman" w:hAnsi="Times New Roman"/>
          <w:sz w:val="13"/>
          <w:szCs w:val="13"/>
          <w:color w:val="auto"/>
        </w:rPr>
        <w:t>Holders of shares of Series I Preferred Stock shall not be entitled to any dividend, whether payable in cash, property or shares of capital stock, in excess of full cumulative dividends on the Series I Preferred Stock as provided herein. Any dividend payment made on the Series I Preferred Stock shall first be credited against the earliest accrued but unpaid dividends due with respect to such shares which remain payable. Accrued but unpaid dividends on the Series I Preferred Stock will accumulate as of the Dividend Payment Date on which they first become payable.</w:t>
      </w:r>
    </w:p>
    <w:p>
      <w:pPr>
        <w:spacing w:after="0" w:line="30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u w:val="single" w:color="auto"/>
          <w:color w:val="auto"/>
        </w:rPr>
        <w:t>Liquidation Preference</w:t>
      </w:r>
      <w:r>
        <w:rPr>
          <w:rFonts w:ascii="Times New Roman" w:cs="Times New Roman" w:eastAsia="Times New Roman" w:hAnsi="Times New Roman"/>
          <w:sz w:val="13"/>
          <w:szCs w:val="13"/>
          <w:color w:val="auto"/>
        </w:rPr>
        <w:t>.</w:t>
      </w:r>
    </w:p>
    <w:p>
      <w:pPr>
        <w:spacing w:after="0" w:line="187" w:lineRule="exact"/>
        <w:rPr>
          <w:sz w:val="20"/>
          <w:szCs w:val="20"/>
          <w:color w:val="auto"/>
        </w:rPr>
      </w:pPr>
    </w:p>
    <w:p>
      <w:pPr>
        <w:jc w:val="both"/>
        <w:ind w:left="600" w:right="600" w:firstLine="480"/>
        <w:spacing w:after="0" w:line="272" w:lineRule="auto"/>
        <w:rPr>
          <w:sz w:val="20"/>
          <w:szCs w:val="20"/>
          <w:color w:val="auto"/>
        </w:rPr>
      </w:pPr>
      <w:r>
        <w:rPr>
          <w:rFonts w:ascii="Times New Roman" w:cs="Times New Roman" w:eastAsia="Times New Roman" w:hAnsi="Times New Roman"/>
          <w:sz w:val="13"/>
          <w:szCs w:val="13"/>
          <w:color w:val="auto"/>
        </w:rPr>
        <w:t>Upon any voluntary or involuntary liquidation, dissolution or winding up of the Company, before any distribution or payment shall be made to holders of shares of Common Stock or any other class or series of capital stock of the Company ranking, as to rights upon any voluntary or involuntary liquidation, dissolution or winding up of the Company, junior to the Series I Preferred Stock, the holders of shares of Series I Preferred Stock shall be entitled to be paid out of the assets of the Company legally available for distribution to its stockholders, after payment of or provision for the debts and other liabilities of the Company and, subject to compliance with section 7(f)(i) of these Articles Supplementary, any class or series of capital stock of the Company ranking, as to rights upon any voluntary or involuntary liquidation, dissolution or winding up of the Company, senior to the Series I Preferred Stock, a liquidation preference of $25.00 per share, plus an amount equal to any accrued and unpaid dividends (whether or not authorized or declared) up to but excluding the date of payment. In the event that, upon such voluntary or involuntary liquidation, dissolution or winding up, the available assets of the Company are insufficient to pay the full amount of the liquidating distributions on all outstanding shares of Series I Preferred Stock and the corresponding amounts payable on all shares of other classes or series of capital stock of the Company ranking, as to rights upon the Company’s liquidation, dissolution or winding up, on parity with the Series I Preferred Stock in the distribution of assets, then the holders of the Series I Preferred Stock and each such other class or series of capital stock ranking, as to rights upon any voluntary or involuntary liquidation, dissolution or winding up, on parity with the Series I Preferred Stock shall share ratably in any such distribution of assets in proportion to the full liquidating distributions to which they would otherwise be respectively entitled. Written notice of any such voluntary or involuntary liquidation,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108585</wp:posOffset>
            </wp:positionV>
            <wp:extent cx="4436110" cy="1524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739">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542925</wp:posOffset>
            </wp:positionV>
            <wp:extent cx="5083810" cy="1524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740">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07" w:name="page408"/>
    <w:bookmarkEnd w:id="407"/>
    <w:p>
      <w:pPr>
        <w:jc w:val="both"/>
        <w:ind w:left="600" w:right="580"/>
        <w:spacing w:after="0" w:line="275" w:lineRule="auto"/>
        <w:rPr>
          <w:sz w:val="20"/>
          <w:szCs w:val="20"/>
          <w:color w:val="auto"/>
        </w:rPr>
      </w:pPr>
      <w:r>
        <w:rPr>
          <w:rFonts w:ascii="Times New Roman" w:cs="Times New Roman" w:eastAsia="Times New Roman" w:hAnsi="Times New Roman"/>
          <w:sz w:val="13"/>
          <w:szCs w:val="13"/>
          <w:color w:val="auto"/>
        </w:rPr>
        <w:t>dissolution or winding up of the Company, stating the payment date or dates when, and the place or places where, the amounts distributable in such circumstances shall be payable, shall be given by first class mail, postage pre-paid, not fewer than 30 or more than 60 days prior to the payment date stated therein, to each record holder of shares of Series I Preferred Stock at the respective addresses of such holders as the same shall appear on the stock transfer records of the Company. After payment of the full amount of the liquidating distributions to which they are entitled, the holders of Series I Preferred Stock will have no right or claim to any of the remaining assets of the Company. The consolidation or merger of the Company with or into any other corporation, trust or entity, or the voluntary sale, lease, transfer or conveyance of all or substantially all of the property or business of the Company, shall not be deemed to constitute a liquidation, dissolution or winding up of the Company.</w:t>
      </w:r>
    </w:p>
    <w:p>
      <w:pPr>
        <w:spacing w:after="0" w:line="133" w:lineRule="exact"/>
        <w:rPr>
          <w:sz w:val="20"/>
          <w:szCs w:val="20"/>
          <w:color w:val="auto"/>
        </w:rPr>
      </w:pPr>
    </w:p>
    <w:p>
      <w:pPr>
        <w:jc w:val="both"/>
        <w:ind w:left="600" w:right="600" w:firstLine="480"/>
        <w:spacing w:after="0" w:line="281" w:lineRule="auto"/>
        <w:rPr>
          <w:sz w:val="20"/>
          <w:szCs w:val="20"/>
          <w:color w:val="auto"/>
        </w:rPr>
      </w:pPr>
      <w:r>
        <w:rPr>
          <w:rFonts w:ascii="Times New Roman" w:cs="Times New Roman" w:eastAsia="Times New Roman" w:hAnsi="Times New Roman"/>
          <w:sz w:val="13"/>
          <w:szCs w:val="13"/>
          <w:color w:val="auto"/>
        </w:rPr>
        <w:t>In determining whether a distribution (other than upon voluntary or involuntary liquidation), by dividend, redemption or other acquisition of shares of capital stock of the Company or otherwise, is permitted under the MGCL, amounts that would be needed, if the Company were to be dissolved at the time of the distribution, to satisfy the preferential rights upon dissolution of holders of shares of Series I Preferred Stock shall not be added to the Company’s total liabilities.</w:t>
      </w:r>
    </w:p>
    <w:p>
      <w:pPr>
        <w:spacing w:after="0" w:line="14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u w:val="single" w:color="auto"/>
          <w:color w:val="auto"/>
        </w:rPr>
        <w:t>Redemption</w:t>
      </w:r>
      <w:r>
        <w:rPr>
          <w:rFonts w:ascii="Times New Roman" w:cs="Times New Roman" w:eastAsia="Times New Roman" w:hAnsi="Times New Roman"/>
          <w:sz w:val="13"/>
          <w:szCs w:val="13"/>
          <w:color w:val="auto"/>
        </w:rPr>
        <w:t>.</w:t>
      </w:r>
    </w:p>
    <w:p>
      <w:pPr>
        <w:spacing w:after="0" w:line="187" w:lineRule="exact"/>
        <w:rPr>
          <w:sz w:val="20"/>
          <w:szCs w:val="20"/>
          <w:color w:val="auto"/>
        </w:rPr>
      </w:pPr>
    </w:p>
    <w:p>
      <w:pPr>
        <w:jc w:val="both"/>
        <w:ind w:left="600" w:right="600" w:firstLine="480"/>
        <w:spacing w:after="0" w:line="278" w:lineRule="auto"/>
        <w:rPr>
          <w:sz w:val="20"/>
          <w:szCs w:val="20"/>
          <w:color w:val="auto"/>
        </w:rPr>
      </w:pPr>
      <w:r>
        <w:rPr>
          <w:rFonts w:ascii="Times New Roman" w:cs="Times New Roman" w:eastAsia="Times New Roman" w:hAnsi="Times New Roman"/>
          <w:sz w:val="13"/>
          <w:szCs w:val="13"/>
          <w:color w:val="auto"/>
        </w:rPr>
        <w:t>Shares of Series I Preferred Stock shall not be redeemable prior to August 24, 2020 except as set forth in Section 6 hereof or to preserve the status of the Company as a REIT (as defined in Section 9(a) hereof) for United States federal income tax purposes. In addition, the Series I Preferred Stock shall be subject to the provisions of Section 9 hereof pursuant to which Series I Preferred Stock owned by a stockholder in excess of the Ownership Limit (as defined in Section 9(a) hereof) shall automatically be transferred to a Trust (as defined in Section 9(a) hereof) for the exclusive benefit of a Charitable Beneficiary (as defined in Section 9(a) hereof).</w:t>
      </w:r>
    </w:p>
    <w:p>
      <w:pPr>
        <w:spacing w:after="0" w:line="143" w:lineRule="exact"/>
        <w:rPr>
          <w:sz w:val="20"/>
          <w:szCs w:val="20"/>
          <w:color w:val="auto"/>
        </w:rPr>
      </w:pPr>
    </w:p>
    <w:p>
      <w:pPr>
        <w:jc w:val="both"/>
        <w:ind w:left="600" w:right="600" w:firstLine="480"/>
        <w:spacing w:after="0" w:line="272" w:lineRule="auto"/>
        <w:rPr>
          <w:sz w:val="20"/>
          <w:szCs w:val="20"/>
          <w:color w:val="auto"/>
        </w:rPr>
      </w:pPr>
      <w:r>
        <w:rPr>
          <w:rFonts w:ascii="Times New Roman" w:cs="Times New Roman" w:eastAsia="Times New Roman" w:hAnsi="Times New Roman"/>
          <w:sz w:val="13"/>
          <w:szCs w:val="13"/>
          <w:color w:val="auto"/>
        </w:rPr>
        <w:t>On and after August 24, 2020, the Company, at its option, upon not fewer than 30 or more than 60 days’ written notice, may redeem the Series I Preferred Stock, in whole or in part, at any time or from time to time, for cash at a redemption price of</w:t>
      </w:r>
    </w:p>
    <w:p>
      <w:pPr>
        <w:spacing w:after="0" w:line="1" w:lineRule="exact"/>
        <w:rPr>
          <w:sz w:val="20"/>
          <w:szCs w:val="20"/>
          <w:color w:val="auto"/>
        </w:rPr>
      </w:pPr>
    </w:p>
    <w:p>
      <w:pPr>
        <w:jc w:val="both"/>
        <w:ind w:left="600" w:right="600"/>
        <w:spacing w:after="0" w:line="271" w:lineRule="auto"/>
        <w:rPr>
          <w:sz w:val="20"/>
          <w:szCs w:val="20"/>
          <w:color w:val="auto"/>
        </w:rPr>
      </w:pPr>
      <w:r>
        <w:rPr>
          <w:rFonts w:ascii="Times New Roman" w:cs="Times New Roman" w:eastAsia="Times New Roman" w:hAnsi="Times New Roman"/>
          <w:sz w:val="13"/>
          <w:szCs w:val="13"/>
          <w:color w:val="auto"/>
        </w:rPr>
        <w:t>$25.00 per share, plus all accrued and unpaid dividends (whether or not authorized or declared) thereon up to but not including the date fixed for redemption, without interest, to the extent the Company has funds legally available therefor (the “</w:t>
      </w:r>
      <w:r>
        <w:rPr>
          <w:rFonts w:ascii="Times New Roman" w:cs="Times New Roman" w:eastAsia="Times New Roman" w:hAnsi="Times New Roman"/>
          <w:sz w:val="13"/>
          <w:szCs w:val="13"/>
          <w:u w:val="single" w:color="auto"/>
          <w:color w:val="auto"/>
        </w:rPr>
        <w:t>Redemption Right</w:t>
      </w:r>
      <w:r>
        <w:rPr>
          <w:rFonts w:ascii="Times New Roman" w:cs="Times New Roman" w:eastAsia="Times New Roman" w:hAnsi="Times New Roman"/>
          <w:sz w:val="13"/>
          <w:szCs w:val="13"/>
          <w:color w:val="auto"/>
        </w:rPr>
        <w:t>”). If fewer than all of the outstanding shares of Series I Preferred Stock are to be redeemed, the shares of Series I Preferred Stock to be redeemed shall be redeemed pro rata (as nearly as may be practicable without creating fractional shares) or by lot as determined by the Company. If redemption is to be by lot and, as a result, any holder of shares of Series I Preferred Stock would have actual ownership, Beneficial Ownership or Constructive Ownership (each as defined in Section 9(a) hereof) in excess of the Ownership Limit (as defined in Section 9(a) hereof), the Aggregate Stock Ownership Limit (as defined in Section 9(a) hereof), or such other limit as permitted by the Board of Directors or a committee thereof pursuant to Section 9(i) hereof, because such holder’s shares of Series I Preferred Stock were not redeemed, or were only redeemed in part, then, except as otherwise provided in the Charter, the Company shall redeem the requisite number of shares of Series I Preferred Stock of such holder such that no holder will hold an amount of Series I Preferred Stock in excess of the applicable ownership limit, subsequent to such redemption. Holders of Series I Preferred Stock to be redeemed shall surrender such Series I Preferred Stock at the place, or in accordance with the book-entry procedures, designated in such notice and shall be entitled to the redemption price of $25.00 per share and any accrued and unpaid dividends payable upon such redemption following such surrender. If (i) notice of redemption of any shares of Series I Preferred Stock has been given (in the case of a redemption of the Series I Preferred Stock other than to preserve the status of the Company as a REIT), (ii) the funds necessary for such redemption have been set aside by the Company in trust for the benefit of the holders of any shares of Series I Preferred Stock so called for redemption, and (iii) irrevocable instructions have been given to pay the redemption price and all accrued and unpaid dividends, then from and after the redemption date, dividends shall cease to accrue on such shares of Series I Preferred Stock, such shares of Series I Preferred Stock shall no longer be deemed outstanding, and all rights of the holders of such shares shall terminate, except the right to receive the redemption price plus any accrued and unpaid dividends payable upon such redemption, without interest. So long as full cumulative dividends on the Series I Preferred Stock for all past Dividend Periods shall have been or contemporaneously are (i) declared and paid in cash, or (ii) declared and a sum sufficient for the payment thereof in cash is set apart for payment, nothing herein shall prevent or restrict the Company’s right or ability to purchase, from time to time, either at a public or a private sale, all or any part of the Series I Preferred Stock at such price or prices as the Company may determine, subject to the provisions of applicable law, including the repurchase of shares of Series I Preferred Stock in open-market transactions duly authorized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215265</wp:posOffset>
            </wp:positionV>
            <wp:extent cx="4436110" cy="1524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741">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649605</wp:posOffset>
            </wp:positionV>
            <wp:extent cx="5083810" cy="1524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742">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08" w:name="page409"/>
    <w:bookmarkEnd w:id="408"/>
    <w:p>
      <w:pPr>
        <w:jc w:val="both"/>
        <w:ind w:left="600" w:right="600" w:firstLine="480"/>
        <w:spacing w:after="0" w:line="278" w:lineRule="auto"/>
        <w:rPr>
          <w:sz w:val="20"/>
          <w:szCs w:val="20"/>
          <w:color w:val="auto"/>
        </w:rPr>
      </w:pPr>
      <w:r>
        <w:rPr>
          <w:rFonts w:ascii="Times New Roman" w:cs="Times New Roman" w:eastAsia="Times New Roman" w:hAnsi="Times New Roman"/>
          <w:sz w:val="13"/>
          <w:szCs w:val="13"/>
          <w:color w:val="auto"/>
        </w:rPr>
        <w:t>In the event of any redemption of the Series I Preferred Stock in order to preserve the status of the Company as a REIT for United States federal income tax purposes, such redemption shall be made in accordance with the terms and conditions set forth in this Section 5 of these Articles Supplementary. If the Company calls for redemption of any shares of Series I Preferred Stock pursuant to and in accordance with this Section 5(c), then the redemption price for such shares will be an amount in cash equal to $25.00 per share together with all accrued and unpaid dividends to but excluding the dated fixed for redemption.</w:t>
      </w:r>
    </w:p>
    <w:p>
      <w:pPr>
        <w:spacing w:after="0" w:line="143" w:lineRule="exact"/>
        <w:rPr>
          <w:sz w:val="20"/>
          <w:szCs w:val="20"/>
          <w:color w:val="auto"/>
        </w:rPr>
      </w:pPr>
    </w:p>
    <w:p>
      <w:pPr>
        <w:ind w:left="1080"/>
        <w:spacing w:after="0"/>
        <w:tabs>
          <w:tab w:leader="none" w:pos="7160" w:val="left"/>
        </w:tabs>
        <w:rPr>
          <w:sz w:val="20"/>
          <w:szCs w:val="20"/>
          <w:color w:val="auto"/>
        </w:rPr>
      </w:pPr>
      <w:r>
        <w:rPr>
          <w:rFonts w:ascii="Times New Roman" w:cs="Times New Roman" w:eastAsia="Times New Roman" w:hAnsi="Times New Roman"/>
          <w:sz w:val="13"/>
          <w:szCs w:val="13"/>
          <w:color w:val="auto"/>
        </w:rPr>
        <w:t>Unless full cumulative dividends on the Series I Preferred Stock for all past Dividend Periods shall have been or</w:t>
        <w:tab/>
        <w:t>contemporaneously are</w:t>
      </w:r>
    </w:p>
    <w:p>
      <w:pPr>
        <w:spacing w:after="0" w:line="22" w:lineRule="exact"/>
        <w:rPr>
          <w:sz w:val="20"/>
          <w:szCs w:val="20"/>
          <w:color w:val="auto"/>
        </w:rPr>
      </w:pPr>
    </w:p>
    <w:p>
      <w:pPr>
        <w:jc w:val="both"/>
        <w:ind w:left="600" w:right="600" w:hanging="6"/>
        <w:spacing w:after="0" w:line="272" w:lineRule="auto"/>
        <w:tabs>
          <w:tab w:leader="none" w:pos="756" w:val="left"/>
        </w:tabs>
        <w:numPr>
          <w:ilvl w:val="0"/>
          <w:numId w:val="4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declared and paid in cash, or (ii) declared and a sum sufficient for the payment thereof in cash is set apart for payment, no shares of Series I Preferred Stock shall be redeemed pursuant to the Redemption Right or Special Optional Redemption Right (defined below) unless all outstanding shares of Series I Preferred Stock are simultaneously redeemed, and the Company shall not purchase or otherwise acquire directly or indirectly any shares of Series I Preferred Stock or any class or series of capital stock of the Company ranking, as to payment of dividends and the distribution of assets upon liquidation, dissolution or winding up of the Company, on parity with or junior to the Series I Preferred Stock (except by conversion into or exchange for shares of capital stock of the Company ranking, as to payment of dividends and the distribution of assets upon liquidation, dissolution or winding up of the Company, junior to the Series I Preferred Stock);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the foregoing shall not prevent the purchase of Series I Preferred Stock, or any other class or series of capital stock of the Company ranking, as to payment of dividends and the distribution of assets upon liquidation, dissolution or winding up of the Company, on parity with or junior to the Series I Preferred Stock, by the Company in accordance with the terms of Sections 5(c) and 9 of these Articles Supplementary or otherwise, in order to ensure that the Company remains qualified as a REIT for United States federal income tax purposes, or the purchase or acquisition of Series I Preferred Stock pursuant to a purchase or exchange offer made on the same terms to holders of all outstanding shares of Series I Preferred Stock.</w:t>
      </w:r>
    </w:p>
    <w:p>
      <w:pPr>
        <w:spacing w:after="0" w:line="136" w:lineRule="exact"/>
        <w:rPr>
          <w:sz w:val="20"/>
          <w:szCs w:val="20"/>
          <w:color w:val="auto"/>
        </w:rPr>
      </w:pPr>
    </w:p>
    <w:p>
      <w:pPr>
        <w:jc w:val="both"/>
        <w:ind w:left="600" w:right="600" w:firstLine="480"/>
        <w:spacing w:after="0" w:line="270" w:lineRule="auto"/>
        <w:rPr>
          <w:sz w:val="20"/>
          <w:szCs w:val="20"/>
          <w:color w:val="auto"/>
        </w:rPr>
      </w:pPr>
      <w:r>
        <w:rPr>
          <w:rFonts w:ascii="Times New Roman" w:cs="Times New Roman" w:eastAsia="Times New Roman" w:hAnsi="Times New Roman"/>
          <w:sz w:val="13"/>
          <w:szCs w:val="13"/>
          <w:color w:val="auto"/>
        </w:rPr>
        <w:t>Notice of redemption pursuant to the Redemption Right will be given by publication in a newspaper of general circulation in the City of New York, such publication to be made once a week for two successive weeks commencing not fewer than 30 or more than 60 days prior to the redemption date. A similar notice will be mailed by the Company, postage prepaid, not fewer than 30 or more than 60 days prior to the redemption date, addressed to the respective holders of record of the Series I Preferred Stock to be redeemed at their respective addresses as they appear on the transfer records of the Company. No failure to give or defect in such notice shall affect the validity of the proceedings for the redemption of any Series I Preferred Stock except as to the holder to whom such notice was defective or not given. In addition to any information required by law or by the applicable rules of any exchange upon which the Series I Preferred Stock may be listed or admitted to trading, each such notice shall state: (i) the redemption date; (ii) the redemption price; (iii) the number of shares of Series I Preferred Stock to be redeemed;</w:t>
      </w:r>
    </w:p>
    <w:p>
      <w:pPr>
        <w:spacing w:after="0" w:line="3" w:lineRule="exact"/>
        <w:rPr>
          <w:sz w:val="20"/>
          <w:szCs w:val="20"/>
          <w:color w:val="auto"/>
        </w:rPr>
      </w:pPr>
    </w:p>
    <w:p>
      <w:pPr>
        <w:jc w:val="both"/>
        <w:ind w:left="600" w:right="600" w:hanging="6"/>
        <w:spacing w:after="0" w:line="274" w:lineRule="auto"/>
        <w:tabs>
          <w:tab w:leader="none" w:pos="840" w:val="left"/>
        </w:tabs>
        <w:numPr>
          <w:ilvl w:val="0"/>
          <w:numId w:val="4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place or places where the certificates, if any, representing shares of Series I Preferred Stock are to be surrendered for payment of the redemption price; (v) procedures for surrendering noncertificated shares of Series I Preferred Stock for payment of the redemption price; (vi) that dividends on the shares of Series I Preferred Stock to be redeemed will cease to accumulate on such redemption date; and (vii) that payment of the redemption price and any accumulated and unpaid dividends will be made upon presentation and surrender of such Series I Preferred Stock. If fewer than all of the shares of Series I Preferred Stock held by any holder are to be redeemed, the notice mailed to such holder shall also specify the number of shares of Series I Preferred Stock held by such holder to be redeemed. Notwithstanding anything else to the contrary in these Articles Supplementary, the Company shall not be required to provide notice to the holder of Series I Preferred Stock in the event such holder’s Series I Preferred Stock is redeemed in accordance with Sections 5(c) and 9 of these Articles Supplementary to preserve the Company’s status as a REIT.</w:t>
      </w:r>
    </w:p>
    <w:p>
      <w:pPr>
        <w:spacing w:after="0" w:line="300" w:lineRule="exact"/>
        <w:rPr>
          <w:sz w:val="20"/>
          <w:szCs w:val="20"/>
          <w:color w:val="auto"/>
        </w:rPr>
      </w:pPr>
    </w:p>
    <w:p>
      <w:pPr>
        <w:jc w:val="both"/>
        <w:ind w:left="600" w:right="600" w:firstLine="480"/>
        <w:spacing w:after="0" w:line="276" w:lineRule="auto"/>
        <w:rPr>
          <w:sz w:val="20"/>
          <w:szCs w:val="20"/>
          <w:color w:val="auto"/>
        </w:rPr>
      </w:pPr>
      <w:r>
        <w:rPr>
          <w:rFonts w:ascii="Times New Roman" w:cs="Times New Roman" w:eastAsia="Times New Roman" w:hAnsi="Times New Roman"/>
          <w:sz w:val="13"/>
          <w:szCs w:val="13"/>
          <w:color w:val="auto"/>
        </w:rPr>
        <w:t>If a redemption date falls after a Dividend Record Date and on or prior to the corresponding Dividend Payment Date, each holder of Series I Preferred Stock at the close of business of such Dividend Record Date shall be entitled to the dividend payable on such shares on the corresponding Dividend Payment Date notwithstanding the redemption of such shares on or prior to such Dividend Payment Date, and each holder of Series I Preferred Stock that surrenders its shares on such redemption date will be entitled to the dividends accruing after the end of the Dividend Period to which such Dividend Payment Date relates up to but excluding the redemption date. Except as provided herein, the Company shall make no payment or allowance for unpaid dividends, whether or not in arrears, on Series I Preferred Stock for which a notice of redemption has been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213995</wp:posOffset>
            </wp:positionV>
            <wp:extent cx="4436110" cy="762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743">
                      <a:extLst>
                        <a:ext uri="{28A0092B-C50C-407E-A947-70E740481C1C}"/>
                      </a:extLst>
                    </a:blip>
                    <a:srcRect/>
                    <a:stretch>
                      <a:fillRect/>
                    </a:stretch>
                  </pic:blipFill>
                  <pic:spPr bwMode="auto">
                    <a:xfrm>
                      <a:off x="0" y="0"/>
                      <a:ext cx="4436110"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648335</wp:posOffset>
            </wp:positionV>
            <wp:extent cx="5083810" cy="1524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744">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09" w:name="page410"/>
    <w:bookmarkEnd w:id="409"/>
    <w:p>
      <w:pPr>
        <w:jc w:val="both"/>
        <w:ind w:left="600" w:right="600" w:firstLine="480"/>
        <w:spacing w:after="0" w:line="287" w:lineRule="auto"/>
        <w:rPr>
          <w:sz w:val="20"/>
          <w:szCs w:val="20"/>
          <w:color w:val="auto"/>
        </w:rPr>
      </w:pPr>
      <w:r>
        <w:rPr>
          <w:rFonts w:ascii="Times New Roman" w:cs="Times New Roman" w:eastAsia="Times New Roman" w:hAnsi="Times New Roman"/>
          <w:sz w:val="13"/>
          <w:szCs w:val="13"/>
          <w:color w:val="auto"/>
        </w:rPr>
        <w:t>All shares of the Series I Preferred Stock redeemed or repurchased pursuant to this Section 5, or otherwise acquired in any other manner by the Company, shall be retired and shall be restored to the status of authorized but unissued shares of Preferred Stock, without designation as to series or class.</w:t>
      </w:r>
    </w:p>
    <w:p>
      <w:pPr>
        <w:spacing w:after="0" w:line="136" w:lineRule="exact"/>
        <w:rPr>
          <w:sz w:val="20"/>
          <w:szCs w:val="20"/>
          <w:color w:val="auto"/>
        </w:rPr>
      </w:pPr>
    </w:p>
    <w:p>
      <w:pPr>
        <w:jc w:val="both"/>
        <w:ind w:left="600" w:right="560" w:firstLine="480"/>
        <w:spacing w:after="0" w:line="287" w:lineRule="auto"/>
        <w:rPr>
          <w:sz w:val="20"/>
          <w:szCs w:val="20"/>
          <w:color w:val="auto"/>
        </w:rPr>
      </w:pPr>
      <w:r>
        <w:rPr>
          <w:rFonts w:ascii="Times New Roman" w:cs="Times New Roman" w:eastAsia="Times New Roman" w:hAnsi="Times New Roman"/>
          <w:sz w:val="13"/>
          <w:szCs w:val="13"/>
          <w:color w:val="auto"/>
        </w:rPr>
        <w:t xml:space="preserve">The Series I Preferred Stock shall have no stated maturity and shall not be subject to any sinking fund or mandatory redemption;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the Series I Preferred Stock owned by a stockholder in excess of the applicable ownership limit shall be subject to the provisions of this Section 5 and Section 9 of these Articles Supplementary.</w:t>
      </w:r>
    </w:p>
    <w:p>
      <w:pPr>
        <w:spacing w:after="0" w:line="13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u w:val="single" w:color="auto"/>
          <w:color w:val="auto"/>
        </w:rPr>
        <w:t>Special Optional Redemption by the Company</w:t>
      </w:r>
      <w:r>
        <w:rPr>
          <w:rFonts w:ascii="Times New Roman" w:cs="Times New Roman" w:eastAsia="Times New Roman" w:hAnsi="Times New Roman"/>
          <w:sz w:val="13"/>
          <w:szCs w:val="13"/>
          <w:color w:val="auto"/>
        </w:rPr>
        <w:t>.</w:t>
      </w:r>
    </w:p>
    <w:p>
      <w:pPr>
        <w:spacing w:after="0" w:line="187" w:lineRule="exact"/>
        <w:rPr>
          <w:sz w:val="20"/>
          <w:szCs w:val="20"/>
          <w:color w:val="auto"/>
        </w:rPr>
      </w:pPr>
    </w:p>
    <w:p>
      <w:pPr>
        <w:ind w:left="600" w:right="600" w:firstLine="480"/>
        <w:spacing w:after="0" w:line="273" w:lineRule="auto"/>
        <w:rPr>
          <w:sz w:val="20"/>
          <w:szCs w:val="20"/>
          <w:color w:val="auto"/>
        </w:rPr>
      </w:pPr>
      <w:r>
        <w:rPr>
          <w:rFonts w:ascii="Times New Roman" w:cs="Times New Roman" w:eastAsia="Times New Roman" w:hAnsi="Times New Roman"/>
          <w:sz w:val="13"/>
          <w:szCs w:val="13"/>
          <w:color w:val="auto"/>
        </w:rPr>
        <w:t>Upon the occurrence of a Change of Control (as defined below), the Company will have the option upon written notice mailed by the Company, postage pre-paid, no fewer than 30 nor more than 60 days prior to the redemption date and addressed to the holders of record of shares of the Series I Preferred Stock to be redeemed at their respective addresses as they appear on the share transfer records of the Company, to redeem shares of the Series I Preferred Stock, in whole or in part within 120 days after the first date on which such Change of Control occurred, for cash at $25.00 per share plus accrued and unpaid dividends, if any, to, but not including, the redemption date (“</w:t>
      </w:r>
      <w:r>
        <w:rPr>
          <w:rFonts w:ascii="Times New Roman" w:cs="Times New Roman" w:eastAsia="Times New Roman" w:hAnsi="Times New Roman"/>
          <w:sz w:val="13"/>
          <w:szCs w:val="13"/>
          <w:u w:val="single" w:color="auto"/>
          <w:color w:val="auto"/>
        </w:rPr>
        <w:t>Special Optional Redemption Right</w:t>
      </w:r>
      <w:r>
        <w:rPr>
          <w:rFonts w:ascii="Times New Roman" w:cs="Times New Roman" w:eastAsia="Times New Roman" w:hAnsi="Times New Roman"/>
          <w:sz w:val="13"/>
          <w:szCs w:val="13"/>
          <w:color w:val="auto"/>
        </w:rPr>
        <w:t>”). No failure to give such notice or any defect thereto or in the mailing thereof shall affect the validity of the proceedings for the redemption of any shares of Series I Preferred Stock except as to the holder to whom notice was defective or not given. If, prior to the Change of Control Conversion Date (as defined below), the Company has provided or provides notice of redemption with respect to the Series I Preferred Stock (whether pursuant to the Redemption Right or the Special Optional Redemption Right), the holders of shares of Series I Preferred Stock will not have the conversion right described below in Section 8 of these Articles Supplementary.</w:t>
      </w:r>
    </w:p>
    <w:p>
      <w:pPr>
        <w:spacing w:after="0" w:line="13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3"/>
          <w:szCs w:val="13"/>
          <w:color w:val="auto"/>
        </w:rPr>
        <w:t>A “</w:t>
      </w:r>
      <w:r>
        <w:rPr>
          <w:rFonts w:ascii="Times New Roman" w:cs="Times New Roman" w:eastAsia="Times New Roman" w:hAnsi="Times New Roman"/>
          <w:sz w:val="13"/>
          <w:szCs w:val="13"/>
          <w:u w:val="single" w:color="auto"/>
          <w:color w:val="auto"/>
        </w:rPr>
        <w:t>Change of Control</w:t>
      </w:r>
      <w:r>
        <w:rPr>
          <w:rFonts w:ascii="Times New Roman" w:cs="Times New Roman" w:eastAsia="Times New Roman" w:hAnsi="Times New Roman"/>
          <w:sz w:val="13"/>
          <w:szCs w:val="13"/>
          <w:color w:val="auto"/>
        </w:rPr>
        <w:t xml:space="preserve"> ” is when, after the original issuance of the Series I Preferred Stock, the following have occurred and are</w:t>
      </w:r>
    </w:p>
    <w:p>
      <w:pPr>
        <w:spacing w:after="0" w:line="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continuing:</w:t>
      </w:r>
    </w:p>
    <w:p>
      <w:pPr>
        <w:spacing w:after="0" w:line="18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color w:val="auto"/>
        </w:rPr>
        <w:t>the acquisition by any person, including any syndicate or group deemed to be a “person” under Section 13(d)</w:t>
      </w:r>
    </w:p>
    <w:p>
      <w:pPr>
        <w:spacing w:after="0" w:line="22" w:lineRule="exact"/>
        <w:rPr>
          <w:sz w:val="20"/>
          <w:szCs w:val="20"/>
          <w:color w:val="auto"/>
        </w:rPr>
      </w:pPr>
    </w:p>
    <w:p>
      <w:pPr>
        <w:jc w:val="both"/>
        <w:ind w:left="600" w:right="600" w:hanging="6"/>
        <w:spacing w:after="0" w:line="277" w:lineRule="auto"/>
        <w:tabs>
          <w:tab w:leader="none" w:pos="792" w:val="left"/>
        </w:tabs>
        <w:numPr>
          <w:ilvl w:val="0"/>
          <w:numId w:val="4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of the Securities Exchange Act of 1934, as amended (the “</w:t>
      </w:r>
      <w:r>
        <w:rPr>
          <w:rFonts w:ascii="Times New Roman" w:cs="Times New Roman" w:eastAsia="Times New Roman" w:hAnsi="Times New Roman"/>
          <w:sz w:val="13"/>
          <w:szCs w:val="13"/>
          <w:u w:val="single" w:color="auto"/>
          <w:color w:val="auto"/>
        </w:rPr>
        <w:t>Exchange Act</w:t>
      </w:r>
      <w:r>
        <w:rPr>
          <w:rFonts w:ascii="Times New Roman" w:cs="Times New Roman" w:eastAsia="Times New Roman" w:hAnsi="Times New Roman"/>
          <w:sz w:val="13"/>
          <w:szCs w:val="13"/>
          <w:color w:val="auto"/>
        </w:rPr>
        <w:t>”), of beneficial ownership, directly or indirectly, through a purchase, merger or other acquisition transaction or series of purchases, mergers or other acquisition transactions of stock of the Company entitling that person to exercise more than 50% of the total voting power of all stock of the Company entitled to vote generally in the election of the Company’s directors (except that such person will be deemed to have beneficial ownership of all securities that such person has the right to acquire, whether such right is currently exercisable or is exercisable only upon the occurrence of a subsequent condition); and</w:t>
      </w:r>
    </w:p>
    <w:p>
      <w:pPr>
        <w:spacing w:after="0" w:line="142" w:lineRule="exact"/>
        <w:rPr>
          <w:sz w:val="20"/>
          <w:szCs w:val="20"/>
          <w:color w:val="auto"/>
        </w:rPr>
      </w:pPr>
    </w:p>
    <w:p>
      <w:pPr>
        <w:jc w:val="both"/>
        <w:ind w:left="600" w:right="600" w:firstLine="960"/>
        <w:spacing w:after="0" w:line="281" w:lineRule="auto"/>
        <w:rPr>
          <w:sz w:val="20"/>
          <w:szCs w:val="20"/>
          <w:color w:val="auto"/>
        </w:rPr>
      </w:pPr>
      <w:r>
        <w:rPr>
          <w:rFonts w:ascii="Times New Roman" w:cs="Times New Roman" w:eastAsia="Times New Roman" w:hAnsi="Times New Roman"/>
          <w:sz w:val="13"/>
          <w:szCs w:val="13"/>
          <w:color w:val="auto"/>
        </w:rPr>
        <w:t xml:space="preserve">following the closing of any transaction referred to in (i) above, neither the Company nor the acquiring or surviving entity has a class of common securities (or American Depositary Receipts representing such securities) listed on the New York Stock Exchange (the “ </w:t>
      </w:r>
      <w:r>
        <w:rPr>
          <w:rFonts w:ascii="Times New Roman" w:cs="Times New Roman" w:eastAsia="Times New Roman" w:hAnsi="Times New Roman"/>
          <w:sz w:val="13"/>
          <w:szCs w:val="13"/>
          <w:u w:val="single" w:color="auto"/>
          <w:color w:val="auto"/>
        </w:rPr>
        <w:t>NYSE</w:t>
      </w:r>
      <w:r>
        <w:rPr>
          <w:rFonts w:ascii="Times New Roman" w:cs="Times New Roman" w:eastAsia="Times New Roman" w:hAnsi="Times New Roman"/>
          <w:sz w:val="13"/>
          <w:szCs w:val="13"/>
          <w:color w:val="auto"/>
        </w:rPr>
        <w:t>”), the NYSE MKT LLC (the “</w:t>
      </w:r>
      <w:r>
        <w:rPr>
          <w:rFonts w:ascii="Times New Roman" w:cs="Times New Roman" w:eastAsia="Times New Roman" w:hAnsi="Times New Roman"/>
          <w:sz w:val="13"/>
          <w:szCs w:val="13"/>
          <w:u w:val="single" w:color="auto"/>
          <w:color w:val="auto"/>
        </w:rPr>
        <w:t>NYSE MKT</w:t>
      </w:r>
      <w:r>
        <w:rPr>
          <w:rFonts w:ascii="Times New Roman" w:cs="Times New Roman" w:eastAsia="Times New Roman" w:hAnsi="Times New Roman"/>
          <w:sz w:val="13"/>
          <w:szCs w:val="13"/>
          <w:color w:val="auto"/>
        </w:rPr>
        <w:t>”), or the NASDAQ Stock Market (“</w:t>
      </w:r>
      <w:r>
        <w:rPr>
          <w:rFonts w:ascii="Times New Roman" w:cs="Times New Roman" w:eastAsia="Times New Roman" w:hAnsi="Times New Roman"/>
          <w:sz w:val="13"/>
          <w:szCs w:val="13"/>
          <w:u w:val="single" w:color="auto"/>
          <w:color w:val="auto"/>
        </w:rPr>
        <w:t>NASDAQ</w:t>
      </w:r>
      <w:r>
        <w:rPr>
          <w:rFonts w:ascii="Times New Roman" w:cs="Times New Roman" w:eastAsia="Times New Roman" w:hAnsi="Times New Roman"/>
          <w:sz w:val="13"/>
          <w:szCs w:val="13"/>
          <w:color w:val="auto"/>
        </w:rPr>
        <w:t>”), or listed or quoted on an exchange or quotation system that is a successor to the NYSE, the NYSE MKT or NASDAQ.</w:t>
      </w:r>
    </w:p>
    <w:p>
      <w:pPr>
        <w:spacing w:after="0" w:line="140" w:lineRule="exact"/>
        <w:rPr>
          <w:sz w:val="20"/>
          <w:szCs w:val="20"/>
          <w:color w:val="auto"/>
        </w:rPr>
      </w:pPr>
    </w:p>
    <w:p>
      <w:pPr>
        <w:jc w:val="both"/>
        <w:ind w:left="600" w:right="600" w:firstLine="480"/>
        <w:spacing w:after="0" w:line="270" w:lineRule="auto"/>
        <w:rPr>
          <w:sz w:val="20"/>
          <w:szCs w:val="20"/>
          <w:color w:val="auto"/>
        </w:rPr>
      </w:pPr>
      <w:r>
        <w:rPr>
          <w:rFonts w:ascii="Times New Roman" w:cs="Times New Roman" w:eastAsia="Times New Roman" w:hAnsi="Times New Roman"/>
          <w:sz w:val="13"/>
          <w:szCs w:val="13"/>
          <w:color w:val="auto"/>
        </w:rPr>
        <w:t>In addition to any information required by law or by the applicable rules of any exchange upon which the Series I Preferred Stock may be listed or admitted to trading, such notice shall state: (i) the redemption date; (ii) the redemption price; (iii) the number of shares of Series I Preferred Stock to be redeemed; (iv) the place or places where the certificates, if any, representing shares of Series I Preferred Stock are to be surrendered for payment of the redemption price; (v) procedures for surrendering noncertificated shares of Series I Preferred Stock for payment of the redemption price; (vi) that dividends on the shares of Series I Preferred Stock to be redeemed will cease to accumulate on the redemption date;</w:t>
      </w:r>
    </w:p>
    <w:p>
      <w:pPr>
        <w:spacing w:after="0" w:line="3" w:lineRule="exact"/>
        <w:rPr>
          <w:sz w:val="20"/>
          <w:szCs w:val="20"/>
          <w:color w:val="auto"/>
        </w:rPr>
      </w:pPr>
    </w:p>
    <w:p>
      <w:pPr>
        <w:jc w:val="both"/>
        <w:ind w:left="600" w:right="600" w:hanging="6"/>
        <w:spacing w:after="0" w:line="274" w:lineRule="auto"/>
        <w:tabs>
          <w:tab w:leader="none" w:pos="864" w:val="left"/>
        </w:tabs>
        <w:numPr>
          <w:ilvl w:val="0"/>
          <w:numId w:val="4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payment of the redemption price and any accumulated and unpaid dividends will be made upon presentation and surrender of such Series I Preferred Stock; (viii) that the shares of Series I Preferred Stock are being redeemed pursuant to the Special Optional Redemption Right in connection with the occurrence of a Change of Control and a brief description of the transaction or transactions constituting such Change of Control; and (ix) that holders of the shares of Series I Preferred Stock to which the notice relates will not be able to tender such shares of Series I Preferred Stock for conversion in connection with the Change of Control and each share of Series I Preferred Stock tendered for conversion that is selected, prior to the Change of Control Conversion Date, for redemption will be redeemed on the related redemption date instead of converted on the Change of Control Conversion Date. If fewer than all of the shares of Series I Preferred Stock held by any holder are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504190</wp:posOffset>
            </wp:positionV>
            <wp:extent cx="4436110" cy="1524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745">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336550</wp:posOffset>
            </wp:positionV>
            <wp:extent cx="5083810" cy="1524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746">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10" w:name="page411"/>
    <w:bookmarkEnd w:id="410"/>
    <w:p>
      <w:pPr>
        <w:ind w:left="600" w:right="1060"/>
        <w:spacing w:after="0" w:line="305" w:lineRule="auto"/>
        <w:rPr>
          <w:sz w:val="20"/>
          <w:szCs w:val="20"/>
          <w:color w:val="auto"/>
        </w:rPr>
      </w:pPr>
      <w:r>
        <w:rPr>
          <w:rFonts w:ascii="Times New Roman" w:cs="Times New Roman" w:eastAsia="Times New Roman" w:hAnsi="Times New Roman"/>
          <w:sz w:val="13"/>
          <w:szCs w:val="13"/>
          <w:color w:val="auto"/>
        </w:rPr>
        <w:t>be redeemed, the notice mailed to such holder shall also specify the number of shares of Series I Preferred Stock held by such holder to be redeemed.</w:t>
      </w:r>
    </w:p>
    <w:p>
      <w:pPr>
        <w:spacing w:after="0" w:line="124" w:lineRule="exact"/>
        <w:rPr>
          <w:sz w:val="20"/>
          <w:szCs w:val="20"/>
          <w:color w:val="auto"/>
        </w:rPr>
      </w:pPr>
    </w:p>
    <w:p>
      <w:pPr>
        <w:jc w:val="both"/>
        <w:ind w:left="600" w:right="600" w:firstLine="720"/>
        <w:spacing w:after="0" w:line="274" w:lineRule="auto"/>
        <w:rPr>
          <w:sz w:val="20"/>
          <w:szCs w:val="20"/>
          <w:color w:val="auto"/>
        </w:rPr>
      </w:pPr>
      <w:r>
        <w:rPr>
          <w:rFonts w:ascii="Times New Roman" w:cs="Times New Roman" w:eastAsia="Times New Roman" w:hAnsi="Times New Roman"/>
          <w:sz w:val="13"/>
          <w:szCs w:val="13"/>
          <w:color w:val="auto"/>
        </w:rPr>
        <w:t>If fewer than all of the outstanding shares of Series I Preferred Stock are to be redeemed, the shares of Series I Preferred Stock to be redeemed shall be redeemed pro rata (as nearly as may be practicable without creating fractional shares) or by lot as determined by the Company. If such redemption pursuant to the Special Optional Redemption Right is to be by lot and, as a result, any holder of shares of Series I Preferred Stock would have actual ownership, Beneficial Ownership or Constructive Ownership (each as defined in Section 9(a) hereof) in excess of the Ownership Limit (as defined in Section 9(a) hereof), the Aggregate Stock Ownership Limit (as defined in Section 9(a) hereof), or such limit as permitted by the Board of Directors or a committee thereof pursuant to Section 9(i) hereof, because such holder’s shares of Series I Preferred Stock were not redeemed, or were only redeemed in part then, except as otherwise provided in the Charter, the Company shall redeem the requisite number of shares of Series I Preferred Stock of such holder such that no holder will hold an amount of Series I Preferred Stock in excess of the applicable ownership limit, subsequent to such redemption.</w:t>
      </w:r>
    </w:p>
    <w:p>
      <w:pPr>
        <w:spacing w:after="0" w:line="132" w:lineRule="exact"/>
        <w:rPr>
          <w:sz w:val="20"/>
          <w:szCs w:val="20"/>
          <w:color w:val="auto"/>
        </w:rPr>
      </w:pPr>
    </w:p>
    <w:p>
      <w:pPr>
        <w:jc w:val="both"/>
        <w:ind w:left="600" w:right="600" w:firstLine="480"/>
        <w:spacing w:after="0" w:line="273" w:lineRule="auto"/>
        <w:rPr>
          <w:sz w:val="20"/>
          <w:szCs w:val="20"/>
          <w:color w:val="auto"/>
        </w:rPr>
      </w:pPr>
      <w:r>
        <w:rPr>
          <w:rFonts w:ascii="Times New Roman" w:cs="Times New Roman" w:eastAsia="Times New Roman" w:hAnsi="Times New Roman"/>
          <w:sz w:val="13"/>
          <w:szCs w:val="13"/>
          <w:color w:val="auto"/>
        </w:rPr>
        <w:t>If the Company has given a notice of redemption pursuant to the Special Optional Redemption Right and has set aside sufficient funds for the redemption in trust for the benefit of the holders of the Series I Preferred Stock called for redemption, then from and after the redemption date, those shares of Series I Preferred Stock will be treated as no longer being outstanding, no further dividends will accrue and all other rights of the holders of those shares of Series I Preferred Stock will terminate. The holders of those shares of Series I Preferred Stock will retain their right to receive the redemption price for their shares and any accrued and unpaid dividends to, but not including, the redemption date, without interest. So long as full cumulative dividends on the Series I Preferred Stock for all past Dividend Periods shall have been or contemporaneously are (i) declared and paid in cash, or (ii) declared and a sum sufficient for the payment thereof in cash is set apart for payment, nothing herein shall prevent or restrict the Company’s right or ability to purchase, from time to time, either at a public or a private sale, all or any part of the Series I Preferred Stock at such price or prices as the Company may determine, subject to the provisions of applicable law, including the repurchase of shares of Series I Preferred Stock in open-market transactions duly authorized by the Board of Directors.</w:t>
      </w:r>
    </w:p>
    <w:p>
      <w:pPr>
        <w:spacing w:after="0" w:line="136" w:lineRule="exact"/>
        <w:rPr>
          <w:sz w:val="20"/>
          <w:szCs w:val="20"/>
          <w:color w:val="auto"/>
        </w:rPr>
      </w:pPr>
    </w:p>
    <w:p>
      <w:pPr>
        <w:jc w:val="both"/>
        <w:ind w:left="600" w:right="580" w:firstLine="480"/>
        <w:spacing w:after="0" w:line="276" w:lineRule="auto"/>
        <w:rPr>
          <w:sz w:val="20"/>
          <w:szCs w:val="20"/>
          <w:color w:val="auto"/>
        </w:rPr>
      </w:pPr>
      <w:r>
        <w:rPr>
          <w:rFonts w:ascii="Times New Roman" w:cs="Times New Roman" w:eastAsia="Times New Roman" w:hAnsi="Times New Roman"/>
          <w:sz w:val="13"/>
          <w:szCs w:val="13"/>
          <w:color w:val="auto"/>
        </w:rPr>
        <w:t>The holders of Series I Preferred Stock at the close of business on a Dividend Record Date will be entitled to receive the dividend payable with respect to the Series I Preferred Stock on the corresponding Dividend Payment Date notwithstanding the redemption of the Series I Preferred Stock pursuant to the Special Optional Redemption Right between such Dividend Record Date and the corresponding Dividend Payment Date or the Company’s default in the payment of the dividend due. Except as provided herein, the Company shall make no payment or allowance for unpaid dividends, whether or not in arrears, on Series I Preferred Stock for which a notice of redemption pursuant to the Special Optional Redemption Right has been given.</w:t>
      </w:r>
    </w:p>
    <w:p>
      <w:pPr>
        <w:spacing w:after="0" w:line="145" w:lineRule="exact"/>
        <w:rPr>
          <w:sz w:val="20"/>
          <w:szCs w:val="20"/>
          <w:color w:val="auto"/>
        </w:rPr>
      </w:pPr>
    </w:p>
    <w:p>
      <w:pPr>
        <w:jc w:val="both"/>
        <w:ind w:left="600" w:right="600" w:firstLine="480"/>
        <w:spacing w:after="0" w:line="287" w:lineRule="auto"/>
        <w:rPr>
          <w:sz w:val="20"/>
          <w:szCs w:val="20"/>
          <w:color w:val="auto"/>
        </w:rPr>
      </w:pPr>
      <w:r>
        <w:rPr>
          <w:rFonts w:ascii="Times New Roman" w:cs="Times New Roman" w:eastAsia="Times New Roman" w:hAnsi="Times New Roman"/>
          <w:sz w:val="13"/>
          <w:szCs w:val="13"/>
          <w:color w:val="auto"/>
        </w:rPr>
        <w:t>All shares of the Series I Preferred Stock redeemed or repurchased pursuant to this Section 6, or otherwise acquired in any other manner by the Company, shall be retired and shall be restored to the status of authorized but unissued shares of Preferred Stock, without designation as to series or class.</w:t>
      </w:r>
    </w:p>
    <w:p>
      <w:pPr>
        <w:spacing w:after="0" w:line="13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u w:val="single" w:color="auto"/>
          <w:color w:val="auto"/>
        </w:rPr>
        <w:t>Voting Rights</w:t>
      </w:r>
      <w:r>
        <w:rPr>
          <w:rFonts w:ascii="Times New Roman" w:cs="Times New Roman" w:eastAsia="Times New Roman" w:hAnsi="Times New Roman"/>
          <w:sz w:val="13"/>
          <w:szCs w:val="13"/>
          <w:color w:val="auto"/>
        </w:rPr>
        <w:t>.</w:t>
      </w:r>
    </w:p>
    <w:p>
      <w:pPr>
        <w:spacing w:after="0" w:line="18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Holders of the Series I Preferred Stock shall not have any voting rights, except as set forth in this Section 7.</w:t>
      </w:r>
    </w:p>
    <w:p>
      <w:pPr>
        <w:spacing w:after="0" w:line="187" w:lineRule="exact"/>
        <w:rPr>
          <w:sz w:val="20"/>
          <w:szCs w:val="20"/>
          <w:color w:val="auto"/>
        </w:rPr>
      </w:pPr>
    </w:p>
    <w:p>
      <w:pPr>
        <w:ind w:left="600" w:right="560" w:firstLine="480"/>
        <w:spacing w:after="0" w:line="274" w:lineRule="auto"/>
        <w:rPr>
          <w:sz w:val="20"/>
          <w:szCs w:val="20"/>
          <w:color w:val="auto"/>
        </w:rPr>
      </w:pPr>
      <w:r>
        <w:rPr>
          <w:rFonts w:ascii="Times New Roman" w:cs="Times New Roman" w:eastAsia="Times New Roman" w:hAnsi="Times New Roman"/>
          <w:sz w:val="13"/>
          <w:szCs w:val="13"/>
          <w:color w:val="auto"/>
        </w:rPr>
        <w:t>Whenever dividends on any shares of Series I Preferred Stock shall be in arrears for six or more consecutive or non- consecutive quarterly periods (a “</w:t>
      </w:r>
      <w:r>
        <w:rPr>
          <w:rFonts w:ascii="Times New Roman" w:cs="Times New Roman" w:eastAsia="Times New Roman" w:hAnsi="Times New Roman"/>
          <w:sz w:val="13"/>
          <w:szCs w:val="13"/>
          <w:u w:val="single" w:color="auto"/>
          <w:color w:val="auto"/>
        </w:rPr>
        <w:t>Preferred Dividend Default</w:t>
      </w:r>
      <w:r>
        <w:rPr>
          <w:rFonts w:ascii="Times New Roman" w:cs="Times New Roman" w:eastAsia="Times New Roman" w:hAnsi="Times New Roman"/>
          <w:sz w:val="13"/>
          <w:szCs w:val="13"/>
          <w:color w:val="auto"/>
        </w:rPr>
        <w:t>”), the holders of such Series I Preferred Stock (voting separately as a class together with holders of all other classes or series of preferred stock of the Company ranking on parity with the Series I Preferred Stock with respect to payment of dividends and the distribution of assets upon the Company’s liquidation, dissolution or winding up and upon which like voting rights have been conferred and are exercisable (“</w:t>
      </w:r>
      <w:r>
        <w:rPr>
          <w:rFonts w:ascii="Times New Roman" w:cs="Times New Roman" w:eastAsia="Times New Roman" w:hAnsi="Times New Roman"/>
          <w:sz w:val="13"/>
          <w:szCs w:val="13"/>
          <w:u w:val="single" w:color="auto"/>
          <w:color w:val="auto"/>
        </w:rPr>
        <w:t>Parity Preferred</w:t>
      </w:r>
      <w:r>
        <w:rPr>
          <w:rFonts w:ascii="Times New Roman" w:cs="Times New Roman" w:eastAsia="Times New Roman" w:hAnsi="Times New Roman"/>
          <w:sz w:val="13"/>
          <w:szCs w:val="13"/>
          <w:color w:val="auto"/>
        </w:rPr>
        <w:t>”), including the Series E Cumulative Redeemable Preferred Stock, par value $0.01 per share, the Series F Cumulative Redeemable Preferred Stock, par value $0.01 per share, the Series G Cumulative Redeemable Preferred Stock, par value $0.01 per share, and the Series H Cumulative Redeemable Preferred Stock, par value $0.01 per share, of the Company) shall be entitled to vote for the election of a total of two additional directors of the Company (the “</w:t>
      </w:r>
      <w:r>
        <w:rPr>
          <w:rFonts w:ascii="Times New Roman" w:cs="Times New Roman" w:eastAsia="Times New Roman" w:hAnsi="Times New Roman"/>
          <w:sz w:val="13"/>
          <w:szCs w:val="13"/>
          <w:u w:val="single" w:color="auto"/>
          <w:color w:val="auto"/>
        </w:rPr>
        <w:t>Preferred Directors</w:t>
      </w:r>
      <w:r>
        <w:rPr>
          <w:rFonts w:ascii="Times New Roman" w:cs="Times New Roman" w:eastAsia="Times New Roman" w:hAnsi="Times New Roman"/>
          <w:sz w:val="13"/>
          <w:szCs w:val="13"/>
          <w:color w:val="auto"/>
        </w:rPr>
        <w:t>”) until all dividends accumulated on such Series I Preferred Stock and Parity Preferred for the past Dividend Periods shall have been fully paid. In such case, the entire Board of Directors will be increased by two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510540</wp:posOffset>
            </wp:positionV>
            <wp:extent cx="4436110" cy="1524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747">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441960</wp:posOffset>
            </wp:positionV>
            <wp:extent cx="5083810" cy="1524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748">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11" w:name="page412"/>
    <w:bookmarkEnd w:id="411"/>
    <w:p>
      <w:pPr>
        <w:jc w:val="both"/>
        <w:ind w:left="600" w:right="600" w:firstLine="480"/>
        <w:spacing w:after="0" w:line="273" w:lineRule="auto"/>
        <w:rPr>
          <w:sz w:val="20"/>
          <w:szCs w:val="20"/>
          <w:color w:val="auto"/>
        </w:rPr>
      </w:pPr>
      <w:r>
        <w:rPr>
          <w:rFonts w:ascii="Times New Roman" w:cs="Times New Roman" w:eastAsia="Times New Roman" w:hAnsi="Times New Roman"/>
          <w:sz w:val="13"/>
          <w:szCs w:val="13"/>
          <w:color w:val="auto"/>
        </w:rPr>
        <w:t>The Preferred Directors will be elected by a plurality of the votes cast in the election for a one-year term and each Preferred Director will serve until his or her successor is duly elected and qualifies or until such Preferred Director’s right to hold the office terminates, whichever occurs earlier, subject to such Preferred Director’s earlier death, disqualification, resignation or removal. The election will take place at (i) either (A) a special meeting called in accordance with Section 7(d) below if the request is received more than 90 days before the date fixed for the Company’s next annual or special meeting of stockholders or (B) the next annual or special meeting of stockholders if the request is received within 90 days of the date fixed for the Company’s next annual or special meeting of stockholders, and (ii) at each subsequent annual meeting of stockholders, or special meeting held in place thereof, until all such dividends in arrears on the Series I Preferred Stock and each such class or series of outstanding Parity Preferred have been paid in full. A dividend in respect of Series I Preferred Stock shall be considered timely made if made within two Business Days after the applicable Dividend Payment Date if at the time of such late payment date there shall not be any prior quarterly Dividend Periods in respect of which full dividends were not timely made at the applicable Dividend Payment Date.</w:t>
      </w:r>
    </w:p>
    <w:p>
      <w:pPr>
        <w:spacing w:after="0" w:line="136" w:lineRule="exact"/>
        <w:rPr>
          <w:sz w:val="20"/>
          <w:szCs w:val="20"/>
          <w:color w:val="auto"/>
        </w:rPr>
      </w:pPr>
    </w:p>
    <w:p>
      <w:pPr>
        <w:jc w:val="both"/>
        <w:ind w:left="600" w:right="600" w:firstLine="480"/>
        <w:spacing w:after="0" w:line="271" w:lineRule="auto"/>
        <w:rPr>
          <w:sz w:val="20"/>
          <w:szCs w:val="20"/>
          <w:color w:val="auto"/>
        </w:rPr>
      </w:pPr>
      <w:r>
        <w:rPr>
          <w:rFonts w:ascii="Times New Roman" w:cs="Times New Roman" w:eastAsia="Times New Roman" w:hAnsi="Times New Roman"/>
          <w:sz w:val="13"/>
          <w:szCs w:val="13"/>
          <w:color w:val="auto"/>
        </w:rPr>
        <w:t>At any time when such voting rights shall have vested, a proper officer of the Company shall call or cause to be called, upon written request of holders of record of at least 10% of the outstanding shares of Series I Preferred Stock and Parity Preferred, a special meeting of the holders of Series I Preferred Stock and each class or series of Parity Preferred by mailing or causing to be mailed to such holders a notice of such special meeting to be held not fewer than ten or more than 45 days after the date such notice is given. The record date for determining holders of the Series I Preferred Stock and Parity Preferred entitled to notice of and to vote at such special meeting will be the close of business on the third Business Day preceding the day on which such notice is mailed. At any such annual or special meeting, all of the holders of the Series I Preferred Stock and Parity Preferred, by plurality vote, voting together as a single class without regard to class or series will be entitled to elect two directors on the basis of one vote per $25.00 of liquidation preference to which such Series I Preferred Stock and Parity Preferred are entitled by their terms (excluding amounts in respect of accumulated and unpaid dividends) and not cumulatively. The holder or holders of one- third of the Series I Preferred Stock and Parity Preferred voting as a single class then outstanding, present in person or by proxy, will constitute a quorum for the election of the Preferred Directors except as otherwise provided by law. Notice of all meetings at which holders of the Series I Preferred Stock and the Parity Preferred shall be entitled to vote will be given to such holders at their addresses as they appear in the transfer records. At any such meeting or adjournment thereof in the absence of a quorum, subject to the provisions of any applicable law, a majority of the holders of the Series I Preferred Stock and Parity Preferred voting as a single class present in person or by proxy shall have the power to adjourn the meeting for the election of the Preferred Directors, without notice other than an announcement at the meeting, until a quorum is present. If a Preferred Dividend Default shall terminate after the notice of a special meeting has been given but before such special meeting has been held, the Company shall, as soon as practicable after such termination, mail or cause to be mailed notice of such termination to holders of the Series I Preferred Stock and the Parity Preferred that would have been entitled to vote at such special meeting.</w:t>
      </w:r>
    </w:p>
    <w:p>
      <w:pPr>
        <w:spacing w:after="0" w:line="143" w:lineRule="exact"/>
        <w:rPr>
          <w:sz w:val="20"/>
          <w:szCs w:val="20"/>
          <w:color w:val="auto"/>
        </w:rPr>
      </w:pPr>
    </w:p>
    <w:p>
      <w:pPr>
        <w:jc w:val="both"/>
        <w:ind w:left="600" w:right="620" w:firstLine="480"/>
        <w:spacing w:after="0" w:line="273" w:lineRule="auto"/>
        <w:rPr>
          <w:sz w:val="20"/>
          <w:szCs w:val="20"/>
          <w:color w:val="auto"/>
        </w:rPr>
      </w:pPr>
      <w:r>
        <w:rPr>
          <w:rFonts w:ascii="Times New Roman" w:cs="Times New Roman" w:eastAsia="Times New Roman" w:hAnsi="Times New Roman"/>
          <w:sz w:val="13"/>
          <w:szCs w:val="13"/>
          <w:color w:val="auto"/>
        </w:rPr>
        <w:t>If and when all accumulated dividends on such Series I Preferred Stock and all classes or series of Parity Preferred for the past Dividend Periods shall have been fully paid, the right of the holders of Series I Preferred Stock and the Parity Preferred to elect such additional two directors shall immediately cease (subject to revesting in the event of each and every Preferred Dividend Default), and the term of office of each Preferred Director so elected shall terminate and the entire Board of Directors shall be reduced accordingly. Any Preferred Director may be removed at any time with or without cause by the vote of, and shall not be removed otherwise than by the vote of, the holders of record of a majority of the outstanding Series I Preferred Stock and the Parity Preferred entitled to vote thereon when they have the voting rights set forth in Section 7(b) hereof (voting as a single class). So long as a Preferred Dividend Default shall continue, any vacancy in the office of a Preferred Director may be filled by written consent of the Preferred Director remaining in office, or if none remains in office, by a vote of the holders of record of a majority of the outstanding Series I Preferred Stock when they have the voting rights described above (voting as a single class with all other classes or series of Parity Preferred). Each of the Preferred Directors shall be entitled to one vote on any matter.</w:t>
      </w:r>
    </w:p>
    <w:p>
      <w:pPr>
        <w:spacing w:after="0" w:line="136" w:lineRule="exact"/>
        <w:rPr>
          <w:sz w:val="20"/>
          <w:szCs w:val="20"/>
          <w:color w:val="auto"/>
        </w:rPr>
      </w:pPr>
    </w:p>
    <w:p>
      <w:pPr>
        <w:jc w:val="both"/>
        <w:ind w:left="600" w:right="600" w:firstLine="480"/>
        <w:spacing w:after="0" w:line="278" w:lineRule="auto"/>
        <w:rPr>
          <w:sz w:val="20"/>
          <w:szCs w:val="20"/>
          <w:color w:val="auto"/>
        </w:rPr>
      </w:pPr>
      <w:r>
        <w:rPr>
          <w:rFonts w:ascii="Times New Roman" w:cs="Times New Roman" w:eastAsia="Times New Roman" w:hAnsi="Times New Roman"/>
          <w:sz w:val="13"/>
          <w:szCs w:val="13"/>
          <w:color w:val="auto"/>
        </w:rPr>
        <w:t xml:space="preserve">So long as any shares of Series I Preferred Stock remain outstanding, the affirmative vote or consent of the holders of two-thirds of the shares of Series I Preferred Stock and each other class or series of Parity Preferred outstanding at the time, given in person or by proxy, either in writing or at a meeting (voting together as a single class) will be required to: (i) authorize, create or issue, or increase the number of authorized or issued shares of, any class or series of capital stock ranking senior to the Series I Preferred Stock with respect to payment of dividends or the distribution of assets upon liquidation, dissolution or winding up of the Company (collectively, “ </w:t>
      </w:r>
      <w:r>
        <w:rPr>
          <w:rFonts w:ascii="Times New Roman" w:cs="Times New Roman" w:eastAsia="Times New Roman" w:hAnsi="Times New Roman"/>
          <w:sz w:val="13"/>
          <w:szCs w:val="13"/>
          <w:u w:val="single" w:color="auto"/>
          <w:color w:val="auto"/>
        </w:rPr>
        <w:t>Senior Capital Stock</w:t>
      </w:r>
      <w:r>
        <w:rPr>
          <w:rFonts w:ascii="Times New Roman" w:cs="Times New Roman" w:eastAsia="Times New Roman" w:hAnsi="Times New Roman"/>
          <w:sz w:val="13"/>
          <w:szCs w:val="13"/>
          <w:color w:val="auto"/>
        </w:rPr>
        <w:t>”) or reclassify any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212090</wp:posOffset>
            </wp:positionV>
            <wp:extent cx="4436110" cy="762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749">
                      <a:extLst>
                        <a:ext uri="{28A0092B-C50C-407E-A947-70E740481C1C}"/>
                      </a:extLst>
                    </a:blip>
                    <a:srcRect/>
                    <a:stretch>
                      <a:fillRect/>
                    </a:stretch>
                  </pic:blipFill>
                  <pic:spPr bwMode="auto">
                    <a:xfrm>
                      <a:off x="0" y="0"/>
                      <a:ext cx="4436110"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646430</wp:posOffset>
            </wp:positionV>
            <wp:extent cx="5083810" cy="1524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750">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12" w:name="page413"/>
    <w:bookmarkEnd w:id="412"/>
    <w:p>
      <w:pPr>
        <w:jc w:val="both"/>
        <w:ind w:left="600" w:right="600"/>
        <w:spacing w:after="0" w:line="271" w:lineRule="auto"/>
        <w:rPr>
          <w:sz w:val="20"/>
          <w:szCs w:val="20"/>
          <w:color w:val="auto"/>
        </w:rPr>
      </w:pPr>
      <w:r>
        <w:rPr>
          <w:rFonts w:ascii="Times New Roman" w:cs="Times New Roman" w:eastAsia="Times New Roman" w:hAnsi="Times New Roman"/>
          <w:sz w:val="13"/>
          <w:szCs w:val="13"/>
          <w:color w:val="auto"/>
        </w:rPr>
        <w:t>shares of capital stock of the Company into such capital stock, or create, authorize or issue any obligation or security convertible into or evidencing the right to purchase any such Senior Capital Stock; or (ii) amend, alter or repeal the provisions of the Charter, including the terms of the Series I Preferred Stock, whether by merger, consolidation, transfer or conveyance of all or substantially all of its assets or otherwise (an “</w:t>
      </w:r>
      <w:r>
        <w:rPr>
          <w:rFonts w:ascii="Times New Roman" w:cs="Times New Roman" w:eastAsia="Times New Roman" w:hAnsi="Times New Roman"/>
          <w:sz w:val="13"/>
          <w:szCs w:val="13"/>
          <w:u w:val="single" w:color="auto"/>
          <w:color w:val="auto"/>
        </w:rPr>
        <w:t>Event</w:t>
      </w:r>
      <w:r>
        <w:rPr>
          <w:rFonts w:ascii="Times New Roman" w:cs="Times New Roman" w:eastAsia="Times New Roman" w:hAnsi="Times New Roman"/>
          <w:sz w:val="13"/>
          <w:szCs w:val="13"/>
          <w:color w:val="auto"/>
        </w:rPr>
        <w:t xml:space="preserve">”), so as to materially and adversely affect any right, preference, privilege or voting power of the Series I Preferred Stock;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with respect to the occurrence of any of the Events set forth in (ii) above, so long as the Series I Preferred Stock remains outstanding with the terms thereof materially unchanged, taking into account that, upon the occurrence of an Event set forth in (ii) above, the Company may not be the surviving entity, the occurrence of such Event shall not be deemed to materially and adversely affect such rights, preferences, privileges or voting power of Series I Preferred Stock, and in such case such holders shall not have any voting rights with respect to the occurrence of any of the Events set forth in (ii) above. In addition, if the holders of the Series I Preferred Stock receive the greater of the full trading price of the Series I Preferred Stock on the date of an Event set forth in (ii) above or the $25.00 liquidation preference per share of the Series I Preferred Stock pursuant to the occurrence of any of the Events set forth in (ii) above, then such holders shall not have any voting rights with respect to the Events set forth in (ii) above. If any Event set forth in (ii) above would materially and adversely affect the rights, preferences, privileges or voting powers of the Series I Preferred Stock disproportionately relative to other classes or series of Parity Preferred, the affirmative vote of the holders of at least two-thirds of the outstanding shares of the Series I Preferred Stock, voting separately as a class, will also be required. Holders of shares of Series I Preferred Stock shall not be entitled to vote with respect to (A) any increase in the total number of authorized shares of Common Stock or Preferred Stock of the Company, or (B) any increase in the number of authorized shares of Series I Preferred Stock or the creation or issuance of any other class or series of capital stock, or (C) any increase in the number of authorized shares of any other class or series of capital stock, in each case referred to in clause (A), (B) or (C) above ranking on parity with or junior to the Series I Preferred Stock with respect to the payment of dividends and the distribution of assets upon liquidation, dissolution or winding up of the Company. Except as set forth herein, holders of the Series I Preferred Stock shall not have any voting rights with respect to, and the consent of the holders of the Series I Preferred Stock shall not be required for, the taking of any corporate action, including an Event, regardless of the effect that such corporate action or Event may have upon the powers, preferences, voting power or other rights or privileges of the Series I Preferred Stock.</w:t>
      </w:r>
    </w:p>
    <w:p>
      <w:pPr>
        <w:spacing w:after="0" w:line="140" w:lineRule="exact"/>
        <w:rPr>
          <w:sz w:val="20"/>
          <w:szCs w:val="20"/>
          <w:color w:val="auto"/>
        </w:rPr>
      </w:pPr>
    </w:p>
    <w:p>
      <w:pPr>
        <w:jc w:val="both"/>
        <w:ind w:left="600" w:right="600" w:firstLine="480"/>
        <w:spacing w:after="0" w:line="281" w:lineRule="auto"/>
        <w:rPr>
          <w:sz w:val="20"/>
          <w:szCs w:val="20"/>
          <w:color w:val="auto"/>
        </w:rPr>
      </w:pPr>
      <w:r>
        <w:rPr>
          <w:rFonts w:ascii="Times New Roman" w:cs="Times New Roman" w:eastAsia="Times New Roman" w:hAnsi="Times New Roman"/>
          <w:sz w:val="13"/>
          <w:szCs w:val="13"/>
          <w:color w:val="auto"/>
        </w:rPr>
        <w:t>The foregoing voting provisions of this Section 7 shall not apply if, at or prior to the time when the act with respect to which such vote would otherwise be required shall be effected, all outstanding shares of Series I Preferred Stock shall have been redeemed or called for redemption upon proper notice pursuant to these Articles Supplementary, and sufficient funds, in cash, shall have been deposited in trust to effect such redemption.</w:t>
      </w:r>
    </w:p>
    <w:p>
      <w:pPr>
        <w:spacing w:after="0" w:line="140" w:lineRule="exact"/>
        <w:rPr>
          <w:sz w:val="20"/>
          <w:szCs w:val="20"/>
          <w:color w:val="auto"/>
        </w:rPr>
      </w:pPr>
    </w:p>
    <w:p>
      <w:pPr>
        <w:jc w:val="both"/>
        <w:ind w:left="600" w:right="600" w:firstLine="480"/>
        <w:spacing w:after="0" w:line="305" w:lineRule="auto"/>
        <w:rPr>
          <w:sz w:val="20"/>
          <w:szCs w:val="20"/>
          <w:color w:val="auto"/>
        </w:rPr>
      </w:pPr>
      <w:r>
        <w:rPr>
          <w:rFonts w:ascii="Times New Roman" w:cs="Times New Roman" w:eastAsia="Times New Roman" w:hAnsi="Times New Roman"/>
          <w:sz w:val="13"/>
          <w:szCs w:val="13"/>
          <w:color w:val="auto"/>
        </w:rPr>
        <w:t>In any matter in which the Series I Preferred Stock may vote (as expressly provided herein), each share of Series I Preferred Stock shall be entitled to one vote per $25.00 of liquidation preference.</w:t>
      </w:r>
    </w:p>
    <w:p>
      <w:pPr>
        <w:spacing w:after="0" w:line="124" w:lineRule="exact"/>
        <w:rPr>
          <w:sz w:val="20"/>
          <w:szCs w:val="20"/>
          <w:color w:val="auto"/>
        </w:rPr>
      </w:pPr>
    </w:p>
    <w:p>
      <w:pPr>
        <w:jc w:val="both"/>
        <w:ind w:left="600" w:right="620" w:firstLine="480"/>
        <w:spacing w:after="0" w:line="305" w:lineRule="auto"/>
        <w:rPr>
          <w:sz w:val="20"/>
          <w:szCs w:val="20"/>
          <w:color w:val="auto"/>
        </w:rPr>
      </w:pPr>
      <w:r>
        <w:rPr>
          <w:rFonts w:ascii="Times New Roman" w:cs="Times New Roman" w:eastAsia="Times New Roman" w:hAnsi="Times New Roman"/>
          <w:sz w:val="13"/>
          <w:szCs w:val="13"/>
          <w:u w:val="single" w:color="auto"/>
          <w:color w:val="auto"/>
        </w:rPr>
        <w:t>Conversion</w:t>
      </w:r>
      <w:r>
        <w:rPr>
          <w:rFonts w:ascii="Times New Roman" w:cs="Times New Roman" w:eastAsia="Times New Roman" w:hAnsi="Times New Roman"/>
          <w:sz w:val="13"/>
          <w:szCs w:val="13"/>
          <w:color w:val="auto"/>
        </w:rPr>
        <w:t>. The shares of Series I Preferred Stock are not convertible into or exchangeable for any other property or securities of the Company, except as provided in this Section 8.</w:t>
      </w:r>
    </w:p>
    <w:p>
      <w:pPr>
        <w:spacing w:after="0" w:line="124" w:lineRule="exact"/>
        <w:rPr>
          <w:sz w:val="20"/>
          <w:szCs w:val="20"/>
          <w:color w:val="auto"/>
        </w:rPr>
      </w:pPr>
    </w:p>
    <w:p>
      <w:pPr>
        <w:jc w:val="both"/>
        <w:ind w:left="600" w:right="600" w:firstLine="480"/>
        <w:spacing w:after="0" w:line="274" w:lineRule="auto"/>
        <w:rPr>
          <w:sz w:val="20"/>
          <w:szCs w:val="20"/>
          <w:color w:val="auto"/>
        </w:rPr>
      </w:pPr>
      <w:r>
        <w:rPr>
          <w:rFonts w:ascii="Times New Roman" w:cs="Times New Roman" w:eastAsia="Times New Roman" w:hAnsi="Times New Roman"/>
          <w:sz w:val="13"/>
          <w:szCs w:val="13"/>
          <w:color w:val="auto"/>
        </w:rPr>
        <w:t>Upon the occurrence of a Change of Control, each holder of shares of Series I Preferred Stock shall have the right, unless, prior to the Change of Control Conversion Date, the Company has provided or provides notice of its election to redeem the Series I Preferred Stock pursuant to the Redemption Right or Special Optional Redemption Right, to convert some or all of the Series I Preferred Stock held by such holder (the “</w:t>
      </w:r>
      <w:r>
        <w:rPr>
          <w:rFonts w:ascii="Times New Roman" w:cs="Times New Roman" w:eastAsia="Times New Roman" w:hAnsi="Times New Roman"/>
          <w:sz w:val="13"/>
          <w:szCs w:val="13"/>
          <w:u w:val="single" w:color="auto"/>
          <w:color w:val="auto"/>
        </w:rPr>
        <w:t>Change of Control Conversion Right</w:t>
      </w:r>
      <w:r>
        <w:rPr>
          <w:rFonts w:ascii="Times New Roman" w:cs="Times New Roman" w:eastAsia="Times New Roman" w:hAnsi="Times New Roman"/>
          <w:sz w:val="13"/>
          <w:szCs w:val="13"/>
          <w:color w:val="auto"/>
        </w:rPr>
        <w:t>”) on the Change of Control Conversion Date into a number of shares of Common Stock per share of Series I Preferred Stock to be converted (the “</w:t>
      </w:r>
      <w:r>
        <w:rPr>
          <w:rFonts w:ascii="Times New Roman" w:cs="Times New Roman" w:eastAsia="Times New Roman" w:hAnsi="Times New Roman"/>
          <w:sz w:val="13"/>
          <w:szCs w:val="13"/>
          <w:u w:val="single" w:color="auto"/>
          <w:color w:val="auto"/>
        </w:rPr>
        <w:t>Common Stock Conversion Consideration</w:t>
      </w:r>
      <w:r>
        <w:rPr>
          <w:rFonts w:ascii="Times New Roman" w:cs="Times New Roman" w:eastAsia="Times New Roman" w:hAnsi="Times New Roman"/>
          <w:sz w:val="13"/>
          <w:szCs w:val="13"/>
          <w:color w:val="auto"/>
        </w:rPr>
        <w:t>”) equal to the lesser of (A) the quotient obtained by dividing (i) the sum of (x) the $25.00 liquidation preference per share of Series I Preferred Stock to be converted plus (y) the amount of any accrued and unpaid dividends to, but not including, the Change of Control Conversion Date (unless the Change of Control Conversion Date is after a Dividend Record Date and prior to the corresponding Dividend Payment Date, in which case no additional amount for such accrued and unpaid dividends will be included in such sum) by (ii) the Common Stock Price (as defined herein) and (B) 0.76231 (the “</w:t>
      </w:r>
      <w:r>
        <w:rPr>
          <w:rFonts w:ascii="Times New Roman" w:cs="Times New Roman" w:eastAsia="Times New Roman" w:hAnsi="Times New Roman"/>
          <w:sz w:val="13"/>
          <w:szCs w:val="13"/>
          <w:u w:val="single" w:color="auto"/>
          <w:color w:val="auto"/>
        </w:rPr>
        <w:t>Share Cap</w:t>
      </w:r>
      <w:r>
        <w:rPr>
          <w:rFonts w:ascii="Times New Roman" w:cs="Times New Roman" w:eastAsia="Times New Roman" w:hAnsi="Times New Roman"/>
          <w:sz w:val="13"/>
          <w:szCs w:val="13"/>
          <w:color w:val="auto"/>
        </w:rPr>
        <w:t>”), subject to the immediately succeeding paragraph.</w:t>
      </w:r>
    </w:p>
    <w:p>
      <w:pPr>
        <w:spacing w:after="0" w:line="301" w:lineRule="exact"/>
        <w:rPr>
          <w:sz w:val="20"/>
          <w:szCs w:val="20"/>
          <w:color w:val="auto"/>
        </w:rPr>
      </w:pPr>
    </w:p>
    <w:p>
      <w:pPr>
        <w:jc w:val="both"/>
        <w:ind w:left="600" w:right="600" w:firstLine="960"/>
        <w:spacing w:after="0" w:line="281" w:lineRule="auto"/>
        <w:rPr>
          <w:sz w:val="20"/>
          <w:szCs w:val="20"/>
          <w:color w:val="auto"/>
        </w:rPr>
      </w:pPr>
      <w:r>
        <w:rPr>
          <w:rFonts w:ascii="Times New Roman" w:cs="Times New Roman" w:eastAsia="Times New Roman" w:hAnsi="Times New Roman"/>
          <w:sz w:val="13"/>
          <w:szCs w:val="13"/>
          <w:color w:val="auto"/>
        </w:rPr>
        <w:t>The Share Cap is subject to pro rata adjustments for any share splits (including those effected pursuant to a distribution of the Common Stock), subdivisions or combinations (in each case, a “</w:t>
      </w:r>
      <w:r>
        <w:rPr>
          <w:rFonts w:ascii="Times New Roman" w:cs="Times New Roman" w:eastAsia="Times New Roman" w:hAnsi="Times New Roman"/>
          <w:sz w:val="13"/>
          <w:szCs w:val="13"/>
          <w:u w:val="single" w:color="auto"/>
          <w:color w:val="auto"/>
        </w:rPr>
        <w:t>Share Split</w:t>
      </w:r>
      <w:r>
        <w:rPr>
          <w:rFonts w:ascii="Times New Roman" w:cs="Times New Roman" w:eastAsia="Times New Roman" w:hAnsi="Times New Roman"/>
          <w:sz w:val="13"/>
          <w:szCs w:val="13"/>
          <w:color w:val="auto"/>
        </w:rPr>
        <w:t>”) with respect to the Common Stock as follows: the adjusted Share Cap as the result of a Share Split shall be the number of shares of Common Stock that is equivalent to the product obtained by multiplying (i) the Share Cap in effect immediately prior to such Share Split by (ii)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104140</wp:posOffset>
            </wp:positionV>
            <wp:extent cx="4436110" cy="1524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751">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546100</wp:posOffset>
            </wp:positionV>
            <wp:extent cx="5083810" cy="1524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752">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13" w:name="page414"/>
    <w:bookmarkEnd w:id="413"/>
    <w:p>
      <w:pPr>
        <w:ind w:left="600" w:right="640"/>
        <w:spacing w:after="0" w:line="305" w:lineRule="auto"/>
        <w:rPr>
          <w:sz w:val="20"/>
          <w:szCs w:val="20"/>
          <w:color w:val="auto"/>
        </w:rPr>
      </w:pPr>
      <w:r>
        <w:rPr>
          <w:rFonts w:ascii="Times New Roman" w:cs="Times New Roman" w:eastAsia="Times New Roman" w:hAnsi="Times New Roman"/>
          <w:sz w:val="13"/>
          <w:szCs w:val="13"/>
          <w:color w:val="auto"/>
        </w:rPr>
        <w:t>fraction, the numerator of which is the number of shares of Common Stock outstanding after giving effect to such Share Split and the denominator of which is the number of shares of Common Stock outstanding immediately prior to such Share Split.</w:t>
      </w:r>
    </w:p>
    <w:p>
      <w:pPr>
        <w:spacing w:after="0" w:line="124" w:lineRule="exact"/>
        <w:rPr>
          <w:sz w:val="20"/>
          <w:szCs w:val="20"/>
          <w:color w:val="auto"/>
        </w:rPr>
      </w:pPr>
    </w:p>
    <w:p>
      <w:pPr>
        <w:jc w:val="both"/>
        <w:ind w:left="600" w:right="600" w:firstLine="960"/>
        <w:spacing w:after="0" w:line="275" w:lineRule="auto"/>
        <w:rPr>
          <w:sz w:val="20"/>
          <w:szCs w:val="20"/>
          <w:color w:val="auto"/>
        </w:rPr>
      </w:pPr>
      <w:r>
        <w:rPr>
          <w:rFonts w:ascii="Times New Roman" w:cs="Times New Roman" w:eastAsia="Times New Roman" w:hAnsi="Times New Roman"/>
          <w:sz w:val="13"/>
          <w:szCs w:val="13"/>
          <w:color w:val="auto"/>
        </w:rPr>
        <w:t>For the avoidance of doubt, subject to the immediately succeeding sentence, the aggregate number of shares of Common Stock (or equivalent Alternative Conversion Consideration (as defined below), as applicable) issuable in connection with the exercise of the Change of Control Conversion Right shall not exceed 7,623,100 shares of Common Stock (or equivalent Alternative Conversion Consideration, as applicable), subject to increase to the extent the underwriters’ option to purchase additional shares of Series I Preferred Stock in the initial public offering of Series I Preferred Stock is exercised, not to exceed 8,766,565 shares of Common Stock in total (or equivalent Alternative Conversion Consideration, as applicable) (the “</w:t>
      </w:r>
      <w:r>
        <w:rPr>
          <w:rFonts w:ascii="Times New Roman" w:cs="Times New Roman" w:eastAsia="Times New Roman" w:hAnsi="Times New Roman"/>
          <w:sz w:val="13"/>
          <w:szCs w:val="13"/>
          <w:u w:val="single" w:color="auto"/>
          <w:color w:val="auto"/>
        </w:rPr>
        <w:t>Exchange Cap</w:t>
      </w:r>
      <w:r>
        <w:rPr>
          <w:rFonts w:ascii="Times New Roman" w:cs="Times New Roman" w:eastAsia="Times New Roman" w:hAnsi="Times New Roman"/>
          <w:sz w:val="13"/>
          <w:szCs w:val="13"/>
          <w:color w:val="auto"/>
        </w:rPr>
        <w:t>”). The Exchange Cap is subject to pro rata adjustments for any Share Splits on the same basis as the corresponding adjustment to the Share Cap.</w:t>
      </w:r>
    </w:p>
    <w:p>
      <w:pPr>
        <w:spacing w:after="0" w:line="145" w:lineRule="exact"/>
        <w:rPr>
          <w:sz w:val="20"/>
          <w:szCs w:val="20"/>
          <w:color w:val="auto"/>
        </w:rPr>
      </w:pPr>
    </w:p>
    <w:p>
      <w:pPr>
        <w:jc w:val="both"/>
        <w:ind w:left="600" w:right="600" w:firstLine="960"/>
        <w:spacing w:after="0" w:line="275" w:lineRule="auto"/>
        <w:rPr>
          <w:sz w:val="20"/>
          <w:szCs w:val="20"/>
          <w:color w:val="auto"/>
        </w:rPr>
      </w:pPr>
      <w:r>
        <w:rPr>
          <w:rFonts w:ascii="Times New Roman" w:cs="Times New Roman" w:eastAsia="Times New Roman" w:hAnsi="Times New Roman"/>
          <w:sz w:val="13"/>
          <w:szCs w:val="13"/>
          <w:color w:val="auto"/>
        </w:rPr>
        <w:t>In the case of a Change of Control pursuant to which shares of Common Stock shall be converted into cash, securities or other property or assets (including any combination thereof) (the “</w:t>
      </w:r>
      <w:r>
        <w:rPr>
          <w:rFonts w:ascii="Times New Roman" w:cs="Times New Roman" w:eastAsia="Times New Roman" w:hAnsi="Times New Roman"/>
          <w:sz w:val="13"/>
          <w:szCs w:val="13"/>
          <w:u w:val="single" w:color="auto"/>
          <w:color w:val="auto"/>
        </w:rPr>
        <w:t>Alternative Form Consideration</w:t>
      </w:r>
      <w:r>
        <w:rPr>
          <w:rFonts w:ascii="Times New Roman" w:cs="Times New Roman" w:eastAsia="Times New Roman" w:hAnsi="Times New Roman"/>
          <w:sz w:val="13"/>
          <w:szCs w:val="13"/>
          <w:color w:val="auto"/>
        </w:rPr>
        <w:t xml:space="preserve">”), a holder of shares of Series I Preferred Stock shall receive upon conversion of such shares of Series I Preferred Stock the kind and amount of Alternative Form Consideration which such holder would have owned or been entitled to receive upon the Change of Control had such holder held a number of shares of Common Stock equal to the Common Stock Conversion Consideration immediately prior to the effective time of the Change of Control (the “ </w:t>
      </w:r>
      <w:r>
        <w:rPr>
          <w:rFonts w:ascii="Times New Roman" w:cs="Times New Roman" w:eastAsia="Times New Roman" w:hAnsi="Times New Roman"/>
          <w:sz w:val="13"/>
          <w:szCs w:val="13"/>
          <w:u w:val="single" w:color="auto"/>
          <w:color w:val="auto"/>
        </w:rPr>
        <w:t>Alternative Conversion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Consideration</w:t>
      </w:r>
      <w:r>
        <w:rPr>
          <w:rFonts w:ascii="Times New Roman" w:cs="Times New Roman" w:eastAsia="Times New Roman" w:hAnsi="Times New Roman"/>
          <w:sz w:val="13"/>
          <w:szCs w:val="13"/>
          <w:color w:val="auto"/>
        </w:rPr>
        <w:t>”; and the Common Stock Conversion Consideration or the Alternative Conversion Consideration, as may be applicable to a Change of Control, shall be referred to herein as the “</w:t>
      </w:r>
      <w:r>
        <w:rPr>
          <w:rFonts w:ascii="Times New Roman" w:cs="Times New Roman" w:eastAsia="Times New Roman" w:hAnsi="Times New Roman"/>
          <w:sz w:val="13"/>
          <w:szCs w:val="13"/>
          <w:u w:val="single" w:color="auto"/>
          <w:color w:val="auto"/>
        </w:rPr>
        <w:t>Conversion Consideration</w:t>
      </w:r>
      <w:r>
        <w:rPr>
          <w:rFonts w:ascii="Times New Roman" w:cs="Times New Roman" w:eastAsia="Times New Roman" w:hAnsi="Times New Roman"/>
          <w:sz w:val="13"/>
          <w:szCs w:val="13"/>
          <w:color w:val="auto"/>
        </w:rPr>
        <w:t>”).</w:t>
      </w:r>
    </w:p>
    <w:p>
      <w:pPr>
        <w:spacing w:after="0" w:line="145" w:lineRule="exact"/>
        <w:rPr>
          <w:sz w:val="20"/>
          <w:szCs w:val="20"/>
          <w:color w:val="auto"/>
        </w:rPr>
      </w:pPr>
    </w:p>
    <w:p>
      <w:pPr>
        <w:jc w:val="both"/>
        <w:ind w:left="600" w:right="620" w:firstLine="960"/>
        <w:spacing w:after="0" w:line="276" w:lineRule="auto"/>
        <w:rPr>
          <w:sz w:val="20"/>
          <w:szCs w:val="20"/>
          <w:color w:val="auto"/>
        </w:rPr>
      </w:pPr>
      <w:r>
        <w:rPr>
          <w:rFonts w:ascii="Times New Roman" w:cs="Times New Roman" w:eastAsia="Times New Roman" w:hAnsi="Times New Roman"/>
          <w:sz w:val="13"/>
          <w:szCs w:val="13"/>
          <w:color w:val="auto"/>
        </w:rPr>
        <w:t>In the event that holders of Common Stock have the opportunity to elect the form of consideration to be received in the Change of Control, the Conversion Consideration will be deemed to be the kind and amount of consideration actually received by holders of a majority of the Common Stock that voted for such an election (if electing between two types of consideration) or holders of a plurality of the Common Stock that voted for such an election (if electing between more than two types of consideration), as the case may be, and will be subject to any limitations to which all holders of Common Stock are subject, including, without limitation, pro rata reductions applicable to any portion of the consideration payable in the Change of Control.</w:t>
      </w:r>
    </w:p>
    <w:p>
      <w:pPr>
        <w:spacing w:after="0" w:line="145" w:lineRule="exact"/>
        <w:rPr>
          <w:sz w:val="20"/>
          <w:szCs w:val="20"/>
          <w:color w:val="auto"/>
        </w:rPr>
      </w:pPr>
    </w:p>
    <w:p>
      <w:pPr>
        <w:jc w:val="both"/>
        <w:ind w:left="600" w:right="600" w:firstLine="960"/>
        <w:spacing w:after="0" w:line="287" w:lineRule="auto"/>
        <w:rPr>
          <w:sz w:val="20"/>
          <w:szCs w:val="20"/>
          <w:color w:val="auto"/>
        </w:rPr>
      </w:pPr>
      <w:r>
        <w:rPr>
          <w:rFonts w:ascii="Times New Roman" w:cs="Times New Roman" w:eastAsia="Times New Roman" w:hAnsi="Times New Roman"/>
          <w:sz w:val="13"/>
          <w:szCs w:val="13"/>
          <w:color w:val="auto"/>
        </w:rPr>
        <w:t>The “</w:t>
      </w:r>
      <w:r>
        <w:rPr>
          <w:rFonts w:ascii="Times New Roman" w:cs="Times New Roman" w:eastAsia="Times New Roman" w:hAnsi="Times New Roman"/>
          <w:sz w:val="13"/>
          <w:szCs w:val="13"/>
          <w:u w:val="single" w:color="auto"/>
          <w:color w:val="auto"/>
        </w:rPr>
        <w:t>Change of Control Conversion Date</w:t>
      </w:r>
      <w:r>
        <w:rPr>
          <w:rFonts w:ascii="Times New Roman" w:cs="Times New Roman" w:eastAsia="Times New Roman" w:hAnsi="Times New Roman"/>
          <w:sz w:val="13"/>
          <w:szCs w:val="13"/>
          <w:color w:val="auto"/>
        </w:rPr>
        <w:t xml:space="preserve"> ” shall be a Business Day set forth in the notice of Change of Control provided in accordance with Section 8(c) below that is no less than 20 days nor more than 35 days after the date on which the Company provides such notice pursuant to Section 8(c).</w:t>
      </w:r>
    </w:p>
    <w:p>
      <w:pPr>
        <w:spacing w:after="0" w:line="136" w:lineRule="exact"/>
        <w:rPr>
          <w:sz w:val="20"/>
          <w:szCs w:val="20"/>
          <w:color w:val="auto"/>
        </w:rPr>
      </w:pPr>
    </w:p>
    <w:p>
      <w:pPr>
        <w:jc w:val="both"/>
        <w:ind w:left="600" w:right="600" w:firstLine="960"/>
        <w:spacing w:after="0" w:line="274" w:lineRule="auto"/>
        <w:rPr>
          <w:sz w:val="20"/>
          <w:szCs w:val="20"/>
          <w:color w:val="auto"/>
        </w:rPr>
      </w:pPr>
      <w:r>
        <w:rPr>
          <w:rFonts w:ascii="Times New Roman" w:cs="Times New Roman" w:eastAsia="Times New Roman" w:hAnsi="Times New Roman"/>
          <w:sz w:val="13"/>
          <w:szCs w:val="13"/>
          <w:color w:val="auto"/>
        </w:rPr>
        <w:t>The “</w:t>
      </w:r>
      <w:r>
        <w:rPr>
          <w:rFonts w:ascii="Times New Roman" w:cs="Times New Roman" w:eastAsia="Times New Roman" w:hAnsi="Times New Roman"/>
          <w:sz w:val="13"/>
          <w:szCs w:val="13"/>
          <w:u w:val="single" w:color="auto"/>
          <w:color w:val="auto"/>
        </w:rPr>
        <w:t>Common Stock Price</w:t>
      </w:r>
      <w:r>
        <w:rPr>
          <w:rFonts w:ascii="Times New Roman" w:cs="Times New Roman" w:eastAsia="Times New Roman" w:hAnsi="Times New Roman"/>
          <w:sz w:val="13"/>
          <w:szCs w:val="13"/>
          <w:color w:val="auto"/>
        </w:rPr>
        <w:t>” shall be (i) if the consideration to be received in the Change of Control by the holders of Common Stock is solely cash, the amount of cash consideration per share of Common Stock or (ii) if the consideration to be received in the Change of Control by holders of Common Stock is other than solely cash (x) the average of the closing sale prices per share of Common Stock (or, if no closing sale price is reported, the average of the closing bid and ask prices or, if more than one in either case, the average of the average closing bid and the average closing ask prices) for the ten consecutive trading days immediately preceding, but not including, the effective date of the Change of Control as reported on the principal U.S. securities exchange on which the Common Stock is then traded, or (y) the average of the last quoted bid prices for the Common Stock in the over-the-counter market as reported by Pink Sheets LLC or similar organization for the ten consecutive trading days immediately preceding, but not including, the effective date of the Change of Control, if the Common Stock is not then listed for trading on a U.S. securities exchange.</w:t>
      </w:r>
    </w:p>
    <w:p>
      <w:pPr>
        <w:spacing w:after="0" w:line="132" w:lineRule="exact"/>
        <w:rPr>
          <w:sz w:val="20"/>
          <w:szCs w:val="20"/>
          <w:color w:val="auto"/>
        </w:rPr>
      </w:pPr>
    </w:p>
    <w:p>
      <w:pPr>
        <w:jc w:val="both"/>
        <w:ind w:left="600" w:right="600" w:firstLine="480"/>
        <w:spacing w:after="0" w:line="305" w:lineRule="auto"/>
        <w:rPr>
          <w:sz w:val="20"/>
          <w:szCs w:val="20"/>
          <w:color w:val="auto"/>
        </w:rPr>
      </w:pPr>
      <w:r>
        <w:rPr>
          <w:rFonts w:ascii="Times New Roman" w:cs="Times New Roman" w:eastAsia="Times New Roman" w:hAnsi="Times New Roman"/>
          <w:sz w:val="13"/>
          <w:szCs w:val="13"/>
          <w:color w:val="auto"/>
        </w:rPr>
        <w:t>No fractional shares of Common Stock shall be issued upon the conversion of Series I Preferred Stock. In lieu of fractional shares, holders shall be entitled to receive the cash value of such fractional shares based on the Common Stock Price.</w:t>
      </w:r>
    </w:p>
    <w:p>
      <w:pPr>
        <w:spacing w:after="0" w:line="124" w:lineRule="exact"/>
        <w:rPr>
          <w:sz w:val="20"/>
          <w:szCs w:val="20"/>
          <w:color w:val="auto"/>
        </w:rPr>
      </w:pPr>
    </w:p>
    <w:p>
      <w:pPr>
        <w:jc w:val="both"/>
        <w:ind w:left="600" w:right="620" w:firstLine="480"/>
        <w:spacing w:after="0" w:line="278" w:lineRule="auto"/>
        <w:rPr>
          <w:sz w:val="20"/>
          <w:szCs w:val="20"/>
          <w:color w:val="auto"/>
        </w:rPr>
      </w:pPr>
      <w:r>
        <w:rPr>
          <w:rFonts w:ascii="Times New Roman" w:cs="Times New Roman" w:eastAsia="Times New Roman" w:hAnsi="Times New Roman"/>
          <w:sz w:val="13"/>
          <w:szCs w:val="13"/>
          <w:color w:val="auto"/>
        </w:rPr>
        <w:t>Within 15 days following the occurrence of a Change of Control, a notice of occurrence of the Change of Control, describing the resulting Change of Control Conversion Right, shall be delivered to the holders of record of the shares of Series I Preferred Stock at their addresses as they appear on the Company’s share transfer records and notice shall be provided to the Company’s transfer agent. No failure to give such notice or any defect thereto or in the mailing thereof shall affect the validity of the proceedings for the conversion of any share of Series I Preferred Stock except as to the holder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105410</wp:posOffset>
            </wp:positionV>
            <wp:extent cx="4436110" cy="1524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753">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547370</wp:posOffset>
            </wp:positionV>
            <wp:extent cx="5083810" cy="1524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754">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14" w:name="page415"/>
    <w:bookmarkEnd w:id="414"/>
    <w:p>
      <w:pPr>
        <w:jc w:val="both"/>
        <w:ind w:left="600" w:right="600"/>
        <w:spacing w:after="0" w:line="274" w:lineRule="auto"/>
        <w:rPr>
          <w:sz w:val="20"/>
          <w:szCs w:val="20"/>
          <w:color w:val="auto"/>
        </w:rPr>
      </w:pPr>
      <w:r>
        <w:rPr>
          <w:rFonts w:ascii="Times New Roman" w:cs="Times New Roman" w:eastAsia="Times New Roman" w:hAnsi="Times New Roman"/>
          <w:sz w:val="13"/>
          <w:szCs w:val="13"/>
          <w:color w:val="auto"/>
        </w:rPr>
        <w:t>whom notice was defective or not given. Each notice shall state: (i) the events constituting the Change of Control; (ii) the date of the Change of Control; (iii) the last date on which the holders of Series I Preferred Stock may exercise their Change of Control Conversion Right; (iv) the method and period for calculating the Common Stock Price; (v) the Change of Control Conversion Date; (vi) that if, prior to the Change of Control Conversion Date, the Company has provided or provides notice of its election to redeem all or any portion of the Series I Preferred Stock, the holder will not be able to convert shares of Series I Preferred Stock designated for redemption and such shares of Series I Preferred Stock shall be redeemed on the related redemption date, even if they have already been tendered for conversion pursuant to the Change of Control Conversion Right; (vii) if applicable, the type and amount of Alternative Conversion Consideration entitled to be received per share of Series I Preferred Stock; (viii) the name and address of the paying agent and the conversion agent; and (ix) the procedures that the holders of Series I Preferred Stock must follow to exercise the Change of Control Conversion Right.</w:t>
      </w:r>
    </w:p>
    <w:p>
      <w:pPr>
        <w:spacing w:after="0" w:line="132" w:lineRule="exact"/>
        <w:rPr>
          <w:sz w:val="20"/>
          <w:szCs w:val="20"/>
          <w:color w:val="auto"/>
        </w:rPr>
      </w:pPr>
    </w:p>
    <w:p>
      <w:pPr>
        <w:jc w:val="both"/>
        <w:ind w:left="600" w:right="600" w:firstLine="480"/>
        <w:spacing w:after="0" w:line="278" w:lineRule="auto"/>
        <w:rPr>
          <w:sz w:val="20"/>
          <w:szCs w:val="20"/>
          <w:color w:val="auto"/>
        </w:rPr>
      </w:pPr>
      <w:r>
        <w:rPr>
          <w:rFonts w:ascii="Times New Roman" w:cs="Times New Roman" w:eastAsia="Times New Roman" w:hAnsi="Times New Roman"/>
          <w:sz w:val="13"/>
          <w:szCs w:val="13"/>
          <w:color w:val="auto"/>
        </w:rPr>
        <w:t>The Company shall issue a press release for publication on the Dow Jones &amp; Company, Inc., Business Wire, PR Newswire or Bloomberg Business News (or, if such organizations are not in existence at the time of issuance of such press release, such other news or press organization as is reasonably calculated to broadly disseminate the relevant information to the public), or post notice on the Company’s website, in any event prior to the opening of business on the first Business Day following any date on which the Company provides notice pursuant to Section 8(c) above to the holders of Series I Preferred Stock.</w:t>
      </w:r>
    </w:p>
    <w:p>
      <w:pPr>
        <w:spacing w:after="0" w:line="143" w:lineRule="exact"/>
        <w:rPr>
          <w:sz w:val="20"/>
          <w:szCs w:val="20"/>
          <w:color w:val="auto"/>
        </w:rPr>
      </w:pPr>
    </w:p>
    <w:p>
      <w:pPr>
        <w:jc w:val="both"/>
        <w:ind w:left="600" w:right="600" w:firstLine="480"/>
        <w:spacing w:after="0" w:line="271" w:lineRule="auto"/>
        <w:rPr>
          <w:sz w:val="20"/>
          <w:szCs w:val="20"/>
          <w:color w:val="auto"/>
        </w:rPr>
      </w:pPr>
      <w:r>
        <w:rPr>
          <w:rFonts w:ascii="Times New Roman" w:cs="Times New Roman" w:eastAsia="Times New Roman" w:hAnsi="Times New Roman"/>
          <w:sz w:val="13"/>
          <w:szCs w:val="13"/>
          <w:color w:val="auto"/>
        </w:rPr>
        <w:t>In order to exercise the Change of Control Conversion Right, a holder of shares of Series I Preferred Stock shall be required to deliver, on or before the close of business on the Change of Control Conversion Date, the certificates (if any) representing the shares of Series I Preferred Stock to be converted, duly endorsed for transfer, together with a written conversion notice completed, to the Company’s transfer agent. Such notice shall state: (i) the relevant Change of Control Conversion Date;</w:t>
      </w:r>
    </w:p>
    <w:p>
      <w:pPr>
        <w:spacing w:after="0" w:line="1" w:lineRule="exact"/>
        <w:rPr>
          <w:sz w:val="20"/>
          <w:szCs w:val="20"/>
          <w:color w:val="auto"/>
        </w:rPr>
      </w:pPr>
    </w:p>
    <w:p>
      <w:pPr>
        <w:ind w:left="600" w:right="560" w:hanging="6"/>
        <w:spacing w:after="0" w:line="284" w:lineRule="auto"/>
        <w:tabs>
          <w:tab w:leader="none" w:pos="794" w:val="left"/>
        </w:tabs>
        <w:numPr>
          <w:ilvl w:val="0"/>
          <w:numId w:val="4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number of shares of Series I Preferred Stock to be converted; and (iii) that the shares of Series I Preferred Stock are to be converted pursuant to the applicable provisions of these Articles Supplementary. Notwithstanding the foregoing, if the shares of Series I Preferred Stock are held in global form, such notice shall comply with applicable procedures of The Depository Trust Company (“</w:t>
      </w:r>
      <w:r>
        <w:rPr>
          <w:rFonts w:ascii="Times New Roman" w:cs="Times New Roman" w:eastAsia="Times New Roman" w:hAnsi="Times New Roman"/>
          <w:sz w:val="13"/>
          <w:szCs w:val="13"/>
          <w:u w:val="single" w:color="auto"/>
          <w:color w:val="auto"/>
        </w:rPr>
        <w:t>DTC</w:t>
      </w:r>
      <w:r>
        <w:rPr>
          <w:rFonts w:ascii="Times New Roman" w:cs="Times New Roman" w:eastAsia="Times New Roman" w:hAnsi="Times New Roman"/>
          <w:sz w:val="13"/>
          <w:szCs w:val="13"/>
          <w:color w:val="auto"/>
        </w:rPr>
        <w:t>”).</w:t>
      </w:r>
    </w:p>
    <w:p>
      <w:pPr>
        <w:spacing w:after="0" w:line="138" w:lineRule="exact"/>
        <w:rPr>
          <w:sz w:val="20"/>
          <w:szCs w:val="20"/>
          <w:color w:val="auto"/>
        </w:rPr>
      </w:pPr>
    </w:p>
    <w:p>
      <w:pPr>
        <w:jc w:val="both"/>
        <w:ind w:left="600" w:right="600" w:firstLine="480"/>
        <w:spacing w:after="0" w:line="276" w:lineRule="auto"/>
        <w:rPr>
          <w:sz w:val="20"/>
          <w:szCs w:val="20"/>
          <w:color w:val="auto"/>
        </w:rPr>
      </w:pPr>
      <w:r>
        <w:rPr>
          <w:rFonts w:ascii="Times New Roman" w:cs="Times New Roman" w:eastAsia="Times New Roman" w:hAnsi="Times New Roman"/>
          <w:sz w:val="13"/>
          <w:szCs w:val="13"/>
          <w:color w:val="auto"/>
        </w:rPr>
        <w:t>Holders of Series I Preferred Stock may withdraw any notice of exercise of a Change of Control Conversion Right (in whole or in part) by a written notice of withdrawal delivered to the Company’s transfer agent prior to the close of business on the Business Day prior to the Change of Control Conversion Date. The notice of withdrawal must state: (i) the number of withdrawn shares of Series I Preferred Stock; (ii) if certificated shares of Series I Preferred Stock have been issued, the certificate numbers of the shares of withdrawn Series I Preferred Stock; and (iii) the number of shares of Series I Preferred Stock, if any, which remain subject to the conversion notice. Notwithstanding the foregoing, if the shares of Series I Preferred Stock are held in global form, the notice of withdrawal shall comply with applicable procedures of DTC.</w:t>
      </w:r>
    </w:p>
    <w:p>
      <w:pPr>
        <w:spacing w:after="0" w:line="145" w:lineRule="exact"/>
        <w:rPr>
          <w:sz w:val="20"/>
          <w:szCs w:val="20"/>
          <w:color w:val="auto"/>
        </w:rPr>
      </w:pPr>
    </w:p>
    <w:p>
      <w:pPr>
        <w:jc w:val="both"/>
        <w:ind w:left="600" w:right="600" w:firstLine="480"/>
        <w:spacing w:after="0" w:line="274" w:lineRule="auto"/>
        <w:rPr>
          <w:sz w:val="20"/>
          <w:szCs w:val="20"/>
          <w:color w:val="auto"/>
        </w:rPr>
      </w:pPr>
      <w:r>
        <w:rPr>
          <w:rFonts w:ascii="Times New Roman" w:cs="Times New Roman" w:eastAsia="Times New Roman" w:hAnsi="Times New Roman"/>
          <w:sz w:val="13"/>
          <w:szCs w:val="13"/>
          <w:color w:val="auto"/>
        </w:rPr>
        <w:t>Shares of Series I Preferred Stock as to which the Change of Control Conversion Right has been properly exercised and for which the conversion notice has not been properly withdrawn shall be converted into the applicable Conversion Consideration in accordance with the Change of Control Conversion Right on the Change of Control Conversion Date, unless, prior to the Change of Control Conversion Date, the Company has provided or provides notice of its election to redeem such shares of Series I Preferred Stock, whether pursuant to its Redemption Right or Special Optional Redemption Right. If the Company elects to redeem shares of Series I Preferred Stock that would otherwise be converted into the applicable Conversion Consideration on a Change of Control Conversion Date, such shares of Series I Preferred Stock shall not be so converted and the holders of such shares shall be entitled to receive on the applicable redemption date $25.00 per share, plus any accrued and unpaid dividends thereon to, but not including, the redemption date.</w:t>
      </w:r>
    </w:p>
    <w:p>
      <w:pPr>
        <w:spacing w:after="0" w:line="147" w:lineRule="exact"/>
        <w:rPr>
          <w:sz w:val="20"/>
          <w:szCs w:val="20"/>
          <w:color w:val="auto"/>
        </w:rPr>
      </w:pPr>
    </w:p>
    <w:p>
      <w:pPr>
        <w:jc w:val="both"/>
        <w:ind w:left="600" w:right="580" w:firstLine="480"/>
        <w:spacing w:after="0" w:line="305" w:lineRule="auto"/>
        <w:rPr>
          <w:sz w:val="20"/>
          <w:szCs w:val="20"/>
          <w:color w:val="auto"/>
        </w:rPr>
      </w:pPr>
      <w:r>
        <w:rPr>
          <w:rFonts w:ascii="Times New Roman" w:cs="Times New Roman" w:eastAsia="Times New Roman" w:hAnsi="Times New Roman"/>
          <w:sz w:val="13"/>
          <w:szCs w:val="13"/>
          <w:color w:val="auto"/>
        </w:rPr>
        <w:t>The Company shall deliver the applicable Conversion Consideration no later than the third Business Day following the Change of Control Conversion Date.</w:t>
      </w:r>
    </w:p>
    <w:p>
      <w:pPr>
        <w:spacing w:after="0" w:line="124" w:lineRule="exact"/>
        <w:rPr>
          <w:sz w:val="20"/>
          <w:szCs w:val="20"/>
          <w:color w:val="auto"/>
        </w:rPr>
      </w:pPr>
    </w:p>
    <w:p>
      <w:pPr>
        <w:jc w:val="both"/>
        <w:ind w:left="600" w:right="600" w:firstLine="480"/>
        <w:spacing w:after="0" w:line="278" w:lineRule="auto"/>
        <w:rPr>
          <w:sz w:val="20"/>
          <w:szCs w:val="20"/>
          <w:color w:val="auto"/>
        </w:rPr>
      </w:pPr>
      <w:r>
        <w:rPr>
          <w:rFonts w:ascii="Times New Roman" w:cs="Times New Roman" w:eastAsia="Times New Roman" w:hAnsi="Times New Roman"/>
          <w:sz w:val="13"/>
          <w:szCs w:val="13"/>
          <w:color w:val="auto"/>
        </w:rPr>
        <w:t>Notwithstanding anything to the contrary contained herein, no holder of shares of Series I Preferred Stock will be entitled to convert such shares of Series I Preferred Stock into shares of Common Stock to the extent that receipt of such shares of Common Stock would cause the holder of such shares of Common Stock (or any other person) to have actual ownership, Beneficial Ownership or Constructive Ownership (each as defined in Section 9(a) hereof) in excess of the Ownership Limit (as defined in Section 9(a) hereof), the Aggregate Stock Ownership Limit (as defined in Section 9(a) hereof), or such other limit as permitted by the Board of Directors or a committee thereof pursuant to Section 9(i)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105410</wp:posOffset>
            </wp:positionV>
            <wp:extent cx="4436110" cy="762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755">
                      <a:extLst>
                        <a:ext uri="{28A0092B-C50C-407E-A947-70E740481C1C}"/>
                      </a:extLst>
                    </a:blip>
                    <a:srcRect/>
                    <a:stretch>
                      <a:fillRect/>
                    </a:stretch>
                  </pic:blipFill>
                  <pic:spPr bwMode="auto">
                    <a:xfrm>
                      <a:off x="0" y="0"/>
                      <a:ext cx="4436110"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539750</wp:posOffset>
            </wp:positionV>
            <wp:extent cx="5083810" cy="1524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756">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15" w:name="page416"/>
    <w:bookmarkEnd w:id="415"/>
    <w:p>
      <w:pPr>
        <w:ind w:left="1080"/>
        <w:spacing w:after="0"/>
        <w:rPr>
          <w:sz w:val="20"/>
          <w:szCs w:val="20"/>
          <w:color w:val="auto"/>
        </w:rPr>
      </w:pPr>
      <w:r>
        <w:rPr>
          <w:rFonts w:ascii="Times New Roman" w:cs="Times New Roman" w:eastAsia="Times New Roman" w:hAnsi="Times New Roman"/>
          <w:sz w:val="13"/>
          <w:szCs w:val="13"/>
          <w:u w:val="single" w:color="auto"/>
          <w:color w:val="auto"/>
        </w:rPr>
        <w:t>Restrictions on Ownership and Transfer to Preserve Tax Benefit</w:t>
      </w:r>
      <w:r>
        <w:rPr>
          <w:rFonts w:ascii="Times New Roman" w:cs="Times New Roman" w:eastAsia="Times New Roman" w:hAnsi="Times New Roman"/>
          <w:sz w:val="13"/>
          <w:szCs w:val="13"/>
          <w:color w:val="auto"/>
        </w:rPr>
        <w:t>.</w:t>
      </w:r>
    </w:p>
    <w:p>
      <w:pPr>
        <w:spacing w:after="0" w:line="187" w:lineRule="exact"/>
        <w:rPr>
          <w:sz w:val="20"/>
          <w:szCs w:val="20"/>
          <w:color w:val="auto"/>
        </w:rPr>
      </w:pPr>
    </w:p>
    <w:p>
      <w:pPr>
        <w:ind w:left="600" w:right="580" w:firstLine="480"/>
        <w:spacing w:after="0" w:line="305" w:lineRule="auto"/>
        <w:rPr>
          <w:sz w:val="20"/>
          <w:szCs w:val="20"/>
          <w:color w:val="auto"/>
        </w:rPr>
      </w:pPr>
      <w:r>
        <w:rPr>
          <w:rFonts w:ascii="Times New Roman" w:cs="Times New Roman" w:eastAsia="Times New Roman" w:hAnsi="Times New Roman"/>
          <w:sz w:val="13"/>
          <w:szCs w:val="13"/>
          <w:u w:val="single" w:color="auto"/>
          <w:color w:val="auto"/>
        </w:rPr>
        <w:t>Definitions</w:t>
      </w:r>
      <w:r>
        <w:rPr>
          <w:rFonts w:ascii="Times New Roman" w:cs="Times New Roman" w:eastAsia="Times New Roman" w:hAnsi="Times New Roman"/>
          <w:sz w:val="13"/>
          <w:szCs w:val="13"/>
          <w:color w:val="auto"/>
        </w:rPr>
        <w:t>. For the purposes of Section 5 and this Section 9 of these Articles Supplementary, the following terms shall have the following meanings:</w:t>
      </w:r>
    </w:p>
    <w:p>
      <w:pPr>
        <w:spacing w:after="0" w:line="124"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Aggregate Stock Ownership Limit</w:t>
      </w:r>
      <w:r>
        <w:rPr>
          <w:rFonts w:ascii="Times New Roman" w:cs="Times New Roman" w:eastAsia="Times New Roman" w:hAnsi="Times New Roman"/>
          <w:sz w:val="13"/>
          <w:szCs w:val="13"/>
          <w:color w:val="auto"/>
        </w:rPr>
        <w:t>” has the meaning set forth in Article VI of the Charter.</w:t>
      </w:r>
    </w:p>
    <w:p>
      <w:pPr>
        <w:spacing w:after="0" w:line="187" w:lineRule="exact"/>
        <w:rPr>
          <w:sz w:val="20"/>
          <w:szCs w:val="20"/>
          <w:color w:val="auto"/>
        </w:rPr>
      </w:pPr>
    </w:p>
    <w:p>
      <w:pPr>
        <w:jc w:val="both"/>
        <w:ind w:left="1200" w:right="600" w:firstLine="360"/>
        <w:spacing w:after="0" w:line="28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Beneficial Ownership</w:t>
      </w:r>
      <w:r>
        <w:rPr>
          <w:rFonts w:ascii="Times New Roman" w:cs="Times New Roman" w:eastAsia="Times New Roman" w:hAnsi="Times New Roman"/>
          <w:sz w:val="13"/>
          <w:szCs w:val="13"/>
          <w:color w:val="auto"/>
        </w:rPr>
        <w:t>” shall mean ownership of Series I Preferred Stock by a Person who is or would be treated as an owner of such Series I Preferred Stock either actually or constructively through the application of Section 544 of the Code, as modified by Sections 856(h)(1)(B) and 856(h)(3) of the Code. The terms “</w:t>
      </w:r>
      <w:r>
        <w:rPr>
          <w:rFonts w:ascii="Times New Roman" w:cs="Times New Roman" w:eastAsia="Times New Roman" w:hAnsi="Times New Roman"/>
          <w:sz w:val="13"/>
          <w:szCs w:val="13"/>
          <w:u w:val="single" w:color="auto"/>
          <w:color w:val="auto"/>
        </w:rPr>
        <w:t>Beneficial Owner</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u w:val="single" w:color="auto"/>
          <w:color w:val="auto"/>
        </w:rPr>
        <w:t>Beneficially Owns</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u w:val="single" w:color="auto"/>
          <w:color w:val="auto"/>
        </w:rPr>
        <w:t>Beneficially Owned</w:t>
      </w:r>
      <w:r>
        <w:rPr>
          <w:rFonts w:ascii="Times New Roman" w:cs="Times New Roman" w:eastAsia="Times New Roman" w:hAnsi="Times New Roman"/>
          <w:sz w:val="13"/>
          <w:szCs w:val="13"/>
          <w:color w:val="auto"/>
        </w:rPr>
        <w:t>” shall have the correlative meanings.</w:t>
      </w:r>
    </w:p>
    <w:p>
      <w:pPr>
        <w:spacing w:after="0" w:line="14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Capital Stock</w:t>
      </w:r>
      <w:r>
        <w:rPr>
          <w:rFonts w:ascii="Times New Roman" w:cs="Times New Roman" w:eastAsia="Times New Roman" w:hAnsi="Times New Roman"/>
          <w:sz w:val="13"/>
          <w:szCs w:val="13"/>
          <w:color w:val="auto"/>
        </w:rPr>
        <w:t>” has the meaning set forth in Article VI of the Charter.</w:t>
      </w:r>
    </w:p>
    <w:p>
      <w:pPr>
        <w:spacing w:after="0" w:line="1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Charitable Beneficiary</w:t>
      </w:r>
      <w:r>
        <w:rPr>
          <w:rFonts w:ascii="Times New Roman" w:cs="Times New Roman" w:eastAsia="Times New Roman" w:hAnsi="Times New Roman"/>
          <w:sz w:val="13"/>
          <w:szCs w:val="13"/>
          <w:color w:val="auto"/>
        </w:rPr>
        <w:t>” shall mean one or more beneficiaries of a Trust, as determined pursuant to Section 9(c)</w:t>
      </w:r>
    </w:p>
    <w:p>
      <w:pPr>
        <w:spacing w:after="0" w:line="22" w:lineRule="exact"/>
        <w:rPr>
          <w:sz w:val="20"/>
          <w:szCs w:val="20"/>
          <w:color w:val="auto"/>
        </w:rPr>
      </w:pPr>
    </w:p>
    <w:p>
      <w:pPr>
        <w:ind w:left="1440" w:hanging="233"/>
        <w:spacing w:after="0"/>
        <w:tabs>
          <w:tab w:leader="none" w:pos="1440" w:val="left"/>
        </w:tabs>
        <w:numPr>
          <w:ilvl w:val="0"/>
          <w:numId w:val="4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of these Articles Supplementary, each of which shall be an organization described in Sections 170(b)(1)(A), 170(c)</w:t>
      </w:r>
    </w:p>
    <w:p>
      <w:pPr>
        <w:spacing w:after="0" w:line="18" w:lineRule="exact"/>
        <w:rPr>
          <w:rFonts w:ascii="Times New Roman" w:cs="Times New Roman" w:eastAsia="Times New Roman" w:hAnsi="Times New Roman"/>
          <w:sz w:val="13"/>
          <w:szCs w:val="13"/>
          <w:color w:val="auto"/>
        </w:rPr>
      </w:pPr>
    </w:p>
    <w:p>
      <w:pPr>
        <w:ind w:left="120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 and 501(c)(3) of the Code.</w:t>
      </w:r>
    </w:p>
    <w:p>
      <w:pPr>
        <w:spacing w:after="0" w:line="183" w:lineRule="exact"/>
        <w:rPr>
          <w:sz w:val="20"/>
          <w:szCs w:val="20"/>
          <w:color w:val="auto"/>
        </w:rPr>
      </w:pPr>
    </w:p>
    <w:p>
      <w:pPr>
        <w:jc w:val="both"/>
        <w:ind w:left="1200" w:right="620" w:firstLine="360"/>
        <w:spacing w:after="0" w:line="30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Code</w:t>
      </w:r>
      <w:r>
        <w:rPr>
          <w:rFonts w:ascii="Times New Roman" w:cs="Times New Roman" w:eastAsia="Times New Roman" w:hAnsi="Times New Roman"/>
          <w:sz w:val="13"/>
          <w:szCs w:val="13"/>
          <w:color w:val="auto"/>
        </w:rPr>
        <w:t>” shall mean the Internal Revenue Code of 1986, as amended. All section references to the Code shall include any successor provisions thereof as may be adopted from time to time.</w:t>
      </w:r>
    </w:p>
    <w:p>
      <w:pPr>
        <w:spacing w:after="0" w:line="124" w:lineRule="exact"/>
        <w:rPr>
          <w:sz w:val="20"/>
          <w:szCs w:val="20"/>
          <w:color w:val="auto"/>
        </w:rPr>
      </w:pPr>
    </w:p>
    <w:p>
      <w:pPr>
        <w:jc w:val="both"/>
        <w:ind w:left="1200" w:right="600" w:firstLine="360"/>
        <w:spacing w:after="0" w:line="28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Constructive Ownership</w:t>
      </w:r>
      <w:r>
        <w:rPr>
          <w:rFonts w:ascii="Times New Roman" w:cs="Times New Roman" w:eastAsia="Times New Roman" w:hAnsi="Times New Roman"/>
          <w:sz w:val="13"/>
          <w:szCs w:val="13"/>
          <w:color w:val="auto"/>
        </w:rPr>
        <w:t>” shall mean ownership of Series I Preferred Stock by a Person who is or would be treated as an owner of such Series I Preferred Stock either actually or constructively through the application of Section 318 of the Code, as modified by Section 856(d)(5) of the Code. The terms “</w:t>
      </w:r>
      <w:r>
        <w:rPr>
          <w:rFonts w:ascii="Times New Roman" w:cs="Times New Roman" w:eastAsia="Times New Roman" w:hAnsi="Times New Roman"/>
          <w:sz w:val="13"/>
          <w:szCs w:val="13"/>
          <w:u w:val="single" w:color="auto"/>
          <w:color w:val="auto"/>
        </w:rPr>
        <w:t>Constructive Owner</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u w:val="single" w:color="auto"/>
          <w:color w:val="auto"/>
        </w:rPr>
        <w:t>Constructively Owns</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u w:val="single" w:color="auto"/>
          <w:color w:val="auto"/>
        </w:rPr>
        <w:t>Constructively Owned</w:t>
      </w:r>
      <w:r>
        <w:rPr>
          <w:rFonts w:ascii="Times New Roman" w:cs="Times New Roman" w:eastAsia="Times New Roman" w:hAnsi="Times New Roman"/>
          <w:sz w:val="13"/>
          <w:szCs w:val="13"/>
          <w:color w:val="auto"/>
        </w:rPr>
        <w:t>” shall have the correlative meanings.</w:t>
      </w:r>
    </w:p>
    <w:p>
      <w:pPr>
        <w:spacing w:after="0" w:line="140" w:lineRule="exact"/>
        <w:rPr>
          <w:sz w:val="20"/>
          <w:szCs w:val="20"/>
          <w:color w:val="auto"/>
        </w:rPr>
      </w:pPr>
    </w:p>
    <w:p>
      <w:pPr>
        <w:jc w:val="both"/>
        <w:ind w:left="1200" w:right="600" w:firstLine="360"/>
        <w:spacing w:after="0" w:line="28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Individual</w:t>
      </w:r>
      <w:r>
        <w:rPr>
          <w:rFonts w:ascii="Times New Roman" w:cs="Times New Roman" w:eastAsia="Times New Roman" w:hAnsi="Times New Roman"/>
          <w:sz w:val="13"/>
          <w:szCs w:val="13"/>
          <w:color w:val="auto"/>
        </w:rPr>
        <w:t>” means an individual, a trust qualified under Section 401(a) or 501(c)(17) of the Code, a portion of a trust permanently set aside for or to be used exclusively for the purposes described in Section 642(c) of the Code, or a private foundation within the meaning of Section 509(a) of the Code, provided that a trust described in Section 401(a) of the Code and exempt from tax under Section 501(a) of the Code shall be excluded from this definition.</w:t>
      </w:r>
    </w:p>
    <w:p>
      <w:pPr>
        <w:spacing w:after="0" w:line="14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IRS</w:t>
      </w:r>
      <w:r>
        <w:rPr>
          <w:rFonts w:ascii="Times New Roman" w:cs="Times New Roman" w:eastAsia="Times New Roman" w:hAnsi="Times New Roman"/>
          <w:sz w:val="13"/>
          <w:szCs w:val="13"/>
          <w:color w:val="auto"/>
        </w:rPr>
        <w:t>” means the United States Internal Revenue Service.</w:t>
      </w:r>
    </w:p>
    <w:p>
      <w:pPr>
        <w:spacing w:after="0" w:line="187" w:lineRule="exact"/>
        <w:rPr>
          <w:sz w:val="20"/>
          <w:szCs w:val="20"/>
          <w:color w:val="auto"/>
        </w:rPr>
      </w:pPr>
    </w:p>
    <w:p>
      <w:pPr>
        <w:jc w:val="both"/>
        <w:ind w:left="1200" w:right="600" w:firstLine="360"/>
        <w:spacing w:after="0" w:line="27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Market Price</w:t>
      </w:r>
      <w:r>
        <w:rPr>
          <w:rFonts w:ascii="Times New Roman" w:cs="Times New Roman" w:eastAsia="Times New Roman" w:hAnsi="Times New Roman"/>
          <w:sz w:val="13"/>
          <w:szCs w:val="13"/>
          <w:color w:val="auto"/>
        </w:rPr>
        <w:t>” shall mean the last reported sales price reported on the NYSE of the Series I Preferred Stock on the Trading Day immediately preceding the relevant date, or if the Series I Preferred Stock is not then traded on the NYSE, the last reported sales price of the Series I Preferred Stock on the Trading Day immediately preceding the relevant date as reported on any exchange or quotation system over which the Series I Preferred Stock may be traded, or if the Series I Preferred Stock is not then traded over any exchange or quotation system, the market price of the Series I Preferred Stock on the relevant date as determined in good faith by the Board of Directors of the Company.</w:t>
      </w:r>
    </w:p>
    <w:p>
      <w:pPr>
        <w:spacing w:after="0" w:line="145" w:lineRule="exact"/>
        <w:rPr>
          <w:sz w:val="20"/>
          <w:szCs w:val="20"/>
          <w:color w:val="auto"/>
        </w:rPr>
      </w:pPr>
    </w:p>
    <w:p>
      <w:pPr>
        <w:jc w:val="both"/>
        <w:ind w:left="1200" w:right="600" w:firstLine="360"/>
        <w:spacing w:after="0" w:line="28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Ownership Limit</w:t>
      </w:r>
      <w:r>
        <w:rPr>
          <w:rFonts w:ascii="Times New Roman" w:cs="Times New Roman" w:eastAsia="Times New Roman" w:hAnsi="Times New Roman"/>
          <w:sz w:val="13"/>
          <w:szCs w:val="13"/>
          <w:color w:val="auto"/>
        </w:rPr>
        <w:t>” shall mean 9.8% (by value or number of shares, whichever is more restrictive) of the outstanding shares of Series I Preferred Stock of the Company. The number and value of shares of outstanding Series I Preferred Stock of the Company shall be determined by the Board of Directors in good faith, which determination shall be conclusive for all purposes hereof.</w:t>
      </w:r>
    </w:p>
    <w:p>
      <w:pPr>
        <w:spacing w:after="0" w:line="136" w:lineRule="exact"/>
        <w:rPr>
          <w:sz w:val="20"/>
          <w:szCs w:val="20"/>
          <w:color w:val="auto"/>
        </w:rPr>
      </w:pPr>
    </w:p>
    <w:p>
      <w:pPr>
        <w:jc w:val="both"/>
        <w:ind w:left="1200" w:right="600" w:firstLine="360"/>
        <w:spacing w:after="0" w:line="27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Person</w:t>
      </w:r>
      <w:r>
        <w:rPr>
          <w:rFonts w:ascii="Times New Roman" w:cs="Times New Roman" w:eastAsia="Times New Roman" w:hAnsi="Times New Roman"/>
          <w:sz w:val="13"/>
          <w:szCs w:val="13"/>
          <w:color w:val="auto"/>
        </w:rPr>
        <w:t>” shall mean an Individual, corporation, partnership, limited liability company, estate, trust (including a trust qualified under Section 401(a) or 501(c)(17) of the Code), association, joint stock company or other entity; but does not include an underwriter acting in a capacity as such in a public offering of shares of Series I Preferred Stock provided that the ownership of such shares of Series I Preferred Stock by such underwriter would not result in the Company being “closely held” within the meaning of Section 856(h) of the Code, or otherwise result in the Company failing to qualify as a REIT.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105410</wp:posOffset>
            </wp:positionV>
            <wp:extent cx="4436110" cy="1524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757">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547370</wp:posOffset>
            </wp:positionV>
            <wp:extent cx="5083810" cy="1524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758">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16" w:name="page417"/>
    <w:bookmarkEnd w:id="416"/>
    <w:p>
      <w:pPr>
        <w:jc w:val="both"/>
        <w:ind w:left="1200" w:right="600" w:firstLine="360"/>
        <w:spacing w:after="0" w:line="28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Purported Beneficial Transferee</w:t>
      </w:r>
      <w:r>
        <w:rPr>
          <w:rFonts w:ascii="Times New Roman" w:cs="Times New Roman" w:eastAsia="Times New Roman" w:hAnsi="Times New Roman"/>
          <w:sz w:val="13"/>
          <w:szCs w:val="13"/>
          <w:color w:val="auto"/>
        </w:rPr>
        <w:t>” shall mean, with respect to any purported Transfer (or other event) which results in a transfer to a Trust, as provided in Section 9(b)(ii) of these Articles Supplementary, the Purported Record Transferee, unless the Purported Record Transferee would have acquired or owned shares of Series I Preferred Stock for another Person who is the beneficial transferee or beneficial owner of such shares, in which case the Purported Beneficial Transferee shall be such Person.</w:t>
      </w:r>
    </w:p>
    <w:p>
      <w:pPr>
        <w:spacing w:after="0" w:line="140" w:lineRule="exact"/>
        <w:rPr>
          <w:sz w:val="20"/>
          <w:szCs w:val="20"/>
          <w:color w:val="auto"/>
        </w:rPr>
      </w:pPr>
    </w:p>
    <w:p>
      <w:pPr>
        <w:jc w:val="both"/>
        <w:ind w:left="1200" w:right="620" w:firstLine="360"/>
        <w:spacing w:after="0" w:line="28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Purported Record Transferee</w:t>
      </w:r>
      <w:r>
        <w:rPr>
          <w:rFonts w:ascii="Times New Roman" w:cs="Times New Roman" w:eastAsia="Times New Roman" w:hAnsi="Times New Roman"/>
          <w:sz w:val="13"/>
          <w:szCs w:val="13"/>
          <w:color w:val="auto"/>
        </w:rPr>
        <w:t>” shall mean, with respect to any purported Transfer (or other event) which results in a transfer to a Trust, as provided in Section 9(b)(ii) of these Articles Supplementary, the record holder of the Series I Preferred Stock if such Transfer had been valid under Section 9(b)(i) of these Articles Supplementary.</w:t>
      </w:r>
    </w:p>
    <w:p>
      <w:pPr>
        <w:spacing w:after="0" w:line="13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REIT</w:t>
      </w:r>
      <w:r>
        <w:rPr>
          <w:rFonts w:ascii="Times New Roman" w:cs="Times New Roman" w:eastAsia="Times New Roman" w:hAnsi="Times New Roman"/>
          <w:sz w:val="13"/>
          <w:szCs w:val="13"/>
          <w:color w:val="auto"/>
        </w:rPr>
        <w:t>” shall mean a real estate investment trust under Sections 856 through 860 of the Code.</w:t>
      </w:r>
    </w:p>
    <w:p>
      <w:pPr>
        <w:spacing w:after="0" w:line="187" w:lineRule="exact"/>
        <w:rPr>
          <w:sz w:val="20"/>
          <w:szCs w:val="20"/>
          <w:color w:val="auto"/>
        </w:rPr>
      </w:pPr>
    </w:p>
    <w:p>
      <w:pPr>
        <w:jc w:val="both"/>
        <w:ind w:left="1200" w:right="620" w:firstLine="360"/>
        <w:spacing w:after="0" w:line="30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Restriction Termination Date</w:t>
      </w:r>
      <w:r>
        <w:rPr>
          <w:rFonts w:ascii="Times New Roman" w:cs="Times New Roman" w:eastAsia="Times New Roman" w:hAnsi="Times New Roman"/>
          <w:sz w:val="13"/>
          <w:szCs w:val="13"/>
          <w:color w:val="auto"/>
        </w:rPr>
        <w:t>” shall mean the first day after the date hereof on which the Board of Directors of the Company determines that it is no longer in the best interests of the Company to attempt to, or continue to, qualify as a REIT.</w:t>
      </w:r>
    </w:p>
    <w:p>
      <w:pPr>
        <w:spacing w:after="0" w:line="124" w:lineRule="exact"/>
        <w:rPr>
          <w:sz w:val="20"/>
          <w:szCs w:val="20"/>
          <w:color w:val="auto"/>
        </w:rPr>
      </w:pPr>
    </w:p>
    <w:p>
      <w:pPr>
        <w:jc w:val="both"/>
        <w:ind w:left="1200" w:right="600" w:firstLine="360"/>
        <w:spacing w:after="0" w:line="28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Trading Day</w:t>
      </w:r>
      <w:r>
        <w:rPr>
          <w:rFonts w:ascii="Times New Roman" w:cs="Times New Roman" w:eastAsia="Times New Roman" w:hAnsi="Times New Roman"/>
          <w:sz w:val="13"/>
          <w:szCs w:val="13"/>
          <w:color w:val="auto"/>
        </w:rPr>
        <w:t>” means a day during which trading in securities generally occurs on the NYSE or, if the Common Stock is not quoted on the NYSE, then a day during which trading in securities generally occurs on the principal U.S. securities exchange on which the Common Stock is listed or, if the Common Stock is not listed on a U.S. national or regional securities exchange, then on the principal other market on which the Common Stock is then traded or quoted.</w:t>
      </w:r>
    </w:p>
    <w:p>
      <w:pPr>
        <w:spacing w:after="0" w:line="140" w:lineRule="exact"/>
        <w:rPr>
          <w:sz w:val="20"/>
          <w:szCs w:val="20"/>
          <w:color w:val="auto"/>
        </w:rPr>
      </w:pPr>
    </w:p>
    <w:p>
      <w:pPr>
        <w:jc w:val="both"/>
        <w:ind w:left="1200" w:right="600" w:firstLine="360"/>
        <w:spacing w:after="0" w:line="27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Transfer</w:t>
      </w:r>
      <w:r>
        <w:rPr>
          <w:rFonts w:ascii="Times New Roman" w:cs="Times New Roman" w:eastAsia="Times New Roman" w:hAnsi="Times New Roman"/>
          <w:sz w:val="13"/>
          <w:szCs w:val="13"/>
          <w:color w:val="auto"/>
        </w:rPr>
        <w:t>” shall mean any sale, issuance, transfer, gift, assignment, devise or other disposition of Series I Preferred Stock as well as any other event that causes any Person to Beneficially Own or Constructively Own Series I Preferred Stock, including (i) the granting of any option or entering into any agreement for the sale, transfer or other disposition of Series I Preferred Stock or (ii) the sale, transfer, assignment or other disposition of any securities (or rights convertible into or exchangeable for Series I Preferred Stock), whether voluntary or involuntary, whether such transfer has occurred of record or beneficially or Beneficially or Constructively (including but not limited to transfers of interests in other entities which result in changes in Beneficial or Constructive Ownership of Series I Preferred Stock), and whether such transfer has occurred by operation of law or otherwise.</w:t>
      </w:r>
    </w:p>
    <w:p>
      <w:pPr>
        <w:spacing w:after="0" w:line="14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Trust</w:t>
      </w:r>
      <w:r>
        <w:rPr>
          <w:rFonts w:ascii="Times New Roman" w:cs="Times New Roman" w:eastAsia="Times New Roman" w:hAnsi="Times New Roman"/>
          <w:sz w:val="13"/>
          <w:szCs w:val="13"/>
          <w:color w:val="auto"/>
        </w:rPr>
        <w:t>” shall mean each of the trusts provided for in Section 9(c) of these Articles Supplementary.</w:t>
      </w:r>
    </w:p>
    <w:p>
      <w:pPr>
        <w:spacing w:after="0" w:line="187" w:lineRule="exact"/>
        <w:rPr>
          <w:sz w:val="20"/>
          <w:szCs w:val="20"/>
          <w:color w:val="auto"/>
        </w:rPr>
      </w:pPr>
    </w:p>
    <w:p>
      <w:pPr>
        <w:jc w:val="both"/>
        <w:ind w:left="1200" w:right="620" w:firstLine="360"/>
        <w:spacing w:after="0" w:line="30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Trustee</w:t>
      </w:r>
      <w:r>
        <w:rPr>
          <w:rFonts w:ascii="Times New Roman" w:cs="Times New Roman" w:eastAsia="Times New Roman" w:hAnsi="Times New Roman"/>
          <w:sz w:val="13"/>
          <w:szCs w:val="13"/>
          <w:color w:val="auto"/>
        </w:rPr>
        <w:t>” shall mean any Person unaffiliated with the Company, or a Purported Beneficial Transferee, or a Purported Record Transferee, that is appointed by the Company to serve as trustee of a Trust.</w:t>
      </w:r>
    </w:p>
    <w:p>
      <w:pPr>
        <w:spacing w:after="0" w:line="12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u w:val="single" w:color="auto"/>
          <w:color w:val="auto"/>
        </w:rPr>
        <w:t>Restriction on Ownership and Transfers</w:t>
      </w:r>
      <w:r>
        <w:rPr>
          <w:rFonts w:ascii="Times New Roman" w:cs="Times New Roman" w:eastAsia="Times New Roman" w:hAnsi="Times New Roman"/>
          <w:sz w:val="13"/>
          <w:szCs w:val="13"/>
          <w:color w:val="auto"/>
        </w:rPr>
        <w:t>.</w:t>
      </w:r>
    </w:p>
    <w:p>
      <w:pPr>
        <w:spacing w:after="0" w:line="18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3"/>
          <w:szCs w:val="13"/>
          <w:color w:val="auto"/>
        </w:rPr>
        <w:t>Prior to the Restriction Termination Date, but subject to Section 9(l):</w:t>
      </w:r>
    </w:p>
    <w:p>
      <w:pPr>
        <w:spacing w:after="0" w:line="187" w:lineRule="exact"/>
        <w:rPr>
          <w:sz w:val="20"/>
          <w:szCs w:val="20"/>
          <w:color w:val="auto"/>
        </w:rPr>
      </w:pPr>
    </w:p>
    <w:p>
      <w:pPr>
        <w:jc w:val="both"/>
        <w:ind w:left="1560" w:right="600" w:firstLine="480"/>
        <w:spacing w:after="0" w:line="281" w:lineRule="auto"/>
        <w:rPr>
          <w:sz w:val="20"/>
          <w:szCs w:val="20"/>
          <w:color w:val="auto"/>
        </w:rPr>
      </w:pPr>
      <w:r>
        <w:rPr>
          <w:rFonts w:ascii="Times New Roman" w:cs="Times New Roman" w:eastAsia="Times New Roman" w:hAnsi="Times New Roman"/>
          <w:sz w:val="13"/>
          <w:szCs w:val="13"/>
          <w:color w:val="auto"/>
        </w:rPr>
        <w:t>except as provided in Section 9(i) of these Articles Supplementary, (1) no Person shall Beneficially Own shares of Series I Preferred Stock in excess of the Ownership Limit and (2) no Person shall Beneficially Own shares of Series I Preferred Stock that, taking into account any other Capital Stock Beneficially Owned by such Person, would result in such Person Beneficially Owning Capital Stock in excess of the Aggregate Stock Ownership Limit;</w:t>
      </w:r>
    </w:p>
    <w:p>
      <w:pPr>
        <w:spacing w:after="0" w:line="140" w:lineRule="exact"/>
        <w:rPr>
          <w:sz w:val="20"/>
          <w:szCs w:val="20"/>
          <w:color w:val="auto"/>
        </w:rPr>
      </w:pPr>
    </w:p>
    <w:p>
      <w:pPr>
        <w:jc w:val="both"/>
        <w:ind w:left="1560" w:right="600" w:firstLine="480"/>
        <w:spacing w:after="0" w:line="281" w:lineRule="auto"/>
        <w:rPr>
          <w:sz w:val="20"/>
          <w:szCs w:val="20"/>
          <w:color w:val="auto"/>
        </w:rPr>
      </w:pPr>
      <w:r>
        <w:rPr>
          <w:rFonts w:ascii="Times New Roman" w:cs="Times New Roman" w:eastAsia="Times New Roman" w:hAnsi="Times New Roman"/>
          <w:sz w:val="13"/>
          <w:szCs w:val="13"/>
          <w:color w:val="auto"/>
        </w:rPr>
        <w:t>except as provided in Section 9(i) of these Articles Supplementary, (1) no Person shall Constructively Own shares of Series I Preferred Stock in excess of the Ownership Limit and (2) no Person shall Constructively Own shares of Series I Preferred Stock that, taking into account any other Capital Stock Constructively Owned by such Person, would result in such Person Constructively Owning Capital Stock in excess of the Aggregate Stock Ownership Limit;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104140</wp:posOffset>
            </wp:positionV>
            <wp:extent cx="4436110" cy="762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759">
                      <a:extLst>
                        <a:ext uri="{28A0092B-C50C-407E-A947-70E740481C1C}"/>
                      </a:extLst>
                    </a:blip>
                    <a:srcRect/>
                    <a:stretch>
                      <a:fillRect/>
                    </a:stretch>
                  </pic:blipFill>
                  <pic:spPr bwMode="auto">
                    <a:xfrm>
                      <a:off x="0" y="0"/>
                      <a:ext cx="4436110"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538480</wp:posOffset>
            </wp:positionV>
            <wp:extent cx="5083810" cy="1524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760">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17" w:name="page418"/>
    <w:bookmarkEnd w:id="417"/>
    <w:p>
      <w:pPr>
        <w:jc w:val="both"/>
        <w:ind w:left="1560" w:right="600" w:firstLine="480"/>
        <w:spacing w:after="0" w:line="270" w:lineRule="auto"/>
        <w:rPr>
          <w:sz w:val="20"/>
          <w:szCs w:val="20"/>
          <w:color w:val="auto"/>
        </w:rPr>
      </w:pPr>
      <w:r>
        <w:rPr>
          <w:rFonts w:ascii="Times New Roman" w:cs="Times New Roman" w:eastAsia="Times New Roman" w:hAnsi="Times New Roman"/>
          <w:sz w:val="13"/>
          <w:szCs w:val="13"/>
          <w:color w:val="auto"/>
        </w:rPr>
        <w:t>no Person shall Beneficially Own or Constructively Own Series I Preferred Stock which, taking into account any other Capital Stock of the Company Beneficially or Constructively Owned by such Person, would result in the Company being “closely held” within the meaning of Section 856(h) of the Code, or otherwise failing to qualify as a REIT (including but not limited to Beneficial or Constructive Ownership that would result in the Company owning (actually or Constructively) an interest in a tenant that is described in Section 856(d)(2)</w:t>
      </w:r>
    </w:p>
    <w:p>
      <w:pPr>
        <w:spacing w:after="0" w:line="3" w:lineRule="exact"/>
        <w:rPr>
          <w:sz w:val="20"/>
          <w:szCs w:val="20"/>
          <w:color w:val="auto"/>
        </w:rPr>
      </w:pPr>
    </w:p>
    <w:p>
      <w:pPr>
        <w:ind w:left="1560" w:right="620" w:firstLine="7"/>
        <w:spacing w:after="0" w:line="299" w:lineRule="auto"/>
        <w:tabs>
          <w:tab w:leader="none" w:pos="1769" w:val="left"/>
        </w:tabs>
        <w:numPr>
          <w:ilvl w:val="0"/>
          <w:numId w:val="4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of the Code if the income derived by the Company (either directly or indirectly through one or more subsidiaries) from such tenant would cause the Company to fail to satisfy any of the gross income requirements of Section 856(c) of the Code).</w:t>
      </w:r>
    </w:p>
    <w:p>
      <w:pPr>
        <w:spacing w:after="0" w:line="128" w:lineRule="exact"/>
        <w:rPr>
          <w:sz w:val="20"/>
          <w:szCs w:val="20"/>
          <w:color w:val="auto"/>
        </w:rPr>
      </w:pPr>
    </w:p>
    <w:p>
      <w:pPr>
        <w:jc w:val="both"/>
        <w:ind w:left="600" w:right="600" w:firstLine="960"/>
        <w:spacing w:after="0" w:line="274" w:lineRule="auto"/>
        <w:rPr>
          <w:sz w:val="20"/>
          <w:szCs w:val="20"/>
          <w:color w:val="auto"/>
        </w:rPr>
      </w:pPr>
      <w:r>
        <w:rPr>
          <w:rFonts w:ascii="Times New Roman" w:cs="Times New Roman" w:eastAsia="Times New Roman" w:hAnsi="Times New Roman"/>
          <w:sz w:val="13"/>
          <w:szCs w:val="13"/>
          <w:color w:val="auto"/>
        </w:rPr>
        <w:t xml:space="preserve">If, prior to the Restriction Termination Date, any Transfer or other event occurs that, if effective, would result in any Person Beneficially or Constructively Owning Series I Preferred Stock in violation of Section 9(b)(i) of these Articles Supplementary, (A) then that number of shares of Series I Preferred Stock that otherwise would cause such Person to violate Section 9(b)(i) of these Articles Supplementary (rounded up to the nearest whole share) shall be automatically transferred to a Trust for the benefit of a Charitable Beneficiary, as described in Section 9(c), effective as of the close of business on the Business Day prior to the date of such Transfer or other event, and such Purported Beneficial Transferee shall thereafter have no rights in such shares or (B) if, for any reason, the transfer to the Trust described in clause (A) of this sentence is not automatically effective as provided therein to prevent any Person from Beneficially or Constructively Owning Series I Preferred Stock in violation of Section 9(b)(i) of these Articles Supplementary, then the Transfer of that number of shares of Series I Preferred Stock that otherwise would cause any Person to violate Section 9(b)(i) shall be void </w:t>
      </w:r>
      <w:r>
        <w:rPr>
          <w:rFonts w:ascii="Times New Roman" w:cs="Times New Roman" w:eastAsia="Times New Roman" w:hAnsi="Times New Roman"/>
          <w:sz w:val="13"/>
          <w:szCs w:val="13"/>
          <w:i w:val="1"/>
          <w:iCs w:val="1"/>
          <w:color w:val="auto"/>
        </w:rPr>
        <w:t>ab initio</w:t>
      </w:r>
      <w:r>
        <w:rPr>
          <w:rFonts w:ascii="Times New Roman" w:cs="Times New Roman" w:eastAsia="Times New Roman" w:hAnsi="Times New Roman"/>
          <w:sz w:val="13"/>
          <w:szCs w:val="13"/>
          <w:color w:val="auto"/>
        </w:rPr>
        <w:t>, and the Purported Beneficial Transferee shall have no rights in such shares.</w:t>
      </w:r>
    </w:p>
    <w:p>
      <w:pPr>
        <w:spacing w:after="0" w:line="301" w:lineRule="exact"/>
        <w:rPr>
          <w:sz w:val="20"/>
          <w:szCs w:val="20"/>
          <w:color w:val="auto"/>
        </w:rPr>
      </w:pPr>
    </w:p>
    <w:p>
      <w:pPr>
        <w:jc w:val="both"/>
        <w:ind w:left="600" w:right="600" w:firstLine="960"/>
        <w:spacing w:after="0" w:line="287" w:lineRule="auto"/>
        <w:rPr>
          <w:sz w:val="20"/>
          <w:szCs w:val="20"/>
          <w:color w:val="auto"/>
        </w:rPr>
      </w:pPr>
      <w:r>
        <w:rPr>
          <w:rFonts w:ascii="Times New Roman" w:cs="Times New Roman" w:eastAsia="Times New Roman" w:hAnsi="Times New Roman"/>
          <w:sz w:val="13"/>
          <w:szCs w:val="13"/>
          <w:color w:val="auto"/>
        </w:rPr>
        <w:t xml:space="preserve">Subject to Section 9(l) and prior to the Restriction Termination Date, any Transfer of Series I Preferred Stock that, if effective, would result in the capital stock of the Company being beneficially owned by fewer than 100 Persons (determined without reference to any rules of attribution) shall be void </w:t>
      </w:r>
      <w:r>
        <w:rPr>
          <w:rFonts w:ascii="Times New Roman" w:cs="Times New Roman" w:eastAsia="Times New Roman" w:hAnsi="Times New Roman"/>
          <w:sz w:val="13"/>
          <w:szCs w:val="13"/>
          <w:i w:val="1"/>
          <w:iCs w:val="1"/>
          <w:color w:val="auto"/>
        </w:rPr>
        <w:t>ab initio</w:t>
      </w:r>
      <w:r>
        <w:rPr>
          <w:rFonts w:ascii="Times New Roman" w:cs="Times New Roman" w:eastAsia="Times New Roman" w:hAnsi="Times New Roman"/>
          <w:sz w:val="13"/>
          <w:szCs w:val="13"/>
          <w:color w:val="auto"/>
        </w:rPr>
        <w:t>, and the intended transferee shall acquire no rights in such Series I Preferred Stock.</w:t>
      </w:r>
    </w:p>
    <w:p>
      <w:pPr>
        <w:spacing w:after="0" w:line="13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u w:val="single" w:color="auto"/>
          <w:color w:val="auto"/>
        </w:rPr>
        <w:t>Transfers of Series I Preferred Stock in Trust</w:t>
      </w:r>
      <w:r>
        <w:rPr>
          <w:rFonts w:ascii="Times New Roman" w:cs="Times New Roman" w:eastAsia="Times New Roman" w:hAnsi="Times New Roman"/>
          <w:sz w:val="13"/>
          <w:szCs w:val="13"/>
          <w:color w:val="auto"/>
        </w:rPr>
        <w:t>.</w:t>
      </w:r>
    </w:p>
    <w:p>
      <w:pPr>
        <w:spacing w:after="0" w:line="187" w:lineRule="exact"/>
        <w:rPr>
          <w:sz w:val="20"/>
          <w:szCs w:val="20"/>
          <w:color w:val="auto"/>
        </w:rPr>
      </w:pPr>
    </w:p>
    <w:p>
      <w:pPr>
        <w:jc w:val="both"/>
        <w:ind w:left="600" w:right="580" w:firstLine="960"/>
        <w:spacing w:after="0" w:line="276" w:lineRule="auto"/>
        <w:rPr>
          <w:sz w:val="20"/>
          <w:szCs w:val="20"/>
          <w:color w:val="auto"/>
        </w:rPr>
      </w:pPr>
      <w:r>
        <w:rPr>
          <w:rFonts w:ascii="Times New Roman" w:cs="Times New Roman" w:eastAsia="Times New Roman" w:hAnsi="Times New Roman"/>
          <w:sz w:val="13"/>
          <w:szCs w:val="13"/>
          <w:color w:val="auto"/>
        </w:rPr>
        <w:t>Upon any purported Transfer or other event described in Section 9(b)(ii) of these Articles Supplementary, such Series I Preferred Stock shall be deemed to have been transferred to the Trustee in his capacity as trustee of a Trust for the exclusive benefit of one or more Charitable Beneficiaries. Such transfer to the Trustee shall be deemed to be effective as of the close of business on the Business Day prior to the purported Transfer or other event that results in a transfer to the Trust pursuant to Section 9(b)(ii). The Trustee shall be appointed by the Company and shall be a Person unaffiliated with the Company, any Purported Beneficial Transferee or any Purported Record Transferee. Each Charitable Beneficiary shall be designated by the Company as provided in Section 9(c)(vi) of these Articles Supplementary.</w:t>
      </w:r>
    </w:p>
    <w:p>
      <w:pPr>
        <w:spacing w:after="0" w:line="145" w:lineRule="exact"/>
        <w:rPr>
          <w:sz w:val="20"/>
          <w:szCs w:val="20"/>
          <w:color w:val="auto"/>
        </w:rPr>
      </w:pPr>
    </w:p>
    <w:p>
      <w:pPr>
        <w:jc w:val="both"/>
        <w:ind w:left="600" w:right="600" w:firstLine="960"/>
        <w:spacing w:after="0" w:line="278" w:lineRule="auto"/>
        <w:rPr>
          <w:sz w:val="20"/>
          <w:szCs w:val="20"/>
          <w:color w:val="auto"/>
        </w:rPr>
      </w:pPr>
      <w:r>
        <w:rPr>
          <w:rFonts w:ascii="Times New Roman" w:cs="Times New Roman" w:eastAsia="Times New Roman" w:hAnsi="Times New Roman"/>
          <w:sz w:val="13"/>
          <w:szCs w:val="13"/>
          <w:color w:val="auto"/>
        </w:rPr>
        <w:t>Series I Preferred Stock held by the Trustee shall be issued and outstanding Series I Preferred Stock of the Company. The Purported Beneficial Transferee or Purported Record Transferee shall have no rights in the shares of the Series I Preferred Stock held by the Trustee. The Purported Beneficial Transferee or Purported Record Transferee shall not benefit economically from ownership of any shares held in trust by the Trustee, shall have no rights to dividends and shall not possess any rights to vote or other rights attributable to the shares of Series I Preferred Stock held in the Trust.</w:t>
      </w:r>
    </w:p>
    <w:p>
      <w:pPr>
        <w:spacing w:after="0" w:line="143" w:lineRule="exact"/>
        <w:rPr>
          <w:sz w:val="20"/>
          <w:szCs w:val="20"/>
          <w:color w:val="auto"/>
        </w:rPr>
      </w:pPr>
    </w:p>
    <w:p>
      <w:pPr>
        <w:ind w:left="600" w:right="600" w:firstLine="960"/>
        <w:spacing w:after="0" w:line="273" w:lineRule="auto"/>
        <w:rPr>
          <w:sz w:val="20"/>
          <w:szCs w:val="20"/>
          <w:color w:val="auto"/>
        </w:rPr>
      </w:pPr>
      <w:r>
        <w:rPr>
          <w:rFonts w:ascii="Times New Roman" w:cs="Times New Roman" w:eastAsia="Times New Roman" w:hAnsi="Times New Roman"/>
          <w:sz w:val="13"/>
          <w:szCs w:val="13"/>
          <w:color w:val="auto"/>
        </w:rPr>
        <w:t xml:space="preserve">The Trustee shall have all voting rights and rights to dividends with respect to Series I Preferred Stock held in the Trust, which rights shall be exercised for the exclusive benefit of the Charitable Beneficiary. Any dividend or distribution paid to or on behalf of the Purported Record Transferee or Purported Beneficial Transferee prior to the discovery by the Company that shares of Series I Preferred Stock have been transferred to the Trustee shall be paid to the Trustee upon demand, and any dividend or distribution declared but unpaid shall be paid when due to the Trustee with respect to such Series I Preferred Stock. Any dividends or distributions so paid over to the Trustee shall be held in trust for the Charitable Beneficiary. The Purported Record Transferee and Purported Beneficial Transferee shall have no voting rights with respect to the Series I Preferred Stock held in the Trust and, subject to Maryland law, effective as of the date the Series I Preferred Stock has been transferred to the Trustee, the Trustee shall have the authority (at the Trustee’s sole discretion) (A) to rescind as void any vote cast by a Purported Record Transferee with respect to such Series I Preferred Stock prior to the discovery by the Company that the Series I Preferred Stock has been transferred to the Trustee and (B) to recast such vote in accordance with the desires of the Trustee acting for the benefit of the Charitable Beneficiary;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if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107950</wp:posOffset>
            </wp:positionV>
            <wp:extent cx="4436110" cy="1524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761">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542290</wp:posOffset>
            </wp:positionV>
            <wp:extent cx="5083810" cy="1524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762">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18" w:name="page419"/>
    <w:bookmarkEnd w:id="418"/>
    <w:p>
      <w:pPr>
        <w:jc w:val="both"/>
        <w:ind w:left="600" w:right="600"/>
        <w:spacing w:after="0" w:line="278" w:lineRule="auto"/>
        <w:rPr>
          <w:sz w:val="20"/>
          <w:szCs w:val="20"/>
          <w:color w:val="auto"/>
        </w:rPr>
      </w:pPr>
      <w:r>
        <w:rPr>
          <w:rFonts w:ascii="Times New Roman" w:cs="Times New Roman" w:eastAsia="Times New Roman" w:hAnsi="Times New Roman"/>
          <w:sz w:val="13"/>
          <w:szCs w:val="13"/>
          <w:color w:val="auto"/>
        </w:rPr>
        <w:t>Company has already taken irreversible corporate action, then the Trustee shall not have the authority to rescind and recast such vote. Notwithstanding any other provision of these Articles Supplementary to the contrary, until the Company has received notification that the Series I Preferred Stock has been transferred into a Trust, the Company shall be entitled to rely on its share transfer and other stockholder records for purposes of preparing lists of stockholders entitled to vote at meetings, determining the validity and authority of proxies and otherwise conducting votes of stockholders.</w:t>
      </w:r>
    </w:p>
    <w:p>
      <w:pPr>
        <w:spacing w:after="0" w:line="143" w:lineRule="exact"/>
        <w:rPr>
          <w:sz w:val="20"/>
          <w:szCs w:val="20"/>
          <w:color w:val="auto"/>
        </w:rPr>
      </w:pPr>
    </w:p>
    <w:p>
      <w:pPr>
        <w:jc w:val="both"/>
        <w:ind w:left="600" w:right="600" w:firstLine="960"/>
        <w:spacing w:after="0" w:line="272" w:lineRule="auto"/>
        <w:rPr>
          <w:sz w:val="20"/>
          <w:szCs w:val="20"/>
          <w:color w:val="auto"/>
        </w:rPr>
      </w:pPr>
      <w:r>
        <w:rPr>
          <w:rFonts w:ascii="Times New Roman" w:cs="Times New Roman" w:eastAsia="Times New Roman" w:hAnsi="Times New Roman"/>
          <w:sz w:val="13"/>
          <w:szCs w:val="13"/>
          <w:color w:val="auto"/>
        </w:rPr>
        <w:t>Within 20 days of receiving notice from the Company that shares of Series I Preferred Stock have been transferred to the Trust, the Trustee of the Trust shall sell the shares of Series I Preferred Stock held in the Trust to a Person, designated by the Trustee, whose ownership of the shares of Series I Preferred Stock will not violate the ownership limitations set forth in Section 9(b)(i). Upon such sale, the interest of the Charitable Beneficiary in the shares of Series I Preferred Stock sold shall terminate and the Trustee shall distribute the net proceeds of the sale to the Purported Record Transferee and to the Charitable Beneficiary as provided in this Section 9(c)(iv). The Purported Record Transferee shall receive the lesser of (A) the price paid by the Purported Record Transferee for the shares of Series I Preferred Stock in the transaction that resulted in such transfer to the Trust (or, if the event which resulted in the transfer to the Trust did not involve a purchase of such shares of Series I Preferred Stock at Market Price, the Market Price of such shares of Series I Preferred Stock on the day of the event which resulted in the transfer of such shares of Series I Preferred Stock to the Trust) and (B) the price per share received by the Trustee (net of any commissions and other expenses of sale) from the sale or other disposition of the shares of Series I Preferred Stock held in the Trust. The Trustee may reduce the amount payable to the Purported Record Transferee by the amount of dividends and distributions which have been paid to the Purported Record Transferee and are owed by the Purported Record Transferee to the Trustee pursuant to Section 9(c)(iii). Any net sales proceeds in excess of the amount payable to the Purported Record Transferee shall be immediately paid to the Charitable Beneficiary together with any dividends or other distributions thereon. If, prior to the discovery by the Company that shares of such Series I Preferred Stock have been transferred to the Trustee, such shares of Series I Preferred Stock are sold by a Purported Record Transferee then (1) such shares of Series I Preferred Stock shall be deemed to have been sold on behalf of the Trust and (2) to the extent that the Purported Record Transferee received an amount for such shares of Series I Preferred Stock that exceeds the amount that such Purported Record Transferee was entitled to receive pursuant to this Section 9(c)(iv), such excess shall be paid to the Trustee upon demand.</w:t>
      </w:r>
    </w:p>
    <w:p>
      <w:pPr>
        <w:spacing w:after="0" w:line="301" w:lineRule="exact"/>
        <w:rPr>
          <w:sz w:val="20"/>
          <w:szCs w:val="20"/>
          <w:color w:val="auto"/>
        </w:rPr>
      </w:pPr>
    </w:p>
    <w:p>
      <w:pPr>
        <w:ind w:left="600" w:right="600" w:firstLine="960"/>
        <w:spacing w:after="0" w:line="273" w:lineRule="auto"/>
        <w:rPr>
          <w:sz w:val="20"/>
          <w:szCs w:val="20"/>
          <w:color w:val="auto"/>
        </w:rPr>
      </w:pPr>
      <w:r>
        <w:rPr>
          <w:rFonts w:ascii="Times New Roman" w:cs="Times New Roman" w:eastAsia="Times New Roman" w:hAnsi="Times New Roman"/>
          <w:sz w:val="13"/>
          <w:szCs w:val="13"/>
          <w:color w:val="auto"/>
        </w:rPr>
        <w:t>Series I Preferred Stock transferred to the Trustee shall be deemed to have been offered for sale to the Company, or its designee, at a price per share equal to the lesser of (A) the price paid by the Purported Record Transferee for the shares of Series I Preferred Stock in the transaction that resulted in such transfer to the Trust (or, if the event which resulted in the transfer to the Trust did not involve a purchase of such shares of Series I Preferred Stock at Market Price, the Market Price of such shares of Series I Preferred Stock on the day of the event which resulted in the transfer of such shares of Series I Preferred Stock to the Trust) and (B) the Market Price on the date the Company, or its designee, accepts such offer. The Company may reduce the amount payable to the Purported Record Transferee by the amount of dividends and distributions which have been paid to the Purported Record Transferee and are owed by the Purported Record Transferee to the Trustee pursuant to Section 9(c) (iii). The Company shall have the right to accept such offer until the Trustee has sold the shares of Series I Preferred Stock held in the Trust pursuant to Section 9(c)(iv). Upon such a sale to the Company, the interest of the Charitable Beneficiary in the shares of Series I Preferred Stock sold shall terminate and the Trustee shall distribute the net proceeds of the sale to the Purported Record Transferee and any dividends or other distributions held by the Trustee with respect to such Series I Preferred Stock shall thereupon be paid to the Charitable Beneficiary.</w:t>
      </w:r>
    </w:p>
    <w:p>
      <w:pPr>
        <w:spacing w:after="0" w:line="134" w:lineRule="exact"/>
        <w:rPr>
          <w:sz w:val="20"/>
          <w:szCs w:val="20"/>
          <w:color w:val="auto"/>
        </w:rPr>
      </w:pPr>
    </w:p>
    <w:p>
      <w:pPr>
        <w:jc w:val="both"/>
        <w:ind w:left="600" w:right="620" w:firstLine="960"/>
        <w:spacing w:after="0" w:line="287" w:lineRule="auto"/>
        <w:rPr>
          <w:sz w:val="20"/>
          <w:szCs w:val="20"/>
          <w:color w:val="auto"/>
        </w:rPr>
      </w:pPr>
      <w:r>
        <w:rPr>
          <w:rFonts w:ascii="Times New Roman" w:cs="Times New Roman" w:eastAsia="Times New Roman" w:hAnsi="Times New Roman"/>
          <w:sz w:val="13"/>
          <w:szCs w:val="13"/>
          <w:color w:val="auto"/>
        </w:rPr>
        <w:t>By written notice to the Trustee, the Company shall designate one or more nonprofit organizations to be the Charitable Beneficiary of the interest in the Trust such that the Series I Preferred Stock held in the Trust would not violate the restrictions set forth in Section 9(b)(i) in the hands of such Charitable Beneficiary.</w:t>
      </w:r>
    </w:p>
    <w:p>
      <w:pPr>
        <w:spacing w:after="0" w:line="136" w:lineRule="exact"/>
        <w:rPr>
          <w:sz w:val="20"/>
          <w:szCs w:val="20"/>
          <w:color w:val="auto"/>
        </w:rPr>
      </w:pPr>
    </w:p>
    <w:p>
      <w:pPr>
        <w:jc w:val="both"/>
        <w:ind w:left="600" w:right="620" w:firstLine="480"/>
        <w:spacing w:after="0" w:line="275" w:lineRule="auto"/>
        <w:rPr>
          <w:sz w:val="20"/>
          <w:szCs w:val="20"/>
          <w:color w:val="auto"/>
        </w:rPr>
      </w:pPr>
      <w:r>
        <w:rPr>
          <w:rFonts w:ascii="Times New Roman" w:cs="Times New Roman" w:eastAsia="Times New Roman" w:hAnsi="Times New Roman"/>
          <w:sz w:val="13"/>
          <w:szCs w:val="13"/>
          <w:u w:val="single" w:color="auto"/>
          <w:color w:val="auto"/>
        </w:rPr>
        <w:t>Remedies For Breach</w:t>
      </w:r>
      <w:r>
        <w:rPr>
          <w:rFonts w:ascii="Times New Roman" w:cs="Times New Roman" w:eastAsia="Times New Roman" w:hAnsi="Times New Roman"/>
          <w:sz w:val="13"/>
          <w:szCs w:val="13"/>
          <w:color w:val="auto"/>
        </w:rPr>
        <w:t>. If the Board of Directors or a committee thereof or other designees if permitted by the MGCL shall at any time determine in good faith that a Transfer or other event has taken place in violation of Section 9(b) of these Articles Supplementary or that a Person intends to acquire, has attempted to acquire or may acquire beneficial ownership (determined without reference to any rules of attribution), Beneficial Ownership or Constructive Ownership of any shares of Series I Preferred Stock of the Company in violation of Section 9(b) of these Articles Supplementary, the Board of Directors or a committee thereof or other designees if permitted by the MGCL shall take such action as it deems advisable to refuse to give effect or to prevent such Transfer, including, but not limited to, causing the Company to redeem shares of Series I Preferred Stock, refusing to give effect to such Transfer on the books of the Company or instituting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107315</wp:posOffset>
            </wp:positionV>
            <wp:extent cx="4436110" cy="1524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763">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549275</wp:posOffset>
            </wp:positionV>
            <wp:extent cx="5083810" cy="1524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764">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19" w:name="page420"/>
    <w:bookmarkEnd w:id="419"/>
    <w:p>
      <w:pPr>
        <w:jc w:val="both"/>
        <w:ind w:left="600" w:right="600"/>
        <w:spacing w:after="0" w:line="281" w:lineRule="auto"/>
        <w:rPr>
          <w:sz w:val="20"/>
          <w:szCs w:val="20"/>
          <w:color w:val="auto"/>
        </w:rPr>
      </w:pPr>
      <w:r>
        <w:rPr>
          <w:rFonts w:ascii="Times New Roman" w:cs="Times New Roman" w:eastAsia="Times New Roman" w:hAnsi="Times New Roman"/>
          <w:sz w:val="13"/>
          <w:szCs w:val="13"/>
          <w:color w:val="auto"/>
        </w:rPr>
        <w:t xml:space="preserve">proceedings to enjoin such Transfer;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that any Transfers (or, in the case of events other than a Transfer, ownership or Constructive Ownership or Beneficial Ownership) in violation of Section 9(b)(i) of these Articles Supplementary, shall automatically result in the transfer to a Trust as described in Section 9(b)(ii) and any Transfer in violation of Section 9(b)(iii) shall automatically be void </w:t>
      </w:r>
      <w:r>
        <w:rPr>
          <w:rFonts w:ascii="Times New Roman" w:cs="Times New Roman" w:eastAsia="Times New Roman" w:hAnsi="Times New Roman"/>
          <w:sz w:val="13"/>
          <w:szCs w:val="13"/>
          <w:i w:val="1"/>
          <w:iCs w:val="1"/>
          <w:color w:val="auto"/>
        </w:rPr>
        <w:t>ab initio</w:t>
      </w:r>
      <w:r>
        <w:rPr>
          <w:rFonts w:ascii="Times New Roman" w:cs="Times New Roman" w:eastAsia="Times New Roman" w:hAnsi="Times New Roman"/>
          <w:sz w:val="13"/>
          <w:szCs w:val="13"/>
          <w:color w:val="auto"/>
        </w:rPr>
        <w:t xml:space="preserve"> irrespective of any action (or non-action) by the Board of Directors.</w:t>
      </w:r>
    </w:p>
    <w:p>
      <w:pPr>
        <w:spacing w:after="0" w:line="140" w:lineRule="exact"/>
        <w:rPr>
          <w:sz w:val="20"/>
          <w:szCs w:val="20"/>
          <w:color w:val="auto"/>
        </w:rPr>
      </w:pPr>
    </w:p>
    <w:p>
      <w:pPr>
        <w:jc w:val="both"/>
        <w:ind w:left="600" w:right="600" w:firstLine="480"/>
        <w:spacing w:after="0" w:line="278" w:lineRule="auto"/>
        <w:rPr>
          <w:sz w:val="20"/>
          <w:szCs w:val="20"/>
          <w:color w:val="auto"/>
        </w:rPr>
      </w:pPr>
      <w:r>
        <w:rPr>
          <w:rFonts w:ascii="Times New Roman" w:cs="Times New Roman" w:eastAsia="Times New Roman" w:hAnsi="Times New Roman"/>
          <w:sz w:val="13"/>
          <w:szCs w:val="13"/>
          <w:u w:val="single" w:color="auto"/>
          <w:color w:val="auto"/>
        </w:rPr>
        <w:t>Notice of Restricted Transfer</w:t>
      </w:r>
      <w:r>
        <w:rPr>
          <w:rFonts w:ascii="Times New Roman" w:cs="Times New Roman" w:eastAsia="Times New Roman" w:hAnsi="Times New Roman"/>
          <w:sz w:val="13"/>
          <w:szCs w:val="13"/>
          <w:color w:val="auto"/>
        </w:rPr>
        <w:t>. Any Person who acquires or attempts to acquire shares of Series I Preferred Stock in violation of Section 9(b) of these Articles Supplementary, or any Person who is a Purported Beneficial Transferee such that an automatic transfer to a Trust results under Section 9(b)(ii) of these Articles Supplementary, shall immediately give written notice to the Company of such event and shall provide to the Company such other information as the Company may request in order to determine the effect, if any, of such Transfer or attempted Transfer on the Company’s status as a REIT.</w:t>
      </w:r>
    </w:p>
    <w:p>
      <w:pPr>
        <w:spacing w:after="0" w:line="143" w:lineRule="exact"/>
        <w:rPr>
          <w:sz w:val="20"/>
          <w:szCs w:val="20"/>
          <w:color w:val="auto"/>
        </w:rPr>
      </w:pPr>
    </w:p>
    <w:p>
      <w:pPr>
        <w:jc w:val="both"/>
        <w:ind w:left="600" w:right="600" w:firstLine="480"/>
        <w:spacing w:after="0" w:line="281" w:lineRule="auto"/>
        <w:rPr>
          <w:sz w:val="20"/>
          <w:szCs w:val="20"/>
          <w:color w:val="auto"/>
        </w:rPr>
      </w:pPr>
      <w:r>
        <w:rPr>
          <w:rFonts w:ascii="Times New Roman" w:cs="Times New Roman" w:eastAsia="Times New Roman" w:hAnsi="Times New Roman"/>
          <w:sz w:val="13"/>
          <w:szCs w:val="13"/>
          <w:u w:val="single" w:color="auto"/>
          <w:color w:val="auto"/>
        </w:rPr>
        <w:t>Owners Required To Provide Information</w:t>
      </w:r>
      <w:r>
        <w:rPr>
          <w:rFonts w:ascii="Times New Roman" w:cs="Times New Roman" w:eastAsia="Times New Roman" w:hAnsi="Times New Roman"/>
          <w:sz w:val="13"/>
          <w:szCs w:val="13"/>
          <w:color w:val="auto"/>
        </w:rPr>
        <w:t>. Prior to the Restriction Termination Date each Person who is a beneficial owner or Beneficial Owner or Constructive Owner of Series I Preferred Stock and each Person (including the stockholder of record) who is holding Series I Preferred Stock for a beneficial owner or Beneficial Owner or Constructive Owner shall provide to the Company such information that the Company may request, in good faith, in order to determine the Company’s status as a REIT.</w:t>
      </w:r>
    </w:p>
    <w:p>
      <w:pPr>
        <w:spacing w:after="0" w:line="140" w:lineRule="exact"/>
        <w:rPr>
          <w:sz w:val="20"/>
          <w:szCs w:val="20"/>
          <w:color w:val="auto"/>
        </w:rPr>
      </w:pPr>
    </w:p>
    <w:p>
      <w:pPr>
        <w:jc w:val="both"/>
        <w:ind w:left="600" w:right="600" w:firstLine="480"/>
        <w:spacing w:after="0" w:line="287" w:lineRule="auto"/>
        <w:rPr>
          <w:sz w:val="20"/>
          <w:szCs w:val="20"/>
          <w:color w:val="auto"/>
        </w:rPr>
      </w:pPr>
      <w:r>
        <w:rPr>
          <w:rFonts w:ascii="Times New Roman" w:cs="Times New Roman" w:eastAsia="Times New Roman" w:hAnsi="Times New Roman"/>
          <w:sz w:val="13"/>
          <w:szCs w:val="13"/>
          <w:u w:val="single" w:color="auto"/>
          <w:color w:val="auto"/>
        </w:rPr>
        <w:t>Remedies Not Limited</w:t>
      </w:r>
      <w:r>
        <w:rPr>
          <w:rFonts w:ascii="Times New Roman" w:cs="Times New Roman" w:eastAsia="Times New Roman" w:hAnsi="Times New Roman"/>
          <w:sz w:val="13"/>
          <w:szCs w:val="13"/>
          <w:color w:val="auto"/>
        </w:rPr>
        <w:t>. Nothing contained in these Articles Supplementary (but subject to Section 9(l) of these Articles Supplementary) shall limit the authority of the Board of Directors to take such other action as it deems necessary or advisable to protect the Company and the interests of its stockholders by preservation of the Company’s status as a REIT.</w:t>
      </w:r>
    </w:p>
    <w:p>
      <w:pPr>
        <w:spacing w:after="0" w:line="136" w:lineRule="exact"/>
        <w:rPr>
          <w:sz w:val="20"/>
          <w:szCs w:val="20"/>
          <w:color w:val="auto"/>
        </w:rPr>
      </w:pPr>
    </w:p>
    <w:p>
      <w:pPr>
        <w:jc w:val="both"/>
        <w:ind w:left="600" w:right="600" w:firstLine="480"/>
        <w:spacing w:after="0" w:line="273" w:lineRule="auto"/>
        <w:rPr>
          <w:sz w:val="20"/>
          <w:szCs w:val="20"/>
          <w:color w:val="auto"/>
        </w:rPr>
      </w:pPr>
      <w:r>
        <w:rPr>
          <w:rFonts w:ascii="Times New Roman" w:cs="Times New Roman" w:eastAsia="Times New Roman" w:hAnsi="Times New Roman"/>
          <w:sz w:val="13"/>
          <w:szCs w:val="13"/>
          <w:u w:val="single" w:color="auto"/>
          <w:color w:val="auto"/>
        </w:rPr>
        <w:t>Ambiguity</w:t>
      </w:r>
      <w:r>
        <w:rPr>
          <w:rFonts w:ascii="Times New Roman" w:cs="Times New Roman" w:eastAsia="Times New Roman" w:hAnsi="Times New Roman"/>
          <w:sz w:val="13"/>
          <w:szCs w:val="13"/>
          <w:color w:val="auto"/>
        </w:rPr>
        <w:t>. In the case of an ambiguity in the application of any of the provisions of this Section 9 of these Articles Supplementary, including any definition contained in Section 9(a), the Board of Directors shall have the power to determine the application of the provisions of this Section 9 with respect to any situation based on the facts known to it (subject, however, to the provisions of Section 9(l) of these Articles Supplementary). In the event Section 9 requires an action by the Board of Directors and these Articles Supplementary fail to provide specific guidance with respect to such action, the Board of Directors shall have the power to determine the action to be taken so long as such action is not contrary to the provisions of Section 9. Absent a decision to the contrary by the Board of Directors (which the Board of Directors may make in its sole and absolute discretion), if a Person would have (but for the remedies set forth in Section 9(b)) acquired Beneficial or Constructive Ownership of Series I Preferred Stock in violation of Section 9(b)(i), such remedies (as applicable) shall apply first to the shares of Series I Preferred Stock which, but for such remedies, would have been actually owned by such Person, and second to shares of Series I Preferred Stock, which, but for such remedies, would have been Beneficially Owned or Constructively Owned (but not actually owned) by such Person, pro rata among the Persons who actually own such shares of Series I Preferred Stock based upon the relative number of the shares of Series I Preferred Stock held by each such Person.</w:t>
      </w:r>
    </w:p>
    <w:p>
      <w:pPr>
        <w:spacing w:after="0" w:line="13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u w:val="single" w:color="auto"/>
          <w:color w:val="auto"/>
        </w:rPr>
        <w:t>Exceptions</w:t>
      </w:r>
      <w:r>
        <w:rPr>
          <w:rFonts w:ascii="Times New Roman" w:cs="Times New Roman" w:eastAsia="Times New Roman" w:hAnsi="Times New Roman"/>
          <w:sz w:val="13"/>
          <w:szCs w:val="13"/>
          <w:color w:val="auto"/>
        </w:rPr>
        <w:t>.</w:t>
      </w:r>
    </w:p>
    <w:p>
      <w:pPr>
        <w:spacing w:after="0" w:line="187" w:lineRule="exact"/>
        <w:rPr>
          <w:sz w:val="20"/>
          <w:szCs w:val="20"/>
          <w:color w:val="auto"/>
        </w:rPr>
      </w:pPr>
    </w:p>
    <w:p>
      <w:pPr>
        <w:jc w:val="both"/>
        <w:ind w:left="600" w:right="600" w:firstLine="960"/>
        <w:spacing w:after="0" w:line="281" w:lineRule="auto"/>
        <w:rPr>
          <w:sz w:val="20"/>
          <w:szCs w:val="20"/>
          <w:color w:val="auto"/>
        </w:rPr>
      </w:pPr>
      <w:r>
        <w:rPr>
          <w:rFonts w:ascii="Times New Roman" w:cs="Times New Roman" w:eastAsia="Times New Roman" w:hAnsi="Times New Roman"/>
          <w:sz w:val="13"/>
          <w:szCs w:val="13"/>
          <w:color w:val="auto"/>
        </w:rPr>
        <w:t>Subject to Section 9(b)(i)(C), the Board of Directors, in its sole discretion, may exempt (prospectively or retroactively) a Person from the limitation on a Person Beneficially Owning shares of Series I Preferred Stock in violation of Section 9(b)(i)(A) if the Board of Directors determines that such exemption will not cause any Individual’s Beneficial Ownership of shares of Capital Stock to violate the Aggregate Stock Ownership Limit and that such exemption will not cause the Company to fail to qualify as a REIT under the Code.</w:t>
      </w:r>
    </w:p>
    <w:p>
      <w:pPr>
        <w:spacing w:after="0" w:line="140" w:lineRule="exact"/>
        <w:rPr>
          <w:sz w:val="20"/>
          <w:szCs w:val="20"/>
          <w:color w:val="auto"/>
        </w:rPr>
      </w:pPr>
    </w:p>
    <w:p>
      <w:pPr>
        <w:jc w:val="both"/>
        <w:ind w:left="600" w:right="600" w:firstLine="960"/>
        <w:spacing w:after="0" w:line="287" w:lineRule="auto"/>
        <w:rPr>
          <w:sz w:val="20"/>
          <w:szCs w:val="20"/>
          <w:color w:val="auto"/>
        </w:rPr>
      </w:pPr>
      <w:r>
        <w:rPr>
          <w:rFonts w:ascii="Times New Roman" w:cs="Times New Roman" w:eastAsia="Times New Roman" w:hAnsi="Times New Roman"/>
          <w:sz w:val="13"/>
          <w:szCs w:val="13"/>
          <w:color w:val="auto"/>
        </w:rPr>
        <w:t>Subject to Section 9(b)(i)(C), the Board of Directors in its sole discretion, may exempt (prospectively or retroactively) a Person from the limitation on a Person Constructively Owning shares of Series I Preferred Stock in violation of Section 9(b)(i)(B), if the Board of Directors determines that such ownership would not cause the Company to fail to qualify as a REIT under the Code.</w:t>
      </w:r>
    </w:p>
    <w:p>
      <w:pPr>
        <w:spacing w:after="0" w:line="136" w:lineRule="exact"/>
        <w:rPr>
          <w:sz w:val="20"/>
          <w:szCs w:val="20"/>
          <w:color w:val="auto"/>
        </w:rPr>
      </w:pPr>
    </w:p>
    <w:p>
      <w:pPr>
        <w:jc w:val="both"/>
        <w:ind w:left="600" w:right="600" w:firstLine="960"/>
        <w:spacing w:after="0" w:line="278" w:lineRule="auto"/>
        <w:rPr>
          <w:sz w:val="20"/>
          <w:szCs w:val="20"/>
          <w:color w:val="auto"/>
        </w:rPr>
      </w:pPr>
      <w:r>
        <w:rPr>
          <w:rFonts w:ascii="Times New Roman" w:cs="Times New Roman" w:eastAsia="Times New Roman" w:hAnsi="Times New Roman"/>
          <w:sz w:val="13"/>
          <w:szCs w:val="13"/>
          <w:color w:val="auto"/>
        </w:rPr>
        <w:t xml:space="preserve">Subject to Section 9(b)(i)(C) and the remainder of this Section 9(i)(iii), the Board of Directors may from time to time increase or decrease the Ownership Limit;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the decreased Ownership Limit will not be effective for any Person whose percentage ownership of Series I Preferred Stock is in excess of such decreased Ownership Limit until such time as such Person's percentage of Series I Preferred Stock equals or falls below the decreased Ownership Limit, but any further acquisition of Series I Preferred Stock in excess of such percentage ownership of Series I Preferred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105410</wp:posOffset>
            </wp:positionV>
            <wp:extent cx="4436110" cy="762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765">
                      <a:extLst>
                        <a:ext uri="{28A0092B-C50C-407E-A947-70E740481C1C}"/>
                      </a:extLst>
                    </a:blip>
                    <a:srcRect/>
                    <a:stretch>
                      <a:fillRect/>
                    </a:stretch>
                  </pic:blipFill>
                  <pic:spPr bwMode="auto">
                    <a:xfrm>
                      <a:off x="0" y="0"/>
                      <a:ext cx="4436110"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539750</wp:posOffset>
            </wp:positionV>
            <wp:extent cx="5083810" cy="1524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766">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20" w:name="page421"/>
    <w:bookmarkEnd w:id="420"/>
    <w:p>
      <w:pPr>
        <w:ind w:left="600" w:right="780"/>
        <w:spacing w:after="0" w:line="305" w:lineRule="auto"/>
        <w:rPr>
          <w:sz w:val="20"/>
          <w:szCs w:val="20"/>
          <w:color w:val="auto"/>
        </w:rPr>
      </w:pPr>
      <w:r>
        <w:rPr>
          <w:rFonts w:ascii="Times New Roman" w:cs="Times New Roman" w:eastAsia="Times New Roman" w:hAnsi="Times New Roman"/>
          <w:sz w:val="13"/>
          <w:szCs w:val="13"/>
          <w:color w:val="auto"/>
        </w:rPr>
        <w:t>Stock will be in violation of the Ownership Limit, and, provided further, that the new Ownership Limit would not allow five or fewer Persons to Beneficially Own more than 49% in value of the outstanding capital stock of the Company.</w:t>
      </w:r>
    </w:p>
    <w:p>
      <w:pPr>
        <w:spacing w:after="0" w:line="124" w:lineRule="exact"/>
        <w:rPr>
          <w:sz w:val="20"/>
          <w:szCs w:val="20"/>
          <w:color w:val="auto"/>
        </w:rPr>
      </w:pPr>
    </w:p>
    <w:p>
      <w:pPr>
        <w:jc w:val="both"/>
        <w:ind w:left="600" w:right="600" w:firstLine="960"/>
        <w:spacing w:after="0" w:line="271" w:lineRule="auto"/>
        <w:rPr>
          <w:sz w:val="20"/>
          <w:szCs w:val="20"/>
          <w:color w:val="auto"/>
        </w:rPr>
      </w:pPr>
      <w:r>
        <w:rPr>
          <w:rFonts w:ascii="Times New Roman" w:cs="Times New Roman" w:eastAsia="Times New Roman" w:hAnsi="Times New Roman"/>
          <w:sz w:val="13"/>
          <w:szCs w:val="13"/>
          <w:color w:val="auto"/>
        </w:rPr>
        <w:t>In granting a Person an exemption under Section 9(i)(i) or (ii) above, the Board of Directors may require such Person to make certain representations or undertakings or to agree that any violation or attempted violation of such representations or undertakings (or other action which is contrary to the restrictions contained in Section 9(b) of these Articles Supplementary) will result in such Series I Preferred Stock being transferred to a Trust in accordance with Section 9(b)(ii) of these Articles Supplementary. In granting any exception pursuant to Section 9(i)(i) or</w:t>
      </w:r>
    </w:p>
    <w:p>
      <w:pPr>
        <w:spacing w:after="0" w:line="1" w:lineRule="exact"/>
        <w:rPr>
          <w:sz w:val="20"/>
          <w:szCs w:val="20"/>
          <w:color w:val="auto"/>
        </w:rPr>
      </w:pPr>
    </w:p>
    <w:p>
      <w:pPr>
        <w:jc w:val="both"/>
        <w:ind w:left="600" w:right="600" w:hanging="6"/>
        <w:spacing w:after="0" w:line="284" w:lineRule="auto"/>
        <w:tabs>
          <w:tab w:leader="none" w:pos="796" w:val="left"/>
        </w:tabs>
        <w:numPr>
          <w:ilvl w:val="0"/>
          <w:numId w:val="4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of these Articles Supplementary, the Board of Directors may require a ruling from the IRS, or an opinion of counsel, in either case in form and substance satisfactory to the Board of Directors in its sole discretion, as it may deem necessary or advisable in order to determine or ensure the Company's status as a REIT.</w:t>
      </w:r>
    </w:p>
    <w:p>
      <w:pPr>
        <w:spacing w:after="0" w:line="138" w:lineRule="exact"/>
        <w:rPr>
          <w:sz w:val="20"/>
          <w:szCs w:val="20"/>
          <w:color w:val="auto"/>
        </w:rPr>
      </w:pPr>
    </w:p>
    <w:p>
      <w:pPr>
        <w:ind w:left="600" w:right="620" w:firstLine="480"/>
        <w:spacing w:after="0" w:line="305" w:lineRule="auto"/>
        <w:rPr>
          <w:sz w:val="20"/>
          <w:szCs w:val="20"/>
          <w:color w:val="auto"/>
        </w:rPr>
      </w:pPr>
      <w:r>
        <w:rPr>
          <w:rFonts w:ascii="Times New Roman" w:cs="Times New Roman" w:eastAsia="Times New Roman" w:hAnsi="Times New Roman"/>
          <w:sz w:val="13"/>
          <w:szCs w:val="13"/>
          <w:u w:val="single" w:color="auto"/>
          <w:color w:val="auto"/>
        </w:rPr>
        <w:t>Legends</w:t>
      </w:r>
      <w:r>
        <w:rPr>
          <w:rFonts w:ascii="Times New Roman" w:cs="Times New Roman" w:eastAsia="Times New Roman" w:hAnsi="Times New Roman"/>
          <w:sz w:val="13"/>
          <w:szCs w:val="13"/>
          <w:color w:val="auto"/>
        </w:rPr>
        <w:t>. Each certificate for Series I Preferred Stock shall bear substantially the following legends in addition to any legends required to comply with federal and state securities laws:</w:t>
      </w:r>
    </w:p>
    <w:p>
      <w:pPr>
        <w:spacing w:after="0" w:line="122"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3"/>
          <w:szCs w:val="13"/>
          <w:b w:val="1"/>
          <w:bCs w:val="1"/>
          <w:color w:val="auto"/>
        </w:rPr>
        <w:t>Classes of Stock</w:t>
      </w:r>
    </w:p>
    <w:p>
      <w:pPr>
        <w:spacing w:after="0" w:line="189" w:lineRule="exact"/>
        <w:rPr>
          <w:sz w:val="20"/>
          <w:szCs w:val="20"/>
          <w:color w:val="auto"/>
        </w:rPr>
      </w:pPr>
    </w:p>
    <w:p>
      <w:pPr>
        <w:ind w:left="1220" w:right="580"/>
        <w:spacing w:after="0" w:line="272" w:lineRule="auto"/>
        <w:rPr>
          <w:sz w:val="20"/>
          <w:szCs w:val="20"/>
          <w:color w:val="auto"/>
        </w:rPr>
      </w:pPr>
      <w:r>
        <w:rPr>
          <w:rFonts w:ascii="Times New Roman" w:cs="Times New Roman" w:eastAsia="Times New Roman" w:hAnsi="Times New Roman"/>
          <w:sz w:val="13"/>
          <w:szCs w:val="13"/>
          <w:color w:val="auto"/>
        </w:rPr>
        <w:t>“THE COMPANY IS AUTHORIZED TO ISSUE CAPITAL STOCK OF MORE THAN ONE CLASS, CONSISTING OF COMMON STOCK AND ONE OR MORE CLASSES OF PREFERRED STOCK. THE BOARD OF DIRECTORS IS AUTHORIZED TO DETERMINE THE PREFERENCES, LIMITATIONS AND RELATIVE RIGHTS OF ANY CLASS OF THE PREFERRED STOCK BEFORE THE ISSUANCE OF SHARES OF SUCH CLASS OF PREFERRED STOCK. THE COMPANY WILL FURNISH, WITHOUT CHARGE, TO ANY STOCKHOLDER MAKING A WRITTEN REQUEST THEREFOR, A COPY OF THE COMPANY’S CHARTER AND A WRITTEN STATEMENT OF THE DESIGNATIONS, RELATIVE RIGHTS, PREFERENCES, CONVERSION OR OTHER RIGHTS, VOTING POWERS, RESTRICTIONS, LIMITATIONS AS TO DIVIDENDS AND OTHER DISTRIBUTIONS, QUALIFICATIONS AND TERMS AND CONDITIONS OF REDEMPTION OF THE STOCK OF EACH CLASS WHICH THE COMPANY HAS THE AUTHORITY TO ISSUE AND, IF THE COMPANY IS AUTHORIZED TO ISSUE ANY PREFERRED OR SPECIAL CLASS IN SERIES, (i) THE DIFFERENCES IN THE RELATIVE RIGHTS AND PREFERENCES BETWEEN THE SHARES OF EACH SERIES TO THE EXTENT SET, AND (ii) THE AUTHORITY OF THE BOARD OF DIRECTORS TO SET SUCH RIGHTS AND PREFERENCES OF SUBSEQUENT SERIES. REQUESTS FOR SUCH WRITTEN STATEMENT MAY BE DIRECTED TO THE SECRETARY OF THE COMPANY AT ITS PRINCIPAL OFFICE.”</w:t>
      </w:r>
    </w:p>
    <w:p>
      <w:pPr>
        <w:spacing w:after="0" w:line="13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3"/>
          <w:szCs w:val="13"/>
          <w:b w:val="1"/>
          <w:bCs w:val="1"/>
          <w:color w:val="auto"/>
        </w:rPr>
        <w:t>Restriction on Ownership and Transfer</w:t>
      </w:r>
    </w:p>
    <w:p>
      <w:pPr>
        <w:spacing w:after="0" w:line="189" w:lineRule="exact"/>
        <w:rPr>
          <w:sz w:val="20"/>
          <w:szCs w:val="20"/>
          <w:color w:val="auto"/>
        </w:rPr>
      </w:pPr>
    </w:p>
    <w:p>
      <w:pPr>
        <w:jc w:val="both"/>
        <w:ind w:left="1220" w:right="600"/>
        <w:spacing w:after="0" w:line="272" w:lineRule="auto"/>
        <w:rPr>
          <w:sz w:val="20"/>
          <w:szCs w:val="20"/>
          <w:color w:val="auto"/>
        </w:rPr>
      </w:pPr>
      <w:r>
        <w:rPr>
          <w:rFonts w:ascii="Times New Roman" w:cs="Times New Roman" w:eastAsia="Times New Roman" w:hAnsi="Times New Roman"/>
          <w:sz w:val="13"/>
          <w:szCs w:val="13"/>
          <w:color w:val="auto"/>
        </w:rPr>
        <w:t>“THE SHARES OF THE COMPANY’S 6.350% SERIES I CUMULATIVE REDEEMABLE PREFERRED STOCK (“SERIES I PREFERRED STOCK”) REPRESENTED BY THIS CERTIFICATE ARE SUBJECT TO RESTRICTIONS ON BENEFICIAL AND CONSTRUCTIVE OWNERSHIP AND TRANSFER FOR THE PURPOSE OF THE COMPANY’S MAINTENANCE OF ITS STATUS AS A REAL ESTATE INVESTMENT TRUST UNDER THE INTERNAL REVENUE CODE OF 1986, AS AMENDED (THE “CODE”). SUBJECT TO CERTAIN FURTHER RESTRICTIONS AND EXCEPT AS EXPRESSLY PROVIDED IN THE ARTICLES SUPPLEMENTARY FOR THE SERIES I PREFERRED STOCK, (i) NO PERSON MAY BENEFICIALLY OR CONSTRUCTIVELY OWN SHARES OF SERIES I PREFERRED STOCK IN EXCESS OF 9.8% (BY VALUE OR BY NUMBER OF SHARES, WHICHEVER IS MORE RESTRICTIVE) OF THE OUTSTANDING SERIES I PREFERRED STOCK OF THE COMPANY; (ii) NO PERSON MAY BENEFICIALLY OR CONSTRUCTIVELY OWN SHARES OF SERIES I PREFERRED STOCK THAT, TAKING INTO ACCOUNT ANY OTHER CAPITAL STOCK OF THE COMPANY BENEFICIALLY OR CONSTRUCTIVELY OWNED BY SUCH PERSON, WOULD RESULT IN SUCH PERSON BENEFICIALLY OR CONSTRUCTIVELY OWNING CAPITAL STOCK WITH A VALUE IN EXCESS OF 9.8% OF THE VALUE OF THE COMPANY’S OUTSTANDING CAPITAL STOCK; (iii) NO PERSON MAY BENEFICIALLY OR CONSTRUCTIVELY OWN SHARES OF SERIES I PREFERRED STOCK THAT, TAKING INTO ACCOUNT ANY OTHER CAPITAL STOCK OF THE COMPANY BENEFICIALLY OR CONSTRUCTIVELY OWNED BY SUCH PERSON, WOULD RESULT IN THE COMPANY BEING “CLOSELY HELD” UNDER SECTION 856(h)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215265</wp:posOffset>
            </wp:positionV>
            <wp:extent cx="4436110" cy="1524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767">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649605</wp:posOffset>
            </wp:positionV>
            <wp:extent cx="5083810" cy="1524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768">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21" w:name="page422"/>
    <w:bookmarkEnd w:id="421"/>
    <w:p>
      <w:pPr>
        <w:jc w:val="both"/>
        <w:ind w:left="1200" w:right="600"/>
        <w:spacing w:after="0" w:line="271" w:lineRule="auto"/>
        <w:rPr>
          <w:sz w:val="20"/>
          <w:szCs w:val="20"/>
          <w:color w:val="auto"/>
        </w:rPr>
      </w:pPr>
      <w:r>
        <w:rPr>
          <w:rFonts w:ascii="Times New Roman" w:cs="Times New Roman" w:eastAsia="Times New Roman" w:hAnsi="Times New Roman"/>
          <w:sz w:val="13"/>
          <w:szCs w:val="13"/>
          <w:color w:val="auto"/>
        </w:rPr>
        <w:t xml:space="preserve">THE CODE OR OTHERWISE CAUSE THE COMPANY TO FAIL TO QUALIFY AS A REIT; AND (iv) ANY TRANSFER OF SHARES OF SERIES I PREFERRED STOCK THAT, IF EFFECTIVE, WOULD RESULT IN THE CAPITAL STOCK OF THE COMPANY BEING BENEFICIALLY OWNED BY FEWER THAN 100 PERSONS WILL BE VOID </w:t>
      </w:r>
      <w:r>
        <w:rPr>
          <w:rFonts w:ascii="Times New Roman" w:cs="Times New Roman" w:eastAsia="Times New Roman" w:hAnsi="Times New Roman"/>
          <w:sz w:val="13"/>
          <w:szCs w:val="13"/>
          <w:i w:val="1"/>
          <w:iCs w:val="1"/>
          <w:color w:val="auto"/>
        </w:rPr>
        <w:t>AB INITIO</w:t>
      </w:r>
      <w:r>
        <w:rPr>
          <w:rFonts w:ascii="Times New Roman" w:cs="Times New Roman" w:eastAsia="Times New Roman" w:hAnsi="Times New Roman"/>
          <w:sz w:val="13"/>
          <w:szCs w:val="13"/>
          <w:color w:val="auto"/>
        </w:rPr>
        <w:t xml:space="preserve"> AND THE INTENDED TRANSFEREE WILL ACQUIRE NO RIGHTS IN SUCH SHARES OF SERIES I PREFERRED STOCK. ANY PERSON WHO BENEFICIALLY OR CONSTRUCTIVELY OWNS OR ATTEMPTS TO BENEFICIALLY OR CONSTRUCTIVELY OWN SERIES I PREFERRED STOCK WHICH CAUSES OR WILL CAUSE A PERSON TO BENEFICIALLY OR CONSTRUCTIVELY OWN SERIES I PREFERRED STOCK IN EXCESS OF THE ABOVE LIMITATIONS MUST IMMEDIATELY NOTIFY THE COMPANY. IF ANY OF THE RESTRICTIONS ON TRANSFER OR OWNERSHIP IN (i) THROUGH (iii) ABOVE ARE VIOLATED, THE SERIES I PREFERRED STOCK REPRESENTED HEREBY IN EXCESS OF SUCH RESTRICTIONS WILL BE AUTOMATICALLY TRANSFERRED TO THE TRUSTEE OF A TRUST FOR THE BENEFIT OF ONE OR MORE CHARITABLE BENEFICIARIES. IN ADDITION, THE COMPANY MAY REDEEM SHARES UPON THE TERMS AND CONDITIONS SPECIFIED BY THE BOARD OF DIRECTORS IN ITS SOLE DISCRETION IF THE BOARD OF DIRECTORS DETERMINES THAT OWNERSHIP OR A TRANSFER OR OTHER EVENT MAY VIOLATE THE RESTRICTIONS DESCRIBED ABOVE. FURTHERMORE, UPON THE OCCURRENCE OF CERTAIN EVENTS, ATTEMPTED TRANSFERS IN VIOLATION OF THE RESTRICTIONS DESCRIBED ABOVE MAY BE VOID </w:t>
      </w:r>
      <w:r>
        <w:rPr>
          <w:rFonts w:ascii="Times New Roman" w:cs="Times New Roman" w:eastAsia="Times New Roman" w:hAnsi="Times New Roman"/>
          <w:sz w:val="13"/>
          <w:szCs w:val="13"/>
          <w:i w:val="1"/>
          <w:iCs w:val="1"/>
          <w:color w:val="auto"/>
        </w:rPr>
        <w:t>AB INITIO</w:t>
      </w:r>
      <w:r>
        <w:rPr>
          <w:rFonts w:ascii="Times New Roman" w:cs="Times New Roman" w:eastAsia="Times New Roman" w:hAnsi="Times New Roman"/>
          <w:sz w:val="13"/>
          <w:szCs w:val="13"/>
          <w:color w:val="auto"/>
        </w:rPr>
        <w:t>. ALL TERMS IN THIS LEGEND WHICH ARE DEFINED IN THE ARTICLES SUPPLEMENTARY FOR THE SERIES I PREFERRED STOCK SHALL HAVE THE MEANINGS ASCRIBED TO THEM IN SUCH ARTICLES SUPPLEMENTARY, AS THE SAME MAY BE AMENDED FROM TIME TO TIME, A COPY OF WHICH, INCLUDING THE RESTRICTIONS ON TRANSFER AND OWNERSHIP, WILL BE FURNISHED TO EACH HOLDER OF SERIES I PREFERRED STOCK ON REQUEST AND WITHOUT CHARGE. REQUESTS FOR SUCH A COPY MAY BE DIRECTED TO THE SECRETARY OF THE COMPANY AT ITS PRINCIPAL OFFICE.”</w:t>
      </w:r>
    </w:p>
    <w:p>
      <w:pPr>
        <w:spacing w:after="0" w:line="141" w:lineRule="exact"/>
        <w:rPr>
          <w:sz w:val="20"/>
          <w:szCs w:val="20"/>
          <w:color w:val="auto"/>
        </w:rPr>
      </w:pPr>
    </w:p>
    <w:p>
      <w:pPr>
        <w:jc w:val="both"/>
        <w:ind w:left="600" w:right="620" w:firstLine="480"/>
        <w:spacing w:after="0" w:line="287" w:lineRule="auto"/>
        <w:rPr>
          <w:sz w:val="20"/>
          <w:szCs w:val="20"/>
          <w:color w:val="auto"/>
        </w:rPr>
      </w:pPr>
      <w:r>
        <w:rPr>
          <w:rFonts w:ascii="Times New Roman" w:cs="Times New Roman" w:eastAsia="Times New Roman" w:hAnsi="Times New Roman"/>
          <w:sz w:val="13"/>
          <w:szCs w:val="13"/>
          <w:u w:val="single" w:color="auto"/>
          <w:color w:val="auto"/>
        </w:rPr>
        <w:t>Severability</w:t>
      </w:r>
      <w:r>
        <w:rPr>
          <w:rFonts w:ascii="Times New Roman" w:cs="Times New Roman" w:eastAsia="Times New Roman" w:hAnsi="Times New Roman"/>
          <w:sz w:val="13"/>
          <w:szCs w:val="13"/>
          <w:color w:val="auto"/>
        </w:rPr>
        <w:t>. If any provision of this Section 9 or any application of any such provision is determined to be invalid by any federal or state court having jurisdiction over the issues, the validity of the remaining provisions shall not be affected and other applications of such provision shall be affected only to the extent necessary to comply with the determination of such court.</w:t>
      </w:r>
    </w:p>
    <w:p>
      <w:pPr>
        <w:spacing w:after="0" w:line="136" w:lineRule="exact"/>
        <w:rPr>
          <w:sz w:val="20"/>
          <w:szCs w:val="20"/>
          <w:color w:val="auto"/>
        </w:rPr>
      </w:pPr>
    </w:p>
    <w:p>
      <w:pPr>
        <w:jc w:val="both"/>
        <w:ind w:left="600" w:right="600" w:firstLine="480"/>
        <w:spacing w:after="0" w:line="303" w:lineRule="auto"/>
        <w:rPr>
          <w:sz w:val="20"/>
          <w:szCs w:val="20"/>
          <w:color w:val="auto"/>
        </w:rPr>
      </w:pPr>
      <w:r>
        <w:rPr>
          <w:rFonts w:ascii="Times New Roman" w:cs="Times New Roman" w:eastAsia="Times New Roman" w:hAnsi="Times New Roman"/>
          <w:sz w:val="13"/>
          <w:szCs w:val="13"/>
          <w:u w:val="single" w:color="auto"/>
          <w:color w:val="auto"/>
        </w:rPr>
        <w:t>NYSE</w:t>
      </w:r>
      <w:r>
        <w:rPr>
          <w:rFonts w:ascii="Times New Roman" w:cs="Times New Roman" w:eastAsia="Times New Roman" w:hAnsi="Times New Roman"/>
          <w:sz w:val="13"/>
          <w:szCs w:val="13"/>
          <w:color w:val="auto"/>
        </w:rPr>
        <w:t>. Nothing in this Section 9 shall preclude the settlement of any transaction entered into through the facilities of the NYSE. The shares of Series I Preferred Stock that are the subject of such transaction shall continue to be subject to the provisions of this Section 9 after such settlement.</w:t>
      </w:r>
    </w:p>
    <w:p>
      <w:pPr>
        <w:spacing w:after="0" w:line="295" w:lineRule="exact"/>
        <w:rPr>
          <w:sz w:val="20"/>
          <w:szCs w:val="20"/>
          <w:color w:val="auto"/>
        </w:rPr>
      </w:pPr>
    </w:p>
    <w:p>
      <w:pPr>
        <w:jc w:val="both"/>
        <w:ind w:left="600" w:right="620" w:firstLine="480"/>
        <w:spacing w:after="0" w:line="305" w:lineRule="auto"/>
        <w:rPr>
          <w:sz w:val="20"/>
          <w:szCs w:val="20"/>
          <w:color w:val="auto"/>
        </w:rPr>
      </w:pPr>
      <w:r>
        <w:rPr>
          <w:rFonts w:ascii="Times New Roman" w:cs="Times New Roman" w:eastAsia="Times New Roman" w:hAnsi="Times New Roman"/>
          <w:sz w:val="13"/>
          <w:szCs w:val="13"/>
          <w:u w:val="single" w:color="auto"/>
          <w:color w:val="auto"/>
        </w:rPr>
        <w:t>Applicability of Section 9</w:t>
      </w:r>
      <w:r>
        <w:rPr>
          <w:rFonts w:ascii="Times New Roman" w:cs="Times New Roman" w:eastAsia="Times New Roman" w:hAnsi="Times New Roman"/>
          <w:sz w:val="13"/>
          <w:szCs w:val="13"/>
          <w:color w:val="auto"/>
        </w:rPr>
        <w:t xml:space="preserve"> . The provisions set forth in this Section 9 shall apply to the Series I Preferred Stock notwithstanding any contrary provisions of the Series I Preferred Stock provided for elsewhere in these Articles Supplementary.</w:t>
      </w:r>
    </w:p>
    <w:p>
      <w:pPr>
        <w:spacing w:after="0" w:line="124" w:lineRule="exact"/>
        <w:rPr>
          <w:sz w:val="20"/>
          <w:szCs w:val="20"/>
          <w:color w:val="auto"/>
        </w:rPr>
      </w:pPr>
    </w:p>
    <w:p>
      <w:pPr>
        <w:jc w:val="both"/>
        <w:ind w:left="600" w:right="600" w:firstLine="480"/>
        <w:spacing w:after="0" w:line="305" w:lineRule="auto"/>
        <w:rPr>
          <w:sz w:val="20"/>
          <w:szCs w:val="20"/>
          <w:color w:val="auto"/>
        </w:rPr>
      </w:pPr>
      <w:r>
        <w:rPr>
          <w:rFonts w:ascii="Times New Roman" w:cs="Times New Roman" w:eastAsia="Times New Roman" w:hAnsi="Times New Roman"/>
          <w:sz w:val="13"/>
          <w:szCs w:val="13"/>
          <w:u w:val="single" w:color="auto"/>
          <w:color w:val="auto"/>
        </w:rPr>
        <w:t>No Conversion Rights</w:t>
      </w:r>
      <w:r>
        <w:rPr>
          <w:rFonts w:ascii="Times New Roman" w:cs="Times New Roman" w:eastAsia="Times New Roman" w:hAnsi="Times New Roman"/>
          <w:sz w:val="13"/>
          <w:szCs w:val="13"/>
          <w:color w:val="auto"/>
        </w:rPr>
        <w:t>. The shares of Series I Preferred Stock shall not be convertible into or exchangeable for any other property or securities of the Company or any other entity, except as otherwise provided herein.</w:t>
      </w:r>
    </w:p>
    <w:p>
      <w:pPr>
        <w:spacing w:after="0" w:line="124" w:lineRule="exact"/>
        <w:rPr>
          <w:sz w:val="20"/>
          <w:szCs w:val="20"/>
          <w:color w:val="auto"/>
        </w:rPr>
      </w:pPr>
    </w:p>
    <w:p>
      <w:pPr>
        <w:jc w:val="both"/>
        <w:ind w:left="600" w:right="620" w:firstLine="480"/>
        <w:spacing w:after="0" w:line="305" w:lineRule="auto"/>
        <w:rPr>
          <w:sz w:val="20"/>
          <w:szCs w:val="20"/>
          <w:color w:val="auto"/>
        </w:rPr>
      </w:pPr>
      <w:r>
        <w:rPr>
          <w:rFonts w:ascii="Times New Roman" w:cs="Times New Roman" w:eastAsia="Times New Roman" w:hAnsi="Times New Roman"/>
          <w:sz w:val="13"/>
          <w:szCs w:val="13"/>
          <w:u w:val="single" w:color="auto"/>
          <w:color w:val="auto"/>
        </w:rPr>
        <w:t>Record Holders</w:t>
      </w:r>
      <w:r>
        <w:rPr>
          <w:rFonts w:ascii="Times New Roman" w:cs="Times New Roman" w:eastAsia="Times New Roman" w:hAnsi="Times New Roman"/>
          <w:sz w:val="13"/>
          <w:szCs w:val="13"/>
          <w:color w:val="auto"/>
        </w:rPr>
        <w:t>. The Company and its transfer agent may deem and treat the record holder of any Series I Preferred Stock as the true and lawful owner thereof for all purposes, and neither the Company nor its transfer agent shall be affected by any notice to the contrary.</w:t>
      </w:r>
    </w:p>
    <w:p>
      <w:pPr>
        <w:spacing w:after="0" w:line="124" w:lineRule="exact"/>
        <w:rPr>
          <w:sz w:val="20"/>
          <w:szCs w:val="20"/>
          <w:color w:val="auto"/>
        </w:rPr>
      </w:pPr>
    </w:p>
    <w:p>
      <w:pPr>
        <w:jc w:val="both"/>
        <w:ind w:left="600" w:right="600" w:firstLine="480"/>
        <w:spacing w:after="0" w:line="286" w:lineRule="auto"/>
        <w:rPr>
          <w:sz w:val="20"/>
          <w:szCs w:val="20"/>
          <w:color w:val="auto"/>
        </w:rPr>
      </w:pPr>
      <w:r>
        <w:rPr>
          <w:rFonts w:ascii="Times New Roman" w:cs="Times New Roman" w:eastAsia="Times New Roman" w:hAnsi="Times New Roman"/>
          <w:sz w:val="13"/>
          <w:szCs w:val="13"/>
          <w:u w:val="single" w:color="auto"/>
          <w:color w:val="auto"/>
        </w:rPr>
        <w:t>No Maturity or Sinking Fund</w:t>
      </w:r>
      <w:r>
        <w:rPr>
          <w:rFonts w:ascii="Times New Roman" w:cs="Times New Roman" w:eastAsia="Times New Roman" w:hAnsi="Times New Roman"/>
          <w:sz w:val="13"/>
          <w:szCs w:val="13"/>
          <w:color w:val="auto"/>
        </w:rPr>
        <w:t xml:space="preserve">. The Series I Preferred Stock has no maturity date, and no sinking fund has been established for the retirement or redemption of Series I Preferred Stock;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the Series I Preferred Stock owned by a stockholder in excess of the Ownership Limit or Aggregate Stock Ownership Limit shall be subject to the provisions of Section 5 and Section 9 of these Articles Supplementary.</w:t>
      </w:r>
    </w:p>
    <w:p>
      <w:pPr>
        <w:spacing w:after="0" w:line="306" w:lineRule="exact"/>
        <w:rPr>
          <w:sz w:val="20"/>
          <w:szCs w:val="20"/>
          <w:color w:val="auto"/>
        </w:rPr>
      </w:pPr>
    </w:p>
    <w:p>
      <w:pPr>
        <w:jc w:val="both"/>
        <w:ind w:left="600" w:right="620" w:firstLine="480"/>
        <w:spacing w:after="0" w:line="287" w:lineRule="auto"/>
        <w:rPr>
          <w:sz w:val="20"/>
          <w:szCs w:val="20"/>
          <w:color w:val="auto"/>
        </w:rPr>
      </w:pPr>
      <w:r>
        <w:rPr>
          <w:rFonts w:ascii="Times New Roman" w:cs="Times New Roman" w:eastAsia="Times New Roman" w:hAnsi="Times New Roman"/>
          <w:sz w:val="13"/>
          <w:szCs w:val="13"/>
          <w:u w:val="single" w:color="auto"/>
          <w:color w:val="auto"/>
        </w:rPr>
        <w:t>Exclusion of Other Rights</w:t>
      </w:r>
      <w:r>
        <w:rPr>
          <w:rFonts w:ascii="Times New Roman" w:cs="Times New Roman" w:eastAsia="Times New Roman" w:hAnsi="Times New Roman"/>
          <w:sz w:val="13"/>
          <w:szCs w:val="13"/>
          <w:color w:val="auto"/>
        </w:rPr>
        <w:t>. The Series I Preferred Stock shall not have any preferences or other rights, voting powers, restrictions, limitations as to dividends or other distributions, qualifications or terms or conditions of redemption other than expressly set forth in the Charter and these Articles Supplementary.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101600</wp:posOffset>
            </wp:positionV>
            <wp:extent cx="4436110" cy="1524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769">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543560</wp:posOffset>
            </wp:positionV>
            <wp:extent cx="5083810" cy="1524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770">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22" w:name="page423"/>
    <w:bookmarkEnd w:id="422"/>
    <w:p>
      <w:pPr>
        <w:jc w:val="both"/>
        <w:ind w:left="600" w:right="600" w:firstLine="480"/>
        <w:spacing w:after="0" w:line="305" w:lineRule="auto"/>
        <w:rPr>
          <w:sz w:val="20"/>
          <w:szCs w:val="20"/>
          <w:color w:val="auto"/>
        </w:rPr>
      </w:pPr>
      <w:r>
        <w:rPr>
          <w:rFonts w:ascii="Times New Roman" w:cs="Times New Roman" w:eastAsia="Times New Roman" w:hAnsi="Times New Roman"/>
          <w:sz w:val="13"/>
          <w:szCs w:val="13"/>
          <w:u w:val="single" w:color="auto"/>
          <w:color w:val="auto"/>
        </w:rPr>
        <w:t>Headings of Subdivisions</w:t>
      </w:r>
      <w:r>
        <w:rPr>
          <w:rFonts w:ascii="Times New Roman" w:cs="Times New Roman" w:eastAsia="Times New Roman" w:hAnsi="Times New Roman"/>
          <w:sz w:val="13"/>
          <w:szCs w:val="13"/>
          <w:color w:val="auto"/>
        </w:rPr>
        <w:t>. The headings of the various subdivisions hereof are for convenience of reference only and shall not affect the interpretation of any of the provisions hereof.</w:t>
      </w:r>
    </w:p>
    <w:p>
      <w:pPr>
        <w:spacing w:after="0" w:line="124" w:lineRule="exact"/>
        <w:rPr>
          <w:sz w:val="20"/>
          <w:szCs w:val="20"/>
          <w:color w:val="auto"/>
        </w:rPr>
      </w:pPr>
    </w:p>
    <w:p>
      <w:pPr>
        <w:jc w:val="both"/>
        <w:ind w:left="600" w:right="600" w:firstLine="480"/>
        <w:spacing w:after="0" w:line="274" w:lineRule="auto"/>
        <w:rPr>
          <w:sz w:val="20"/>
          <w:szCs w:val="20"/>
          <w:color w:val="auto"/>
        </w:rPr>
      </w:pPr>
      <w:r>
        <w:rPr>
          <w:rFonts w:ascii="Times New Roman" w:cs="Times New Roman" w:eastAsia="Times New Roman" w:hAnsi="Times New Roman"/>
          <w:sz w:val="13"/>
          <w:szCs w:val="13"/>
          <w:u w:val="single" w:color="auto"/>
          <w:color w:val="auto"/>
        </w:rPr>
        <w:t>Severability of Provisions</w:t>
      </w:r>
      <w:r>
        <w:rPr>
          <w:rFonts w:ascii="Times New Roman" w:cs="Times New Roman" w:eastAsia="Times New Roman" w:hAnsi="Times New Roman"/>
          <w:sz w:val="13"/>
          <w:szCs w:val="13"/>
          <w:color w:val="auto"/>
        </w:rPr>
        <w:t>. If any preferences or other rights, voting powers, restrictions, limitations as to dividends or other distributions, qualifications or terms or conditions of redemption of the Series I Preferred Stock set forth in the Charter and these Articles Supplementary are invalid, unlawful or incapable of being enforced by reason of any rule of law or public policy, all other preferences or other rights, voting powers, restrictions, limitations as to dividends or other distributions, qualifications or terms or conditions of redemption of Series I Preferred Stock set forth in the Charter which can be given effect without the invalid, unlawful or unenforceable provision thereof shall, nevertheless, remain in full force and effect and no preferences or other rights, voting powers, restrictions, limitations as to dividends or other distributions, qualifications or terms or conditions of redemption of the Series I Preferred Stock herein set forth shall be deemed dependent upon any other provision thereof unless so expressed therein.</w:t>
      </w:r>
    </w:p>
    <w:p>
      <w:pPr>
        <w:spacing w:after="0" w:line="135" w:lineRule="exact"/>
        <w:rPr>
          <w:sz w:val="20"/>
          <w:szCs w:val="20"/>
          <w:color w:val="auto"/>
        </w:rPr>
      </w:pPr>
    </w:p>
    <w:p>
      <w:pPr>
        <w:jc w:val="both"/>
        <w:ind w:left="600" w:right="620" w:firstLine="480"/>
        <w:spacing w:after="0" w:line="287" w:lineRule="auto"/>
        <w:rPr>
          <w:sz w:val="20"/>
          <w:szCs w:val="20"/>
          <w:color w:val="auto"/>
        </w:rPr>
      </w:pPr>
      <w:r>
        <w:rPr>
          <w:rFonts w:ascii="Times New Roman" w:cs="Times New Roman" w:eastAsia="Times New Roman" w:hAnsi="Times New Roman"/>
          <w:sz w:val="13"/>
          <w:szCs w:val="13"/>
          <w:u w:val="single" w:color="auto"/>
          <w:color w:val="auto"/>
        </w:rPr>
        <w:t>No Preemptive Rights</w:t>
      </w:r>
      <w:r>
        <w:rPr>
          <w:rFonts w:ascii="Times New Roman" w:cs="Times New Roman" w:eastAsia="Times New Roman" w:hAnsi="Times New Roman"/>
          <w:sz w:val="13"/>
          <w:szCs w:val="13"/>
          <w:color w:val="auto"/>
        </w:rPr>
        <w:t>. No holder of Series I Preferred Stock shall be entitled to any preemptive rights to subscribe for or acquire any unissued shares of capital stock of the Company (whether now or hereafter authorized) or securities of the Company convertible into or carrying a right to subscribe to or acquire shares of capital stock of the Company.</w:t>
      </w:r>
    </w:p>
    <w:p>
      <w:pPr>
        <w:spacing w:after="0" w:line="13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u w:val="single" w:color="auto"/>
          <w:color w:val="auto"/>
        </w:rPr>
        <w:t>FOURTH</w:t>
      </w:r>
      <w:r>
        <w:rPr>
          <w:rFonts w:ascii="Times New Roman" w:cs="Times New Roman" w:eastAsia="Times New Roman" w:hAnsi="Times New Roman"/>
          <w:sz w:val="13"/>
          <w:szCs w:val="13"/>
          <w:color w:val="auto"/>
        </w:rPr>
        <w:t>: The Series I Preferred Stock have been classified and designated by the Board of Directors under the authority  contained in the</w:t>
      </w:r>
    </w:p>
    <w:p>
      <w:pPr>
        <w:spacing w:after="0" w:line="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Charter.</w:t>
      </w:r>
    </w:p>
    <w:p>
      <w:pPr>
        <w:spacing w:after="0" w:line="18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u w:val="single" w:color="auto"/>
          <w:color w:val="auto"/>
        </w:rPr>
        <w:t>FIFTH</w:t>
      </w:r>
      <w:r>
        <w:rPr>
          <w:rFonts w:ascii="Times New Roman" w:cs="Times New Roman" w:eastAsia="Times New Roman" w:hAnsi="Times New Roman"/>
          <w:sz w:val="13"/>
          <w:szCs w:val="13"/>
          <w:color w:val="auto"/>
        </w:rPr>
        <w:t>: These Articles Supplementary have been approved by the Board of Directors in the manner and by the vote required by law.</w:t>
      </w:r>
    </w:p>
    <w:p>
      <w:pPr>
        <w:spacing w:after="0" w:line="18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u w:val="single" w:color="auto"/>
          <w:color w:val="auto"/>
        </w:rPr>
        <w:t>SIXTH</w:t>
      </w:r>
      <w:r>
        <w:rPr>
          <w:rFonts w:ascii="Times New Roman" w:cs="Times New Roman" w:eastAsia="Times New Roman" w:hAnsi="Times New Roman"/>
          <w:sz w:val="13"/>
          <w:szCs w:val="13"/>
          <w:color w:val="auto"/>
        </w:rPr>
        <w:t>: These Articles Supplementary shall be effective at the time the Department accepts these Articles Supplementary for record.</w:t>
      </w:r>
    </w:p>
    <w:p>
      <w:pPr>
        <w:spacing w:after="0" w:line="187" w:lineRule="exact"/>
        <w:rPr>
          <w:sz w:val="20"/>
          <w:szCs w:val="20"/>
          <w:color w:val="auto"/>
        </w:rPr>
      </w:pPr>
    </w:p>
    <w:p>
      <w:pPr>
        <w:jc w:val="both"/>
        <w:ind w:left="600" w:right="600" w:firstLine="480"/>
        <w:spacing w:after="0" w:line="281" w:lineRule="auto"/>
        <w:rPr>
          <w:sz w:val="20"/>
          <w:szCs w:val="20"/>
          <w:color w:val="auto"/>
        </w:rPr>
      </w:pPr>
      <w:r>
        <w:rPr>
          <w:rFonts w:ascii="Times New Roman" w:cs="Times New Roman" w:eastAsia="Times New Roman" w:hAnsi="Times New Roman"/>
          <w:sz w:val="13"/>
          <w:szCs w:val="13"/>
          <w:u w:val="single" w:color="auto"/>
          <w:color w:val="auto"/>
        </w:rPr>
        <w:t>SEVENTH</w:t>
      </w:r>
      <w:r>
        <w:rPr>
          <w:rFonts w:ascii="Times New Roman" w:cs="Times New Roman" w:eastAsia="Times New Roman" w:hAnsi="Times New Roman"/>
          <w:sz w:val="13"/>
          <w:szCs w:val="13"/>
          <w:color w:val="auto"/>
        </w:rPr>
        <w:t>: The undersigned Chief Executive Officer acknowledges these Articles Supplementary to be the corporate act of the Company and, as to all matters or facts required to be verified under oath, the undersigned Chief Executive Officer acknowledges that to the best of his knowledge, information and belief, these matters and facts are true in all material respects and that this statement is made under the penalties for perjury.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104140</wp:posOffset>
            </wp:positionV>
            <wp:extent cx="4436110" cy="762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771">
                      <a:extLst>
                        <a:ext uri="{28A0092B-C50C-407E-A947-70E740481C1C}"/>
                      </a:extLst>
                    </a:blip>
                    <a:srcRect/>
                    <a:stretch>
                      <a:fillRect/>
                    </a:stretch>
                  </pic:blipFill>
                  <pic:spPr bwMode="auto">
                    <a:xfrm>
                      <a:off x="0" y="0"/>
                      <a:ext cx="4436110"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538480</wp:posOffset>
            </wp:positionV>
            <wp:extent cx="5083810" cy="1524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772">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23" w:name="page424"/>
    <w:bookmarkEnd w:id="423"/>
    <w:p>
      <w:pPr>
        <w:ind w:left="600" w:right="520" w:firstLine="480"/>
        <w:spacing w:after="0" w:line="305" w:lineRule="auto"/>
        <w:rPr>
          <w:sz w:val="20"/>
          <w:szCs w:val="20"/>
          <w:color w:val="auto"/>
        </w:rPr>
      </w:pPr>
      <w:r>
        <w:rPr>
          <w:rFonts w:ascii="Times New Roman" w:cs="Times New Roman" w:eastAsia="Times New Roman" w:hAnsi="Times New Roman"/>
          <w:sz w:val="13"/>
          <w:szCs w:val="13"/>
          <w:color w:val="auto"/>
        </w:rPr>
        <w:t>IN WITNESS WHEREOF, the Company has caused these Articles Supplementary to be executed in its name and on its behalf by its Chief Executive Officer as of the date first written above.</w:t>
      </w:r>
    </w:p>
    <w:p>
      <w:pPr>
        <w:spacing w:after="0" w:line="12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3"/>
          <w:szCs w:val="13"/>
          <w:color w:val="auto"/>
        </w:rPr>
        <w:t>DIGITAL REALTY TRUST, INC.</w:t>
      </w:r>
    </w:p>
    <w:p>
      <w:pPr>
        <w:spacing w:after="0" w:line="31" w:lineRule="exact"/>
        <w:rPr>
          <w:sz w:val="20"/>
          <w:szCs w:val="20"/>
          <w:color w:val="auto"/>
        </w:rPr>
      </w:pPr>
    </w:p>
    <w:p>
      <w:pPr>
        <w:ind w:left="4280"/>
        <w:spacing w:after="0"/>
        <w:tabs>
          <w:tab w:leader="none" w:pos="4620" w:val="left"/>
        </w:tabs>
        <w:rPr>
          <w:sz w:val="20"/>
          <w:szCs w:val="20"/>
          <w:color w:val="auto"/>
        </w:rPr>
      </w:pPr>
      <w:r>
        <w:rPr>
          <w:rFonts w:ascii="Times New Roman" w:cs="Times New Roman" w:eastAsia="Times New Roman" w:hAnsi="Times New Roman"/>
          <w:sz w:val="13"/>
          <w:szCs w:val="13"/>
          <w:color w:val="auto"/>
        </w:rPr>
        <w:t>By:</w:t>
        <w:tab/>
        <w:t>/s/ A. William Stein Name:A.</w:t>
      </w:r>
    </w:p>
    <w:p>
      <w:pPr>
        <w:spacing w:after="0" w:line="3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3"/>
          <w:szCs w:val="13"/>
          <w:color w:val="auto"/>
        </w:rPr>
        <w:t>William Stein</w:t>
      </w:r>
    </w:p>
    <w:p>
      <w:pPr>
        <w:spacing w:after="0" w:line="2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3"/>
          <w:szCs w:val="13"/>
          <w:color w:val="auto"/>
        </w:rPr>
        <w:t>Title: Chief Executive Officer</w:t>
      </w:r>
    </w:p>
    <w:p>
      <w:pPr>
        <w:spacing w:after="0" w:line="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ATTEST:</w:t>
      </w:r>
    </w:p>
    <w:p>
      <w:pPr>
        <w:spacing w:after="0" w:line="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DIGITAL REALTY TRUST, INC.</w:t>
      </w:r>
    </w:p>
    <w:p>
      <w:pPr>
        <w:spacing w:after="0" w:line="27" w:lineRule="exact"/>
        <w:rPr>
          <w:sz w:val="20"/>
          <w:szCs w:val="20"/>
          <w:color w:val="auto"/>
        </w:rPr>
      </w:pPr>
    </w:p>
    <w:p>
      <w:pPr>
        <w:ind w:left="600"/>
        <w:spacing w:after="0"/>
        <w:tabs>
          <w:tab w:leader="none" w:pos="940" w:val="left"/>
        </w:tabs>
        <w:rPr>
          <w:sz w:val="20"/>
          <w:szCs w:val="20"/>
          <w:color w:val="auto"/>
        </w:rPr>
      </w:pPr>
      <w:r>
        <w:rPr>
          <w:rFonts w:ascii="Times New Roman" w:cs="Times New Roman" w:eastAsia="Times New Roman" w:hAnsi="Times New Roman"/>
          <w:sz w:val="13"/>
          <w:szCs w:val="13"/>
          <w:color w:val="auto"/>
        </w:rPr>
        <w:t>By:</w:t>
        <w:tab/>
        <w:t>/s/ Joshua A. Mills Name: Joshua</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A. Mills</w:t>
      </w:r>
    </w:p>
    <w:p>
      <w:pPr>
        <w:spacing w:after="0" w:line="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Title: Senior Vice President, General Counsel and Secretary</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[Signature Page to Articles Supplementary]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125730</wp:posOffset>
            </wp:positionV>
            <wp:extent cx="4436110" cy="1524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773">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575310</wp:posOffset>
            </wp:positionV>
            <wp:extent cx="5083810" cy="1524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774">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24" w:name="page425"/>
    <w:bookmarkEnd w:id="424"/>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DIGITAL REALTY TRUST, INC.</w:t>
      </w:r>
    </w:p>
    <w:p>
      <w:pPr>
        <w:spacing w:after="0" w:line="1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ARTICLES OF AMENDMENT</w:t>
      </w:r>
    </w:p>
    <w:p>
      <w:pPr>
        <w:spacing w:after="0" w:line="189" w:lineRule="exact"/>
        <w:rPr>
          <w:sz w:val="20"/>
          <w:szCs w:val="20"/>
          <w:color w:val="auto"/>
        </w:rPr>
      </w:pPr>
    </w:p>
    <w:p>
      <w:pPr>
        <w:ind w:left="600" w:right="620" w:firstLine="960"/>
        <w:spacing w:after="0" w:line="305" w:lineRule="auto"/>
        <w:rPr>
          <w:sz w:val="20"/>
          <w:szCs w:val="20"/>
          <w:color w:val="auto"/>
        </w:rPr>
      </w:pPr>
      <w:r>
        <w:rPr>
          <w:rFonts w:ascii="Times New Roman" w:cs="Times New Roman" w:eastAsia="Times New Roman" w:hAnsi="Times New Roman"/>
          <w:sz w:val="13"/>
          <w:szCs w:val="13"/>
          <w:color w:val="auto"/>
        </w:rPr>
        <w:t>Digital Realty Trust, Inc., a Maryland corporation (the “</w:t>
      </w:r>
      <w:r>
        <w:rPr>
          <w:rFonts w:ascii="Times New Roman" w:cs="Times New Roman" w:eastAsia="Times New Roman" w:hAnsi="Times New Roman"/>
          <w:sz w:val="13"/>
          <w:szCs w:val="13"/>
          <w:u w:val="single" w:color="auto"/>
          <w:color w:val="auto"/>
        </w:rPr>
        <w:t>Corporation</w:t>
      </w:r>
      <w:r>
        <w:rPr>
          <w:rFonts w:ascii="Times New Roman" w:cs="Times New Roman" w:eastAsia="Times New Roman" w:hAnsi="Times New Roman"/>
          <w:sz w:val="13"/>
          <w:szCs w:val="13"/>
          <w:color w:val="auto"/>
        </w:rPr>
        <w:t>”), hereby certifies to the State Department of Assessments and Taxation of Maryland that:</w:t>
      </w:r>
    </w:p>
    <w:p>
      <w:pPr>
        <w:spacing w:after="0" w:line="124" w:lineRule="exact"/>
        <w:rPr>
          <w:sz w:val="20"/>
          <w:szCs w:val="20"/>
          <w:color w:val="auto"/>
        </w:rPr>
      </w:pPr>
    </w:p>
    <w:p>
      <w:pPr>
        <w:ind w:left="600" w:right="600" w:firstLine="960"/>
        <w:spacing w:after="0" w:line="305" w:lineRule="auto"/>
        <w:rPr>
          <w:sz w:val="20"/>
          <w:szCs w:val="20"/>
          <w:color w:val="auto"/>
        </w:rPr>
      </w:pPr>
      <w:r>
        <w:rPr>
          <w:rFonts w:ascii="Times New Roman" w:cs="Times New Roman" w:eastAsia="Times New Roman" w:hAnsi="Times New Roman"/>
          <w:sz w:val="13"/>
          <w:szCs w:val="13"/>
          <w:u w:val="single" w:color="auto"/>
          <w:color w:val="auto"/>
        </w:rPr>
        <w:t>FIRST</w:t>
      </w:r>
      <w:r>
        <w:rPr>
          <w:rFonts w:ascii="Times New Roman" w:cs="Times New Roman" w:eastAsia="Times New Roman" w:hAnsi="Times New Roman"/>
          <w:sz w:val="13"/>
          <w:szCs w:val="13"/>
          <w:color w:val="auto"/>
        </w:rPr>
        <w:t>: The charter of the Corporation (the “</w:t>
      </w:r>
      <w:r>
        <w:rPr>
          <w:rFonts w:ascii="Times New Roman" w:cs="Times New Roman" w:eastAsia="Times New Roman" w:hAnsi="Times New Roman"/>
          <w:sz w:val="13"/>
          <w:szCs w:val="13"/>
          <w:u w:val="single" w:color="auto"/>
          <w:color w:val="auto"/>
        </w:rPr>
        <w:t>Charter</w:t>
      </w:r>
      <w:r>
        <w:rPr>
          <w:rFonts w:ascii="Times New Roman" w:cs="Times New Roman" w:eastAsia="Times New Roman" w:hAnsi="Times New Roman"/>
          <w:sz w:val="13"/>
          <w:szCs w:val="13"/>
          <w:color w:val="auto"/>
        </w:rPr>
        <w:t>”) is hereby amended by deleting therefrom in their entirety the first two sentences of Section 5.1 of Article V and inserting in lieu thereof two new sentences to read as follows:</w:t>
      </w:r>
    </w:p>
    <w:p>
      <w:pPr>
        <w:spacing w:after="0" w:line="124" w:lineRule="exact"/>
        <w:rPr>
          <w:sz w:val="20"/>
          <w:szCs w:val="20"/>
          <w:color w:val="auto"/>
        </w:rPr>
      </w:pPr>
    </w:p>
    <w:p>
      <w:pPr>
        <w:ind w:left="1560" w:right="560"/>
        <w:spacing w:after="0" w:line="286" w:lineRule="auto"/>
        <w:rPr>
          <w:sz w:val="20"/>
          <w:szCs w:val="20"/>
          <w:color w:val="auto"/>
        </w:rPr>
      </w:pPr>
      <w:r>
        <w:rPr>
          <w:rFonts w:ascii="Times New Roman" w:cs="Times New Roman" w:eastAsia="Times New Roman" w:hAnsi="Times New Roman"/>
          <w:sz w:val="13"/>
          <w:szCs w:val="13"/>
          <w:color w:val="auto"/>
        </w:rPr>
        <w:t>The Corporation has authority to issue 375,000,000 shares of stock, consisting of 265,000,000 shares of Common Stock, $.01 par value per share (“</w:t>
      </w:r>
      <w:r>
        <w:rPr>
          <w:rFonts w:ascii="Times New Roman" w:cs="Times New Roman" w:eastAsia="Times New Roman" w:hAnsi="Times New Roman"/>
          <w:sz w:val="13"/>
          <w:szCs w:val="13"/>
          <w:u w:val="single" w:color="auto"/>
          <w:color w:val="auto"/>
        </w:rPr>
        <w:t>Common Stock</w:t>
      </w:r>
      <w:r>
        <w:rPr>
          <w:rFonts w:ascii="Times New Roman" w:cs="Times New Roman" w:eastAsia="Times New Roman" w:hAnsi="Times New Roman"/>
          <w:sz w:val="13"/>
          <w:szCs w:val="13"/>
          <w:color w:val="auto"/>
        </w:rPr>
        <w:t>”), and 110,000,000 shares of Preferred Stock, $.01 par value per share (“</w:t>
      </w:r>
      <w:r>
        <w:rPr>
          <w:rFonts w:ascii="Times New Roman" w:cs="Times New Roman" w:eastAsia="Times New Roman" w:hAnsi="Times New Roman"/>
          <w:sz w:val="13"/>
          <w:szCs w:val="13"/>
          <w:u w:val="single" w:color="auto"/>
          <w:color w:val="auto"/>
        </w:rPr>
        <w:t>Preferred Stock</w:t>
      </w:r>
      <w:r>
        <w:rPr>
          <w:rFonts w:ascii="Times New Roman" w:cs="Times New Roman" w:eastAsia="Times New Roman" w:hAnsi="Times New Roman"/>
          <w:sz w:val="13"/>
          <w:szCs w:val="13"/>
          <w:color w:val="auto"/>
        </w:rPr>
        <w:t>”). The aggregate par value of all authorized shares of stock having par value is $3,750,000.</w:t>
      </w:r>
    </w:p>
    <w:p>
      <w:pPr>
        <w:spacing w:after="0" w:line="294" w:lineRule="exact"/>
        <w:rPr>
          <w:sz w:val="20"/>
          <w:szCs w:val="20"/>
          <w:color w:val="auto"/>
        </w:rPr>
      </w:pPr>
    </w:p>
    <w:p>
      <w:pPr>
        <w:jc w:val="both"/>
        <w:ind w:left="600" w:right="620" w:firstLine="960"/>
        <w:spacing w:after="0" w:line="281" w:lineRule="auto"/>
        <w:rPr>
          <w:sz w:val="20"/>
          <w:szCs w:val="20"/>
          <w:color w:val="auto"/>
        </w:rPr>
      </w:pPr>
      <w:r>
        <w:rPr>
          <w:rFonts w:ascii="Times New Roman" w:cs="Times New Roman" w:eastAsia="Times New Roman" w:hAnsi="Times New Roman"/>
          <w:sz w:val="13"/>
          <w:szCs w:val="13"/>
          <w:u w:val="single" w:color="auto"/>
          <w:color w:val="auto"/>
        </w:rPr>
        <w:t>SECOND</w:t>
      </w:r>
      <w:r>
        <w:rPr>
          <w:rFonts w:ascii="Times New Roman" w:cs="Times New Roman" w:eastAsia="Times New Roman" w:hAnsi="Times New Roman"/>
          <w:sz w:val="13"/>
          <w:szCs w:val="13"/>
          <w:color w:val="auto"/>
        </w:rPr>
        <w:t>: The total number of shares of stock which the Corporation had authority to issue immediately prior to the foregoing amendment of the Charter was 285,000,000 shares of stock, consisting of 215,000,000 shares of Common Stock, $.01 par value per share, and 70,000,000 shares of Preferred Stock, $.01 par value per share. The aggregate par value of all authorized shares of stock having par value was $2,850,000.</w:t>
      </w:r>
    </w:p>
    <w:p>
      <w:pPr>
        <w:spacing w:after="0" w:line="140" w:lineRule="exact"/>
        <w:rPr>
          <w:sz w:val="20"/>
          <w:szCs w:val="20"/>
          <w:color w:val="auto"/>
        </w:rPr>
      </w:pPr>
    </w:p>
    <w:p>
      <w:pPr>
        <w:jc w:val="both"/>
        <w:ind w:left="600" w:right="620" w:firstLine="960"/>
        <w:spacing w:after="0" w:line="287" w:lineRule="auto"/>
        <w:rPr>
          <w:sz w:val="20"/>
          <w:szCs w:val="20"/>
          <w:color w:val="auto"/>
        </w:rPr>
      </w:pPr>
      <w:r>
        <w:rPr>
          <w:rFonts w:ascii="Times New Roman" w:cs="Times New Roman" w:eastAsia="Times New Roman" w:hAnsi="Times New Roman"/>
          <w:sz w:val="13"/>
          <w:szCs w:val="13"/>
          <w:u w:val="single" w:color="auto"/>
          <w:color w:val="auto"/>
        </w:rPr>
        <w:t>THIRD</w:t>
      </w:r>
      <w:r>
        <w:rPr>
          <w:rFonts w:ascii="Times New Roman" w:cs="Times New Roman" w:eastAsia="Times New Roman" w:hAnsi="Times New Roman"/>
          <w:sz w:val="13"/>
          <w:szCs w:val="13"/>
          <w:color w:val="auto"/>
        </w:rPr>
        <w:t>: The total number of shares of stock which the Corporation has authority to issue pursuant to the foregoing amendment of the Charter is 375,000,000 shares of stock, consisting of 265,000,000 shares of Common Stock, $.01 par value per share, and 110,000,000 shares of Preferred Stock, $.01 par value per share. The aggregate par value of all authorized shares of stock having par value is $3,750,000.</w:t>
      </w:r>
    </w:p>
    <w:p>
      <w:pPr>
        <w:spacing w:after="0" w:line="136" w:lineRule="exact"/>
        <w:rPr>
          <w:sz w:val="20"/>
          <w:szCs w:val="20"/>
          <w:color w:val="auto"/>
        </w:rPr>
      </w:pPr>
    </w:p>
    <w:p>
      <w:pPr>
        <w:jc w:val="both"/>
        <w:ind w:left="600" w:right="600" w:firstLine="960"/>
        <w:spacing w:after="0" w:line="305" w:lineRule="auto"/>
        <w:rPr>
          <w:sz w:val="20"/>
          <w:szCs w:val="20"/>
          <w:color w:val="auto"/>
        </w:rPr>
      </w:pPr>
      <w:r>
        <w:rPr>
          <w:rFonts w:ascii="Times New Roman" w:cs="Times New Roman" w:eastAsia="Times New Roman" w:hAnsi="Times New Roman"/>
          <w:sz w:val="13"/>
          <w:szCs w:val="13"/>
          <w:u w:val="single" w:color="auto"/>
          <w:color w:val="auto"/>
        </w:rPr>
        <w:t>FOURTH</w:t>
      </w:r>
      <w:r>
        <w:rPr>
          <w:rFonts w:ascii="Times New Roman" w:cs="Times New Roman" w:eastAsia="Times New Roman" w:hAnsi="Times New Roman"/>
          <w:sz w:val="13"/>
          <w:szCs w:val="13"/>
          <w:color w:val="auto"/>
        </w:rPr>
        <w:t>: The information required by Section 2-607(b)(2)(i) of the Maryland General Corporation Law (the “</w:t>
      </w:r>
      <w:r>
        <w:rPr>
          <w:rFonts w:ascii="Times New Roman" w:cs="Times New Roman" w:eastAsia="Times New Roman" w:hAnsi="Times New Roman"/>
          <w:sz w:val="13"/>
          <w:szCs w:val="13"/>
          <w:u w:val="single" w:color="auto"/>
          <w:color w:val="auto"/>
        </w:rPr>
        <w:t>MGCL</w:t>
      </w:r>
      <w:r>
        <w:rPr>
          <w:rFonts w:ascii="Times New Roman" w:cs="Times New Roman" w:eastAsia="Times New Roman" w:hAnsi="Times New Roman"/>
          <w:sz w:val="13"/>
          <w:szCs w:val="13"/>
          <w:color w:val="auto"/>
        </w:rPr>
        <w:t>”) is not changed by the foregoing amendment of the Charter.</w:t>
      </w:r>
    </w:p>
    <w:p>
      <w:pPr>
        <w:spacing w:after="0" w:line="124" w:lineRule="exact"/>
        <w:rPr>
          <w:sz w:val="20"/>
          <w:szCs w:val="20"/>
          <w:color w:val="auto"/>
        </w:rPr>
      </w:pPr>
    </w:p>
    <w:p>
      <w:pPr>
        <w:jc w:val="both"/>
        <w:ind w:left="600" w:right="600" w:firstLine="960"/>
        <w:spacing w:after="0" w:line="287" w:lineRule="auto"/>
        <w:rPr>
          <w:sz w:val="20"/>
          <w:szCs w:val="20"/>
          <w:color w:val="auto"/>
        </w:rPr>
      </w:pPr>
      <w:r>
        <w:rPr>
          <w:rFonts w:ascii="Times New Roman" w:cs="Times New Roman" w:eastAsia="Times New Roman" w:hAnsi="Times New Roman"/>
          <w:sz w:val="13"/>
          <w:szCs w:val="13"/>
          <w:u w:val="single" w:color="auto"/>
          <w:color w:val="auto"/>
        </w:rPr>
        <w:t>FIFTH</w:t>
      </w:r>
      <w:r>
        <w:rPr>
          <w:rFonts w:ascii="Times New Roman" w:cs="Times New Roman" w:eastAsia="Times New Roman" w:hAnsi="Times New Roman"/>
          <w:sz w:val="13"/>
          <w:szCs w:val="13"/>
          <w:color w:val="auto"/>
        </w:rPr>
        <w:t>: The foregoing amendment of the Charter was approved by a majority of the entire Board of Directors of the Corporation as required by law and was limited to a change expressly authorized by Section 2-105(a)(13) of the MGCL without any action by the stockholders of the Corporation.</w:t>
      </w:r>
    </w:p>
    <w:p>
      <w:pPr>
        <w:spacing w:after="0" w:line="136" w:lineRule="exact"/>
        <w:rPr>
          <w:sz w:val="20"/>
          <w:szCs w:val="20"/>
          <w:color w:val="auto"/>
        </w:rPr>
      </w:pPr>
    </w:p>
    <w:p>
      <w:pPr>
        <w:jc w:val="both"/>
        <w:ind w:left="600" w:right="620" w:firstLine="960"/>
        <w:spacing w:after="0" w:line="287" w:lineRule="auto"/>
        <w:rPr>
          <w:sz w:val="20"/>
          <w:szCs w:val="20"/>
          <w:color w:val="auto"/>
        </w:rPr>
      </w:pPr>
      <w:r>
        <w:rPr>
          <w:rFonts w:ascii="Times New Roman" w:cs="Times New Roman" w:eastAsia="Times New Roman" w:hAnsi="Times New Roman"/>
          <w:sz w:val="13"/>
          <w:szCs w:val="13"/>
          <w:u w:val="single" w:color="auto"/>
          <w:color w:val="auto"/>
        </w:rPr>
        <w:t>SIXTH</w:t>
      </w:r>
      <w:r>
        <w:rPr>
          <w:rFonts w:ascii="Times New Roman" w:cs="Times New Roman" w:eastAsia="Times New Roman" w:hAnsi="Times New Roman"/>
          <w:sz w:val="13"/>
          <w:szCs w:val="13"/>
          <w:color w:val="auto"/>
        </w:rPr>
        <w:t>: The undersigned acknowledges these Articles of Amendment to be the corporate act of the Corporation and as to all matters or facts required to be verified under oath, the undersigned acknowledges that to the best of his knowledge, information and belief, these matters and facts are true in all material respects and that this statement is made under the penalties of perjury.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101600</wp:posOffset>
            </wp:positionV>
            <wp:extent cx="4436110" cy="1524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775">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543560</wp:posOffset>
            </wp:positionV>
            <wp:extent cx="5083810" cy="1524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776">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425" w:name="page426"/>
    <w:bookmarkEnd w:id="425"/>
    <w:p>
      <w:pPr>
        <w:ind w:left="600" w:right="580" w:firstLine="960"/>
        <w:spacing w:after="0" w:line="305" w:lineRule="auto"/>
        <w:rPr>
          <w:sz w:val="20"/>
          <w:szCs w:val="20"/>
          <w:color w:val="auto"/>
        </w:rPr>
      </w:pPr>
      <w:r>
        <w:rPr>
          <w:rFonts w:ascii="Times New Roman" w:cs="Times New Roman" w:eastAsia="Times New Roman" w:hAnsi="Times New Roman"/>
          <w:sz w:val="13"/>
          <w:szCs w:val="13"/>
          <w:color w:val="auto"/>
        </w:rPr>
        <w:t>IN WITNESS WHEREOF, the Corporation has caused these Articles of Amendment to be executed in its name and on its behalf by its Chief Executive Officer and attested to by its Chief Financial Officer on this 13th day of May, 2016.</w:t>
      </w:r>
    </w:p>
    <w:p>
      <w:pPr>
        <w:spacing w:after="0" w:line="12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3"/>
          <w:szCs w:val="13"/>
          <w:color w:val="auto"/>
        </w:rPr>
        <w:t>DIGITAL REALTY TRUST, INC.</w:t>
      </w:r>
    </w:p>
    <w:p>
      <w:pPr>
        <w:spacing w:after="0" w:line="31" w:lineRule="exact"/>
        <w:rPr>
          <w:sz w:val="20"/>
          <w:szCs w:val="20"/>
          <w:color w:val="auto"/>
        </w:rPr>
      </w:pPr>
    </w:p>
    <w:p>
      <w:pPr>
        <w:ind w:left="4280"/>
        <w:spacing w:after="0"/>
        <w:tabs>
          <w:tab w:leader="none" w:pos="4620" w:val="left"/>
        </w:tabs>
        <w:rPr>
          <w:sz w:val="20"/>
          <w:szCs w:val="20"/>
          <w:color w:val="auto"/>
        </w:rPr>
      </w:pPr>
      <w:r>
        <w:rPr>
          <w:rFonts w:ascii="Times New Roman" w:cs="Times New Roman" w:eastAsia="Times New Roman" w:hAnsi="Times New Roman"/>
          <w:sz w:val="13"/>
          <w:szCs w:val="13"/>
          <w:color w:val="auto"/>
        </w:rPr>
        <w:t>By:</w:t>
        <w:tab/>
        <w:t>/s/ A. William Stein Name:A.</w:t>
      </w:r>
    </w:p>
    <w:p>
      <w:pPr>
        <w:spacing w:after="0" w:line="3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3"/>
          <w:szCs w:val="13"/>
          <w:color w:val="auto"/>
        </w:rPr>
        <w:t>William Stein</w:t>
      </w:r>
    </w:p>
    <w:p>
      <w:pPr>
        <w:spacing w:after="0" w:line="2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3"/>
          <w:szCs w:val="13"/>
          <w:color w:val="auto"/>
        </w:rPr>
        <w:t>Title: Chief Executive Officer</w:t>
      </w:r>
    </w:p>
    <w:p>
      <w:pPr>
        <w:spacing w:after="0" w:line="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ATTEST:</w:t>
      </w:r>
    </w:p>
    <w:p>
      <w:pPr>
        <w:spacing w:after="0" w:line="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DIGITAL REALTY TRUST, INC.</w:t>
      </w:r>
    </w:p>
    <w:p>
      <w:pPr>
        <w:spacing w:after="0" w:line="19" w:lineRule="exact"/>
        <w:rPr>
          <w:sz w:val="20"/>
          <w:szCs w:val="20"/>
          <w:color w:val="auto"/>
        </w:rPr>
      </w:pPr>
    </w:p>
    <w:p>
      <w:pPr>
        <w:ind w:left="600"/>
        <w:spacing w:after="0"/>
        <w:tabs>
          <w:tab w:leader="none" w:pos="940" w:val="left"/>
        </w:tabs>
        <w:rPr>
          <w:sz w:val="20"/>
          <w:szCs w:val="20"/>
          <w:color w:val="auto"/>
        </w:rPr>
      </w:pPr>
      <w:r>
        <w:rPr>
          <w:rFonts w:ascii="Times New Roman" w:cs="Times New Roman" w:eastAsia="Times New Roman" w:hAnsi="Times New Roman"/>
          <w:sz w:val="13"/>
          <w:szCs w:val="13"/>
          <w:color w:val="auto"/>
        </w:rPr>
        <w:t>By:</w:t>
        <w:tab/>
        <w:t>/s/ Andrew P. Power Name: Andrew</w:t>
      </w:r>
    </w:p>
    <w:p>
      <w:pPr>
        <w:spacing w:after="0" w:line="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P. Power 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131445</wp:posOffset>
            </wp:positionV>
            <wp:extent cx="4436110" cy="762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77">
                      <a:extLst>
                        <a:ext uri="{28A0092B-C50C-407E-A947-70E740481C1C}"/>
                      </a:extLst>
                    </a:blip>
                    <a:srcRect/>
                    <a:stretch>
                      <a:fillRect/>
                    </a:stretch>
                  </pic:blipFill>
                  <pic:spPr bwMode="auto">
                    <a:xfrm>
                      <a:off x="0" y="0"/>
                      <a:ext cx="4436110"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558165</wp:posOffset>
            </wp:positionV>
            <wp:extent cx="5083810" cy="1524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78">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26" w:name="page427"/>
    <w:bookmarkEnd w:id="426"/>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DIGITAL REALTY TRUST, INC. ARTICLES</w:t>
      </w:r>
    </w:p>
    <w:p>
      <w:pPr>
        <w:spacing w:after="0" w:line="1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SUPPLEMENTARY 9,200,000 SHARES OF</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5.250% SERIES J CUMULATIVE REDEEMABLE PREFERRED STOCK</w:t>
      </w:r>
    </w:p>
    <w:p>
      <w:pPr>
        <w:spacing w:after="0" w:line="1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August 4, 2017</w:t>
      </w:r>
    </w:p>
    <w:p>
      <w:pPr>
        <w:spacing w:after="0" w:line="18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Digital Realty Trust, Inc., a Maryland corporation (the “</w:t>
      </w:r>
      <w:r>
        <w:rPr>
          <w:rFonts w:ascii="Times New Roman" w:cs="Times New Roman" w:eastAsia="Times New Roman" w:hAnsi="Times New Roman"/>
          <w:sz w:val="13"/>
          <w:szCs w:val="13"/>
          <w:u w:val="single" w:color="auto"/>
          <w:color w:val="auto"/>
        </w:rPr>
        <w:t>Company</w:t>
      </w:r>
      <w:r>
        <w:rPr>
          <w:rFonts w:ascii="Times New Roman" w:cs="Times New Roman" w:eastAsia="Times New Roman" w:hAnsi="Times New Roman"/>
          <w:sz w:val="13"/>
          <w:szCs w:val="13"/>
          <w:color w:val="auto"/>
        </w:rPr>
        <w:t>”), hereby certifies to the State Department of Assessments and</w:t>
      </w:r>
    </w:p>
    <w:p>
      <w:pPr>
        <w:spacing w:after="0" w:line="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Taxation of Maryland (the “</w:t>
      </w:r>
      <w:r>
        <w:rPr>
          <w:rFonts w:ascii="Times New Roman" w:cs="Times New Roman" w:eastAsia="Times New Roman" w:hAnsi="Times New Roman"/>
          <w:sz w:val="13"/>
          <w:szCs w:val="13"/>
          <w:u w:val="single" w:color="auto"/>
          <w:color w:val="auto"/>
        </w:rPr>
        <w:t>Department</w:t>
      </w:r>
      <w:r>
        <w:rPr>
          <w:rFonts w:ascii="Times New Roman" w:cs="Times New Roman" w:eastAsia="Times New Roman" w:hAnsi="Times New Roman"/>
          <w:sz w:val="13"/>
          <w:szCs w:val="13"/>
          <w:color w:val="auto"/>
        </w:rPr>
        <w:t>”) that:</w:t>
      </w:r>
    </w:p>
    <w:p>
      <w:pPr>
        <w:spacing w:after="0" w:line="183" w:lineRule="exact"/>
        <w:rPr>
          <w:sz w:val="20"/>
          <w:szCs w:val="20"/>
          <w:color w:val="auto"/>
        </w:rPr>
      </w:pPr>
    </w:p>
    <w:p>
      <w:pPr>
        <w:ind w:left="600" w:right="600" w:firstLine="480"/>
        <w:spacing w:after="0" w:line="272" w:lineRule="auto"/>
        <w:rPr>
          <w:sz w:val="20"/>
          <w:szCs w:val="20"/>
          <w:color w:val="auto"/>
        </w:rPr>
      </w:pPr>
      <w:r>
        <w:rPr>
          <w:rFonts w:ascii="Times New Roman" w:cs="Times New Roman" w:eastAsia="Times New Roman" w:hAnsi="Times New Roman"/>
          <w:sz w:val="13"/>
          <w:szCs w:val="13"/>
          <w:u w:val="single" w:color="auto"/>
          <w:color w:val="auto"/>
        </w:rPr>
        <w:t>FIRST</w:t>
      </w:r>
      <w:r>
        <w:rPr>
          <w:rFonts w:ascii="Times New Roman" w:cs="Times New Roman" w:eastAsia="Times New Roman" w:hAnsi="Times New Roman"/>
          <w:sz w:val="13"/>
          <w:szCs w:val="13"/>
          <w:color w:val="auto"/>
        </w:rPr>
        <w:t>: Pursuant to the authority expressly vested in the Board of Directors of the Company (the “</w:t>
      </w:r>
      <w:r>
        <w:rPr>
          <w:rFonts w:ascii="Times New Roman" w:cs="Times New Roman" w:eastAsia="Times New Roman" w:hAnsi="Times New Roman"/>
          <w:sz w:val="13"/>
          <w:szCs w:val="13"/>
          <w:u w:val="single" w:color="auto"/>
          <w:color w:val="auto"/>
        </w:rPr>
        <w:t>Board of Directors</w:t>
      </w:r>
      <w:r>
        <w:rPr>
          <w:rFonts w:ascii="Times New Roman" w:cs="Times New Roman" w:eastAsia="Times New Roman" w:hAnsi="Times New Roman"/>
          <w:sz w:val="13"/>
          <w:szCs w:val="13"/>
          <w:color w:val="auto"/>
        </w:rPr>
        <w:t>”) by Article V of the Articles of Amendment and Restatement of the Company filed with the Department on October 26, 2004 (as amended and supplemented to date and as may be amended and supplemented from time to time, the “</w:t>
      </w:r>
      <w:r>
        <w:rPr>
          <w:rFonts w:ascii="Times New Roman" w:cs="Times New Roman" w:eastAsia="Times New Roman" w:hAnsi="Times New Roman"/>
          <w:sz w:val="13"/>
          <w:szCs w:val="13"/>
          <w:u w:val="single" w:color="auto"/>
          <w:color w:val="auto"/>
        </w:rPr>
        <w:t>Charter</w:t>
      </w:r>
      <w:r>
        <w:rPr>
          <w:rFonts w:ascii="Times New Roman" w:cs="Times New Roman" w:eastAsia="Times New Roman" w:hAnsi="Times New Roman"/>
          <w:sz w:val="13"/>
          <w:szCs w:val="13"/>
          <w:color w:val="auto"/>
        </w:rPr>
        <w:t>”) and Section 2-105 of the Maryland General Corporation Law (the “</w:t>
      </w:r>
      <w:r>
        <w:rPr>
          <w:rFonts w:ascii="Times New Roman" w:cs="Times New Roman" w:eastAsia="Times New Roman" w:hAnsi="Times New Roman"/>
          <w:sz w:val="13"/>
          <w:szCs w:val="13"/>
          <w:u w:val="single" w:color="auto"/>
          <w:color w:val="auto"/>
        </w:rPr>
        <w:t>MGCL</w:t>
      </w:r>
      <w:r>
        <w:rPr>
          <w:rFonts w:ascii="Times New Roman" w:cs="Times New Roman" w:eastAsia="Times New Roman" w:hAnsi="Times New Roman"/>
          <w:sz w:val="13"/>
          <w:szCs w:val="13"/>
          <w:color w:val="auto"/>
        </w:rPr>
        <w:t xml:space="preserve">”), the Board of Directors, by resolutions duly adopted on July 30, 2017 has authorized the issuance, classification and designation of a number of shares of the authorized but unissued preferred stock of the Company, par value $0.01 per share (“ </w:t>
      </w:r>
      <w:r>
        <w:rPr>
          <w:rFonts w:ascii="Times New Roman" w:cs="Times New Roman" w:eastAsia="Times New Roman" w:hAnsi="Times New Roman"/>
          <w:sz w:val="13"/>
          <w:szCs w:val="13"/>
          <w:u w:val="single" w:color="auto"/>
          <w:color w:val="auto"/>
        </w:rPr>
        <w:t>Preferred Stock</w:t>
      </w:r>
      <w:r>
        <w:rPr>
          <w:rFonts w:ascii="Times New Roman" w:cs="Times New Roman" w:eastAsia="Times New Roman" w:hAnsi="Times New Roman"/>
          <w:sz w:val="13"/>
          <w:szCs w:val="13"/>
          <w:color w:val="auto"/>
        </w:rPr>
        <w:t xml:space="preserve">”), as a separate class of Preferred Stock, that, on the date of issue, has a liquidation value or aggregate offering price of up to $600,000,000 (plus up to an additional 15 % to cover any underwriter over- allotment option), and, pursuant to the powers contained in the Sixth Amended and Restated Bylaws (as may be amended from time to time, the “ </w:t>
      </w:r>
      <w:r>
        <w:rPr>
          <w:rFonts w:ascii="Times New Roman" w:cs="Times New Roman" w:eastAsia="Times New Roman" w:hAnsi="Times New Roman"/>
          <w:sz w:val="13"/>
          <w:szCs w:val="13"/>
          <w:u w:val="single" w:color="auto"/>
          <w:color w:val="auto"/>
        </w:rPr>
        <w:t>Bylaws</w:t>
      </w:r>
      <w:r>
        <w:rPr>
          <w:rFonts w:ascii="Times New Roman" w:cs="Times New Roman" w:eastAsia="Times New Roman" w:hAnsi="Times New Roman"/>
          <w:sz w:val="13"/>
          <w:szCs w:val="13"/>
          <w:color w:val="auto"/>
        </w:rPr>
        <w:t>”) of the Company and the MGCL, delegated to the Pricing Committee of the Board of Directors (the “</w:t>
      </w:r>
      <w:r>
        <w:rPr>
          <w:rFonts w:ascii="Times New Roman" w:cs="Times New Roman" w:eastAsia="Times New Roman" w:hAnsi="Times New Roman"/>
          <w:sz w:val="13"/>
          <w:szCs w:val="13"/>
          <w:u w:val="single" w:color="auto"/>
          <w:color w:val="auto"/>
        </w:rPr>
        <w:t>Committee</w:t>
      </w:r>
      <w:r>
        <w:rPr>
          <w:rFonts w:ascii="Times New Roman" w:cs="Times New Roman" w:eastAsia="Times New Roman" w:hAnsi="Times New Roman"/>
          <w:sz w:val="13"/>
          <w:szCs w:val="13"/>
          <w:color w:val="auto"/>
        </w:rPr>
        <w:t>”), to the fullest extent permitted by the MGCL and the Charter and Bylaws of the Company, among other things, all powers of the Board of Directors with respect to (i) setting the number of shares of the Preferred Stock to be classified and designated, provided that in no event shall the liquidation value or aggregate offering price of such shares exceed $600,000,000 (plus up to an additional 15% to cover any underwriter over-allotment option), (ii) choosing the cumulative dividend percentage for the Preferred Stock, (iii) selecting the dates on which dividends will be paid on the Preferred Stock, (iv) establishing the price per share for the Preferred Stock, (v) authorizing, approving and filing these Articles Supplementary with the Department and (vi) authorizing and approving all such other actions as the Committee may deem necessary or desirable in connection with the classification, authorization, issuance, offer, and sale of the Preferred Stock.</w:t>
      </w:r>
    </w:p>
    <w:p>
      <w:pPr>
        <w:spacing w:after="0" w:line="135" w:lineRule="exact"/>
        <w:rPr>
          <w:sz w:val="20"/>
          <w:szCs w:val="20"/>
          <w:color w:val="auto"/>
        </w:rPr>
      </w:pPr>
    </w:p>
    <w:p>
      <w:pPr>
        <w:jc w:val="both"/>
        <w:ind w:left="600" w:right="600" w:firstLine="480"/>
        <w:spacing w:after="0" w:line="278" w:lineRule="auto"/>
        <w:rPr>
          <w:sz w:val="20"/>
          <w:szCs w:val="20"/>
          <w:color w:val="auto"/>
        </w:rPr>
      </w:pPr>
      <w:r>
        <w:rPr>
          <w:rFonts w:ascii="Times New Roman" w:cs="Times New Roman" w:eastAsia="Times New Roman" w:hAnsi="Times New Roman"/>
          <w:sz w:val="13"/>
          <w:szCs w:val="13"/>
          <w:u w:val="single" w:color="auto"/>
          <w:color w:val="auto"/>
        </w:rPr>
        <w:t>SECOND</w:t>
      </w:r>
      <w:r>
        <w:rPr>
          <w:rFonts w:ascii="Times New Roman" w:cs="Times New Roman" w:eastAsia="Times New Roman" w:hAnsi="Times New Roman"/>
          <w:sz w:val="13"/>
          <w:szCs w:val="13"/>
          <w:color w:val="auto"/>
        </w:rPr>
        <w:t>: The Committee has unanimously adopted resolutions classifying and designating the Preferred Stock as a separate class of Preferred Stock to be known as the “5.250% Series J Cumulative Redeemable Preferred Stock,” setting the preferences, conversion and other rights, voting powers, restrictions, limitations as to dividends and other distributions, transfers, qualifications, terms and conditions of redemption and other terms and conditions of such 5.250% Series J Cumulative Redeemable Preferred Stock, and authorizing the issuance of up to 8,000,000 (plus up to an additional 15% to cover any underwriter over-allotment option) shares of 5.250% Series J Cumulative Redeemable Preferred Stock.</w:t>
      </w:r>
    </w:p>
    <w:p>
      <w:pPr>
        <w:spacing w:after="0" w:line="143" w:lineRule="exact"/>
        <w:rPr>
          <w:sz w:val="20"/>
          <w:szCs w:val="20"/>
          <w:color w:val="auto"/>
        </w:rPr>
      </w:pPr>
    </w:p>
    <w:p>
      <w:pPr>
        <w:jc w:val="both"/>
        <w:ind w:left="600" w:right="600" w:firstLine="480"/>
        <w:spacing w:after="0" w:line="278" w:lineRule="auto"/>
        <w:rPr>
          <w:sz w:val="20"/>
          <w:szCs w:val="20"/>
          <w:color w:val="auto"/>
        </w:rPr>
      </w:pPr>
      <w:r>
        <w:rPr>
          <w:rFonts w:ascii="Times New Roman" w:cs="Times New Roman" w:eastAsia="Times New Roman" w:hAnsi="Times New Roman"/>
          <w:sz w:val="13"/>
          <w:szCs w:val="13"/>
          <w:u w:val="single" w:color="auto"/>
          <w:color w:val="auto"/>
        </w:rPr>
        <w:t>THIRD</w:t>
      </w:r>
      <w:r>
        <w:rPr>
          <w:rFonts w:ascii="Times New Roman" w:cs="Times New Roman" w:eastAsia="Times New Roman" w:hAnsi="Times New Roman"/>
          <w:sz w:val="13"/>
          <w:szCs w:val="13"/>
          <w:color w:val="auto"/>
        </w:rPr>
        <w:t>: The designation, number of shares, preferences, conversion and other rights, voting powers, restrictions, limitations as to dividends and other distributions, transfers, qualifications, terms and conditions of redemption and other terms and conditions of the separate class of Preferred Stock of the Company designated as the 5.250% Series J Cumulative Redeemable Preferred Stock are as follows, which upon any restatement of the Charter shall be made a part of or incorporated by reference into the Charter with any necessary or appropriate changes to the enumeration or lettering of Sections or subsections thereof:</w:t>
      </w:r>
    </w:p>
    <w:p>
      <w:pPr>
        <w:spacing w:after="0" w:line="143" w:lineRule="exact"/>
        <w:rPr>
          <w:sz w:val="20"/>
          <w:szCs w:val="20"/>
          <w:color w:val="auto"/>
        </w:rPr>
      </w:pPr>
    </w:p>
    <w:p>
      <w:pPr>
        <w:jc w:val="both"/>
        <w:ind w:left="600" w:right="620" w:firstLine="480"/>
        <w:spacing w:after="0" w:line="305" w:lineRule="auto"/>
        <w:rPr>
          <w:sz w:val="20"/>
          <w:szCs w:val="20"/>
          <w:color w:val="auto"/>
        </w:rPr>
      </w:pPr>
      <w:r>
        <w:rPr>
          <w:rFonts w:ascii="Times New Roman" w:cs="Times New Roman" w:eastAsia="Times New Roman" w:hAnsi="Times New Roman"/>
          <w:sz w:val="13"/>
          <w:szCs w:val="13"/>
          <w:color w:val="auto"/>
        </w:rPr>
        <w:t xml:space="preserve">Section 1. </w:t>
      </w:r>
      <w:r>
        <w:rPr>
          <w:rFonts w:ascii="Times New Roman" w:cs="Times New Roman" w:eastAsia="Times New Roman" w:hAnsi="Times New Roman"/>
          <w:sz w:val="13"/>
          <w:szCs w:val="13"/>
          <w:u w:val="single" w:color="auto"/>
          <w:color w:val="auto"/>
        </w:rPr>
        <w:t>Designation and Number</w:t>
      </w:r>
      <w:r>
        <w:rPr>
          <w:rFonts w:ascii="Times New Roman" w:cs="Times New Roman" w:eastAsia="Times New Roman" w:hAnsi="Times New Roman"/>
          <w:sz w:val="13"/>
          <w:szCs w:val="13"/>
          <w:color w:val="auto"/>
        </w:rPr>
        <w:t>. A series of Preferred Stock, designated the “5.250% Series J Cumulative Redeemable Preferred Stock” (the “</w:t>
      </w:r>
      <w:r>
        <w:rPr>
          <w:rFonts w:ascii="Times New Roman" w:cs="Times New Roman" w:eastAsia="Times New Roman" w:hAnsi="Times New Roman"/>
          <w:sz w:val="13"/>
          <w:szCs w:val="13"/>
          <w:u w:val="single" w:color="auto"/>
          <w:color w:val="auto"/>
        </w:rPr>
        <w:t>Series J Preferred Stock</w:t>
      </w:r>
      <w:r>
        <w:rPr>
          <w:rFonts w:ascii="Times New Roman" w:cs="Times New Roman" w:eastAsia="Times New Roman" w:hAnsi="Times New Roman"/>
          <w:sz w:val="13"/>
          <w:szCs w:val="13"/>
          <w:color w:val="auto"/>
        </w:rPr>
        <w:t>”), is hereby established. The number of shares of Series J Preferred Stock shall be 9,200,000.</w:t>
      </w:r>
    </w:p>
    <w:p>
      <w:pPr>
        <w:spacing w:after="0" w:line="124" w:lineRule="exact"/>
        <w:rPr>
          <w:sz w:val="20"/>
          <w:szCs w:val="20"/>
          <w:color w:val="auto"/>
        </w:rPr>
      </w:pPr>
    </w:p>
    <w:p>
      <w:pPr>
        <w:jc w:val="both"/>
        <w:ind w:left="600" w:right="600" w:firstLine="480"/>
        <w:spacing w:after="0" w:line="275" w:lineRule="auto"/>
        <w:rPr>
          <w:sz w:val="20"/>
          <w:szCs w:val="20"/>
          <w:color w:val="auto"/>
        </w:rPr>
      </w:pPr>
      <w:r>
        <w:rPr>
          <w:rFonts w:ascii="Times New Roman" w:cs="Times New Roman" w:eastAsia="Times New Roman" w:hAnsi="Times New Roman"/>
          <w:sz w:val="13"/>
          <w:szCs w:val="13"/>
          <w:color w:val="auto"/>
        </w:rPr>
        <w:t xml:space="preserve">Section 2. </w:t>
      </w:r>
      <w:r>
        <w:rPr>
          <w:rFonts w:ascii="Times New Roman" w:cs="Times New Roman" w:eastAsia="Times New Roman" w:hAnsi="Times New Roman"/>
          <w:sz w:val="13"/>
          <w:szCs w:val="13"/>
          <w:u w:val="single" w:color="auto"/>
          <w:color w:val="auto"/>
        </w:rPr>
        <w:t>Rank</w:t>
      </w:r>
      <w:r>
        <w:rPr>
          <w:rFonts w:ascii="Times New Roman" w:cs="Times New Roman" w:eastAsia="Times New Roman" w:hAnsi="Times New Roman"/>
          <w:sz w:val="13"/>
          <w:szCs w:val="13"/>
          <w:color w:val="auto"/>
        </w:rPr>
        <w:t>. The Series J Preferred Stock will, with respect to dividend rights and rights upon voluntary or involuntary liquidation, dissolution or winding up of the Company, rank: (a) senior to all classes or series of the Company’s common stock, par value $0.01 per share (the “</w:t>
      </w:r>
      <w:r>
        <w:rPr>
          <w:rFonts w:ascii="Times New Roman" w:cs="Times New Roman" w:eastAsia="Times New Roman" w:hAnsi="Times New Roman"/>
          <w:sz w:val="13"/>
          <w:szCs w:val="13"/>
          <w:u w:val="single" w:color="auto"/>
          <w:color w:val="auto"/>
        </w:rPr>
        <w:t>Common Stock</w:t>
      </w:r>
      <w:r>
        <w:rPr>
          <w:rFonts w:ascii="Times New Roman" w:cs="Times New Roman" w:eastAsia="Times New Roman" w:hAnsi="Times New Roman"/>
          <w:sz w:val="13"/>
          <w:szCs w:val="13"/>
          <w:color w:val="auto"/>
        </w:rPr>
        <w:t>”), and all classes or series of capital stock of the Company now or hereafter authorized, issued or outstanding expressly designated as ranking junior to the Series J Preferred Stock as to dividend rights and rights upon voluntary or involuntary liquidation, dissolution or winding up of the Company; (b) on parity with the Series G Cumulative Redeemable Preferred Stock, par value $0.01 per share, the Series H Cumulative Redeemable Preferred Stock, par value $0.01 per share, and the Series I Cumulative Redeemable Preferred Stock, par value $0.01 per share, of the Company, and with any class or series of capital stock of the Company expressly designated as ranking on parity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107315</wp:posOffset>
            </wp:positionV>
            <wp:extent cx="4436110" cy="1524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79">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549275</wp:posOffset>
            </wp:positionV>
            <wp:extent cx="5083810" cy="1524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80">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640" w:right="1440" w:bottom="1440" w:gutter="0" w:footer="0" w:header="0"/>
        </w:sectPr>
      </w:pPr>
    </w:p>
    <w:bookmarkStart w:id="427" w:name="page428"/>
    <w:bookmarkEnd w:id="427"/>
    <w:p>
      <w:pPr>
        <w:jc w:val="both"/>
        <w:ind w:left="600" w:right="620"/>
        <w:spacing w:after="0" w:line="278" w:lineRule="auto"/>
        <w:rPr>
          <w:sz w:val="20"/>
          <w:szCs w:val="20"/>
          <w:color w:val="auto"/>
        </w:rPr>
      </w:pPr>
      <w:r>
        <w:rPr>
          <w:rFonts w:ascii="Times New Roman" w:cs="Times New Roman" w:eastAsia="Times New Roman" w:hAnsi="Times New Roman"/>
          <w:sz w:val="13"/>
          <w:szCs w:val="13"/>
          <w:color w:val="auto"/>
        </w:rPr>
        <w:t>the Series J Preferred Stock as to dividend rights and rights upon voluntary or involuntary liquidation, dissolution or winding up of the Company; and (c) junior to any class or series of capital stock of the Company expressly designated as ranking senior to the Series J Preferred Stock as to dividend rights and rights upon voluntary or involuntary liquidation, dissolution or winding up of the Company. The term “</w:t>
      </w:r>
      <w:r>
        <w:rPr>
          <w:rFonts w:ascii="Times New Roman" w:cs="Times New Roman" w:eastAsia="Times New Roman" w:hAnsi="Times New Roman"/>
          <w:sz w:val="13"/>
          <w:szCs w:val="13"/>
          <w:u w:val="single" w:color="auto"/>
          <w:color w:val="auto"/>
        </w:rPr>
        <w:t>capital stock</w:t>
      </w:r>
      <w:r>
        <w:rPr>
          <w:rFonts w:ascii="Times New Roman" w:cs="Times New Roman" w:eastAsia="Times New Roman" w:hAnsi="Times New Roman"/>
          <w:sz w:val="13"/>
          <w:szCs w:val="13"/>
          <w:color w:val="auto"/>
        </w:rPr>
        <w:t>” does not include convertible or exchangeable debt securities, which will rank senior to the Series J Preferred Stock prior to conversion or exchange. The Series J Preferred Stock will also rank junior in right of payment to the Company’s existing and future debt obligations.</w:t>
      </w:r>
    </w:p>
    <w:p>
      <w:pPr>
        <w:spacing w:after="0" w:line="14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 xml:space="preserve">Section 3. </w:t>
      </w:r>
      <w:r>
        <w:rPr>
          <w:rFonts w:ascii="Times New Roman" w:cs="Times New Roman" w:eastAsia="Times New Roman" w:hAnsi="Times New Roman"/>
          <w:sz w:val="13"/>
          <w:szCs w:val="13"/>
          <w:u w:val="single" w:color="auto"/>
          <w:color w:val="auto"/>
        </w:rPr>
        <w:t>Dividends</w:t>
      </w:r>
      <w:r>
        <w:rPr>
          <w:rFonts w:ascii="Times New Roman" w:cs="Times New Roman" w:eastAsia="Times New Roman" w:hAnsi="Times New Roman"/>
          <w:sz w:val="13"/>
          <w:szCs w:val="13"/>
          <w:color w:val="auto"/>
        </w:rPr>
        <w:t>.</w:t>
      </w:r>
    </w:p>
    <w:p>
      <w:pPr>
        <w:spacing w:after="0" w:line="187" w:lineRule="exact"/>
        <w:rPr>
          <w:sz w:val="20"/>
          <w:szCs w:val="20"/>
          <w:color w:val="auto"/>
        </w:rPr>
      </w:pPr>
    </w:p>
    <w:p>
      <w:pPr>
        <w:jc w:val="both"/>
        <w:ind w:left="600" w:right="600" w:firstLine="475"/>
        <w:spacing w:after="0" w:line="271" w:lineRule="auto"/>
        <w:tabs>
          <w:tab w:leader="none" w:pos="1248" w:val="left"/>
        </w:tabs>
        <w:numPr>
          <w:ilvl w:val="0"/>
          <w:numId w:val="4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the preferential rights of the holders of any class or series of capital stock of the Company ranking senior to the Series J Preferred Stock as to dividends, the holders of shares of the Series J Preferred Stock shall be entitled to receive, when, as and if authorized by the Board of Directors and declared by the Company, out of funds legally available for the payment of dividends, cumulative cash dividends at the rate of 5.250% per annum of the $25.00 liquidation preference per share of the Series J Preferred Stock (equivalent to a fixed annual amount of $1.3125 per share of the Series J Preferred Stock). Such dividends shall accrue and be cumulative from and including the first date on which any shares of Series J Preferred Stock are issued (the “</w:t>
      </w:r>
      <w:r>
        <w:rPr>
          <w:rFonts w:ascii="Times New Roman" w:cs="Times New Roman" w:eastAsia="Times New Roman" w:hAnsi="Times New Roman"/>
          <w:sz w:val="13"/>
          <w:szCs w:val="13"/>
          <w:u w:val="single" w:color="auto"/>
          <w:color w:val="auto"/>
        </w:rPr>
        <w:t>Original Issue Date</w:t>
      </w:r>
      <w:r>
        <w:rPr>
          <w:rFonts w:ascii="Times New Roman" w:cs="Times New Roman" w:eastAsia="Times New Roman" w:hAnsi="Times New Roman"/>
          <w:sz w:val="13"/>
          <w:szCs w:val="13"/>
          <w:color w:val="auto"/>
        </w:rPr>
        <w:t xml:space="preserve"> ”) and shall be payable quarterly in arrears on each Dividend Payment Date (as defined below), commencing December 29, 2017;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if any Dividend Payment Date is not a Business Day (as defined below), then the dividend which would otherwise have been payable on such Dividend Payment Date may be paid, at the Company’s option, on either the immediately preceding Business Day or the next succeeding Business Day, except that, if such Business Day is in the next succeeding calendar year, such payment shall be made on the immediately preceding Business Day, in each case with the same force and effect as if paid on such Dividend Payment Date, and no interest or additional dividends or other sums shall accrue on the amount so payable from such Dividend Payment Date to such next succeeding Business Day. The amount of any dividend payable on the Series J Preferred Stock for any partial Dividend Period (as defined below) shall be prorated and computed on the basis of a 360-day year consisting of twelve 30-day months. Dividends will be payable to holders of record as they appear in the stockholder records of the Company at the close of business on the applicable Dividend Record Date (as defined below). Notwithstanding any provision to the contrary contained herein, each outstanding share of Series J Preferred Stock shall be entitled to receive a dividend with respect to any Dividend Record Date equal to the dividend paid with respect to each other share of Series J Preferred Stock that is outstanding on such date. “</w:t>
      </w:r>
      <w:r>
        <w:rPr>
          <w:rFonts w:ascii="Times New Roman" w:cs="Times New Roman" w:eastAsia="Times New Roman" w:hAnsi="Times New Roman"/>
          <w:sz w:val="13"/>
          <w:szCs w:val="13"/>
          <w:u w:val="single" w:color="auto"/>
          <w:color w:val="auto"/>
        </w:rPr>
        <w:t>Dividend Record Date</w:t>
      </w:r>
      <w:r>
        <w:rPr>
          <w:rFonts w:ascii="Times New Roman" w:cs="Times New Roman" w:eastAsia="Times New Roman" w:hAnsi="Times New Roman"/>
          <w:sz w:val="13"/>
          <w:szCs w:val="13"/>
          <w:color w:val="auto"/>
        </w:rPr>
        <w:t>” shall mean the date designated by the Board of Directors for the payment of dividends that is not more than 35 or fewer than 10 days prior to the applicable Dividend Payment Date. “</w:t>
      </w:r>
      <w:r>
        <w:rPr>
          <w:rFonts w:ascii="Times New Roman" w:cs="Times New Roman" w:eastAsia="Times New Roman" w:hAnsi="Times New Roman"/>
          <w:sz w:val="13"/>
          <w:szCs w:val="13"/>
          <w:u w:val="single" w:color="auto"/>
          <w:color w:val="auto"/>
        </w:rPr>
        <w:t>Dividend Payment Date</w:t>
      </w:r>
      <w:r>
        <w:rPr>
          <w:rFonts w:ascii="Times New Roman" w:cs="Times New Roman" w:eastAsia="Times New Roman" w:hAnsi="Times New Roman"/>
          <w:sz w:val="13"/>
          <w:szCs w:val="13"/>
          <w:color w:val="auto"/>
        </w:rPr>
        <w:t xml:space="preserve">” shall mean the last calendar day of each March, June, September and December, commencing on December 29, 2017. “ </w:t>
      </w:r>
      <w:r>
        <w:rPr>
          <w:rFonts w:ascii="Times New Roman" w:cs="Times New Roman" w:eastAsia="Times New Roman" w:hAnsi="Times New Roman"/>
          <w:sz w:val="13"/>
          <w:szCs w:val="13"/>
          <w:u w:val="single" w:color="auto"/>
          <w:color w:val="auto"/>
        </w:rPr>
        <w:t>Dividend Period</w:t>
      </w:r>
      <w:r>
        <w:rPr>
          <w:rFonts w:ascii="Times New Roman" w:cs="Times New Roman" w:eastAsia="Times New Roman" w:hAnsi="Times New Roman"/>
          <w:sz w:val="13"/>
          <w:szCs w:val="13"/>
          <w:color w:val="auto"/>
        </w:rPr>
        <w:t>” shall mean the respective periods commencing on and including the first day of January, April, July and October of each year and ending on and including the day preceding the first day of the next succeeding Dividend Period (other than the initial Dividend Period, which shall commence on the Original Issue Date and end on and include December 31, 2017, and other than the Dividend Period during which any shares of Series J Preferred Stock shall be redeemed pursuant to Section 5 or Section 6 hereof, which shall end on and include the day preceding the redemption date with respect to the shares of Series J Preferred Stock being redeemed).</w:t>
      </w:r>
    </w:p>
    <w:p>
      <w:pPr>
        <w:spacing w:after="0" w:line="138" w:lineRule="exact"/>
        <w:rPr>
          <w:sz w:val="20"/>
          <w:szCs w:val="20"/>
          <w:color w:val="auto"/>
        </w:rPr>
      </w:pPr>
    </w:p>
    <w:p>
      <w:pPr>
        <w:ind w:left="600" w:right="520" w:firstLine="480"/>
        <w:spacing w:after="0" w:line="305" w:lineRule="auto"/>
        <w:rPr>
          <w:sz w:val="20"/>
          <w:szCs w:val="20"/>
          <w:color w:val="auto"/>
        </w:rPr>
      </w:pPr>
      <w:r>
        <w:rPr>
          <w:rFonts w:ascii="Times New Roman" w:cs="Times New Roman" w:eastAsia="Times New Roman" w:hAnsi="Times New Roman"/>
          <w:sz w:val="13"/>
          <w:szCs w:val="13"/>
          <w:color w:val="auto"/>
        </w:rPr>
        <w:t>The term “</w:t>
      </w:r>
      <w:r>
        <w:rPr>
          <w:rFonts w:ascii="Times New Roman" w:cs="Times New Roman" w:eastAsia="Times New Roman" w:hAnsi="Times New Roman"/>
          <w:sz w:val="13"/>
          <w:szCs w:val="13"/>
          <w:u w:val="single" w:color="auto"/>
          <w:color w:val="auto"/>
        </w:rPr>
        <w:t>Business Day</w:t>
      </w:r>
      <w:r>
        <w:rPr>
          <w:rFonts w:ascii="Times New Roman" w:cs="Times New Roman" w:eastAsia="Times New Roman" w:hAnsi="Times New Roman"/>
          <w:sz w:val="13"/>
          <w:szCs w:val="13"/>
          <w:color w:val="auto"/>
        </w:rPr>
        <w:t>” shall mean each day, other than a Saturday or a Sunday, which is not a day on which banking institutions in New York, New York are authorized or required by law, regulation or executive order to close.</w:t>
      </w:r>
    </w:p>
    <w:p>
      <w:pPr>
        <w:spacing w:after="0" w:line="124" w:lineRule="exact"/>
        <w:rPr>
          <w:sz w:val="20"/>
          <w:szCs w:val="20"/>
          <w:color w:val="auto"/>
        </w:rPr>
      </w:pPr>
    </w:p>
    <w:p>
      <w:pPr>
        <w:ind w:left="1080" w:right="620" w:hanging="486"/>
        <w:spacing w:after="0" w:line="287" w:lineRule="auto"/>
        <w:tabs>
          <w:tab w:leader="none" w:pos="780" w:val="left"/>
        </w:tabs>
        <w:numPr>
          <w:ilvl w:val="0"/>
          <w:numId w:val="4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anything contained herein to the contrary, dividends on the Series J Preferred Stock shall accrue whether or not the Company has earnings, whether or not there are funds legally available for the payment of such dividends, and whether or not such dividends are authorized or declared.</w:t>
      </w:r>
    </w:p>
    <w:p>
      <w:pPr>
        <w:spacing w:after="0" w:line="135" w:lineRule="exact"/>
        <w:rPr>
          <w:rFonts w:ascii="Times New Roman" w:cs="Times New Roman" w:eastAsia="Times New Roman" w:hAnsi="Times New Roman"/>
          <w:sz w:val="13"/>
          <w:szCs w:val="13"/>
          <w:color w:val="auto"/>
        </w:rPr>
      </w:pPr>
    </w:p>
    <w:p>
      <w:pPr>
        <w:jc w:val="both"/>
        <w:ind w:left="600" w:right="600" w:firstLine="475"/>
        <w:spacing w:after="0" w:line="273" w:lineRule="auto"/>
        <w:tabs>
          <w:tab w:leader="none" w:pos="1260" w:val="left"/>
        </w:tabs>
        <w:numPr>
          <w:ilvl w:val="1"/>
          <w:numId w:val="4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provided in Section 3(d) below, no dividends shall be declared and paid or declared and set apart for payment, and no other distribution of cash or other property may be declared and made, directly or indirectly, on or with respect to, any shares of Common Stock or shares of any other class or series of capital stock of the Company ranking, as to dividends, on parity with or junior to the Series J Preferred Stock (other than a dividend paid in shares of Common Stock or in shares of any other class or series of capital stock ranking junior to the Series J Preferred Stock as to payment of dividends and the distribution of assets upon the Company’s liquidation, dissolution or winding up) for any period, nor shall any shares of Common Stock or any other shares of any other class or series of capital stock of the Company ranking, as to payment of dividends and the distribution of assets upon the Company’s liquidation, dissolution or winding up, on parity with or junior to the Series J Preferred Stock be redeemed, purchased or otherwise acquired for any consideration, nor shall any funds be paid or made available for a sinking fund for the redemption of such shares, and no other distribution of cash or other property may be made, directly or indirectly, on or with respect thereto by the Company (except by conversion into or exchange for other shares of any class or series of capital stock of the Company ranking junior to the Series J Preferred Stock as to payment of dividends and the distribution of assets upon the Company’s liquidation, dissolution or winding up, and except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214630</wp:posOffset>
            </wp:positionV>
            <wp:extent cx="4436110" cy="1524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81">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648970</wp:posOffset>
            </wp:positionV>
            <wp:extent cx="5083810" cy="1524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82">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28" w:name="page429"/>
    <w:bookmarkEnd w:id="428"/>
    <w:p>
      <w:pPr>
        <w:jc w:val="both"/>
        <w:ind w:left="600" w:right="600"/>
        <w:spacing w:after="0" w:line="287" w:lineRule="auto"/>
        <w:rPr>
          <w:sz w:val="20"/>
          <w:szCs w:val="20"/>
          <w:color w:val="auto"/>
        </w:rPr>
      </w:pPr>
      <w:r>
        <w:rPr>
          <w:rFonts w:ascii="Times New Roman" w:cs="Times New Roman" w:eastAsia="Times New Roman" w:hAnsi="Times New Roman"/>
          <w:sz w:val="13"/>
          <w:szCs w:val="13"/>
          <w:color w:val="auto"/>
        </w:rPr>
        <w:t>acquisition of shares made pursuant to the provisions of Article VI of the Charter or Section 9 hereof), unless full cumulative dividends on the Series J Preferred Stock for all past Dividend Periods shall have been or contemporaneously are (i) declared and paid in cash or (ii) declared and a sum sufficient for the payment thereof in cash is set apart for such payment.</w:t>
      </w:r>
    </w:p>
    <w:p>
      <w:pPr>
        <w:spacing w:after="0" w:line="136" w:lineRule="exact"/>
        <w:rPr>
          <w:sz w:val="20"/>
          <w:szCs w:val="20"/>
          <w:color w:val="auto"/>
        </w:rPr>
      </w:pPr>
    </w:p>
    <w:p>
      <w:pPr>
        <w:jc w:val="both"/>
        <w:ind w:left="600" w:right="600" w:firstLine="480"/>
        <w:spacing w:after="0" w:line="274" w:lineRule="auto"/>
        <w:rPr>
          <w:sz w:val="20"/>
          <w:szCs w:val="20"/>
          <w:color w:val="auto"/>
        </w:rPr>
      </w:pPr>
      <w:r>
        <w:rPr>
          <w:rFonts w:ascii="Times New Roman" w:cs="Times New Roman" w:eastAsia="Times New Roman" w:hAnsi="Times New Roman"/>
          <w:sz w:val="13"/>
          <w:szCs w:val="13"/>
          <w:color w:val="auto"/>
        </w:rPr>
        <w:t>(d) When dividends are not paid in full (and a sum sufficient for such full payment is not so set apart) on the Series J Preferred Stock and the shares of any other class or series of capital stock ranking, as to dividends, on parity with the Series J Preferred Stock, all dividends declared upon the Series J Preferred Stock and each such other class or series of capital stock ranking, as to dividends, on parity with the Series J Preferred Stock shall be declared pro rata so that the amount of dividends declared per share of Series J Preferred Stock and such other class or series of capital stock shall in all cases bear to each other the same ratio that accrued dividends per share on the Series J Preferred Stock and such other class or series of capital stock (which shall not include any accrual in respect of unpaid dividends on such other class or series of capital stock for prior Dividend Periods if such other class or series of capital stock does not have a cumulative dividend) bear to each other. No interest, or sum of money in lieu of interest, shall be payable in respect of any dividend payment or payments on the Series J Preferred Stock which may be in arrears.</w:t>
      </w:r>
    </w:p>
    <w:p>
      <w:pPr>
        <w:spacing w:after="0" w:line="135" w:lineRule="exact"/>
        <w:rPr>
          <w:sz w:val="20"/>
          <w:szCs w:val="20"/>
          <w:color w:val="auto"/>
        </w:rPr>
      </w:pPr>
    </w:p>
    <w:p>
      <w:pPr>
        <w:jc w:val="both"/>
        <w:ind w:left="600" w:right="600" w:firstLine="475"/>
        <w:spacing w:after="0" w:line="281" w:lineRule="auto"/>
        <w:tabs>
          <w:tab w:leader="none" w:pos="1248" w:val="left"/>
        </w:tabs>
        <w:numPr>
          <w:ilvl w:val="0"/>
          <w:numId w:val="4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Holders of shares of Series J Preferred Stock shall not be entitled to any dividend, whether payable in cash, property or shares of capital stock, in excess of full cumulative dividends on the Series J Preferred Stock as provided herein. Any dividend payment made on the Series J Preferred Stock shall first be credited against the earliest accrued but unpaid dividends due with respect to such shares which remain payable. Accrued but unpaid dividends on the Series J Preferred Stock will accumulate as of the Dividend Payment Date on which they first become payable.</w:t>
      </w:r>
    </w:p>
    <w:p>
      <w:pPr>
        <w:spacing w:after="0" w:line="30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 xml:space="preserve">Section 4. </w:t>
      </w:r>
      <w:r>
        <w:rPr>
          <w:rFonts w:ascii="Times New Roman" w:cs="Times New Roman" w:eastAsia="Times New Roman" w:hAnsi="Times New Roman"/>
          <w:sz w:val="13"/>
          <w:szCs w:val="13"/>
          <w:u w:val="single" w:color="auto"/>
          <w:color w:val="auto"/>
        </w:rPr>
        <w:t>Liquidation Preference</w:t>
      </w:r>
      <w:r>
        <w:rPr>
          <w:rFonts w:ascii="Times New Roman" w:cs="Times New Roman" w:eastAsia="Times New Roman" w:hAnsi="Times New Roman"/>
          <w:sz w:val="13"/>
          <w:szCs w:val="13"/>
          <w:color w:val="auto"/>
        </w:rPr>
        <w:t>.</w:t>
      </w:r>
    </w:p>
    <w:p>
      <w:pPr>
        <w:spacing w:after="0" w:line="187" w:lineRule="exact"/>
        <w:rPr>
          <w:sz w:val="20"/>
          <w:szCs w:val="20"/>
          <w:color w:val="auto"/>
        </w:rPr>
      </w:pPr>
    </w:p>
    <w:p>
      <w:pPr>
        <w:jc w:val="both"/>
        <w:ind w:left="600" w:right="600" w:firstLine="475"/>
        <w:spacing w:after="0" w:line="271" w:lineRule="auto"/>
        <w:tabs>
          <w:tab w:leader="none" w:pos="1248" w:val="left"/>
        </w:tabs>
        <w:numPr>
          <w:ilvl w:val="0"/>
          <w:numId w:val="4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any voluntary or involuntary liquidation, dissolution or winding up of the Company, before any distribution or payment shall be made to holders of shares of Common Stock or any other class or series of capital stock of the Company ranking, as to rights upon any voluntary or involuntary liquidation, dissolution or winding up of the Company, junior to the Series J Preferred Stock, the holders of shares of Series J Preferred Stock shall be entitled to be paid out of the assets of the Company legally available for distribution to its stockholders, after payment of or provision for the debts and other liabilities of the Company and, subject to compliance with section 7(f)(i) of these Articles Supplementary, any class or series of capital stock of the Company ranking, as to rights upon any voluntary or involuntary liquidation, dissolution or winding up of the Company, senior to the Series J Preferred Stock, a liquidation preference of $25.00 per share, plus an amount equal to any accrued and unpaid dividends (whether or not authorized or declared) up to but excluding the date of payment. In the event that, upon such voluntary or involuntary liquidation, dissolution or winding up, the available assets of the Company are insufficient to pay the full amount of the liquidating distributions on all outstanding shares of Series J Preferred Stock and the corresponding amounts payable on all shares of other classes or series of capital stock of the Company ranking, as to rights upon the Company’s liquidation, dissolution or winding up, on parity with the Series J Preferred Stock in the distribution of assets, then the holders of the Series J Preferred Stock and each such other class or series of capital stock ranking, as to rights upon any voluntary or involuntary liquidation, dissolution or winding up, on parity with the Series J Preferred Stock shall share ratably in any such distribution of assets in proportion to the full liquidating distributions to which they would otherwise be respectively entitled. Written notice of any such voluntary or involuntary liquidation, dissolution or winding up of the Company, stating the payment date or dates when, and the place or places where, the amounts distributable in such circumstances shall be payable, shall be given by first class mail, postage pre-paid, not fewer than 30 or more than 60 days prior to the payment date stated therein, to each record holder of shares of Series J Preferred Stock at the respective addresses of such holders as the same shall appear on the stock transfer records of the Company. After payment of the full amount of the liquidating distributions to which they are entitled, the holders of Series J Preferred Stock will have no right or claim to any of the remaining assets of the Company. The consolidation or merger of the Company with or into any other corporation, trust or entity, or the voluntary sale, lease, transfer or conveyance of all or substantially all of the property or business of the Company, shall not be deemed to constitute a liquidation, dissolution or winding up of the Company.</w:t>
      </w:r>
    </w:p>
    <w:p>
      <w:pPr>
        <w:spacing w:after="0" w:line="308" w:lineRule="exact"/>
        <w:rPr>
          <w:rFonts w:ascii="Times New Roman" w:cs="Times New Roman" w:eastAsia="Times New Roman" w:hAnsi="Times New Roman"/>
          <w:sz w:val="13"/>
          <w:szCs w:val="13"/>
          <w:color w:val="auto"/>
        </w:rPr>
      </w:pPr>
    </w:p>
    <w:p>
      <w:pPr>
        <w:jc w:val="both"/>
        <w:ind w:left="600" w:right="600" w:firstLine="475"/>
        <w:spacing w:after="0" w:line="281" w:lineRule="auto"/>
        <w:tabs>
          <w:tab w:leader="none" w:pos="1260" w:val="left"/>
        </w:tabs>
        <w:numPr>
          <w:ilvl w:val="0"/>
          <w:numId w:val="4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determining whether a distribution (other than upon voluntary or involuntary liquidation), by dividend, redemption or other acquisition of shares of capital stock of the Company or otherwise, is permitted under the MGCL, amounts that would be needed, if the Company were to be dissolved at the time of the distribution, to satisfy the preferential rights upon dissolution of holders of shares of Series J Preferred Stock shall not be added to the Company’s total liabilities.</w:t>
      </w:r>
    </w:p>
    <w:p>
      <w:pPr>
        <w:spacing w:after="0" w:line="14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 xml:space="preserve">Section 5. </w:t>
      </w:r>
      <w:r>
        <w:rPr>
          <w:rFonts w:ascii="Times New Roman" w:cs="Times New Roman" w:eastAsia="Times New Roman" w:hAnsi="Times New Roman"/>
          <w:sz w:val="13"/>
          <w:szCs w:val="13"/>
          <w:u w:val="single" w:color="auto"/>
          <w:color w:val="auto"/>
        </w:rPr>
        <w:t>Redemption</w:t>
      </w:r>
      <w:r>
        <w:rPr>
          <w:rFonts w:ascii="Times New Roman" w:cs="Times New Roman" w:eastAsia="Times New Roman" w:hAnsi="Times New Roman"/>
          <w:sz w:val="13"/>
          <w:szCs w:val="13"/>
          <w:color w:val="auto"/>
        </w:rPr>
        <w:t>.</w:t>
      </w:r>
    </w:p>
    <w:p>
      <w:pPr>
        <w:spacing w:after="0" w:line="187" w:lineRule="exact"/>
        <w:rPr>
          <w:sz w:val="20"/>
          <w:szCs w:val="20"/>
          <w:color w:val="auto"/>
        </w:rPr>
      </w:pPr>
    </w:p>
    <w:p>
      <w:pPr>
        <w:ind w:left="600" w:right="620" w:firstLine="475"/>
        <w:spacing w:after="0" w:line="305" w:lineRule="auto"/>
        <w:tabs>
          <w:tab w:leader="none" w:pos="1260" w:val="left"/>
        </w:tabs>
        <w:numPr>
          <w:ilvl w:val="0"/>
          <w:numId w:val="4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Shares of Series J Preferred Stock shall not be redeemable prior to August 7, 2022 except as set forth in Section 6 hereof or to preserve the status of the Company as a REIT (as defined in Section 9(a) hereof) for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93980</wp:posOffset>
            </wp:positionV>
            <wp:extent cx="4436110" cy="762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83">
                      <a:extLst>
                        <a:ext uri="{28A0092B-C50C-407E-A947-70E740481C1C}"/>
                      </a:extLst>
                    </a:blip>
                    <a:srcRect/>
                    <a:stretch>
                      <a:fillRect/>
                    </a:stretch>
                  </pic:blipFill>
                  <pic:spPr bwMode="auto">
                    <a:xfrm>
                      <a:off x="0" y="0"/>
                      <a:ext cx="4436110"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528320</wp:posOffset>
            </wp:positionV>
            <wp:extent cx="5083810" cy="1524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84">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29" w:name="page430"/>
    <w:bookmarkEnd w:id="429"/>
    <w:p>
      <w:pPr>
        <w:jc w:val="both"/>
        <w:ind w:left="600" w:right="620"/>
        <w:spacing w:after="0" w:line="287" w:lineRule="auto"/>
        <w:rPr>
          <w:sz w:val="20"/>
          <w:szCs w:val="20"/>
          <w:color w:val="auto"/>
        </w:rPr>
      </w:pPr>
      <w:r>
        <w:rPr>
          <w:rFonts w:ascii="Times New Roman" w:cs="Times New Roman" w:eastAsia="Times New Roman" w:hAnsi="Times New Roman"/>
          <w:sz w:val="13"/>
          <w:szCs w:val="13"/>
          <w:color w:val="auto"/>
        </w:rPr>
        <w:t>federal income tax purposes. In addition, the Series J Preferred Stock shall be subject to the provisions of Section 9 hereof pursuant to which Series J Preferred Stock owned by a stockholder in excess of the Ownership Limit (as defined in Section 9(a) hereof) shall automatically be transferred to a Trust (as defined in Section 9(a) hereof) for the exclusive benefit of a Charitable Beneficiary (as defined in Section 9(a) hereof).</w:t>
      </w:r>
    </w:p>
    <w:p>
      <w:pPr>
        <w:spacing w:after="0" w:line="136" w:lineRule="exact"/>
        <w:rPr>
          <w:sz w:val="20"/>
          <w:szCs w:val="20"/>
          <w:color w:val="auto"/>
        </w:rPr>
      </w:pPr>
    </w:p>
    <w:p>
      <w:pPr>
        <w:ind w:left="600" w:right="580" w:firstLine="480"/>
        <w:spacing w:after="0" w:line="272" w:lineRule="auto"/>
        <w:rPr>
          <w:sz w:val="20"/>
          <w:szCs w:val="20"/>
          <w:color w:val="auto"/>
        </w:rPr>
      </w:pPr>
      <w:r>
        <w:rPr>
          <w:rFonts w:ascii="Times New Roman" w:cs="Times New Roman" w:eastAsia="Times New Roman" w:hAnsi="Times New Roman"/>
          <w:sz w:val="13"/>
          <w:szCs w:val="13"/>
          <w:color w:val="auto"/>
        </w:rPr>
        <w:t>(b) On and after August 7, 2022, the Company, at its option, upon not fewer than 30 or more than 60 days’ written notice, may redeem the Series J Preferred Stock, in whole or in part, at any time or from time to time, for cash at a redemption price of</w:t>
      </w:r>
    </w:p>
    <w:p>
      <w:pPr>
        <w:spacing w:after="0" w:line="1" w:lineRule="exact"/>
        <w:rPr>
          <w:sz w:val="20"/>
          <w:szCs w:val="20"/>
          <w:color w:val="auto"/>
        </w:rPr>
      </w:pPr>
    </w:p>
    <w:p>
      <w:pPr>
        <w:jc w:val="both"/>
        <w:ind w:left="600" w:right="600"/>
        <w:spacing w:after="0" w:line="271" w:lineRule="auto"/>
        <w:rPr>
          <w:sz w:val="20"/>
          <w:szCs w:val="20"/>
          <w:color w:val="auto"/>
        </w:rPr>
      </w:pPr>
      <w:r>
        <w:rPr>
          <w:rFonts w:ascii="Times New Roman" w:cs="Times New Roman" w:eastAsia="Times New Roman" w:hAnsi="Times New Roman"/>
          <w:sz w:val="13"/>
          <w:szCs w:val="13"/>
          <w:color w:val="auto"/>
        </w:rPr>
        <w:t>$25.00 per share, plus all accrued and unpaid dividends (whether or not authorized or declared) thereon up to but not including the date fixed for redemption, without interest, to the extent the Company has funds legally available therefor (the “</w:t>
      </w:r>
      <w:r>
        <w:rPr>
          <w:rFonts w:ascii="Times New Roman" w:cs="Times New Roman" w:eastAsia="Times New Roman" w:hAnsi="Times New Roman"/>
          <w:sz w:val="13"/>
          <w:szCs w:val="13"/>
          <w:u w:val="single" w:color="auto"/>
          <w:color w:val="auto"/>
        </w:rPr>
        <w:t>Redemption Right</w:t>
      </w:r>
      <w:r>
        <w:rPr>
          <w:rFonts w:ascii="Times New Roman" w:cs="Times New Roman" w:eastAsia="Times New Roman" w:hAnsi="Times New Roman"/>
          <w:sz w:val="13"/>
          <w:szCs w:val="13"/>
          <w:color w:val="auto"/>
        </w:rPr>
        <w:t>”). If fewer than all of the outstanding shares of Series J Preferred Stock are to be redeemed, the shares of Series J Preferred Stock to be redeemed shall be redeemed pro rata (as nearly as may be practicable without creating fractional shares) or by lot as determined by the Company. If redemption is to be by lot and, as a result, any holder of shares of Series J Preferred Stock would have actual ownership, Beneficial Ownership or Constructive Ownership (each as defined in Section 9(a) hereof) in excess of the Ownership Limit (as defined in Section 9(a) hereof), the Aggregate Stock Ownership Limit (as defined in Section 9(a) hereof), or such other limit as permitted by the Board of Directors or a committee thereof pursuant to Section 9(i) hereof, because such holder’s shares of Series J Preferred Stock were not redeemed, or were only redeemed in part, then, except as otherwise provided in the Charter, the Company shall redeem the requisite number of shares of Series J Preferred Stock of such holder such that no holder will hold an amount of Series J Preferred Stock in excess of the applicable ownership limit, subsequent to such redemption. Holders of Series J Preferred Stock to be redeemed shall surrender such Series J Preferred Stock at the place, or in accordance with the book-entry procedures, designated in such notice and shall be entitled to the redemption price of $25.00 per share and any accrued and unpaid dividends payable upon such redemption following such surrender. If (i) notice of redemption of any shares of Series J Preferred Stock has been given (in the case of a redemption of the Series J Preferred Stock other than to preserve the status of the Company as a REIT), (ii) the funds necessary for such redemption have been set aside by the Company in trust for the benefit of the holders of any shares of Series J Preferred Stock so called for redemption, and (iii) irrevocable instructions have been given to pay the redemption price and all accrued and unpaid dividends, then from and after the redemption date, dividends shall cease to accrue on such shares of Series J Preferred Stock, such shares of Series J Preferred Stock shall no longer be deemed outstanding, and all rights of the holders of such shares shall terminate, except the right to receive the redemption price plus any accrued and unpaid dividends payable upon such redemption, without interest. So long as full cumulative dividends on the Series J Preferred Stock for all past Dividend Periods shall have been or contemporaneously are (i) declared and paid in cash, or (ii) declared and a sum sufficient for the payment thereof in cash is set apart for payment, nothing herein shall prevent or restrict the Company’s right or ability to purchase, from time to time, either at a public or a private sale, all or any part of the Series J Preferred Stock at such price or prices as the Company may determine, subject to the provisions of applicable law, including the repurchase of shares of Series J Preferred Stock in open-market transactions duly authorized by the Board of Directors.</w:t>
      </w:r>
    </w:p>
    <w:p>
      <w:pPr>
        <w:spacing w:after="0" w:line="303" w:lineRule="exact"/>
        <w:rPr>
          <w:sz w:val="20"/>
          <w:szCs w:val="20"/>
          <w:color w:val="auto"/>
        </w:rPr>
      </w:pPr>
    </w:p>
    <w:p>
      <w:pPr>
        <w:jc w:val="both"/>
        <w:ind w:left="600" w:right="600" w:firstLine="475"/>
        <w:spacing w:after="0" w:line="278" w:lineRule="auto"/>
        <w:tabs>
          <w:tab w:leader="none" w:pos="1260" w:val="left"/>
        </w:tabs>
        <w:numPr>
          <w:ilvl w:val="0"/>
          <w:numId w:val="4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event of any redemption of the Series J Preferred Stock in order to preserve the status of the Company as a REIT for United States federal income tax purposes, such redemption shall be made in accordance with the terms and conditions set forth in this Section 5 of these Articles Supplementary. If the Company calls for redemption of any shares of Series J Preferred Stock pursuant to and in accordance with this Section 5(c), then the redemption price for such shares will be an amount in cash equal to $25.00 per share together with all accrued and unpaid dividends to but excluding the dated fixed for redemption.</w:t>
      </w:r>
    </w:p>
    <w:p>
      <w:pPr>
        <w:spacing w:after="0" w:line="143" w:lineRule="exact"/>
        <w:rPr>
          <w:sz w:val="20"/>
          <w:szCs w:val="20"/>
          <w:color w:val="auto"/>
        </w:rPr>
      </w:pPr>
    </w:p>
    <w:p>
      <w:pPr>
        <w:jc w:val="both"/>
        <w:ind w:left="600" w:right="600" w:firstLine="480"/>
        <w:spacing w:after="0" w:line="272" w:lineRule="auto"/>
        <w:rPr>
          <w:sz w:val="20"/>
          <w:szCs w:val="20"/>
          <w:color w:val="auto"/>
        </w:rPr>
      </w:pPr>
      <w:r>
        <w:rPr>
          <w:rFonts w:ascii="Times New Roman" w:cs="Times New Roman" w:eastAsia="Times New Roman" w:hAnsi="Times New Roman"/>
          <w:sz w:val="13"/>
          <w:szCs w:val="13"/>
          <w:color w:val="auto"/>
        </w:rPr>
        <w:t xml:space="preserve">(d) Unless full cumulative dividends on the Series J Preferred Stock for all past Dividend Periods shall have been or contemporaneously are (i) declared and paid in cash, or (ii) declared and a sum sufficient for the payment thereof in cash is set apart for payment, no shares of Series J Preferred Stock shall be redeemed pursuant to the Redemption Right or Special Optional Redemption Right (defined below) unless all outstanding shares of Series J Preferred Stock are simultaneously redeemed, and the Company shall not purchase or otherwise acquire directly or indirectly any shares of Series J Preferred Stock or any class or series of capital stock of the Company ranking, as to payment of dividends and the distribution of assets upon liquidation, dissolution or winding up of the Company, on parity with or junior to the Series J Preferred Stock (except by conversion into or exchange for shares of capital stock of the Company ranking, as to payment of dividends and the distribution of assets upon liquidation, dissolution or winding up of the Company, junior to the Series J Preferred Stock);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the foregoing shall not prevent the purchase of Series J Preferred Stock, or any other class or series of capital stock of the Company ranking, as to payment of dividends and the distribution of assets upon liquidation, dissolution or winding up of the Company, on parity with or junior to the Series J Preferred Stock, by the Company in accordance with the terms of Sections 5(c) and 9 of these Articles Supplementary or otherwise, in order to ensure that the Company remains qualified as a REIT for United States federal income tax purposes, or the purchase or acquisition of Series J Preferred Stock pursuant to a purchase or exchange offer made on the same terms to holders of all outstanding shares of Series J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110490</wp:posOffset>
            </wp:positionV>
            <wp:extent cx="4436110" cy="1524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85">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544830</wp:posOffset>
            </wp:positionV>
            <wp:extent cx="5083810" cy="1524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86">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30" w:name="page431"/>
    <w:bookmarkEnd w:id="430"/>
    <w:p>
      <w:pPr>
        <w:jc w:val="both"/>
        <w:ind w:left="600" w:right="600" w:firstLine="475"/>
        <w:spacing w:after="0" w:line="272" w:lineRule="auto"/>
        <w:tabs>
          <w:tab w:leader="none" w:pos="1260" w:val="left"/>
        </w:tabs>
        <w:numPr>
          <w:ilvl w:val="0"/>
          <w:numId w:val="4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Notice of redemption pursuant to the Redemption Right will be mailed by the Company, postage prepaid, not fewer than 30 or more than 60 days prior to the redemption date, addressed to the respective holders of record of the Series J Preferred Stock to be redeemed at their respective addresses as they appear on the transfer records of the Company. No failure to give or defect in such notice shall affect the validity of the proceedings for the redemption of any Series J Preferred Stock except as to the holder to whom such notice was defective or not given. In addition to any information required by law or by the applicable rules of any exchange upon which the Series J Preferred Stock may be listed or admitted to trading, each such notice shall state: (i) the redemption date; (ii) the redemption price; (iii) the number of shares of Series J Preferred Stock to be redeemed; (iv) the place or places where the certificates, if any, representing shares of Series J Preferred Stock are to be surrendered for payment of the redemption price; (v) procedures for surrendering noncertificated shares of Series J Preferred Stock for payment of the redemption price; (vi) that dividends on the shares of Series J Preferred Stock to be redeemed will cease to accumulate on such redemption date; and (vii) that payment of the redemption price and any accumulated and unpaid dividends will be made upon presentation and surrender of such Series J Preferred Stock. If fewer than all of the shares of Series J Preferred Stock held by any holder are to be redeemed, the notice mailed to such holder shall also specify the number of shares of Series J Preferred Stock held by such holder to be redeemed. Notwithstanding anything else to the contrary in these Articles Supplementary, the Company shall not be required to provide notice to the holder of Series J Preferred Stock in the event such holder’s Series J Preferred Stock is redeemed in accordance with Sections 5(c) and 9 of these Articles Supplementary to preserve the Company’s status as a REIT.</w:t>
      </w:r>
    </w:p>
    <w:p>
      <w:pPr>
        <w:spacing w:after="0" w:line="305" w:lineRule="exact"/>
        <w:rPr>
          <w:sz w:val="20"/>
          <w:szCs w:val="20"/>
          <w:color w:val="auto"/>
        </w:rPr>
      </w:pPr>
    </w:p>
    <w:p>
      <w:pPr>
        <w:jc w:val="both"/>
        <w:ind w:left="600" w:right="600" w:firstLine="480"/>
        <w:spacing w:after="0" w:line="276" w:lineRule="auto"/>
        <w:rPr>
          <w:sz w:val="20"/>
          <w:szCs w:val="20"/>
          <w:color w:val="auto"/>
        </w:rPr>
      </w:pPr>
      <w:r>
        <w:rPr>
          <w:rFonts w:ascii="Times New Roman" w:cs="Times New Roman" w:eastAsia="Times New Roman" w:hAnsi="Times New Roman"/>
          <w:sz w:val="13"/>
          <w:szCs w:val="13"/>
          <w:color w:val="auto"/>
        </w:rPr>
        <w:t>(f)If a redemption date falls after a Dividend Record Date and on or prior to the corresponding Dividend Payment Date, each holder of Series J Preferred Stock at the close of business of such Dividend Record Date shall be entitled to the dividend payable on such shares on the corresponding Dividend Payment Date notwithstanding the redemption of such shares on or prior to such Dividend Payment Date, and each holder of Series J Preferred Stock that surrenders its shares on such redemption date will be entitled to the dividends accruing after the end of the Dividend Period to which such Dividend Payment Date relates up to but excluding the redemption date. Except as provided herein, the Company shall make no payment or allowance for unpaid dividends, whether or not in arrears, on Series J Preferred Stock for which a notice of redemption has been given.</w:t>
      </w:r>
    </w:p>
    <w:p>
      <w:pPr>
        <w:spacing w:after="0" w:line="313" w:lineRule="exact"/>
        <w:rPr>
          <w:sz w:val="20"/>
          <w:szCs w:val="20"/>
          <w:color w:val="auto"/>
        </w:rPr>
      </w:pPr>
    </w:p>
    <w:p>
      <w:pPr>
        <w:jc w:val="both"/>
        <w:ind w:left="600" w:right="620" w:firstLine="475"/>
        <w:spacing w:after="0" w:line="287" w:lineRule="auto"/>
        <w:tabs>
          <w:tab w:leader="none" w:pos="1260" w:val="left"/>
        </w:tabs>
        <w:numPr>
          <w:ilvl w:val="0"/>
          <w:numId w:val="4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shares of the Series J Preferred Stock redeemed or repurchased pursuant to this Section 5, or otherwise acquired in any other manner by the Company, shall be retired and shall be restored to the status of authorized but unissued shares of Preferred Stock, without designation as to series or class.</w:t>
      </w:r>
    </w:p>
    <w:p>
      <w:pPr>
        <w:spacing w:after="0" w:line="136" w:lineRule="exact"/>
        <w:rPr>
          <w:sz w:val="20"/>
          <w:szCs w:val="20"/>
          <w:color w:val="auto"/>
        </w:rPr>
      </w:pPr>
    </w:p>
    <w:p>
      <w:pPr>
        <w:jc w:val="both"/>
        <w:ind w:left="600" w:right="600" w:firstLine="480"/>
        <w:spacing w:after="0" w:line="287" w:lineRule="auto"/>
        <w:rPr>
          <w:sz w:val="20"/>
          <w:szCs w:val="20"/>
          <w:color w:val="auto"/>
        </w:rPr>
      </w:pPr>
      <w:r>
        <w:rPr>
          <w:rFonts w:ascii="Times New Roman" w:cs="Times New Roman" w:eastAsia="Times New Roman" w:hAnsi="Times New Roman"/>
          <w:sz w:val="13"/>
          <w:szCs w:val="13"/>
          <w:color w:val="auto"/>
        </w:rPr>
        <w:t xml:space="preserve">(h) The Series J Preferred Stock shall have no stated maturity and shall not be subject to any sinking fund or mandatory redemption;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the Series J Preferred Stock owned by a stockholder in excess of the applicable ownership limit shall be subject to the provisions of this Section 5 and Section 9 of these Articles Supplementary.</w:t>
      </w:r>
    </w:p>
    <w:p>
      <w:pPr>
        <w:spacing w:after="0" w:line="13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 xml:space="preserve">Section 6. </w:t>
      </w:r>
      <w:r>
        <w:rPr>
          <w:rFonts w:ascii="Times New Roman" w:cs="Times New Roman" w:eastAsia="Times New Roman" w:hAnsi="Times New Roman"/>
          <w:sz w:val="13"/>
          <w:szCs w:val="13"/>
          <w:u w:val="single" w:color="auto"/>
          <w:color w:val="auto"/>
        </w:rPr>
        <w:t>Special Optional Redemption by the Company</w:t>
      </w:r>
      <w:r>
        <w:rPr>
          <w:rFonts w:ascii="Times New Roman" w:cs="Times New Roman" w:eastAsia="Times New Roman" w:hAnsi="Times New Roman"/>
          <w:sz w:val="13"/>
          <w:szCs w:val="13"/>
          <w:color w:val="auto"/>
        </w:rPr>
        <w:t>.</w:t>
      </w:r>
    </w:p>
    <w:p>
      <w:pPr>
        <w:spacing w:after="0" w:line="187" w:lineRule="exact"/>
        <w:rPr>
          <w:sz w:val="20"/>
          <w:szCs w:val="20"/>
          <w:color w:val="auto"/>
        </w:rPr>
      </w:pPr>
    </w:p>
    <w:p>
      <w:pPr>
        <w:jc w:val="both"/>
        <w:ind w:left="600" w:right="600" w:firstLine="475"/>
        <w:spacing w:after="0" w:line="270" w:lineRule="auto"/>
        <w:tabs>
          <w:tab w:leader="none" w:pos="1260" w:val="left"/>
        </w:tabs>
        <w:numPr>
          <w:ilvl w:val="0"/>
          <w:numId w:val="4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the occurrence of a Change of Control (as defined below), the Company will have the option upon written notice mailed by the Company, postage pre-paid, no fewer than 30 nor more than 60 days prior to the redemption date and addressed to the holders of record of shares of the Series J Preferred Stock to be redeemed at their respective addresses as they appear on the share transfer records of the Company, to redeem shares of the Series J Preferred Stock, in whole or in part within 120 days after the first date on which such Change of Control occurred, for cash at $25.00 per share plus accrued and unpaid dividends, if any, to, but not including, the redemption date (“</w:t>
      </w:r>
      <w:r>
        <w:rPr>
          <w:rFonts w:ascii="Times New Roman" w:cs="Times New Roman" w:eastAsia="Times New Roman" w:hAnsi="Times New Roman"/>
          <w:sz w:val="13"/>
          <w:szCs w:val="13"/>
          <w:u w:val="single" w:color="auto"/>
          <w:color w:val="auto"/>
        </w:rPr>
        <w:t>Special Optional Redemption Right</w:t>
      </w:r>
      <w:r>
        <w:rPr>
          <w:rFonts w:ascii="Times New Roman" w:cs="Times New Roman" w:eastAsia="Times New Roman" w:hAnsi="Times New Roman"/>
          <w:sz w:val="13"/>
          <w:szCs w:val="13"/>
          <w:color w:val="auto"/>
        </w:rPr>
        <w:t>”). No failure to give such notice or any defect thereto or in the mailing thereof shall affect the validity of the proceedings for the redemption of any</w:t>
      </w:r>
    </w:p>
    <w:p>
      <w:pPr>
        <w:spacing w:after="0" w:line="3" w:lineRule="exact"/>
        <w:rPr>
          <w:sz w:val="20"/>
          <w:szCs w:val="20"/>
          <w:color w:val="auto"/>
        </w:rPr>
      </w:pPr>
    </w:p>
    <w:p>
      <w:pPr>
        <w:jc w:val="both"/>
        <w:ind w:left="600" w:right="600"/>
        <w:spacing w:after="0" w:line="279" w:lineRule="auto"/>
        <w:rPr>
          <w:sz w:val="20"/>
          <w:szCs w:val="20"/>
          <w:color w:val="auto"/>
        </w:rPr>
      </w:pPr>
      <w:r>
        <w:rPr>
          <w:rFonts w:ascii="Times New Roman" w:cs="Times New Roman" w:eastAsia="Times New Roman" w:hAnsi="Times New Roman"/>
          <w:sz w:val="13"/>
          <w:szCs w:val="13"/>
          <w:color w:val="auto"/>
        </w:rPr>
        <w:t>shares of Series J Preferred Stock except as to the holder to whom notice was defective or not given. If, prior to the Change of Control Conversion Date (as defined below), the Company has provided or provides notice of redemption with respect to the Series J Preferred Stock (whether pursuant to the Redemption Right or the Special Optional Redemption Right), the holders of shares of Series J Preferred Stock will not have the conversion right described below in Section 8 of these Articles Supplementary.</w:t>
      </w:r>
    </w:p>
    <w:p>
      <w:pPr>
        <w:spacing w:after="0" w:line="13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3"/>
          <w:szCs w:val="13"/>
          <w:color w:val="auto"/>
        </w:rPr>
        <w:t>A “</w:t>
      </w:r>
      <w:r>
        <w:rPr>
          <w:rFonts w:ascii="Times New Roman" w:cs="Times New Roman" w:eastAsia="Times New Roman" w:hAnsi="Times New Roman"/>
          <w:sz w:val="13"/>
          <w:szCs w:val="13"/>
          <w:u w:val="single" w:color="auto"/>
          <w:color w:val="auto"/>
        </w:rPr>
        <w:t>Change of Control</w:t>
      </w:r>
      <w:r>
        <w:rPr>
          <w:rFonts w:ascii="Times New Roman" w:cs="Times New Roman" w:eastAsia="Times New Roman" w:hAnsi="Times New Roman"/>
          <w:sz w:val="13"/>
          <w:szCs w:val="13"/>
          <w:color w:val="auto"/>
        </w:rPr>
        <w:t>” is when, after the original issuance of the Series J Preferred Stock, the following have occurred and are</w:t>
      </w:r>
    </w:p>
    <w:p>
      <w:pPr>
        <w:spacing w:after="0" w:line="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continuing:</w:t>
      </w:r>
    </w:p>
    <w:p>
      <w:pPr>
        <w:spacing w:after="0" w:line="183" w:lineRule="exact"/>
        <w:rPr>
          <w:sz w:val="20"/>
          <w:szCs w:val="20"/>
          <w:color w:val="auto"/>
        </w:rPr>
      </w:pPr>
    </w:p>
    <w:p>
      <w:pPr>
        <w:jc w:val="both"/>
        <w:ind w:left="1080" w:right="600" w:firstLine="967"/>
        <w:spacing w:after="0" w:line="281" w:lineRule="auto"/>
        <w:tabs>
          <w:tab w:leader="none" w:pos="2184" w:val="left"/>
        </w:tabs>
        <w:numPr>
          <w:ilvl w:val="0"/>
          <w:numId w:val="4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acquisition by any person, including any syndicate or group deemed to be a “person” under Section 13(d)(3) of the Securities Exchange Act of 1934, as amended (the “</w:t>
      </w:r>
      <w:r>
        <w:rPr>
          <w:rFonts w:ascii="Times New Roman" w:cs="Times New Roman" w:eastAsia="Times New Roman" w:hAnsi="Times New Roman"/>
          <w:sz w:val="13"/>
          <w:szCs w:val="13"/>
          <w:u w:val="single" w:color="auto"/>
          <w:color w:val="auto"/>
        </w:rPr>
        <w:t>Exchange Act</w:t>
      </w:r>
      <w:r>
        <w:rPr>
          <w:rFonts w:ascii="Times New Roman" w:cs="Times New Roman" w:eastAsia="Times New Roman" w:hAnsi="Times New Roman"/>
          <w:sz w:val="13"/>
          <w:szCs w:val="13"/>
          <w:color w:val="auto"/>
        </w:rPr>
        <w:t>”), of beneficial ownership, directly or indirectly, through a purchase, merger or other acquisition transaction or series of purchases, mergers or other acquisition transactions of stock of the Company entitling that person to exercise more than 50%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287020</wp:posOffset>
            </wp:positionV>
            <wp:extent cx="4436110" cy="1524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87">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332740</wp:posOffset>
            </wp:positionV>
            <wp:extent cx="5083810" cy="1524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88">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31" w:name="page432"/>
    <w:bookmarkEnd w:id="431"/>
    <w:p>
      <w:pPr>
        <w:jc w:val="both"/>
        <w:ind w:left="1080" w:right="600"/>
        <w:spacing w:after="0" w:line="287" w:lineRule="auto"/>
        <w:rPr>
          <w:sz w:val="20"/>
          <w:szCs w:val="20"/>
          <w:color w:val="auto"/>
        </w:rPr>
      </w:pPr>
      <w:r>
        <w:rPr>
          <w:rFonts w:ascii="Times New Roman" w:cs="Times New Roman" w:eastAsia="Times New Roman" w:hAnsi="Times New Roman"/>
          <w:sz w:val="13"/>
          <w:szCs w:val="13"/>
          <w:color w:val="auto"/>
        </w:rPr>
        <w:t>the total voting power of all stock of the Company entitled to vote generally in the election of the Company’s directors (except that such person will be deemed to have beneficial ownership of all securities that such person has the right to acquire, whether such right is currently exercisable or is exercisable only upon the occurrence of a subsequent condition); and</w:t>
      </w:r>
    </w:p>
    <w:p>
      <w:pPr>
        <w:spacing w:after="0" w:line="136" w:lineRule="exact"/>
        <w:rPr>
          <w:sz w:val="20"/>
          <w:szCs w:val="20"/>
          <w:color w:val="auto"/>
        </w:rPr>
      </w:pPr>
    </w:p>
    <w:p>
      <w:pPr>
        <w:ind w:left="600" w:right="560" w:firstLine="960"/>
        <w:spacing w:after="0" w:line="281" w:lineRule="auto"/>
        <w:rPr>
          <w:sz w:val="20"/>
          <w:szCs w:val="20"/>
          <w:color w:val="auto"/>
        </w:rPr>
      </w:pPr>
      <w:r>
        <w:rPr>
          <w:rFonts w:ascii="Times New Roman" w:cs="Times New Roman" w:eastAsia="Times New Roman" w:hAnsi="Times New Roman"/>
          <w:sz w:val="13"/>
          <w:szCs w:val="13"/>
          <w:color w:val="auto"/>
        </w:rPr>
        <w:t>(ii) following the closing of any transaction referred to in (i) above, neither the Company nor the acquiring or surviving entity has a class of common securities (or American Depositary Receipts representing such securities) listed on the New York Stock Exchange (the “</w:t>
      </w:r>
      <w:r>
        <w:rPr>
          <w:rFonts w:ascii="Times New Roman" w:cs="Times New Roman" w:eastAsia="Times New Roman" w:hAnsi="Times New Roman"/>
          <w:sz w:val="13"/>
          <w:szCs w:val="13"/>
          <w:u w:val="single" w:color="auto"/>
          <w:color w:val="auto"/>
        </w:rPr>
        <w:t>NYSE</w:t>
      </w:r>
      <w:r>
        <w:rPr>
          <w:rFonts w:ascii="Times New Roman" w:cs="Times New Roman" w:eastAsia="Times New Roman" w:hAnsi="Times New Roman"/>
          <w:sz w:val="13"/>
          <w:szCs w:val="13"/>
          <w:color w:val="auto"/>
        </w:rPr>
        <w:t>”), the NYSE MKT LLC (the “</w:t>
      </w:r>
      <w:r>
        <w:rPr>
          <w:rFonts w:ascii="Times New Roman" w:cs="Times New Roman" w:eastAsia="Times New Roman" w:hAnsi="Times New Roman"/>
          <w:sz w:val="13"/>
          <w:szCs w:val="13"/>
          <w:u w:val="single" w:color="auto"/>
          <w:color w:val="auto"/>
        </w:rPr>
        <w:t>NYSE MKT</w:t>
      </w:r>
      <w:r>
        <w:rPr>
          <w:rFonts w:ascii="Times New Roman" w:cs="Times New Roman" w:eastAsia="Times New Roman" w:hAnsi="Times New Roman"/>
          <w:sz w:val="13"/>
          <w:szCs w:val="13"/>
          <w:color w:val="auto"/>
        </w:rPr>
        <w:t>”), or the NASDAQ Stock Market (“</w:t>
      </w:r>
      <w:r>
        <w:rPr>
          <w:rFonts w:ascii="Times New Roman" w:cs="Times New Roman" w:eastAsia="Times New Roman" w:hAnsi="Times New Roman"/>
          <w:sz w:val="13"/>
          <w:szCs w:val="13"/>
          <w:u w:val="single" w:color="auto"/>
          <w:color w:val="auto"/>
        </w:rPr>
        <w:t>NASDAQ</w:t>
      </w:r>
      <w:r>
        <w:rPr>
          <w:rFonts w:ascii="Times New Roman" w:cs="Times New Roman" w:eastAsia="Times New Roman" w:hAnsi="Times New Roman"/>
          <w:sz w:val="13"/>
          <w:szCs w:val="13"/>
          <w:color w:val="auto"/>
        </w:rPr>
        <w:t>”), or listed or quoted on an exchange or quotation system that is a successor to the NYSE, the NYSE MKT or NASDAQ.</w:t>
      </w:r>
    </w:p>
    <w:p>
      <w:pPr>
        <w:spacing w:after="0" w:line="140" w:lineRule="exact"/>
        <w:rPr>
          <w:sz w:val="20"/>
          <w:szCs w:val="20"/>
          <w:color w:val="auto"/>
        </w:rPr>
      </w:pPr>
    </w:p>
    <w:p>
      <w:pPr>
        <w:jc w:val="both"/>
        <w:ind w:left="600" w:right="580" w:firstLine="480"/>
        <w:spacing w:after="0" w:line="270" w:lineRule="auto"/>
        <w:rPr>
          <w:sz w:val="20"/>
          <w:szCs w:val="20"/>
          <w:color w:val="auto"/>
        </w:rPr>
      </w:pPr>
      <w:r>
        <w:rPr>
          <w:rFonts w:ascii="Times New Roman" w:cs="Times New Roman" w:eastAsia="Times New Roman" w:hAnsi="Times New Roman"/>
          <w:sz w:val="13"/>
          <w:szCs w:val="13"/>
          <w:color w:val="auto"/>
        </w:rPr>
        <w:t>(b) In addition to any information required by law or by the applicable rules of any exchange upon which the Series J Preferred Stock may be listed or admitted to trading, such notice shall state: (i) the redemption date; (ii) the redemption price; (iii) the number of shares of Series J Preferred Stock to be redeemed; (iv) the place or places where the certificates, if any, representing shares of Series J Preferred Stock are to be surrendered for payment of the redemption price; (v) procedures for surrendering noncertificated shares of Series J Preferred Stock for payment of the redemption price; (vi) that dividends on the shares of Series J Preferred Stock to be redeemed will cease to accumulate on the redemption date;</w:t>
      </w:r>
    </w:p>
    <w:p>
      <w:pPr>
        <w:spacing w:after="0" w:line="3" w:lineRule="exact"/>
        <w:rPr>
          <w:sz w:val="20"/>
          <w:szCs w:val="20"/>
          <w:color w:val="auto"/>
        </w:rPr>
      </w:pPr>
    </w:p>
    <w:p>
      <w:pPr>
        <w:jc w:val="both"/>
        <w:ind w:left="600" w:right="600" w:hanging="6"/>
        <w:spacing w:after="0" w:line="274" w:lineRule="auto"/>
        <w:tabs>
          <w:tab w:leader="none" w:pos="864" w:val="left"/>
        </w:tabs>
        <w:numPr>
          <w:ilvl w:val="0"/>
          <w:numId w:val="4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payment of the redemption price and any accumulated and unpaid dividends will be made upon presentation and surrender of such Series J Preferred Stock; (viii) that the shares of Series J Preferred Stock are being redeemed pursuant to the Special Optional Redemption Right in connection with the occurrence of a Change of Control and a brief description of the transaction or transactions constituting such Change of Control; and (ix) that holders of the shares of Series J Preferred Stock to which the notice relates will not be able to tender such shares of Series J Preferred Stock for conversion in connection with the Change of Control and each share of Series J Preferred Stock tendered for conversion that is selected, prior to the Change of Control Conversion Date, for redemption will be redeemed on the related redemption date instead of converted on the Change of Control Conversion Date. If fewer than all of the shares of Series J Preferred Stock held by any holder are to be redeemed, the notice mailed to such holder shall also specify the number of shares of Series J Preferred Stock held by such holder to be redeemed.</w:t>
      </w:r>
    </w:p>
    <w:p>
      <w:pPr>
        <w:spacing w:after="0" w:line="132" w:lineRule="exact"/>
        <w:rPr>
          <w:sz w:val="20"/>
          <w:szCs w:val="20"/>
          <w:color w:val="auto"/>
        </w:rPr>
      </w:pPr>
    </w:p>
    <w:p>
      <w:pPr>
        <w:jc w:val="both"/>
        <w:ind w:left="600" w:right="600" w:firstLine="720"/>
        <w:spacing w:after="0" w:line="274" w:lineRule="auto"/>
        <w:rPr>
          <w:sz w:val="20"/>
          <w:szCs w:val="20"/>
          <w:color w:val="auto"/>
        </w:rPr>
      </w:pPr>
      <w:r>
        <w:rPr>
          <w:rFonts w:ascii="Times New Roman" w:cs="Times New Roman" w:eastAsia="Times New Roman" w:hAnsi="Times New Roman"/>
          <w:sz w:val="13"/>
          <w:szCs w:val="13"/>
          <w:color w:val="auto"/>
        </w:rPr>
        <w:t>If fewer than all of the outstanding shares of Series J Preferred Stock are to be redeemed, the shares of Series J Preferred Stock to be redeemed shall be redeemed pro rata (as nearly as may be practicable without creating fractional shares) or by lot as determined by the Company. If such redemption pursuant to the Special Optional Redemption Right is to be by lot and, as a result, any holder of shares of Series J Preferred Stock would have actual ownership, Beneficial Ownership or Constructive Ownership (each as defined in Section 9(a) hereof) in excess of the Ownership Limit (as defined in Section 9(a) hereof), the Aggregate Stock Ownership Limit (as defined in Section 9(a) hereof), or such limit as permitted by the Board of Directors or a committee thereof pursuant to Section 9(i) hereof, because such holder’s shares of Series J Preferred Stock were not redeemed, or were only redeemed in part then, except as otherwise provided in the Charter, the Company shall redeem the requisite number of shares of Series J Preferred Stock of such holder such that no holder will hold an amount of Series J Preferred Stock in excess of the applicable ownership limit, subsequent to such redemption.</w:t>
      </w:r>
    </w:p>
    <w:p>
      <w:pPr>
        <w:spacing w:after="0" w:line="132" w:lineRule="exact"/>
        <w:rPr>
          <w:sz w:val="20"/>
          <w:szCs w:val="20"/>
          <w:color w:val="auto"/>
        </w:rPr>
      </w:pPr>
    </w:p>
    <w:p>
      <w:pPr>
        <w:jc w:val="both"/>
        <w:ind w:left="600" w:right="600" w:firstLine="535"/>
        <w:spacing w:after="0" w:line="273" w:lineRule="auto"/>
        <w:tabs>
          <w:tab w:leader="none" w:pos="1320" w:val="left"/>
        </w:tabs>
        <w:numPr>
          <w:ilvl w:val="1"/>
          <w:numId w:val="4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Company has given a notice of redemption pursuant to the Special Optional Redemption Right and has set aside sufficient funds for the redemption in trust for the benefit of the holders of the Series J Preferred Stock called for redemption, then from and after the redemption date, those shares of Series J Preferred Stock will be treated as no longer being outstanding, no further dividends will accrue and all other rights of the holders of those shares of Series J Preferred Stock will terminate. The holders of those shares of Series J Preferred Stock will retain their right to receive the redemption price for their shares and any accrued and unpaid dividends to, but not including, the redemption date, without interest. So long as full cumulative dividends on the Series J Preferred Stock for all past Dividend Periods shall have been or contemporaneously are (i) declared and paid in cash, or (ii) declared and a sum sufficient for the payment thereof in cash is set apart for payment, nothing herein shall prevent or restrict the Company’s right or ability to purchase, from time to time, either at a public or a private sale, all or any part of the Series J Preferred Stock at such price or prices as the Company may determine, subject to the provisions of applicable law, including the repurchase of shares of Series J Preferred Stock in open-market transactions duly authorized by the Board of Directors.</w:t>
      </w:r>
    </w:p>
    <w:p>
      <w:pPr>
        <w:spacing w:after="0" w:line="136" w:lineRule="exact"/>
        <w:rPr>
          <w:rFonts w:ascii="Times New Roman" w:cs="Times New Roman" w:eastAsia="Times New Roman" w:hAnsi="Times New Roman"/>
          <w:sz w:val="13"/>
          <w:szCs w:val="13"/>
          <w:color w:val="auto"/>
        </w:rPr>
      </w:pPr>
    </w:p>
    <w:p>
      <w:pPr>
        <w:jc w:val="both"/>
        <w:ind w:left="600" w:right="600" w:firstLine="475"/>
        <w:spacing w:after="0" w:line="278" w:lineRule="auto"/>
        <w:tabs>
          <w:tab w:leader="none" w:pos="1260" w:val="left"/>
        </w:tabs>
        <w:numPr>
          <w:ilvl w:val="0"/>
          <w:numId w:val="4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holders of Series J Preferred Stock at the close of business on a Dividend Record Date will be entitled to receive the dividend payable with respect to the Series J Preferred Stock on the corresponding Dividend Payment Date notwithstanding the redemption of the Series J Preferred Stock pursuant to the Special Optional Redemption Right between such Dividend Record Date and the corresponding Dividend Payment Date or the Company’s default in the payment of the dividend due. Except as provided herein, the Company shall make no payment or allowance for unpaid dividends, whether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615950</wp:posOffset>
            </wp:positionV>
            <wp:extent cx="4436110" cy="1524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89">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334010</wp:posOffset>
            </wp:positionV>
            <wp:extent cx="5083810" cy="1524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90">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32" w:name="page433"/>
    <w:bookmarkEnd w:id="432"/>
    <w:p>
      <w:pPr>
        <w:ind w:left="600"/>
        <w:spacing w:after="0"/>
        <w:rPr>
          <w:sz w:val="20"/>
          <w:szCs w:val="20"/>
          <w:color w:val="auto"/>
        </w:rPr>
      </w:pPr>
      <w:r>
        <w:rPr>
          <w:rFonts w:ascii="Times New Roman" w:cs="Times New Roman" w:eastAsia="Times New Roman" w:hAnsi="Times New Roman"/>
          <w:sz w:val="13"/>
          <w:szCs w:val="13"/>
          <w:color w:val="auto"/>
        </w:rPr>
        <w:t>not in arrears, on Series J Preferred Stock for which a notice of redemption pursuant to the Special Optional Redemption Right has been given.</w:t>
      </w:r>
    </w:p>
    <w:p>
      <w:pPr>
        <w:spacing w:after="0" w:line="187" w:lineRule="exact"/>
        <w:rPr>
          <w:sz w:val="20"/>
          <w:szCs w:val="20"/>
          <w:color w:val="auto"/>
        </w:rPr>
      </w:pPr>
    </w:p>
    <w:p>
      <w:pPr>
        <w:jc w:val="both"/>
        <w:ind w:left="600" w:right="620" w:firstLine="475"/>
        <w:spacing w:after="0" w:line="287" w:lineRule="auto"/>
        <w:tabs>
          <w:tab w:leader="none" w:pos="1248" w:val="left"/>
        </w:tabs>
        <w:numPr>
          <w:ilvl w:val="0"/>
          <w:numId w:val="4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shares of the Series J Preferred Stock redeemed or repurchased pursuant to this Section 6, or otherwise acquired in any other manner by the Company, shall be retired and shall be restored to the status of authorized but unissued shares of Preferred Stock, without designation as to series or class.</w:t>
      </w:r>
    </w:p>
    <w:p>
      <w:pPr>
        <w:spacing w:after="0" w:line="13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 xml:space="preserve">Section 7. </w:t>
      </w:r>
      <w:r>
        <w:rPr>
          <w:rFonts w:ascii="Times New Roman" w:cs="Times New Roman" w:eastAsia="Times New Roman" w:hAnsi="Times New Roman"/>
          <w:sz w:val="13"/>
          <w:szCs w:val="13"/>
          <w:u w:val="single" w:color="auto"/>
          <w:color w:val="auto"/>
        </w:rPr>
        <w:t>Voting Rights</w:t>
      </w:r>
      <w:r>
        <w:rPr>
          <w:rFonts w:ascii="Times New Roman" w:cs="Times New Roman" w:eastAsia="Times New Roman" w:hAnsi="Times New Roman"/>
          <w:sz w:val="13"/>
          <w:szCs w:val="13"/>
          <w:color w:val="auto"/>
        </w:rPr>
        <w:t>.</w:t>
      </w:r>
    </w:p>
    <w:p>
      <w:pPr>
        <w:spacing w:after="0" w:line="18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(a) Holders of the Series J Preferred Stock shall not have any voting rights, except as set forth in this Section 7.</w:t>
      </w:r>
    </w:p>
    <w:p>
      <w:pPr>
        <w:spacing w:after="0" w:line="187" w:lineRule="exact"/>
        <w:rPr>
          <w:sz w:val="20"/>
          <w:szCs w:val="20"/>
          <w:color w:val="auto"/>
        </w:rPr>
      </w:pPr>
    </w:p>
    <w:p>
      <w:pPr>
        <w:jc w:val="both"/>
        <w:ind w:left="600" w:right="600" w:firstLine="480"/>
        <w:spacing w:after="0" w:line="274" w:lineRule="auto"/>
        <w:rPr>
          <w:sz w:val="20"/>
          <w:szCs w:val="20"/>
          <w:color w:val="auto"/>
        </w:rPr>
      </w:pPr>
      <w:r>
        <w:rPr>
          <w:rFonts w:ascii="Times New Roman" w:cs="Times New Roman" w:eastAsia="Times New Roman" w:hAnsi="Times New Roman"/>
          <w:sz w:val="13"/>
          <w:szCs w:val="13"/>
          <w:color w:val="auto"/>
        </w:rPr>
        <w:t>(b) Whenever dividends on any shares of Series J Preferred Stock shall be in arrears for six or more consecutive or non- consecutive quarterly periods (a “</w:t>
      </w:r>
      <w:r>
        <w:rPr>
          <w:rFonts w:ascii="Times New Roman" w:cs="Times New Roman" w:eastAsia="Times New Roman" w:hAnsi="Times New Roman"/>
          <w:sz w:val="13"/>
          <w:szCs w:val="13"/>
          <w:u w:val="single" w:color="auto"/>
          <w:color w:val="auto"/>
        </w:rPr>
        <w:t>Preferred Dividend Default</w:t>
      </w:r>
      <w:r>
        <w:rPr>
          <w:rFonts w:ascii="Times New Roman" w:cs="Times New Roman" w:eastAsia="Times New Roman" w:hAnsi="Times New Roman"/>
          <w:sz w:val="13"/>
          <w:szCs w:val="13"/>
          <w:color w:val="auto"/>
        </w:rPr>
        <w:t>”), the holders of such Series J Preferred Stock (voting separately as a class together with holders of all other classes or series of preferred stock of the Company ranking on parity with the Series J Preferred Stock with respect to payment of dividends and the distribution of assets upon the Company’s liquidation, dissolution or winding up and upon which like voting rights have been conferred and are exercisable (“</w:t>
      </w:r>
      <w:r>
        <w:rPr>
          <w:rFonts w:ascii="Times New Roman" w:cs="Times New Roman" w:eastAsia="Times New Roman" w:hAnsi="Times New Roman"/>
          <w:sz w:val="13"/>
          <w:szCs w:val="13"/>
          <w:u w:val="single" w:color="auto"/>
          <w:color w:val="auto"/>
        </w:rPr>
        <w:t>Parity Preferred</w:t>
      </w:r>
      <w:r>
        <w:rPr>
          <w:rFonts w:ascii="Times New Roman" w:cs="Times New Roman" w:eastAsia="Times New Roman" w:hAnsi="Times New Roman"/>
          <w:sz w:val="13"/>
          <w:szCs w:val="13"/>
          <w:color w:val="auto"/>
        </w:rPr>
        <w:t xml:space="preserve">”), including the Series G Cumulative Redeemable Preferred Stock, par value $0.01 per share, the Series H Cumulative Redeemable Preferred Stock, par value $0.01 per share, and the Series I Cumulative Redeemable Preferred Stock, par value $0.01 per share, of the Company) shall be entitled to vote for the election of a total of two additional directors of the Company (the “ </w:t>
      </w:r>
      <w:r>
        <w:rPr>
          <w:rFonts w:ascii="Times New Roman" w:cs="Times New Roman" w:eastAsia="Times New Roman" w:hAnsi="Times New Roman"/>
          <w:sz w:val="13"/>
          <w:szCs w:val="13"/>
          <w:u w:val="single" w:color="auto"/>
          <w:color w:val="auto"/>
        </w:rPr>
        <w:t>Preferred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Directors</w:t>
      </w:r>
      <w:r>
        <w:rPr>
          <w:rFonts w:ascii="Times New Roman" w:cs="Times New Roman" w:eastAsia="Times New Roman" w:hAnsi="Times New Roman"/>
          <w:sz w:val="13"/>
          <w:szCs w:val="13"/>
          <w:color w:val="auto"/>
        </w:rPr>
        <w:t>”) until all dividends accumulated on such Series J Preferred Stock and Parity Preferred for the past Dividend Periods shall have been fully paid. In such case, the entire Board of Directors will be increased by two directors.</w:t>
      </w:r>
    </w:p>
    <w:p>
      <w:pPr>
        <w:spacing w:after="0" w:line="132" w:lineRule="exact"/>
        <w:rPr>
          <w:sz w:val="20"/>
          <w:szCs w:val="20"/>
          <w:color w:val="auto"/>
        </w:rPr>
      </w:pPr>
    </w:p>
    <w:p>
      <w:pPr>
        <w:jc w:val="both"/>
        <w:ind w:left="600" w:right="600" w:firstLine="480"/>
        <w:spacing w:after="0" w:line="271" w:lineRule="auto"/>
        <w:rPr>
          <w:sz w:val="20"/>
          <w:szCs w:val="20"/>
          <w:color w:val="auto"/>
        </w:rPr>
      </w:pPr>
      <w:r>
        <w:rPr>
          <w:rFonts w:ascii="Times New Roman" w:cs="Times New Roman" w:eastAsia="Times New Roman" w:hAnsi="Times New Roman"/>
          <w:sz w:val="13"/>
          <w:szCs w:val="13"/>
          <w:color w:val="auto"/>
        </w:rPr>
        <w:t>(c) The Preferred Directors will be elected by a plurality of the votes cast in the election for a one-year term and each Preferred Director will serve until his or her successor is duly elected and qualifies or until such Preferred Director’s right to hold the office terminates, whichever occurs earlier, subject to such Preferred Director’s earlier death, disqualification, resignation or removal. The election will take place at (i) either</w:t>
      </w:r>
    </w:p>
    <w:p>
      <w:pPr>
        <w:spacing w:after="0" w:line="1" w:lineRule="exact"/>
        <w:rPr>
          <w:sz w:val="20"/>
          <w:szCs w:val="20"/>
          <w:color w:val="auto"/>
        </w:rPr>
      </w:pPr>
    </w:p>
    <w:p>
      <w:pPr>
        <w:ind w:left="600" w:right="600" w:hanging="6"/>
        <w:spacing w:after="0" w:line="274" w:lineRule="auto"/>
        <w:tabs>
          <w:tab w:leader="none" w:pos="833" w:val="left"/>
        </w:tabs>
        <w:numPr>
          <w:ilvl w:val="0"/>
          <w:numId w:val="4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special meeting called in accordance with Section 7(d) below if the request is received more than 90 days before the date fixed for the Company’s next annual or special meeting of stockholders or (B) the next annual or special meeting of stockholders if the request is received within 90 days of the date fixed for the Company’s next annual or special meeting of stockholders, and (ii) at each subsequent annual meeting of stockholders, or special meeting held in place thereof, until all such dividends in arrears on the Series J Preferred Stock and each such class or series of outstanding Parity Preferred have been paid in full. A dividend in respect of Series J Preferred Stock shall be considered timely made if made within two Business Days after the applicable Dividend Payment Date if at the time of such late payment date there shall not be any prior quarterly Dividend Periods in respect of which full dividends were not timely made at the applicable Dividend Payment Date.</w:t>
      </w:r>
    </w:p>
    <w:p>
      <w:pPr>
        <w:spacing w:after="0" w:line="134" w:lineRule="exact"/>
        <w:rPr>
          <w:rFonts w:ascii="Times New Roman" w:cs="Times New Roman" w:eastAsia="Times New Roman" w:hAnsi="Times New Roman"/>
          <w:sz w:val="13"/>
          <w:szCs w:val="13"/>
          <w:color w:val="auto"/>
        </w:rPr>
      </w:pPr>
    </w:p>
    <w:p>
      <w:pPr>
        <w:ind w:left="600" w:right="600" w:firstLine="475"/>
        <w:spacing w:after="0" w:line="271" w:lineRule="auto"/>
        <w:tabs>
          <w:tab w:leader="none" w:pos="1260" w:val="left"/>
        </w:tabs>
        <w:numPr>
          <w:ilvl w:val="1"/>
          <w:numId w:val="4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any time when such voting rights shall have vested, a proper officer of the Company shall call or cause to be called, upon written request of holders of record of at least 10% of the outstanding shares of Series J Preferred Stock and Parity Preferred, a special meeting of the holders of Series J Preferred Stock and each class or series of Parity Preferred by mailing or causing to be mailed to such holders a notice of such special meeting to be held not fewer than ten or more than 45 days after the date such notice is given. The record date for determining holders of the Series J Preferred Stock and Parity Preferred entitled to notice of and to vote at such special meeting will be the close of business on the third Business Day preceding the day on which such notice is mailed. At any such annual or special meeting, all of the holders of the Series J Preferred Stock and Parity Preferred, by plurality vote, voting together as a single class without regard to class or series will be entitled to elect two directors on the basis of one vote per $25.00 of liquidation preference to which such Series J Preferred Stock and Parity Preferred are entitled by their terms (excluding amounts in respect of accumulated and unpaid dividends) and not cumulatively. The holder or holders of one-third of the Series J Preferred Stock and Parity Preferred voting as a single class then outstanding, present in person or by proxy, will constitute a quorum for the election of the Preferred Directors except as otherwise provided by law. Notice of all meetings at which holders of the Series J Preferred Stock and the Parity Preferred shall be entitled to vote will be given to such holders at their addresses as they appear in the transfer records. At any such meeting or adjournment thereof in the absence of a quorum, subject to the provisions of any applicable law, a majority of the holders of the Series J Preferred Stock and Parity Preferred voting as a single class present in person or by proxy shall have the power to adjourn the meeting for the election of the Preferred Directors, without notice other than an announcement at the meeting, until a quorum is present. If a Preferred Dividend Default shall terminate after the notice of a special meeting has been given but before such special meeting has been held, the Company shall, as soon as practicable after such termination, mail or cause to be mailed notice of such termination to holders of the Series J Preferred Stock and the Parity Preferred that would have been entitled to vote at such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615950</wp:posOffset>
            </wp:positionV>
            <wp:extent cx="4436110" cy="1524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91">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341630</wp:posOffset>
            </wp:positionV>
            <wp:extent cx="5083810" cy="1524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92">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33" w:name="page434"/>
    <w:bookmarkEnd w:id="433"/>
    <w:p>
      <w:pPr>
        <w:jc w:val="both"/>
        <w:ind w:left="600" w:right="600" w:firstLine="475"/>
        <w:spacing w:after="0" w:line="273" w:lineRule="auto"/>
        <w:tabs>
          <w:tab w:leader="none" w:pos="1248" w:val="left"/>
        </w:tabs>
        <w:numPr>
          <w:ilvl w:val="0"/>
          <w:numId w:val="4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and when all accumulated dividends on such Series J Preferred Stock and all classes or series of Parity Preferred for the past Dividend Periods shall have been fully paid, the right of the holders of Series J Preferred Stock and the Parity Preferred to elect such additional two directors shall immediately cease (subject to revesting in the event of each and every Preferred Dividend Default), and the term of office of each Preferred Director so elected shall terminate and the entire Board of Directors shall be reduced accordingly. Any Preferred Director may be removed at any time with or without cause by the vote of, and shall not be removed otherwise than by the vote of, the holders of record of a majority of the outstanding Series J Preferred Stock and the Parity Preferred entitled to vote thereon when they have the voting rights set forth in Section 7(b) hereof (voting as a single class). So long as a Preferred Dividend Default shall continue, any vacancy in the office of a Preferred Director may be filled by written consent of the Preferred Director remaining in office, or if none remains in office, by a vote of the holders of record of a majority of the outstanding Series J Preferred Stock when they have the voting rights described above (voting as a single class with all other classes or series of Parity Preferred). Each of the Preferred Directors shall be entitled to one vote on any matter.</w:t>
      </w:r>
    </w:p>
    <w:p>
      <w:pPr>
        <w:spacing w:after="0" w:line="136" w:lineRule="exact"/>
        <w:rPr>
          <w:sz w:val="20"/>
          <w:szCs w:val="20"/>
          <w:color w:val="auto"/>
        </w:rPr>
      </w:pPr>
    </w:p>
    <w:p>
      <w:pPr>
        <w:jc w:val="both"/>
        <w:ind w:left="600" w:right="600" w:firstLine="480"/>
        <w:spacing w:after="0" w:line="270" w:lineRule="auto"/>
        <w:rPr>
          <w:sz w:val="20"/>
          <w:szCs w:val="20"/>
          <w:color w:val="auto"/>
        </w:rPr>
      </w:pPr>
      <w:r>
        <w:rPr>
          <w:rFonts w:ascii="Times New Roman" w:cs="Times New Roman" w:eastAsia="Times New Roman" w:hAnsi="Times New Roman"/>
          <w:sz w:val="13"/>
          <w:szCs w:val="13"/>
          <w:color w:val="auto"/>
        </w:rPr>
        <w:t xml:space="preserve">(f)So long as any shares of Series J Preferred Stock remain outstanding, the affirmative vote or consent of the holders of two-thirds of the shares of Series J Preferred Stock and each other class or series of Parity Preferred outstanding at the time, given in person or by proxy, either in writing or at a meeting (voting together as a single class) will be required to: (i) authorize, create or issue, or increase the number of authorized or issued shares of, any class or series of capital stock ranking senior to the Series J Preferred Stock with respect to payment of dividends or the distribution of assets upon liquidation, dissolution or winding up of the Company (collectively, “ </w:t>
      </w:r>
      <w:r>
        <w:rPr>
          <w:rFonts w:ascii="Times New Roman" w:cs="Times New Roman" w:eastAsia="Times New Roman" w:hAnsi="Times New Roman"/>
          <w:sz w:val="13"/>
          <w:szCs w:val="13"/>
          <w:u w:val="single" w:color="auto"/>
          <w:color w:val="auto"/>
        </w:rPr>
        <w:t>Senior Capital Stock</w:t>
      </w:r>
      <w:r>
        <w:rPr>
          <w:rFonts w:ascii="Times New Roman" w:cs="Times New Roman" w:eastAsia="Times New Roman" w:hAnsi="Times New Roman"/>
          <w:sz w:val="13"/>
          <w:szCs w:val="13"/>
          <w:color w:val="auto"/>
        </w:rPr>
        <w:t>”) or reclassify any authorized shares of capital stock of the Company into such capital stock, or create, authorize or issue any obligation or security convertible into or evidencing the right to purchase any such Senior Capital Stock; or (ii) amend, alter or repeal the provisions of the Charter, including the terms of the Series J Preferred Stock, whether by merger, consolidation, transfer or conveyance of all or substantially all of its assets or otherwise (an “</w:t>
      </w:r>
      <w:r>
        <w:rPr>
          <w:rFonts w:ascii="Times New Roman" w:cs="Times New Roman" w:eastAsia="Times New Roman" w:hAnsi="Times New Roman"/>
          <w:sz w:val="13"/>
          <w:szCs w:val="13"/>
          <w:u w:val="single" w:color="auto"/>
          <w:color w:val="auto"/>
        </w:rPr>
        <w:t>Event</w:t>
      </w:r>
      <w:r>
        <w:rPr>
          <w:rFonts w:ascii="Times New Roman" w:cs="Times New Roman" w:eastAsia="Times New Roman" w:hAnsi="Times New Roman"/>
          <w:sz w:val="13"/>
          <w:szCs w:val="13"/>
          <w:color w:val="auto"/>
        </w:rPr>
        <w:t xml:space="preserve">”), so as to materially and adversely affect any right, preference, privilege or voting power of the Series J Preferred Stock;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with respect to the occurrence of any of the Events set forth in (ii) above, so long as the Series J Preferred Stock remains outstanding with the terms thereof materially unchanged, taking into account that, upon the occurrence of an Event set forth in</w:t>
      </w:r>
    </w:p>
    <w:p>
      <w:pPr>
        <w:spacing w:after="0" w:line="2" w:lineRule="exact"/>
        <w:rPr>
          <w:sz w:val="20"/>
          <w:szCs w:val="20"/>
          <w:color w:val="auto"/>
        </w:rPr>
      </w:pPr>
    </w:p>
    <w:p>
      <w:pPr>
        <w:jc w:val="both"/>
        <w:ind w:left="600" w:right="600" w:hanging="6"/>
        <w:spacing w:after="0" w:line="271" w:lineRule="auto"/>
        <w:tabs>
          <w:tab w:leader="none" w:pos="792" w:val="left"/>
        </w:tabs>
        <w:numPr>
          <w:ilvl w:val="0"/>
          <w:numId w:val="4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above, the Company may not be the surviving entity, the occurrence of such Event shall not be deemed to materially and adversely affect such rights, preferences, privileges or voting power of Series J Preferred Stock, and in such case such holders shall not have any voting rights with respect to the occurrence of any of the Events set forth in (ii) above. In addition, if the holders of the Series J Preferred Stock receive the greater of the full trading price of the Series J Preferred Stock on the date of an Event set forth in (ii) above or the $25.00 liquidation preference per share of the Series J Preferred Stock pursuant to the occurrence of any of the Events set forth in (ii) above, then such holders shall not have any voting rights with respect to the Events set forth in (ii) above. If any Event set forth in (ii) above would materially and adversely affect the rights, preferences, privileges or voting powers of the Series J Preferred Stock disproportionately relative to other classes or series of Parity Preferred, the affirmative vote of the holders of at least two-thirds of the outstanding shares of the Series J Preferred Stock, voting separately as a class, will also be required. Holders of shares of Series J Preferred Stock shall not be entitled to vote with respect to (A) any increase in the total number of authorized shares of Common Stock or Preferred Stock of the Company, or (B) any increase in the number of authorized shares of Series J Preferred Stock or the creation or issuance of any other class or series of capital stock, or (C) any increase in the number of authorized shares of any other class or series of capital stock, in each case referred to in clause (A), (B) or (C) above ranking on parity with or junior to the Series J Preferred Stock with respect to the payment of dividends and the distribution of assets upon liquidation, dissolution or winding up of the Company. Except as set forth herein, holders of the Series J Preferred Stock shall not have any voting rights with respect to, and the consent of the holders of the Series J Preferred Stock shall not be required for, the taking of any corporate action, including an Event, regardless of the effect that such corporate action or Event may have upon the powers, preferences, voting power or other rights or privileges of the Series J Preferred Stock.</w:t>
      </w:r>
    </w:p>
    <w:p>
      <w:pPr>
        <w:spacing w:after="0" w:line="140" w:lineRule="exact"/>
        <w:rPr>
          <w:sz w:val="20"/>
          <w:szCs w:val="20"/>
          <w:color w:val="auto"/>
        </w:rPr>
      </w:pPr>
    </w:p>
    <w:p>
      <w:pPr>
        <w:jc w:val="both"/>
        <w:ind w:left="600" w:right="580" w:firstLine="480"/>
        <w:spacing w:after="0" w:line="281" w:lineRule="auto"/>
        <w:rPr>
          <w:sz w:val="20"/>
          <w:szCs w:val="20"/>
          <w:color w:val="auto"/>
        </w:rPr>
      </w:pPr>
      <w:r>
        <w:rPr>
          <w:rFonts w:ascii="Times New Roman" w:cs="Times New Roman" w:eastAsia="Times New Roman" w:hAnsi="Times New Roman"/>
          <w:sz w:val="13"/>
          <w:szCs w:val="13"/>
          <w:color w:val="auto"/>
        </w:rPr>
        <w:t>(g) The foregoing voting provisions of this Section 7 shall not apply if, at or prior to the time when the act with respect to which such vote would otherwise be required shall be effected, all outstanding shares of Series J Preferred Stock shall have been redeemed or called for redemption upon proper notice pursuant to these Articles Supplementary, and sufficient funds, in cash, shall have been deposited in trust to effect such redemption.</w:t>
      </w:r>
    </w:p>
    <w:p>
      <w:pPr>
        <w:spacing w:after="0" w:line="140" w:lineRule="exact"/>
        <w:rPr>
          <w:sz w:val="20"/>
          <w:szCs w:val="20"/>
          <w:color w:val="auto"/>
        </w:rPr>
      </w:pPr>
    </w:p>
    <w:p>
      <w:pPr>
        <w:ind w:left="600" w:right="620" w:firstLine="475"/>
        <w:spacing w:after="0" w:line="305" w:lineRule="auto"/>
        <w:tabs>
          <w:tab w:leader="none" w:pos="1260" w:val="left"/>
        </w:tabs>
        <w:numPr>
          <w:ilvl w:val="0"/>
          <w:numId w:val="4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any matter in which the Series J Preferred Stock may vote (as expressly provided herein), each share of Series J Preferred Stock shall be entitled to one vote per $25.00 of liquidation preference.</w:t>
      </w:r>
    </w:p>
    <w:p>
      <w:pPr>
        <w:spacing w:after="0" w:line="124" w:lineRule="exact"/>
        <w:rPr>
          <w:sz w:val="20"/>
          <w:szCs w:val="20"/>
          <w:color w:val="auto"/>
        </w:rPr>
      </w:pPr>
    </w:p>
    <w:p>
      <w:pPr>
        <w:ind w:left="600" w:right="640" w:firstLine="480"/>
        <w:spacing w:after="0" w:line="305" w:lineRule="auto"/>
        <w:rPr>
          <w:sz w:val="20"/>
          <w:szCs w:val="20"/>
          <w:color w:val="auto"/>
        </w:rPr>
      </w:pPr>
      <w:r>
        <w:rPr>
          <w:rFonts w:ascii="Times New Roman" w:cs="Times New Roman" w:eastAsia="Times New Roman" w:hAnsi="Times New Roman"/>
          <w:sz w:val="13"/>
          <w:szCs w:val="13"/>
          <w:color w:val="auto"/>
        </w:rPr>
        <w:t xml:space="preserve">Section 8. </w:t>
      </w:r>
      <w:r>
        <w:rPr>
          <w:rFonts w:ascii="Times New Roman" w:cs="Times New Roman" w:eastAsia="Times New Roman" w:hAnsi="Times New Roman"/>
          <w:sz w:val="13"/>
          <w:szCs w:val="13"/>
          <w:u w:val="single" w:color="auto"/>
          <w:color w:val="auto"/>
        </w:rPr>
        <w:t>Conversion</w:t>
      </w:r>
      <w:r>
        <w:rPr>
          <w:rFonts w:ascii="Times New Roman" w:cs="Times New Roman" w:eastAsia="Times New Roman" w:hAnsi="Times New Roman"/>
          <w:sz w:val="13"/>
          <w:szCs w:val="13"/>
          <w:color w:val="auto"/>
        </w:rPr>
        <w:t>. The shares of Series J Preferred Stock are not convertible into or exchangeable for any other property or securities of the Company, except as provided in this Section 8.</w:t>
      </w:r>
    </w:p>
    <w:p>
      <w:pPr>
        <w:spacing w:after="0" w:line="124" w:lineRule="exact"/>
        <w:rPr>
          <w:sz w:val="20"/>
          <w:szCs w:val="20"/>
          <w:color w:val="auto"/>
        </w:rPr>
      </w:pPr>
    </w:p>
    <w:p>
      <w:pPr>
        <w:ind w:left="600" w:right="600" w:firstLine="475"/>
        <w:spacing w:after="0" w:line="305" w:lineRule="auto"/>
        <w:tabs>
          <w:tab w:leader="none" w:pos="1260" w:val="left"/>
        </w:tabs>
        <w:numPr>
          <w:ilvl w:val="0"/>
          <w:numId w:val="4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the occurrence of a Change of Control, each holder of shares of Series J Preferred Stock shall have the right, unless, prior to the Change of Control Conversion Date, the Company has provided or provides notice of its election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581660</wp:posOffset>
            </wp:positionV>
            <wp:extent cx="4436110" cy="1524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93">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322580</wp:posOffset>
            </wp:positionV>
            <wp:extent cx="5083810" cy="1524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94">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34" w:name="page435"/>
    <w:bookmarkEnd w:id="434"/>
    <w:p>
      <w:pPr>
        <w:jc w:val="both"/>
        <w:ind w:left="600" w:right="600"/>
        <w:spacing w:after="0" w:line="274" w:lineRule="auto"/>
        <w:rPr>
          <w:sz w:val="20"/>
          <w:szCs w:val="20"/>
          <w:color w:val="auto"/>
        </w:rPr>
      </w:pPr>
      <w:r>
        <w:rPr>
          <w:rFonts w:ascii="Times New Roman" w:cs="Times New Roman" w:eastAsia="Times New Roman" w:hAnsi="Times New Roman"/>
          <w:sz w:val="13"/>
          <w:szCs w:val="13"/>
          <w:color w:val="auto"/>
        </w:rPr>
        <w:t>redeem the Series J Preferred Stock pursuant to the Redemption Right or Special Optional Redemption Right, to convert some or all of the Series J Preferred Stock held by such holder (the “</w:t>
      </w:r>
      <w:r>
        <w:rPr>
          <w:rFonts w:ascii="Times New Roman" w:cs="Times New Roman" w:eastAsia="Times New Roman" w:hAnsi="Times New Roman"/>
          <w:sz w:val="13"/>
          <w:szCs w:val="13"/>
          <w:u w:val="single" w:color="auto"/>
          <w:color w:val="auto"/>
        </w:rPr>
        <w:t>Change of Control Conversion Right</w:t>
      </w:r>
      <w:r>
        <w:rPr>
          <w:rFonts w:ascii="Times New Roman" w:cs="Times New Roman" w:eastAsia="Times New Roman" w:hAnsi="Times New Roman"/>
          <w:sz w:val="13"/>
          <w:szCs w:val="13"/>
          <w:color w:val="auto"/>
        </w:rPr>
        <w:t xml:space="preserve"> ”) on the Change of Control Conversion Date into a number of shares of Common Stock per share of Series J Preferred Stock to be converted (the “</w:t>
      </w:r>
      <w:r>
        <w:rPr>
          <w:rFonts w:ascii="Times New Roman" w:cs="Times New Roman" w:eastAsia="Times New Roman" w:hAnsi="Times New Roman"/>
          <w:sz w:val="13"/>
          <w:szCs w:val="13"/>
          <w:u w:val="single" w:color="auto"/>
          <w:color w:val="auto"/>
        </w:rPr>
        <w:t>Common Stock Conversion Consideration</w:t>
      </w:r>
      <w:r>
        <w:rPr>
          <w:rFonts w:ascii="Times New Roman" w:cs="Times New Roman" w:eastAsia="Times New Roman" w:hAnsi="Times New Roman"/>
          <w:sz w:val="13"/>
          <w:szCs w:val="13"/>
          <w:color w:val="auto"/>
        </w:rPr>
        <w:t>”) equal to the lesser of (A) the quotient obtained by dividing (i) the sum of (x) the $25.00 liquidation preference per share of Series J Preferred Stock to be converted plus (y) the amount of any accrued and unpaid dividends to, but not including, the Change of Control Conversion Date (unless the Change of Control Conversion Date is after a Dividend Record Date and prior to the corresponding Dividend Payment Date, in which case no additional amount for such accrued and unpaid dividends will be included in such sum) by (ii) the Common Stock Price (as defined herein) and (B) 0.42521 (the “</w:t>
      </w:r>
      <w:r>
        <w:rPr>
          <w:rFonts w:ascii="Times New Roman" w:cs="Times New Roman" w:eastAsia="Times New Roman" w:hAnsi="Times New Roman"/>
          <w:sz w:val="13"/>
          <w:szCs w:val="13"/>
          <w:u w:val="single" w:color="auto"/>
          <w:color w:val="auto"/>
        </w:rPr>
        <w:t>Share Cap</w:t>
      </w:r>
      <w:r>
        <w:rPr>
          <w:rFonts w:ascii="Times New Roman" w:cs="Times New Roman" w:eastAsia="Times New Roman" w:hAnsi="Times New Roman"/>
          <w:sz w:val="13"/>
          <w:szCs w:val="13"/>
          <w:color w:val="auto"/>
        </w:rPr>
        <w:t>”), subject to the immediately succeeding paragraph.</w:t>
      </w:r>
    </w:p>
    <w:p>
      <w:pPr>
        <w:spacing w:after="0" w:line="135" w:lineRule="exact"/>
        <w:rPr>
          <w:sz w:val="20"/>
          <w:szCs w:val="20"/>
          <w:color w:val="auto"/>
        </w:rPr>
      </w:pPr>
    </w:p>
    <w:p>
      <w:pPr>
        <w:jc w:val="both"/>
        <w:ind w:left="600" w:right="600" w:firstLine="960"/>
        <w:spacing w:after="0" w:line="276" w:lineRule="auto"/>
        <w:rPr>
          <w:sz w:val="20"/>
          <w:szCs w:val="20"/>
          <w:color w:val="auto"/>
        </w:rPr>
      </w:pPr>
      <w:r>
        <w:rPr>
          <w:rFonts w:ascii="Times New Roman" w:cs="Times New Roman" w:eastAsia="Times New Roman" w:hAnsi="Times New Roman"/>
          <w:sz w:val="13"/>
          <w:szCs w:val="13"/>
          <w:color w:val="auto"/>
        </w:rPr>
        <w:t>The Share Cap is subject to pro rata adjustments for any share splits (including those effected pursuant to a distribution of the Common Stock), subdivisions or combinations (in each case, a “</w:t>
      </w:r>
      <w:r>
        <w:rPr>
          <w:rFonts w:ascii="Times New Roman" w:cs="Times New Roman" w:eastAsia="Times New Roman" w:hAnsi="Times New Roman"/>
          <w:sz w:val="13"/>
          <w:szCs w:val="13"/>
          <w:u w:val="single" w:color="auto"/>
          <w:color w:val="auto"/>
        </w:rPr>
        <w:t>Share Split</w:t>
      </w:r>
      <w:r>
        <w:rPr>
          <w:rFonts w:ascii="Times New Roman" w:cs="Times New Roman" w:eastAsia="Times New Roman" w:hAnsi="Times New Roman"/>
          <w:sz w:val="13"/>
          <w:szCs w:val="13"/>
          <w:color w:val="auto"/>
        </w:rPr>
        <w:t>”) with respect to the Common Stock as follows: the adjusted Share Cap as the result of a Share Split shall be the number of shares of Common Stock that is equivalent to the product obtained by multiplying (i) the Share Cap in effect immediately prior to such Share Split by (ii) a fraction, the numerator of which is the number of shares of Common Stock outstanding after giving effect to such Share Split and the denominator of which is the number of shares of Common Stock outstanding immediately prior to such Share Split.</w:t>
      </w:r>
    </w:p>
    <w:p>
      <w:pPr>
        <w:spacing w:after="0" w:line="145" w:lineRule="exact"/>
        <w:rPr>
          <w:sz w:val="20"/>
          <w:szCs w:val="20"/>
          <w:color w:val="auto"/>
        </w:rPr>
      </w:pPr>
    </w:p>
    <w:p>
      <w:pPr>
        <w:jc w:val="both"/>
        <w:ind w:left="600" w:right="600" w:firstLine="960"/>
        <w:spacing w:after="0" w:line="275" w:lineRule="auto"/>
        <w:rPr>
          <w:sz w:val="20"/>
          <w:szCs w:val="20"/>
          <w:color w:val="auto"/>
        </w:rPr>
      </w:pPr>
      <w:r>
        <w:rPr>
          <w:rFonts w:ascii="Times New Roman" w:cs="Times New Roman" w:eastAsia="Times New Roman" w:hAnsi="Times New Roman"/>
          <w:sz w:val="13"/>
          <w:szCs w:val="13"/>
          <w:color w:val="auto"/>
        </w:rPr>
        <w:t>For the avoidance of doubt, subject to the immediately succeeding sentence, the aggregate number of shares of Common Stock (or equivalent Alternative Conversion Consideration (as defined below), as applicable) issuable in connection with the exercise of the Change of Control Conversion Right shall not exceed 3,401,680 shares of Common Stock (or equivalent Alternative Conversion Consideration, as applicable), subject to increase to the extent the underwriters’ option to purchase additional shares of Series J Preferred Stock in the initial public offering of Series J Preferred Stock is exercised, not to exceed 3,911,932 shares of Common Stock in total (or equivalent Alternative Conversion Consideration, as applicable) (the “</w:t>
      </w:r>
      <w:r>
        <w:rPr>
          <w:rFonts w:ascii="Times New Roman" w:cs="Times New Roman" w:eastAsia="Times New Roman" w:hAnsi="Times New Roman"/>
          <w:sz w:val="13"/>
          <w:szCs w:val="13"/>
          <w:u w:val="single" w:color="auto"/>
          <w:color w:val="auto"/>
        </w:rPr>
        <w:t>Exchange Cap</w:t>
      </w:r>
      <w:r>
        <w:rPr>
          <w:rFonts w:ascii="Times New Roman" w:cs="Times New Roman" w:eastAsia="Times New Roman" w:hAnsi="Times New Roman"/>
          <w:sz w:val="13"/>
          <w:szCs w:val="13"/>
          <w:color w:val="auto"/>
        </w:rPr>
        <w:t>”). The Exchange Cap is subject to pro rata adjustments for any Share Splits on the same basis as the corresponding adjustment to the Share Cap.</w:t>
      </w:r>
    </w:p>
    <w:p>
      <w:pPr>
        <w:spacing w:after="0" w:line="145" w:lineRule="exact"/>
        <w:rPr>
          <w:sz w:val="20"/>
          <w:szCs w:val="20"/>
          <w:color w:val="auto"/>
        </w:rPr>
      </w:pPr>
    </w:p>
    <w:p>
      <w:pPr>
        <w:jc w:val="both"/>
        <w:ind w:left="600" w:right="600" w:firstLine="960"/>
        <w:spacing w:after="0" w:line="275" w:lineRule="auto"/>
        <w:rPr>
          <w:sz w:val="20"/>
          <w:szCs w:val="20"/>
          <w:color w:val="auto"/>
        </w:rPr>
      </w:pPr>
      <w:r>
        <w:rPr>
          <w:rFonts w:ascii="Times New Roman" w:cs="Times New Roman" w:eastAsia="Times New Roman" w:hAnsi="Times New Roman"/>
          <w:sz w:val="13"/>
          <w:szCs w:val="13"/>
          <w:color w:val="auto"/>
        </w:rPr>
        <w:t>In the case of a Change of Control pursuant to which shares of Common Stock shall be converted into cash, securities or other property or assets (including any combination thereof) (the “</w:t>
      </w:r>
      <w:r>
        <w:rPr>
          <w:rFonts w:ascii="Times New Roman" w:cs="Times New Roman" w:eastAsia="Times New Roman" w:hAnsi="Times New Roman"/>
          <w:sz w:val="13"/>
          <w:szCs w:val="13"/>
          <w:u w:val="single" w:color="auto"/>
          <w:color w:val="auto"/>
        </w:rPr>
        <w:t>Alternative Form Consideration</w:t>
      </w:r>
      <w:r>
        <w:rPr>
          <w:rFonts w:ascii="Times New Roman" w:cs="Times New Roman" w:eastAsia="Times New Roman" w:hAnsi="Times New Roman"/>
          <w:sz w:val="13"/>
          <w:szCs w:val="13"/>
          <w:color w:val="auto"/>
        </w:rPr>
        <w:t xml:space="preserve">”), a holder of shares of Series J Preferred Stock shall receive upon conversion of such shares of Series J Preferred Stock the kind and amount of Alternative Form Consideration which such holder would have owned or been entitled to receive upon the Change of Control had such holder held a number of shares of Common Stock equal to the Common Stock Conversion Consideration immediately prior to the effective time of the Change of Control (the “ </w:t>
      </w:r>
      <w:r>
        <w:rPr>
          <w:rFonts w:ascii="Times New Roman" w:cs="Times New Roman" w:eastAsia="Times New Roman" w:hAnsi="Times New Roman"/>
          <w:sz w:val="13"/>
          <w:szCs w:val="13"/>
          <w:u w:val="single" w:color="auto"/>
          <w:color w:val="auto"/>
        </w:rPr>
        <w:t>Alternative Conversion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Consideration</w:t>
      </w:r>
      <w:r>
        <w:rPr>
          <w:rFonts w:ascii="Times New Roman" w:cs="Times New Roman" w:eastAsia="Times New Roman" w:hAnsi="Times New Roman"/>
          <w:sz w:val="13"/>
          <w:szCs w:val="13"/>
          <w:color w:val="auto"/>
        </w:rPr>
        <w:t>”; and the Common Stock Conversion Consideration or the Alternative Conversion Consideration, as may be applicable to a Change of Control, shall be referred to herein as the “</w:t>
      </w:r>
      <w:r>
        <w:rPr>
          <w:rFonts w:ascii="Times New Roman" w:cs="Times New Roman" w:eastAsia="Times New Roman" w:hAnsi="Times New Roman"/>
          <w:sz w:val="13"/>
          <w:szCs w:val="13"/>
          <w:u w:val="single" w:color="auto"/>
          <w:color w:val="auto"/>
        </w:rPr>
        <w:t>Conversion Consideration</w:t>
      </w:r>
      <w:r>
        <w:rPr>
          <w:rFonts w:ascii="Times New Roman" w:cs="Times New Roman" w:eastAsia="Times New Roman" w:hAnsi="Times New Roman"/>
          <w:sz w:val="13"/>
          <w:szCs w:val="13"/>
          <w:color w:val="auto"/>
        </w:rPr>
        <w:t>”).</w:t>
      </w:r>
    </w:p>
    <w:p>
      <w:pPr>
        <w:spacing w:after="0" w:line="145" w:lineRule="exact"/>
        <w:rPr>
          <w:sz w:val="20"/>
          <w:szCs w:val="20"/>
          <w:color w:val="auto"/>
        </w:rPr>
      </w:pPr>
    </w:p>
    <w:p>
      <w:pPr>
        <w:jc w:val="both"/>
        <w:ind w:left="600" w:right="620" w:firstLine="960"/>
        <w:spacing w:after="0" w:line="276" w:lineRule="auto"/>
        <w:rPr>
          <w:sz w:val="20"/>
          <w:szCs w:val="20"/>
          <w:color w:val="auto"/>
        </w:rPr>
      </w:pPr>
      <w:r>
        <w:rPr>
          <w:rFonts w:ascii="Times New Roman" w:cs="Times New Roman" w:eastAsia="Times New Roman" w:hAnsi="Times New Roman"/>
          <w:sz w:val="13"/>
          <w:szCs w:val="13"/>
          <w:color w:val="auto"/>
        </w:rPr>
        <w:t>In the event that holders of Common Stock have the opportunity to elect the form of consideration to be received in the Change of Control, the Conversion Consideration will be deemed to be the kind and amount of consideration actually received by holders of a majority of the Common Stock that voted for such an election (if electing between two types of consideration) or holders of a plurality of the Common Stock that voted for such an election (if electing between more than two types of consideration), as the case may be, and will be subject to any limitations to which all holders of Common Stock are subject, including, without limitation, pro rata reductions applicable to any portion of the consideration payable in the Change of Control.</w:t>
      </w:r>
    </w:p>
    <w:p>
      <w:pPr>
        <w:spacing w:after="0" w:line="145" w:lineRule="exact"/>
        <w:rPr>
          <w:sz w:val="20"/>
          <w:szCs w:val="20"/>
          <w:color w:val="auto"/>
        </w:rPr>
      </w:pPr>
    </w:p>
    <w:p>
      <w:pPr>
        <w:jc w:val="both"/>
        <w:ind w:left="600" w:right="600" w:firstLine="960"/>
        <w:spacing w:after="0" w:line="287" w:lineRule="auto"/>
        <w:rPr>
          <w:sz w:val="20"/>
          <w:szCs w:val="20"/>
          <w:color w:val="auto"/>
        </w:rPr>
      </w:pPr>
      <w:r>
        <w:rPr>
          <w:rFonts w:ascii="Times New Roman" w:cs="Times New Roman" w:eastAsia="Times New Roman" w:hAnsi="Times New Roman"/>
          <w:sz w:val="13"/>
          <w:szCs w:val="13"/>
          <w:color w:val="auto"/>
        </w:rPr>
        <w:t>The “</w:t>
      </w:r>
      <w:r>
        <w:rPr>
          <w:rFonts w:ascii="Times New Roman" w:cs="Times New Roman" w:eastAsia="Times New Roman" w:hAnsi="Times New Roman"/>
          <w:sz w:val="13"/>
          <w:szCs w:val="13"/>
          <w:u w:val="single" w:color="auto"/>
          <w:color w:val="auto"/>
        </w:rPr>
        <w:t>Change of Control Conversion Date</w:t>
      </w:r>
      <w:r>
        <w:rPr>
          <w:rFonts w:ascii="Times New Roman" w:cs="Times New Roman" w:eastAsia="Times New Roman" w:hAnsi="Times New Roman"/>
          <w:sz w:val="13"/>
          <w:szCs w:val="13"/>
          <w:color w:val="auto"/>
        </w:rPr>
        <w:t xml:space="preserve"> ” shall be a Business Day set forth in the notice of Change of Control provided in accordance with Section 8(c) below that is no less than 20 days nor more than 35 days after the date on which the Company provides such notice pursuant to Section 8(c).</w:t>
      </w:r>
    </w:p>
    <w:p>
      <w:pPr>
        <w:spacing w:after="0" w:line="136" w:lineRule="exact"/>
        <w:rPr>
          <w:sz w:val="20"/>
          <w:szCs w:val="20"/>
          <w:color w:val="auto"/>
        </w:rPr>
      </w:pPr>
    </w:p>
    <w:p>
      <w:pPr>
        <w:jc w:val="both"/>
        <w:ind w:left="600" w:right="600" w:firstLine="960"/>
        <w:spacing w:after="0" w:line="274" w:lineRule="auto"/>
        <w:rPr>
          <w:sz w:val="20"/>
          <w:szCs w:val="20"/>
          <w:color w:val="auto"/>
        </w:rPr>
      </w:pPr>
      <w:r>
        <w:rPr>
          <w:rFonts w:ascii="Times New Roman" w:cs="Times New Roman" w:eastAsia="Times New Roman" w:hAnsi="Times New Roman"/>
          <w:sz w:val="13"/>
          <w:szCs w:val="13"/>
          <w:color w:val="auto"/>
        </w:rPr>
        <w:t>The “</w:t>
      </w:r>
      <w:r>
        <w:rPr>
          <w:rFonts w:ascii="Times New Roman" w:cs="Times New Roman" w:eastAsia="Times New Roman" w:hAnsi="Times New Roman"/>
          <w:sz w:val="13"/>
          <w:szCs w:val="13"/>
          <w:u w:val="single" w:color="auto"/>
          <w:color w:val="auto"/>
        </w:rPr>
        <w:t>Common Stock Price</w:t>
      </w:r>
      <w:r>
        <w:rPr>
          <w:rFonts w:ascii="Times New Roman" w:cs="Times New Roman" w:eastAsia="Times New Roman" w:hAnsi="Times New Roman"/>
          <w:sz w:val="13"/>
          <w:szCs w:val="13"/>
          <w:color w:val="auto"/>
        </w:rPr>
        <w:t>” shall be (i) if the consideration to be received in the Change of Control by the holders of Common Stock is solely cash, the amount of cash consideration per share of Common Stock or (ii) if the consideration to be received in the Change of Control by holders of Common Stock is other than solely cash (x) the average of the closing sale prices per share of Common Stock (or, if no closing sale price is reported, the average of the closing bid and ask prices or, if more than one in either case, the average of the average closing bid and the average closing ask prices) for the ten consecutive trading days immediately preceding, but not including, the effective date of the Change of Control as reported on the principal U.S. securities exchange on which the Common Stock is then traded, or (y) the average of the last quoted bid prices for the Common Stock in the over-the-counter market as reported by Pink Sheets LLC or similar organization for the ten consecutive trading days immediately preceding, but not including, the effective date of the Change of Control, if the Common Stock is not then listed for trading on a U.S. securities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586740</wp:posOffset>
            </wp:positionV>
            <wp:extent cx="4436110" cy="1524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95">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335280</wp:posOffset>
            </wp:positionV>
            <wp:extent cx="5083810" cy="1524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96">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35" w:name="page436"/>
    <w:bookmarkEnd w:id="435"/>
    <w:p>
      <w:pPr>
        <w:ind w:left="600" w:right="600" w:firstLine="475"/>
        <w:spacing w:after="0" w:line="305" w:lineRule="auto"/>
        <w:tabs>
          <w:tab w:leader="none" w:pos="1260" w:val="left"/>
        </w:tabs>
        <w:numPr>
          <w:ilvl w:val="0"/>
          <w:numId w:val="4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fractional shares of Common Stock shall be issued upon the conversion of Series J Preferred Stock. In lieu of fractional shares, holders shall be entitled to receive the cash value of such fractional shares based on the Common Stock Price.</w:t>
      </w:r>
    </w:p>
    <w:p>
      <w:pPr>
        <w:spacing w:after="0" w:line="124" w:lineRule="exact"/>
        <w:rPr>
          <w:rFonts w:ascii="Times New Roman" w:cs="Times New Roman" w:eastAsia="Times New Roman" w:hAnsi="Times New Roman"/>
          <w:sz w:val="13"/>
          <w:szCs w:val="13"/>
          <w:color w:val="auto"/>
        </w:rPr>
      </w:pPr>
    </w:p>
    <w:p>
      <w:pPr>
        <w:jc w:val="both"/>
        <w:ind w:left="600" w:right="600" w:firstLine="475"/>
        <w:spacing w:after="0" w:line="272" w:lineRule="auto"/>
        <w:tabs>
          <w:tab w:leader="none" w:pos="1260" w:val="left"/>
        </w:tabs>
        <w:numPr>
          <w:ilvl w:val="0"/>
          <w:numId w:val="4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Within 15 days following the occurrence of a Change of Control, a notice of occurrence of the Change of Control, describing the resulting Change of Control Conversion Right, shall be delivered to the holders of record of the shares of Series J Preferred Stock at their addresses as they appear on the Company’s share transfer records and notice shall be provided to the Company’s transfer agent. No failure to give such notice or any defect thereto or in the mailing thereof shall affect the validity of the proceedings for the conversion of any share of Series J Preferred Stock except as to the holder to whom notice was defective or not given. Each notice shall state: (i) the events constituting the Change of Control; (ii) the date of the Change of Control; (iii) the last date on which the holders of Series J Preferred Stock may exercise their Change of Control Conversion Right; (iv) the method and period for calculating the Common Stock Price; (v) the Change of Control Conversion Date; (vi) that if, prior to the Change of Control Conversion Date, the Company has provided or provides notice of its election to redeem all or any portion of the Series J Preferred Stock, the holder will not be able to convert shares of Series J Preferred Stock designated for redemption and such shares of Series J Preferred Stock shall be redeemed on the related redemption date, even if they have already been tendered for conversion pursuant to the Change of Control Conversion Right; (vii) if applicable, the type and amount of Alternative Conversion Consideration entitled to be received per share of Series J Preferred Stock; (viii) the name and address of the paying agent and the conversion agent; and (ix) the procedures that the holders of Series J Preferred Stock must follow to exercise the Change of Control Conversion Right.</w:t>
      </w:r>
    </w:p>
    <w:p>
      <w:pPr>
        <w:spacing w:after="0" w:line="138" w:lineRule="exact"/>
        <w:rPr>
          <w:rFonts w:ascii="Times New Roman" w:cs="Times New Roman" w:eastAsia="Times New Roman" w:hAnsi="Times New Roman"/>
          <w:sz w:val="13"/>
          <w:szCs w:val="13"/>
          <w:color w:val="auto"/>
        </w:rPr>
      </w:pPr>
    </w:p>
    <w:p>
      <w:pPr>
        <w:jc w:val="both"/>
        <w:ind w:left="600" w:right="600" w:firstLine="475"/>
        <w:spacing w:after="0" w:line="278" w:lineRule="auto"/>
        <w:tabs>
          <w:tab w:leader="none" w:pos="1260" w:val="left"/>
        </w:tabs>
        <w:numPr>
          <w:ilvl w:val="0"/>
          <w:numId w:val="4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issue a press release for publication on the Dow Jones &amp; Company, Inc., Business Wire, PR Newswire or Bloomberg Business News (or, if such organizations are not in existence at the time of issuance of such press release, such other news or press organization as is reasonably calculated to broadly disseminate the relevant information to the public), or post notice on the Company’s website, in any event prior to the opening of business on the first Business Day following any date on which the Company provides notice pursuant to Section 8(c) above to the holders of Series J Preferred Stock.</w:t>
      </w:r>
    </w:p>
    <w:p>
      <w:pPr>
        <w:spacing w:after="0" w:line="143" w:lineRule="exact"/>
        <w:rPr>
          <w:sz w:val="20"/>
          <w:szCs w:val="20"/>
          <w:color w:val="auto"/>
        </w:rPr>
      </w:pPr>
    </w:p>
    <w:p>
      <w:pPr>
        <w:jc w:val="both"/>
        <w:ind w:left="600" w:right="580" w:firstLine="480"/>
        <w:spacing w:after="0" w:line="271" w:lineRule="auto"/>
        <w:rPr>
          <w:sz w:val="20"/>
          <w:szCs w:val="20"/>
          <w:color w:val="auto"/>
        </w:rPr>
      </w:pPr>
      <w:r>
        <w:rPr>
          <w:rFonts w:ascii="Times New Roman" w:cs="Times New Roman" w:eastAsia="Times New Roman" w:hAnsi="Times New Roman"/>
          <w:sz w:val="13"/>
          <w:szCs w:val="13"/>
          <w:color w:val="auto"/>
        </w:rPr>
        <w:t>(e) In order to exercise the Change of Control Conversion Right, a holder of shares of Series J Preferred Stock shall be required to deliver, on or before the close of business on the Change of Control Conversion Date, the certificates (if any) representing the shares of Series J Preferred Stock to be converted, duly endorsed for transfer, together with a written conversion notice completed, to the Company’s transfer agent. Such notice shall state: (i) the relevant Change of Control Conversion Date;</w:t>
      </w:r>
    </w:p>
    <w:p>
      <w:pPr>
        <w:spacing w:after="0" w:line="1" w:lineRule="exact"/>
        <w:rPr>
          <w:sz w:val="20"/>
          <w:szCs w:val="20"/>
          <w:color w:val="auto"/>
        </w:rPr>
      </w:pPr>
    </w:p>
    <w:p>
      <w:pPr>
        <w:jc w:val="both"/>
        <w:ind w:left="600" w:right="600" w:hanging="6"/>
        <w:spacing w:after="0" w:line="284" w:lineRule="auto"/>
        <w:tabs>
          <w:tab w:leader="none" w:pos="811" w:val="left"/>
        </w:tabs>
        <w:numPr>
          <w:ilvl w:val="0"/>
          <w:numId w:val="4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number of shares of Series J Preferred Stock to be converted; and (iii) that the shares of Series J Preferred Stock are to be converted pursuant to the applicable provisions of these Articles Supplementary. Notwithstanding the foregoing, if the shares of Series J Preferred Stock are held in global form, such notice shall comply with applicable procedures of The Depository Trust Company (“</w:t>
      </w:r>
      <w:r>
        <w:rPr>
          <w:rFonts w:ascii="Times New Roman" w:cs="Times New Roman" w:eastAsia="Times New Roman" w:hAnsi="Times New Roman"/>
          <w:sz w:val="13"/>
          <w:szCs w:val="13"/>
          <w:u w:val="single" w:color="auto"/>
          <w:color w:val="auto"/>
        </w:rPr>
        <w:t>DTC</w:t>
      </w:r>
      <w:r>
        <w:rPr>
          <w:rFonts w:ascii="Times New Roman" w:cs="Times New Roman" w:eastAsia="Times New Roman" w:hAnsi="Times New Roman"/>
          <w:sz w:val="13"/>
          <w:szCs w:val="13"/>
          <w:color w:val="auto"/>
        </w:rPr>
        <w:t>”).</w:t>
      </w:r>
    </w:p>
    <w:p>
      <w:pPr>
        <w:spacing w:after="0" w:line="126" w:lineRule="exact"/>
        <w:rPr>
          <w:sz w:val="20"/>
          <w:szCs w:val="20"/>
          <w:color w:val="auto"/>
        </w:rPr>
      </w:pPr>
    </w:p>
    <w:p>
      <w:pPr>
        <w:jc w:val="both"/>
        <w:ind w:left="600" w:right="580" w:firstLine="480"/>
        <w:spacing w:after="0" w:line="276" w:lineRule="auto"/>
        <w:rPr>
          <w:sz w:val="20"/>
          <w:szCs w:val="20"/>
          <w:color w:val="auto"/>
        </w:rPr>
      </w:pPr>
      <w:r>
        <w:rPr>
          <w:rFonts w:ascii="Times New Roman" w:cs="Times New Roman" w:eastAsia="Times New Roman" w:hAnsi="Times New Roman"/>
          <w:sz w:val="13"/>
          <w:szCs w:val="13"/>
          <w:color w:val="auto"/>
        </w:rPr>
        <w:t>(f)Holders of Series J Preferred Stock may withdraw any notice of exercise of a Change of Control Conversion Right (in whole or in part) by a written notice of withdrawal delivered to the Company’s transfer agent prior to the close of business on the Business Day prior to the Change of Control Conversion Date. The notice of withdrawal must state: (i) the number of withdrawn shares of Series J Preferred Stock; (ii) if certificated shares of Series J Preferred Stock have been issued, the certificate numbers of the shares of withdrawn Series J Preferred Stock; and (iii) the number of shares of Series J Preferred Stock, if any, which remain subject to the conversion notice. Notwithstanding the foregoing, if the shares of Series J Preferred Stock are held in global form, the notice of withdrawal shall comply with applicable procedures of DTC.</w:t>
      </w:r>
    </w:p>
    <w:p>
      <w:pPr>
        <w:spacing w:after="0" w:line="145" w:lineRule="exact"/>
        <w:rPr>
          <w:sz w:val="20"/>
          <w:szCs w:val="20"/>
          <w:color w:val="auto"/>
        </w:rPr>
      </w:pPr>
    </w:p>
    <w:p>
      <w:pPr>
        <w:jc w:val="both"/>
        <w:ind w:left="600" w:right="600" w:firstLine="475"/>
        <w:spacing w:after="0" w:line="274" w:lineRule="auto"/>
        <w:tabs>
          <w:tab w:leader="none" w:pos="1260" w:val="left"/>
        </w:tabs>
        <w:numPr>
          <w:ilvl w:val="0"/>
          <w:numId w:val="4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Shares of Series J Preferred Stock as to which the Change of Control Conversion Right has been properly exercised and for which the conversion notice has not been properly withdrawn shall be converted into the applicable Conversion Consideration in accordance with the Change of Control Conversion Right on the Change of Control Conversion Date, unless, prior to the Change of Control Conversion Date, the Company has provided or provides notice of its election to redeem such shares of Series J Preferred Stock, whether pursuant to its Redemption Right or Special Optional Redemption Right. If the Company elects to redeem shares of Series J Preferred Stock that would otherwise be converted into the applicable Conversion Consideration on a Change of Control Conversion Date, such shares of Series J Preferred Stock shall not be so converted and the holders of such shares shall be entitled to receive on the applicable redemption date $25.00 per share, plus any accrued and unpaid dividends thereon to, but not including, the redemption date.</w:t>
      </w:r>
    </w:p>
    <w:p>
      <w:pPr>
        <w:spacing w:after="0" w:line="135" w:lineRule="exact"/>
        <w:rPr>
          <w:rFonts w:ascii="Times New Roman" w:cs="Times New Roman" w:eastAsia="Times New Roman" w:hAnsi="Times New Roman"/>
          <w:sz w:val="13"/>
          <w:szCs w:val="13"/>
          <w:color w:val="auto"/>
        </w:rPr>
      </w:pPr>
    </w:p>
    <w:p>
      <w:pPr>
        <w:ind w:left="600" w:right="620" w:firstLine="475"/>
        <w:spacing w:after="0" w:line="305" w:lineRule="auto"/>
        <w:tabs>
          <w:tab w:leader="none" w:pos="1260" w:val="left"/>
        </w:tabs>
        <w:numPr>
          <w:ilvl w:val="0"/>
          <w:numId w:val="4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deliver the applicable Conversion Consideration no later than the third Business Day following the Change of Control Conversion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93980</wp:posOffset>
            </wp:positionV>
            <wp:extent cx="4436110" cy="1524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97">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535940</wp:posOffset>
            </wp:positionV>
            <wp:extent cx="5083810" cy="1524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98">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36" w:name="page437"/>
    <w:bookmarkEnd w:id="436"/>
    <w:p>
      <w:pPr>
        <w:jc w:val="both"/>
        <w:ind w:left="600" w:right="600" w:firstLine="475"/>
        <w:spacing w:after="0" w:line="278" w:lineRule="auto"/>
        <w:tabs>
          <w:tab w:leader="none" w:pos="1224" w:val="left"/>
        </w:tabs>
        <w:numPr>
          <w:ilvl w:val="0"/>
          <w:numId w:val="4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anything to the contrary contained herein, no holder of shares of Series J Preferred Stock will be entitled to convert such shares of Series J Preferred Stock into shares of Common Stock to the extent that receipt of such shares of Common Stock would cause the holder of such shares of Common Stock (or any other person) to have actual ownership, Beneficial Ownership or Constructive Ownership (each as defined in Section 9(a) hereof) in excess of the Ownership Limit (as defined in Section 9(a) hereof), the Aggregate Stock Ownership Limit (as defined in Section 9(a) hereof), or such other limit as permitted by the Board of Directors or a committee thereof pursuant to Section 9(i) hereof.</w:t>
      </w:r>
    </w:p>
    <w:p>
      <w:pPr>
        <w:spacing w:after="0" w:line="14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 xml:space="preserve">Section 9. </w:t>
      </w:r>
      <w:r>
        <w:rPr>
          <w:rFonts w:ascii="Times New Roman" w:cs="Times New Roman" w:eastAsia="Times New Roman" w:hAnsi="Times New Roman"/>
          <w:sz w:val="13"/>
          <w:szCs w:val="13"/>
          <w:u w:val="single" w:color="auto"/>
          <w:color w:val="auto"/>
        </w:rPr>
        <w:t>Restrictions on Ownership and Transfer to Preserve Tax Benefit</w:t>
      </w:r>
      <w:r>
        <w:rPr>
          <w:rFonts w:ascii="Times New Roman" w:cs="Times New Roman" w:eastAsia="Times New Roman" w:hAnsi="Times New Roman"/>
          <w:sz w:val="13"/>
          <w:szCs w:val="13"/>
          <w:color w:val="auto"/>
        </w:rPr>
        <w:t>.</w:t>
      </w:r>
    </w:p>
    <w:p>
      <w:pPr>
        <w:spacing w:after="0" w:line="187" w:lineRule="exact"/>
        <w:rPr>
          <w:sz w:val="20"/>
          <w:szCs w:val="20"/>
          <w:color w:val="auto"/>
        </w:rPr>
      </w:pPr>
    </w:p>
    <w:p>
      <w:pPr>
        <w:ind w:left="600" w:right="600" w:firstLine="475"/>
        <w:spacing w:after="0" w:line="305" w:lineRule="auto"/>
        <w:tabs>
          <w:tab w:leader="none" w:pos="1260" w:val="left"/>
        </w:tabs>
        <w:numPr>
          <w:ilvl w:val="0"/>
          <w:numId w:val="4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Definitions</w:t>
      </w:r>
      <w:r>
        <w:rPr>
          <w:rFonts w:ascii="Times New Roman" w:cs="Times New Roman" w:eastAsia="Times New Roman" w:hAnsi="Times New Roman"/>
          <w:sz w:val="13"/>
          <w:szCs w:val="13"/>
          <w:color w:val="auto"/>
        </w:rPr>
        <w:t>. For the purposes of Section 5 and this Section 9 of these Articles Supplementary, the following terms shall have the following meanings:</w:t>
      </w:r>
    </w:p>
    <w:p>
      <w:pPr>
        <w:spacing w:after="0" w:line="124"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Aggregate Stock Ownership Limit</w:t>
      </w:r>
      <w:r>
        <w:rPr>
          <w:rFonts w:ascii="Times New Roman" w:cs="Times New Roman" w:eastAsia="Times New Roman" w:hAnsi="Times New Roman"/>
          <w:sz w:val="13"/>
          <w:szCs w:val="13"/>
          <w:color w:val="auto"/>
        </w:rPr>
        <w:t>” has the meaning set forth in Article VI of the Charter.</w:t>
      </w:r>
    </w:p>
    <w:p>
      <w:pPr>
        <w:spacing w:after="0" w:line="187" w:lineRule="exact"/>
        <w:rPr>
          <w:sz w:val="20"/>
          <w:szCs w:val="20"/>
          <w:color w:val="auto"/>
        </w:rPr>
      </w:pPr>
    </w:p>
    <w:p>
      <w:pPr>
        <w:jc w:val="both"/>
        <w:ind w:left="1200" w:right="600" w:firstLine="360"/>
        <w:spacing w:after="0" w:line="28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Beneficial Ownership</w:t>
      </w:r>
      <w:r>
        <w:rPr>
          <w:rFonts w:ascii="Times New Roman" w:cs="Times New Roman" w:eastAsia="Times New Roman" w:hAnsi="Times New Roman"/>
          <w:sz w:val="13"/>
          <w:szCs w:val="13"/>
          <w:color w:val="auto"/>
        </w:rPr>
        <w:t>” shall mean ownership of Series J Preferred Stock by a Person who is or would be treated as an owner of such Series J Preferred Stock either actually or constructively through the application of Section 544 of the Code, as modified by Sections 856(h)(1)(B) and 856(h)(3) of the Code. The terms “</w:t>
      </w:r>
      <w:r>
        <w:rPr>
          <w:rFonts w:ascii="Times New Roman" w:cs="Times New Roman" w:eastAsia="Times New Roman" w:hAnsi="Times New Roman"/>
          <w:sz w:val="13"/>
          <w:szCs w:val="13"/>
          <w:u w:val="single" w:color="auto"/>
          <w:color w:val="auto"/>
        </w:rPr>
        <w:t>Beneficial Owner</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u w:val="single" w:color="auto"/>
          <w:color w:val="auto"/>
        </w:rPr>
        <w:t>Beneficially Owns</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u w:val="single" w:color="auto"/>
          <w:color w:val="auto"/>
        </w:rPr>
        <w:t>Beneficially Owned</w:t>
      </w:r>
      <w:r>
        <w:rPr>
          <w:rFonts w:ascii="Times New Roman" w:cs="Times New Roman" w:eastAsia="Times New Roman" w:hAnsi="Times New Roman"/>
          <w:sz w:val="13"/>
          <w:szCs w:val="13"/>
          <w:color w:val="auto"/>
        </w:rPr>
        <w:t>” shall have the correlative meanings.</w:t>
      </w:r>
    </w:p>
    <w:p>
      <w:pPr>
        <w:spacing w:after="0" w:line="14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Capital Stock</w:t>
      </w:r>
      <w:r>
        <w:rPr>
          <w:rFonts w:ascii="Times New Roman" w:cs="Times New Roman" w:eastAsia="Times New Roman" w:hAnsi="Times New Roman"/>
          <w:sz w:val="13"/>
          <w:szCs w:val="13"/>
          <w:color w:val="auto"/>
        </w:rPr>
        <w:t>” has the meaning set forth in Article VI of the Charter.</w:t>
      </w:r>
    </w:p>
    <w:p>
      <w:pPr>
        <w:spacing w:after="0" w:line="1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Charitable Beneficiary</w:t>
      </w:r>
      <w:r>
        <w:rPr>
          <w:rFonts w:ascii="Times New Roman" w:cs="Times New Roman" w:eastAsia="Times New Roman" w:hAnsi="Times New Roman"/>
          <w:sz w:val="13"/>
          <w:szCs w:val="13"/>
          <w:color w:val="auto"/>
        </w:rPr>
        <w:t>” shall mean one or more beneficiaries of a Trust, as determined pursuant to Section 9(c)</w:t>
      </w:r>
    </w:p>
    <w:p>
      <w:pPr>
        <w:spacing w:after="0" w:line="22" w:lineRule="exact"/>
        <w:rPr>
          <w:sz w:val="20"/>
          <w:szCs w:val="20"/>
          <w:color w:val="auto"/>
        </w:rPr>
      </w:pPr>
    </w:p>
    <w:p>
      <w:pPr>
        <w:ind w:left="1440" w:hanging="233"/>
        <w:spacing w:after="0"/>
        <w:tabs>
          <w:tab w:leader="none" w:pos="1440" w:val="left"/>
        </w:tabs>
        <w:numPr>
          <w:ilvl w:val="0"/>
          <w:numId w:val="4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of these Articles Supplementary, each of which shall be an organization described in Sections 170(b)(1)(A), 170(c)</w:t>
      </w:r>
    </w:p>
    <w:p>
      <w:pPr>
        <w:spacing w:after="0" w:line="18" w:lineRule="exact"/>
        <w:rPr>
          <w:rFonts w:ascii="Times New Roman" w:cs="Times New Roman" w:eastAsia="Times New Roman" w:hAnsi="Times New Roman"/>
          <w:sz w:val="13"/>
          <w:szCs w:val="13"/>
          <w:color w:val="auto"/>
        </w:rPr>
      </w:pPr>
    </w:p>
    <w:p>
      <w:pPr>
        <w:ind w:left="120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 and 501(c)(3) of the Code.</w:t>
      </w:r>
    </w:p>
    <w:p>
      <w:pPr>
        <w:spacing w:after="0" w:line="183" w:lineRule="exact"/>
        <w:rPr>
          <w:sz w:val="20"/>
          <w:szCs w:val="20"/>
          <w:color w:val="auto"/>
        </w:rPr>
      </w:pPr>
    </w:p>
    <w:p>
      <w:pPr>
        <w:jc w:val="both"/>
        <w:ind w:left="1200" w:right="620" w:firstLine="360"/>
        <w:spacing w:after="0" w:line="30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Code</w:t>
      </w:r>
      <w:r>
        <w:rPr>
          <w:rFonts w:ascii="Times New Roman" w:cs="Times New Roman" w:eastAsia="Times New Roman" w:hAnsi="Times New Roman"/>
          <w:sz w:val="13"/>
          <w:szCs w:val="13"/>
          <w:color w:val="auto"/>
        </w:rPr>
        <w:t>” shall mean the Internal Revenue Code of 1986, as amended. All section references to the Code shall include any successor provisions thereof as may be adopted from time to time.</w:t>
      </w:r>
    </w:p>
    <w:p>
      <w:pPr>
        <w:spacing w:after="0" w:line="124" w:lineRule="exact"/>
        <w:rPr>
          <w:sz w:val="20"/>
          <w:szCs w:val="20"/>
          <w:color w:val="auto"/>
        </w:rPr>
      </w:pPr>
    </w:p>
    <w:p>
      <w:pPr>
        <w:jc w:val="both"/>
        <w:ind w:left="1200" w:right="600" w:firstLine="360"/>
        <w:spacing w:after="0" w:line="28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Constructive Ownership</w:t>
      </w:r>
      <w:r>
        <w:rPr>
          <w:rFonts w:ascii="Times New Roman" w:cs="Times New Roman" w:eastAsia="Times New Roman" w:hAnsi="Times New Roman"/>
          <w:sz w:val="13"/>
          <w:szCs w:val="13"/>
          <w:color w:val="auto"/>
        </w:rPr>
        <w:t>” shall mean ownership of Series J Preferred Stock by a Person who is or would be treated as an owner of such Series J Preferred Stock either actually or constructively through the application of Section 318 of the Code, as modified by Section 856(d)(5) of the Code. The terms “</w:t>
      </w:r>
      <w:r>
        <w:rPr>
          <w:rFonts w:ascii="Times New Roman" w:cs="Times New Roman" w:eastAsia="Times New Roman" w:hAnsi="Times New Roman"/>
          <w:sz w:val="13"/>
          <w:szCs w:val="13"/>
          <w:u w:val="single" w:color="auto"/>
          <w:color w:val="auto"/>
        </w:rPr>
        <w:t>Constructive Owner</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u w:val="single" w:color="auto"/>
          <w:color w:val="auto"/>
        </w:rPr>
        <w:t>Constructively Owns</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u w:val="single" w:color="auto"/>
          <w:color w:val="auto"/>
        </w:rPr>
        <w:t>Constructively Owned</w:t>
      </w:r>
      <w:r>
        <w:rPr>
          <w:rFonts w:ascii="Times New Roman" w:cs="Times New Roman" w:eastAsia="Times New Roman" w:hAnsi="Times New Roman"/>
          <w:sz w:val="13"/>
          <w:szCs w:val="13"/>
          <w:color w:val="auto"/>
        </w:rPr>
        <w:t>” shall have the correlative meanings.</w:t>
      </w:r>
    </w:p>
    <w:p>
      <w:pPr>
        <w:spacing w:after="0" w:line="140" w:lineRule="exact"/>
        <w:rPr>
          <w:sz w:val="20"/>
          <w:szCs w:val="20"/>
          <w:color w:val="auto"/>
        </w:rPr>
      </w:pPr>
    </w:p>
    <w:p>
      <w:pPr>
        <w:jc w:val="both"/>
        <w:ind w:left="1200" w:right="600" w:firstLine="360"/>
        <w:spacing w:after="0" w:line="28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Individual</w:t>
      </w:r>
      <w:r>
        <w:rPr>
          <w:rFonts w:ascii="Times New Roman" w:cs="Times New Roman" w:eastAsia="Times New Roman" w:hAnsi="Times New Roman"/>
          <w:sz w:val="13"/>
          <w:szCs w:val="13"/>
          <w:color w:val="auto"/>
        </w:rPr>
        <w:t>” means an individual, a trust qualified under Section 401(a) or 501(c)(17) of the Code, a portion of a trust permanently set aside for or to be used exclusively for the purposes described in Section 642(c) of the Code, or a private foundation within the meaning of Section 509(a) of the Code, provided that a trust described in Section 401(a) of the Code and exempt from tax under Section 501(a) of the Code shall be excluded from this definition.</w:t>
      </w:r>
    </w:p>
    <w:p>
      <w:pPr>
        <w:spacing w:after="0" w:line="14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IRS</w:t>
      </w:r>
      <w:r>
        <w:rPr>
          <w:rFonts w:ascii="Times New Roman" w:cs="Times New Roman" w:eastAsia="Times New Roman" w:hAnsi="Times New Roman"/>
          <w:sz w:val="13"/>
          <w:szCs w:val="13"/>
          <w:color w:val="auto"/>
        </w:rPr>
        <w:t>” means the United States Internal Revenue Service.</w:t>
      </w:r>
    </w:p>
    <w:p>
      <w:pPr>
        <w:spacing w:after="0" w:line="187" w:lineRule="exact"/>
        <w:rPr>
          <w:sz w:val="20"/>
          <w:szCs w:val="20"/>
          <w:color w:val="auto"/>
        </w:rPr>
      </w:pPr>
    </w:p>
    <w:p>
      <w:pPr>
        <w:jc w:val="both"/>
        <w:ind w:left="1200" w:right="600" w:firstLine="360"/>
        <w:spacing w:after="0" w:line="27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Market Price</w:t>
      </w:r>
      <w:r>
        <w:rPr>
          <w:rFonts w:ascii="Times New Roman" w:cs="Times New Roman" w:eastAsia="Times New Roman" w:hAnsi="Times New Roman"/>
          <w:sz w:val="13"/>
          <w:szCs w:val="13"/>
          <w:color w:val="auto"/>
        </w:rPr>
        <w:t>” shall mean the last reported sales price reported on the NYSE of the Series J Preferred Stock on the Trading Day immediately preceding the relevant date, or if the Series J Preferred Stock is not then traded on the NYSE, the last reported sales price of the Series J Preferred Stock on the Trading Day immediately preceding the relevant date as reported on any exchange or quotation system over which the Series J Preferred Stock may be traded, or if the Series J Preferred Stock is not then traded over any exchange or quotation system, the market price of the Series J Preferred Stock on the relevant date as determined in good faith by the Board of Directors of the Company.</w:t>
      </w:r>
    </w:p>
    <w:p>
      <w:pPr>
        <w:spacing w:after="0" w:line="145" w:lineRule="exact"/>
        <w:rPr>
          <w:sz w:val="20"/>
          <w:szCs w:val="20"/>
          <w:color w:val="auto"/>
        </w:rPr>
      </w:pPr>
    </w:p>
    <w:p>
      <w:pPr>
        <w:jc w:val="both"/>
        <w:ind w:left="1200" w:right="600" w:firstLine="360"/>
        <w:spacing w:after="0" w:line="28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Ownership Limit</w:t>
      </w:r>
      <w:r>
        <w:rPr>
          <w:rFonts w:ascii="Times New Roman" w:cs="Times New Roman" w:eastAsia="Times New Roman" w:hAnsi="Times New Roman"/>
          <w:sz w:val="13"/>
          <w:szCs w:val="13"/>
          <w:color w:val="auto"/>
        </w:rPr>
        <w:t>” shall mean 9.8% (by value or number of shares, whichever is more restrictive) of the outstanding shares of Series J Preferred Stock of the Company. The number and value of shares of outstanding Series J Preferred Stock of the Company shall be determined by the Board of Directors in good faith, which determination shall be conclusive for all purposes hereof.</w:t>
      </w:r>
    </w:p>
    <w:p>
      <w:pPr>
        <w:spacing w:after="0" w:line="136" w:lineRule="exact"/>
        <w:rPr>
          <w:sz w:val="20"/>
          <w:szCs w:val="20"/>
          <w:color w:val="auto"/>
        </w:rPr>
      </w:pPr>
    </w:p>
    <w:p>
      <w:pPr>
        <w:jc w:val="both"/>
        <w:ind w:left="1200" w:right="600" w:firstLine="360"/>
        <w:spacing w:after="0" w:line="28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Person</w:t>
      </w:r>
      <w:r>
        <w:rPr>
          <w:rFonts w:ascii="Times New Roman" w:cs="Times New Roman" w:eastAsia="Times New Roman" w:hAnsi="Times New Roman"/>
          <w:sz w:val="13"/>
          <w:szCs w:val="13"/>
          <w:color w:val="auto"/>
        </w:rPr>
        <w:t>” shall mean an Individual, corporation, partnership, limited liability company, estate, trust (including a trust qualified under Section 401(a) or 501(c)(17) of the Code), association, joint stock company or other entity; but does not include an underwriter acting in a capacity as such in a public offering of shares of Series J Preferred Stock provided that the ownership of such shares of Series J Preferred Stock by such underwriter would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104140</wp:posOffset>
            </wp:positionV>
            <wp:extent cx="4436110" cy="1524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99">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546100</wp:posOffset>
            </wp:positionV>
            <wp:extent cx="5083810" cy="1524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800">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37" w:name="page438"/>
    <w:bookmarkEnd w:id="4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1215390</wp:posOffset>
            </wp:positionH>
            <wp:positionV relativeFrom="page">
              <wp:posOffset>674370</wp:posOffset>
            </wp:positionV>
            <wp:extent cx="5083810" cy="1524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801">
                      <a:extLst>
                        <a:ext uri="{28A0092B-C50C-407E-A947-70E740481C1C}"/>
                      </a:extLst>
                    </a:blip>
                    <a:srcRect/>
                    <a:stretch>
                      <a:fillRect/>
                    </a:stretch>
                  </pic:blipFill>
                  <pic:spPr bwMode="auto">
                    <a:xfrm>
                      <a:off x="0" y="0"/>
                      <a:ext cx="5083810" cy="15240"/>
                    </a:xfrm>
                    <a:prstGeom prst="rect">
                      <a:avLst/>
                    </a:prstGeom>
                    <a:noFill/>
                  </pic:spPr>
                </pic:pic>
              </a:graphicData>
            </a:graphic>
          </wp:anchor>
        </w:drawing>
        <w:drawing>
          <wp:anchor simplePos="0" relativeHeight="251657728" behindDoc="1" locked="0" layoutInCell="0" allowOverlap="1">
            <wp:simplePos x="0" y="0"/>
            <wp:positionH relativeFrom="page">
              <wp:posOffset>1291590</wp:posOffset>
            </wp:positionH>
            <wp:positionV relativeFrom="page">
              <wp:posOffset>361950</wp:posOffset>
            </wp:positionV>
            <wp:extent cx="4436110" cy="762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802">
                      <a:extLst>
                        <a:ext uri="{28A0092B-C50C-407E-A947-70E740481C1C}"/>
                      </a:extLst>
                    </a:blip>
                    <a:srcRect/>
                    <a:stretch>
                      <a:fillRect/>
                    </a:stretch>
                  </pic:blipFill>
                  <pic:spPr bwMode="auto">
                    <a:xfrm>
                      <a:off x="0" y="0"/>
                      <a:ext cx="4436110" cy="76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438" w:name="page439"/>
    <w:bookmarkEnd w:id="438"/>
    <w:p>
      <w:pPr>
        <w:ind w:left="1200" w:right="700"/>
        <w:spacing w:after="0" w:line="305" w:lineRule="auto"/>
        <w:rPr>
          <w:sz w:val="20"/>
          <w:szCs w:val="20"/>
          <w:color w:val="auto"/>
        </w:rPr>
      </w:pPr>
      <w:r>
        <w:rPr>
          <w:rFonts w:ascii="Times New Roman" w:cs="Times New Roman" w:eastAsia="Times New Roman" w:hAnsi="Times New Roman"/>
          <w:sz w:val="13"/>
          <w:szCs w:val="13"/>
          <w:color w:val="auto"/>
        </w:rPr>
        <w:t>not result in the Company being “closely held” within the meaning of Section 856(h) of the Code, or otherwise result in the Company failing to qualify as a REIT.</w:t>
      </w:r>
    </w:p>
    <w:p>
      <w:pPr>
        <w:spacing w:after="0" w:line="124" w:lineRule="exact"/>
        <w:rPr>
          <w:sz w:val="20"/>
          <w:szCs w:val="20"/>
          <w:color w:val="auto"/>
        </w:rPr>
      </w:pPr>
    </w:p>
    <w:p>
      <w:pPr>
        <w:jc w:val="both"/>
        <w:ind w:left="1200" w:right="600" w:firstLine="360"/>
        <w:spacing w:after="0" w:line="28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Purported Beneficial Transferee</w:t>
      </w:r>
      <w:r>
        <w:rPr>
          <w:rFonts w:ascii="Times New Roman" w:cs="Times New Roman" w:eastAsia="Times New Roman" w:hAnsi="Times New Roman"/>
          <w:sz w:val="13"/>
          <w:szCs w:val="13"/>
          <w:color w:val="auto"/>
        </w:rPr>
        <w:t>” shall mean, with respect to any purported Transfer (or other event) which results in a transfer to a Trust, as provided in Section 9(b)(ii) of these Articles Supplementary, the Purported Record Transferee, unless the Purported Record Transferee would have acquired or owned shares of Series J Preferred Stock for another Person who is the beneficial transferee or beneficial owner of such shares, in which case the Purported Beneficial Transferee shall be such Person.</w:t>
      </w:r>
    </w:p>
    <w:p>
      <w:pPr>
        <w:spacing w:after="0" w:line="140" w:lineRule="exact"/>
        <w:rPr>
          <w:sz w:val="20"/>
          <w:szCs w:val="20"/>
          <w:color w:val="auto"/>
        </w:rPr>
      </w:pPr>
    </w:p>
    <w:p>
      <w:pPr>
        <w:jc w:val="both"/>
        <w:ind w:left="1200" w:right="620" w:firstLine="360"/>
        <w:spacing w:after="0" w:line="28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Purported Record Transferee</w:t>
      </w:r>
      <w:r>
        <w:rPr>
          <w:rFonts w:ascii="Times New Roman" w:cs="Times New Roman" w:eastAsia="Times New Roman" w:hAnsi="Times New Roman"/>
          <w:sz w:val="13"/>
          <w:szCs w:val="13"/>
          <w:color w:val="auto"/>
        </w:rPr>
        <w:t>” shall mean, with respect to any purported Transfer (or other event) which results in a transfer to a Trust, as provided in Section 9(b)(ii) of these Articles Supplementary, the record holder of the Series J Preferred Stock if such Transfer had been valid under Section 9(b)(i) of these Articles Supplementary.</w:t>
      </w:r>
    </w:p>
    <w:p>
      <w:pPr>
        <w:spacing w:after="0" w:line="13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REIT</w:t>
      </w:r>
      <w:r>
        <w:rPr>
          <w:rFonts w:ascii="Times New Roman" w:cs="Times New Roman" w:eastAsia="Times New Roman" w:hAnsi="Times New Roman"/>
          <w:sz w:val="13"/>
          <w:szCs w:val="13"/>
          <w:color w:val="auto"/>
        </w:rPr>
        <w:t>” shall mean a real estate investment trust under Sections 856 through 860 of the Code.</w:t>
      </w:r>
    </w:p>
    <w:p>
      <w:pPr>
        <w:spacing w:after="0" w:line="187" w:lineRule="exact"/>
        <w:rPr>
          <w:sz w:val="20"/>
          <w:szCs w:val="20"/>
          <w:color w:val="auto"/>
        </w:rPr>
      </w:pPr>
    </w:p>
    <w:p>
      <w:pPr>
        <w:jc w:val="both"/>
        <w:ind w:left="1200" w:right="620" w:firstLine="360"/>
        <w:spacing w:after="0" w:line="30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Restriction Termination Date</w:t>
      </w:r>
      <w:r>
        <w:rPr>
          <w:rFonts w:ascii="Times New Roman" w:cs="Times New Roman" w:eastAsia="Times New Roman" w:hAnsi="Times New Roman"/>
          <w:sz w:val="13"/>
          <w:szCs w:val="13"/>
          <w:color w:val="auto"/>
        </w:rPr>
        <w:t>” shall mean the first day after the date hereof on which the Board of Directors of the Company determines that it is no longer in the best interests of the Company to attempt to, or continue to, qualify as a REIT.</w:t>
      </w:r>
    </w:p>
    <w:p>
      <w:pPr>
        <w:spacing w:after="0" w:line="124" w:lineRule="exact"/>
        <w:rPr>
          <w:sz w:val="20"/>
          <w:szCs w:val="20"/>
          <w:color w:val="auto"/>
        </w:rPr>
      </w:pPr>
    </w:p>
    <w:p>
      <w:pPr>
        <w:jc w:val="both"/>
        <w:ind w:left="1200" w:right="600" w:firstLine="360"/>
        <w:spacing w:after="0" w:line="28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Trading Day</w:t>
      </w:r>
      <w:r>
        <w:rPr>
          <w:rFonts w:ascii="Times New Roman" w:cs="Times New Roman" w:eastAsia="Times New Roman" w:hAnsi="Times New Roman"/>
          <w:sz w:val="13"/>
          <w:szCs w:val="13"/>
          <w:color w:val="auto"/>
        </w:rPr>
        <w:t>” means a day during which trading in securities generally occurs on the NYSE or, if the Common Stock is not quoted on the NYSE, then a day during which trading in securities generally occurs on the principal U.S. securities exchange on which the Common Stock is listed or, if the Common Stock is not listed on a U.S. national or regional securities exchange, then on the principal other market on which the Common Stock is then traded or quoted.</w:t>
      </w:r>
    </w:p>
    <w:p>
      <w:pPr>
        <w:spacing w:after="0" w:line="140" w:lineRule="exact"/>
        <w:rPr>
          <w:sz w:val="20"/>
          <w:szCs w:val="20"/>
          <w:color w:val="auto"/>
        </w:rPr>
      </w:pPr>
    </w:p>
    <w:p>
      <w:pPr>
        <w:jc w:val="both"/>
        <w:ind w:left="1200" w:right="600" w:firstLine="360"/>
        <w:spacing w:after="0" w:line="27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Transfer</w:t>
      </w:r>
      <w:r>
        <w:rPr>
          <w:rFonts w:ascii="Times New Roman" w:cs="Times New Roman" w:eastAsia="Times New Roman" w:hAnsi="Times New Roman"/>
          <w:sz w:val="13"/>
          <w:szCs w:val="13"/>
          <w:color w:val="auto"/>
        </w:rPr>
        <w:t>” shall mean any sale, issuance, transfer, gift, assignment, devise or other disposition of Series J Preferred Stock as well as any other event that causes any Person to Beneficially Own or Constructively Own Series J Preferred Stock, including (i) the granting of any option or entering into any agreement for the sale, transfer or other disposition of Series J Preferred Stock or (ii) the sale, transfer, assignment or other disposition of any securities (or rights convertible into or exchangeable for Series J Preferred Stock), whether voluntary or involuntary, whether such transfer has occurred of record or beneficially or Beneficially or Constructively (including but not limited to transfers of interests in other entities which result in changes in Beneficial or Constructive Ownership of Series J Preferred Stock), and whether such transfer has occurred by operation of law or otherwise.</w:t>
      </w:r>
    </w:p>
    <w:p>
      <w:pPr>
        <w:spacing w:after="0" w:line="13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Trust</w:t>
      </w:r>
      <w:r>
        <w:rPr>
          <w:rFonts w:ascii="Times New Roman" w:cs="Times New Roman" w:eastAsia="Times New Roman" w:hAnsi="Times New Roman"/>
          <w:sz w:val="13"/>
          <w:szCs w:val="13"/>
          <w:color w:val="auto"/>
        </w:rPr>
        <w:t>” shall mean each of the trusts provided for in Section 9(c) of these Articles Supplementary.</w:t>
      </w:r>
    </w:p>
    <w:p>
      <w:pPr>
        <w:spacing w:after="0" w:line="187" w:lineRule="exact"/>
        <w:rPr>
          <w:sz w:val="20"/>
          <w:szCs w:val="20"/>
          <w:color w:val="auto"/>
        </w:rPr>
      </w:pPr>
    </w:p>
    <w:p>
      <w:pPr>
        <w:jc w:val="both"/>
        <w:ind w:left="1200" w:right="620" w:firstLine="360"/>
        <w:spacing w:after="0" w:line="30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Trustee</w:t>
      </w:r>
      <w:r>
        <w:rPr>
          <w:rFonts w:ascii="Times New Roman" w:cs="Times New Roman" w:eastAsia="Times New Roman" w:hAnsi="Times New Roman"/>
          <w:sz w:val="13"/>
          <w:szCs w:val="13"/>
          <w:color w:val="auto"/>
        </w:rPr>
        <w:t>” shall mean any Person unaffiliated with the Company, or a Purported Beneficial Transferee, or a Purported Record Transferee, that is appointed by the Company to serve as trustee of a Trust.</w:t>
      </w:r>
    </w:p>
    <w:p>
      <w:pPr>
        <w:spacing w:after="0" w:line="124" w:lineRule="exact"/>
        <w:rPr>
          <w:sz w:val="20"/>
          <w:szCs w:val="20"/>
          <w:color w:val="auto"/>
        </w:rPr>
      </w:pPr>
    </w:p>
    <w:p>
      <w:pPr>
        <w:ind w:left="1740" w:hanging="173"/>
        <w:spacing w:after="0"/>
        <w:tabs>
          <w:tab w:leader="none" w:pos="1740" w:val="left"/>
        </w:tabs>
        <w:numPr>
          <w:ilvl w:val="0"/>
          <w:numId w:val="4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Restriction on Ownership and Transfers</w:t>
      </w:r>
      <w:r>
        <w:rPr>
          <w:rFonts w:ascii="Times New Roman" w:cs="Times New Roman" w:eastAsia="Times New Roman" w:hAnsi="Times New Roman"/>
          <w:sz w:val="13"/>
          <w:szCs w:val="13"/>
          <w:color w:val="auto"/>
        </w:rPr>
        <w:t>.</w:t>
      </w:r>
    </w:p>
    <w:p>
      <w:pPr>
        <w:spacing w:after="0" w:line="186" w:lineRule="exact"/>
        <w:rPr>
          <w:rFonts w:ascii="Times New Roman" w:cs="Times New Roman" w:eastAsia="Times New Roman" w:hAnsi="Times New Roman"/>
          <w:sz w:val="13"/>
          <w:szCs w:val="13"/>
          <w:color w:val="auto"/>
        </w:rPr>
      </w:pPr>
    </w:p>
    <w:p>
      <w:pPr>
        <w:ind w:left="17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(i)Prior to the Restriction Termination Date, but subject to Section 9(l):</w:t>
      </w:r>
    </w:p>
    <w:p>
      <w:pPr>
        <w:spacing w:after="0" w:line="187" w:lineRule="exact"/>
        <w:rPr>
          <w:sz w:val="20"/>
          <w:szCs w:val="20"/>
          <w:color w:val="auto"/>
        </w:rPr>
      </w:pPr>
    </w:p>
    <w:p>
      <w:pPr>
        <w:jc w:val="both"/>
        <w:ind w:left="1560" w:right="600" w:firstLine="480"/>
        <w:spacing w:after="0" w:line="281" w:lineRule="auto"/>
        <w:rPr>
          <w:sz w:val="20"/>
          <w:szCs w:val="20"/>
          <w:color w:val="auto"/>
        </w:rPr>
      </w:pPr>
      <w:r>
        <w:rPr>
          <w:rFonts w:ascii="Times New Roman" w:cs="Times New Roman" w:eastAsia="Times New Roman" w:hAnsi="Times New Roman"/>
          <w:sz w:val="13"/>
          <w:szCs w:val="13"/>
          <w:color w:val="auto"/>
        </w:rPr>
        <w:t>(A) except as provided in Section 9(i) of these Articles Supplementary, (1) no Person shall Beneficially Own shares of Series J Preferred Stock in excess of the Ownership Limit and (2) no Person shall Beneficially Own shares of Series J Preferred Stock that, taking into account any other Capital Stock Beneficially Owned by such Person, would result in such Person Beneficially Owning Capital Stock in excess of the Aggregate Stock Ownership Limit;</w:t>
      </w:r>
    </w:p>
    <w:p>
      <w:pPr>
        <w:spacing w:after="0" w:line="140" w:lineRule="exact"/>
        <w:rPr>
          <w:sz w:val="20"/>
          <w:szCs w:val="20"/>
          <w:color w:val="auto"/>
        </w:rPr>
      </w:pPr>
    </w:p>
    <w:p>
      <w:pPr>
        <w:jc w:val="both"/>
        <w:ind w:left="1560" w:right="600" w:firstLine="480"/>
        <w:spacing w:after="0" w:line="281" w:lineRule="auto"/>
        <w:rPr>
          <w:sz w:val="20"/>
          <w:szCs w:val="20"/>
          <w:color w:val="auto"/>
        </w:rPr>
      </w:pPr>
      <w:r>
        <w:rPr>
          <w:rFonts w:ascii="Times New Roman" w:cs="Times New Roman" w:eastAsia="Times New Roman" w:hAnsi="Times New Roman"/>
          <w:sz w:val="13"/>
          <w:szCs w:val="13"/>
          <w:color w:val="auto"/>
        </w:rPr>
        <w:t>(B) except as provided in Section 9(i) of these Articles Supplementary, (1) no Person shall Constructively Own shares of Series J Preferred Stock in excess of the Ownership Limit and (2) no Person shall Constructively Own shares of Series J Preferred Stock that, taking into account any other Capital Stock Constructively Owned by such Person, would result in such Person Constructively Owning Capital Stock in excess of the Aggregate Stock Ownership Limit;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104140</wp:posOffset>
            </wp:positionV>
            <wp:extent cx="4436110" cy="1524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803">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546100</wp:posOffset>
            </wp:positionV>
            <wp:extent cx="5083810" cy="1524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804">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39" w:name="page440"/>
    <w:bookmarkEnd w:id="439"/>
    <w:p>
      <w:pPr>
        <w:jc w:val="both"/>
        <w:ind w:left="1560" w:right="600" w:firstLine="480"/>
        <w:spacing w:after="0" w:line="270" w:lineRule="auto"/>
        <w:rPr>
          <w:sz w:val="20"/>
          <w:szCs w:val="20"/>
          <w:color w:val="auto"/>
        </w:rPr>
      </w:pPr>
      <w:r>
        <w:rPr>
          <w:rFonts w:ascii="Times New Roman" w:cs="Times New Roman" w:eastAsia="Times New Roman" w:hAnsi="Times New Roman"/>
          <w:sz w:val="13"/>
          <w:szCs w:val="13"/>
          <w:color w:val="auto"/>
        </w:rPr>
        <w:t>(C)no Person shall Beneficially Own or Constructively Own Series J Preferred Stock which, taking into account any other Capital Stock of the Company Beneficially or Constructively Owned by such Person, would result in the Company being “closely held” within the meaning of Section 856(h) of the Code, or otherwise failing to qualify as a REIT (including but not limited to Beneficial or Constructive Ownership that would result in the Company owning (actually or Constructively) an interest in a tenant that is described in Section 856(d)(2)</w:t>
      </w:r>
    </w:p>
    <w:p>
      <w:pPr>
        <w:spacing w:after="0" w:line="3" w:lineRule="exact"/>
        <w:rPr>
          <w:sz w:val="20"/>
          <w:szCs w:val="20"/>
          <w:color w:val="auto"/>
        </w:rPr>
      </w:pPr>
    </w:p>
    <w:p>
      <w:pPr>
        <w:ind w:left="1560" w:right="620" w:firstLine="7"/>
        <w:spacing w:after="0" w:line="299" w:lineRule="auto"/>
        <w:tabs>
          <w:tab w:leader="none" w:pos="1769" w:val="left"/>
        </w:tabs>
        <w:numPr>
          <w:ilvl w:val="0"/>
          <w:numId w:val="4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of the Code if the income derived by the Company (either directly or indirectly through one or more subsidiaries) from such tenant would cause the Company to fail to satisfy any of the gross income requirements of Section 856(c) of the Code).</w:t>
      </w:r>
    </w:p>
    <w:p>
      <w:pPr>
        <w:spacing w:after="0" w:line="128" w:lineRule="exact"/>
        <w:rPr>
          <w:rFonts w:ascii="Times New Roman" w:cs="Times New Roman" w:eastAsia="Times New Roman" w:hAnsi="Times New Roman"/>
          <w:sz w:val="13"/>
          <w:szCs w:val="13"/>
          <w:color w:val="auto"/>
        </w:rPr>
      </w:pPr>
    </w:p>
    <w:p>
      <w:pPr>
        <w:jc w:val="both"/>
        <w:ind w:left="600" w:right="600" w:firstLine="1075"/>
        <w:spacing w:after="0" w:line="274" w:lineRule="auto"/>
        <w:tabs>
          <w:tab w:leader="none" w:pos="1860" w:val="left"/>
        </w:tabs>
        <w:numPr>
          <w:ilvl w:val="1"/>
          <w:numId w:val="4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prior to the Restriction Termination Date, any Transfer or other event occurs that, if effective, would result in any Person Beneficially or Constructively Owning Series J Preferred Stock in violation of Section 9(b)(i) of these Articles Supplementary, (A) then that number of shares of Series J Preferred Stock that otherwise would cause such Person to violate Section 9(b)(i) of these Articles Supplementary (rounded up to the nearest whole share) shall be automatically transferred to a Trust for the benefit of a Charitable Beneficiary, as described in Section 9(c), effective as of the close of business on the Business Day prior to the date of such Transfer or other event, and such Purported Beneficial Transferee shall thereafter have no rights in such shares or (B) if, for any reason, the transfer to the Trust described in clause (A) of this sentence is not automatically effective as provided therein to prevent any Person from Beneficially or Constructively Owning Series J Preferred Stock in violation of Section 9(b)(i) of these Articles Supplementary, then the Transfer of that number of shares of Series J Preferred Stock that otherwise would cause any Person to violate Section 9(b)(i) shall be void </w:t>
      </w:r>
      <w:r>
        <w:rPr>
          <w:rFonts w:ascii="Times New Roman" w:cs="Times New Roman" w:eastAsia="Times New Roman" w:hAnsi="Times New Roman"/>
          <w:sz w:val="13"/>
          <w:szCs w:val="13"/>
          <w:i w:val="1"/>
          <w:iCs w:val="1"/>
          <w:color w:val="auto"/>
        </w:rPr>
        <w:t>ab initio</w:t>
      </w:r>
      <w:r>
        <w:rPr>
          <w:rFonts w:ascii="Times New Roman" w:cs="Times New Roman" w:eastAsia="Times New Roman" w:hAnsi="Times New Roman"/>
          <w:sz w:val="13"/>
          <w:szCs w:val="13"/>
          <w:color w:val="auto"/>
        </w:rPr>
        <w:t>, and the Purported Beneficial Transferee shall have no rights in such shares.</w:t>
      </w:r>
    </w:p>
    <w:p>
      <w:pPr>
        <w:spacing w:after="0" w:line="301" w:lineRule="exact"/>
        <w:rPr>
          <w:sz w:val="20"/>
          <w:szCs w:val="20"/>
          <w:color w:val="auto"/>
        </w:rPr>
      </w:pPr>
    </w:p>
    <w:p>
      <w:pPr>
        <w:jc w:val="both"/>
        <w:ind w:left="600" w:right="600" w:firstLine="1140"/>
        <w:spacing w:after="0" w:line="287" w:lineRule="auto"/>
        <w:rPr>
          <w:sz w:val="20"/>
          <w:szCs w:val="20"/>
          <w:color w:val="auto"/>
        </w:rPr>
      </w:pPr>
      <w:r>
        <w:rPr>
          <w:rFonts w:ascii="Times New Roman" w:cs="Times New Roman" w:eastAsia="Times New Roman" w:hAnsi="Times New Roman"/>
          <w:sz w:val="13"/>
          <w:szCs w:val="13"/>
          <w:color w:val="auto"/>
        </w:rPr>
        <w:t xml:space="preserve">(iii)Subject to Section 9(l) and prior to the Restriction Termination Date, any Transfer of Series J Preferred Stock that, if effective, would result in the capital stock of the Company being beneficially owned by fewer than 100 Persons (determined without reference to any rules of attribution) shall be void </w:t>
      </w:r>
      <w:r>
        <w:rPr>
          <w:rFonts w:ascii="Times New Roman" w:cs="Times New Roman" w:eastAsia="Times New Roman" w:hAnsi="Times New Roman"/>
          <w:sz w:val="13"/>
          <w:szCs w:val="13"/>
          <w:i w:val="1"/>
          <w:iCs w:val="1"/>
          <w:color w:val="auto"/>
        </w:rPr>
        <w:t>ab initio</w:t>
      </w:r>
      <w:r>
        <w:rPr>
          <w:rFonts w:ascii="Times New Roman" w:cs="Times New Roman" w:eastAsia="Times New Roman" w:hAnsi="Times New Roman"/>
          <w:sz w:val="13"/>
          <w:szCs w:val="13"/>
          <w:color w:val="auto"/>
        </w:rPr>
        <w:t>, and the intended transferee shall acquire no rights in such Series J Preferred Stock.</w:t>
      </w:r>
    </w:p>
    <w:p>
      <w:pPr>
        <w:spacing w:after="0" w:line="136" w:lineRule="exact"/>
        <w:rPr>
          <w:sz w:val="20"/>
          <w:szCs w:val="20"/>
          <w:color w:val="auto"/>
        </w:rPr>
      </w:pPr>
    </w:p>
    <w:p>
      <w:pPr>
        <w:ind w:left="1260" w:hanging="173"/>
        <w:spacing w:after="0"/>
        <w:tabs>
          <w:tab w:leader="none" w:pos="1260" w:val="left"/>
        </w:tabs>
        <w:numPr>
          <w:ilvl w:val="0"/>
          <w:numId w:val="4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Transfers of Series J Preferred Stock in Trust</w:t>
      </w:r>
      <w:r>
        <w:rPr>
          <w:rFonts w:ascii="Times New Roman" w:cs="Times New Roman" w:eastAsia="Times New Roman" w:hAnsi="Times New Roman"/>
          <w:sz w:val="13"/>
          <w:szCs w:val="13"/>
          <w:color w:val="auto"/>
        </w:rPr>
        <w:t>.</w:t>
      </w:r>
    </w:p>
    <w:p>
      <w:pPr>
        <w:spacing w:after="0" w:line="186" w:lineRule="exact"/>
        <w:rPr>
          <w:rFonts w:ascii="Times New Roman" w:cs="Times New Roman" w:eastAsia="Times New Roman" w:hAnsi="Times New Roman"/>
          <w:sz w:val="13"/>
          <w:szCs w:val="13"/>
          <w:color w:val="auto"/>
        </w:rPr>
      </w:pPr>
    </w:p>
    <w:p>
      <w:pPr>
        <w:jc w:val="both"/>
        <w:ind w:left="600" w:right="600" w:firstLine="1207"/>
        <w:spacing w:after="0" w:line="276" w:lineRule="auto"/>
        <w:tabs>
          <w:tab w:leader="none" w:pos="1992" w:val="left"/>
        </w:tabs>
        <w:numPr>
          <w:ilvl w:val="1"/>
          <w:numId w:val="4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any purported Transfer or other event described in Section 9(b)(ii) of these Articles Supplementary, such Series J Preferred Stock shall be deemed to have been transferred to the Trustee in his capacity as trustee of a Trust for the exclusive benefit of one or more Charitable Beneficiaries. Such transfer to the Trustee shall be deemed to be effective as of the close of business on the Business Day prior to the purported Transfer or other event that results in a transfer to the Trust pursuant to Section 9(b)(ii). The Trustee shall be appointed by the Company and shall be a Person unaffiliated with the Company, any Purported Beneficial Transferee or any Purported Record Transferee. Each Charitable Beneficiary shall be designated by the Company as provided in Section 9(c)(vi) of these Articles Supplementary.</w:t>
      </w:r>
    </w:p>
    <w:p>
      <w:pPr>
        <w:spacing w:after="0" w:line="145" w:lineRule="exact"/>
        <w:rPr>
          <w:sz w:val="20"/>
          <w:szCs w:val="20"/>
          <w:color w:val="auto"/>
        </w:rPr>
      </w:pPr>
    </w:p>
    <w:p>
      <w:pPr>
        <w:jc w:val="both"/>
        <w:ind w:left="600" w:right="600" w:firstLine="1212"/>
        <w:spacing w:after="0" w:line="278" w:lineRule="auto"/>
        <w:rPr>
          <w:sz w:val="20"/>
          <w:szCs w:val="20"/>
          <w:color w:val="auto"/>
        </w:rPr>
      </w:pPr>
      <w:r>
        <w:rPr>
          <w:rFonts w:ascii="Times New Roman" w:cs="Times New Roman" w:eastAsia="Times New Roman" w:hAnsi="Times New Roman"/>
          <w:sz w:val="13"/>
          <w:szCs w:val="13"/>
          <w:color w:val="auto"/>
        </w:rPr>
        <w:t>(ii)Series J Preferred Stock held by the Trustee shall be issued and outstanding Series J Preferred Stock of the Company. The Purported Beneficial Transferee or Purported Record Transferee shall have no rights in the shares of the Series J Preferred Stock held by the Trustee. The Purported Beneficial Transferee or Purported Record Transferee shall not benefit economically from ownership of any shares held in trust by the Trustee, shall have no rights to dividends and shall not possess any rights to vote or other rights attributable to the shares of Series J Preferred Stock held in the Trust.</w:t>
      </w:r>
    </w:p>
    <w:p>
      <w:pPr>
        <w:spacing w:after="0" w:line="143" w:lineRule="exact"/>
        <w:rPr>
          <w:sz w:val="20"/>
          <w:szCs w:val="20"/>
          <w:color w:val="auto"/>
        </w:rPr>
      </w:pPr>
    </w:p>
    <w:p>
      <w:pPr>
        <w:jc w:val="both"/>
        <w:ind w:left="600" w:right="600" w:firstLine="1212"/>
        <w:spacing w:after="0" w:line="272" w:lineRule="auto"/>
        <w:rPr>
          <w:sz w:val="20"/>
          <w:szCs w:val="20"/>
          <w:color w:val="auto"/>
        </w:rPr>
      </w:pPr>
      <w:r>
        <w:rPr>
          <w:rFonts w:ascii="Times New Roman" w:cs="Times New Roman" w:eastAsia="Times New Roman" w:hAnsi="Times New Roman"/>
          <w:sz w:val="13"/>
          <w:szCs w:val="13"/>
          <w:color w:val="auto"/>
        </w:rPr>
        <w:t xml:space="preserve">(iii)The Trustee shall have all voting rights and rights to dividends with respect to Series J Preferred Stock held in the Trust, which rights shall be exercised for the exclusive benefit of the Charitable Beneficiary. Any dividend or distribution paid to or on behalf of the Purported Record Transferee or Purported Beneficial Transferee prior to the discovery by the Company that shares of Series J Preferred Stock have been transferred to the Trustee shall be paid to the Trustee upon demand, and any dividend or distribution declared but unpaid shall be paid when due to the Trustee with respect to such Series J Preferred Stock. Any dividends or distributions so paid over to the Trustee shall be held in trust for the Charitable Beneficiary. The Purported Record Transferee and Purported Beneficial Transferee shall have no voting rights with respect to the Series J Preferred Stock held in the Trust and, subject to Maryland law, effective as of the date the Series J Preferred Stock has been transferred to the Trustee, the Trustee shall have the authority (at the Trustee’s sole discretion) (A) to rescind as void any vote cast by a Purported Record Transferee with respect to such Series J Preferred Stock prior to the discovery by the Company that the Series J Preferred Stock has been transferred to the Trustee and (B) to recast such vote in accordance with the desires of the Trustee acting for the benefit of the Charitable Beneficiary;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if the Company has already taken irreversible corporate action, then the Trustee shall not have the authority to rescind and recast such vote. Notwithstanding any other provision of these Articles Supplementary to the contrary, until the Company has received notification that the Series J Preferred Stock has been transferred into a Trust, the Company shall be entitled to rely on its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697230</wp:posOffset>
            </wp:positionV>
            <wp:extent cx="4436110" cy="1524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805">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339090</wp:posOffset>
            </wp:positionV>
            <wp:extent cx="5083810" cy="1524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806">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40" w:name="page441"/>
    <w:bookmarkEnd w:id="440"/>
    <w:p>
      <w:pPr>
        <w:ind w:left="600" w:right="880"/>
        <w:spacing w:after="0" w:line="305" w:lineRule="auto"/>
        <w:rPr>
          <w:sz w:val="20"/>
          <w:szCs w:val="20"/>
          <w:color w:val="auto"/>
        </w:rPr>
      </w:pPr>
      <w:r>
        <w:rPr>
          <w:rFonts w:ascii="Times New Roman" w:cs="Times New Roman" w:eastAsia="Times New Roman" w:hAnsi="Times New Roman"/>
          <w:sz w:val="13"/>
          <w:szCs w:val="13"/>
          <w:color w:val="auto"/>
        </w:rPr>
        <w:t>transfer and other stockholder records for purposes of preparing lists of stockholders entitled to vote at meetings, determining the validity and authority of proxies and otherwise conducting votes of stockholders.</w:t>
      </w:r>
    </w:p>
    <w:p>
      <w:pPr>
        <w:spacing w:after="0" w:line="124" w:lineRule="exact"/>
        <w:rPr>
          <w:sz w:val="20"/>
          <w:szCs w:val="20"/>
          <w:color w:val="auto"/>
        </w:rPr>
      </w:pPr>
    </w:p>
    <w:p>
      <w:pPr>
        <w:jc w:val="both"/>
        <w:ind w:left="600" w:right="600" w:firstLine="1212"/>
        <w:spacing w:after="0" w:line="272" w:lineRule="auto"/>
        <w:rPr>
          <w:sz w:val="20"/>
          <w:szCs w:val="20"/>
          <w:color w:val="auto"/>
        </w:rPr>
      </w:pPr>
      <w:r>
        <w:rPr>
          <w:rFonts w:ascii="Times New Roman" w:cs="Times New Roman" w:eastAsia="Times New Roman" w:hAnsi="Times New Roman"/>
          <w:sz w:val="13"/>
          <w:szCs w:val="13"/>
          <w:color w:val="auto"/>
        </w:rPr>
        <w:t>(iv)Within 20 days of receiving notice from the Company that shares of Series J Preferred Stock have been transferred to the Trust, the Trustee of the Trust shall sell the shares of Series J Preferred Stock held in the Trust to a Person, designated by the Trustee, whose ownership of the shares of Series J Preferred Stock will not violate the ownership limitations set forth in Section 9(b)(i). Upon such sale, the interest of the Charitable Beneficiary in the shares of Series J Preferred Stock sold shall terminate and the Trustee shall distribute the net proceeds of the sale to the Purported Record Transferee and to the Charitable Beneficiary as provided in this Section 9(c)(iv). The Purported Record Transferee shall receive the lesser of (A) the price paid by the Purported Record Transferee for the shares of Series J Preferred Stock in the transaction that resulted in such transfer to the Trust (or, if the event which resulted in the transfer to the Trust did not involve a purchase of such shares of Series J Preferred Stock at Market Price, the Market Price of such shares of Series J Preferred Stock on the day of the event which resulted in the transfer of such shares of Series J Preferred Stock to the Trust) and (B) the price per share received by the Trustee (net of any commissions and other expenses of sale) from the sale or other disposition of the shares of Series J Preferred Stock held in the Trust. The Trustee may reduce the amount payable to the Purported Record Transferee by the amount of dividends and distributions which have been paid to the Purported Record Transferee and are owed by the Purported Record Transferee to the Trustee pursuant to Section 9(c)(iii). Any net sales proceeds in excess of the amount payable to the Purported Record Transferee shall be immediately paid to the Charitable Beneficiary together with any dividends or other distributions thereon. If, prior to the discovery by the Company that shares of such Series J Preferred Stock have been transferred to the Trustee, such shares of Series J Preferred Stock are sold by a Purported Record Transferee then (1) such shares of Series J Preferred Stock shall be deemed to have been sold on behalf of the Trust and (2) to the extent that the Purported Record Transferee received an amount for such shares of Series J Preferred Stock that exceeds the amount that such Purported Record Transferee was entitled to receive pursuant to this Section 9(c)(iv), such excess shall be paid to the Trustee upon demand.</w:t>
      </w:r>
    </w:p>
    <w:p>
      <w:pPr>
        <w:spacing w:after="0" w:line="301" w:lineRule="exact"/>
        <w:rPr>
          <w:sz w:val="20"/>
          <w:szCs w:val="20"/>
          <w:color w:val="auto"/>
        </w:rPr>
      </w:pPr>
    </w:p>
    <w:p>
      <w:pPr>
        <w:jc w:val="both"/>
        <w:ind w:left="600" w:right="600" w:firstLine="1212"/>
        <w:spacing w:after="0" w:line="275" w:lineRule="auto"/>
        <w:rPr>
          <w:sz w:val="20"/>
          <w:szCs w:val="20"/>
          <w:color w:val="auto"/>
        </w:rPr>
      </w:pPr>
      <w:r>
        <w:rPr>
          <w:rFonts w:ascii="Times New Roman" w:cs="Times New Roman" w:eastAsia="Times New Roman" w:hAnsi="Times New Roman"/>
          <w:sz w:val="13"/>
          <w:szCs w:val="13"/>
          <w:color w:val="auto"/>
        </w:rPr>
        <w:t>(v) Series J Preferred Stock transferred to the Trustee shall be deemed to have been offered for sale to the Company, or its designee, at a price per share equal to the lesser of (A) the price paid by the Purported Record Transferee for the shares of Series J Preferred Stock in the transaction that resulted in such transfer to the Trust (or, if the event which resulted in the transfer to the Trust did not involve a purchase of such shares of Series J Preferred Stock at Market Price, the Market Price of such shares of Series J Preferred Stock on the day of the event which resulted in the transfer of such shares of Series J Preferred Stock to the Trust) and (B) the Market Price on the date the Company, or its designee, accepts such offer. The Company may reduce the amount payable to the Purported Record Transferee by the amount of dividends and distributions which have been paid to the Purported Record Transferee and are owed by the Purported Record Transferee to the Trustee pursuant to Section 9(c)</w:t>
      </w:r>
    </w:p>
    <w:p>
      <w:pPr>
        <w:spacing w:after="0" w:line="149" w:lineRule="exact"/>
        <w:rPr>
          <w:sz w:val="20"/>
          <w:szCs w:val="20"/>
          <w:color w:val="auto"/>
        </w:rPr>
      </w:pPr>
    </w:p>
    <w:p>
      <w:pPr>
        <w:jc w:val="both"/>
        <w:ind w:left="600" w:right="600"/>
        <w:spacing w:after="0" w:line="279" w:lineRule="auto"/>
        <w:rPr>
          <w:sz w:val="20"/>
          <w:szCs w:val="20"/>
          <w:color w:val="auto"/>
        </w:rPr>
      </w:pPr>
      <w:r>
        <w:rPr>
          <w:rFonts w:ascii="Times New Roman" w:cs="Times New Roman" w:eastAsia="Times New Roman" w:hAnsi="Times New Roman"/>
          <w:sz w:val="13"/>
          <w:szCs w:val="13"/>
          <w:color w:val="auto"/>
        </w:rPr>
        <w:t>(iii). The Company shall have the right to accept such offer until the Trustee has sold the shares of Series J Preferred Stock held in the Trust pursuant to Section 9(c)(iv). Upon such a sale to the Company, the interest of the Charitable Beneficiary in the shares of Series J Preferred Stock sold shall terminate and the Trustee shall distribute the net proceeds of the sale to the Purported Record Transferee and any dividends or other distributions held by the Trustee with respect to such Series J Preferred Stock shall thereupon be paid to the Charitable Beneficiary.</w:t>
      </w:r>
    </w:p>
    <w:p>
      <w:pPr>
        <w:spacing w:after="0" w:line="130" w:lineRule="exact"/>
        <w:rPr>
          <w:sz w:val="20"/>
          <w:szCs w:val="20"/>
          <w:color w:val="auto"/>
        </w:rPr>
      </w:pPr>
    </w:p>
    <w:p>
      <w:pPr>
        <w:jc w:val="both"/>
        <w:ind w:left="600" w:right="620" w:firstLine="1212"/>
        <w:spacing w:after="0" w:line="287" w:lineRule="auto"/>
        <w:rPr>
          <w:sz w:val="20"/>
          <w:szCs w:val="20"/>
          <w:color w:val="auto"/>
        </w:rPr>
      </w:pPr>
      <w:r>
        <w:rPr>
          <w:rFonts w:ascii="Times New Roman" w:cs="Times New Roman" w:eastAsia="Times New Roman" w:hAnsi="Times New Roman"/>
          <w:sz w:val="13"/>
          <w:szCs w:val="13"/>
          <w:color w:val="auto"/>
        </w:rPr>
        <w:t>(vi)By written notice to the Trustee, the Company shall designate one or more nonprofit organizations to be the Charitable Beneficiary of the interest in the Trust such that the Series J Preferred Stock held in the Trust would not violate the restrictions set forth in Section 9(b)(i) in the hands of such Charitable Beneficiary.</w:t>
      </w:r>
    </w:p>
    <w:p>
      <w:pPr>
        <w:spacing w:after="0" w:line="136" w:lineRule="exact"/>
        <w:rPr>
          <w:sz w:val="20"/>
          <w:szCs w:val="20"/>
          <w:color w:val="auto"/>
        </w:rPr>
      </w:pPr>
    </w:p>
    <w:p>
      <w:pPr>
        <w:jc w:val="both"/>
        <w:ind w:left="600" w:right="600" w:firstLine="475"/>
        <w:spacing w:after="0" w:line="273" w:lineRule="auto"/>
        <w:tabs>
          <w:tab w:leader="none" w:pos="1260" w:val="left"/>
        </w:tabs>
        <w:numPr>
          <w:ilvl w:val="0"/>
          <w:numId w:val="4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Remedies For Breach</w:t>
      </w:r>
      <w:r>
        <w:rPr>
          <w:rFonts w:ascii="Times New Roman" w:cs="Times New Roman" w:eastAsia="Times New Roman" w:hAnsi="Times New Roman"/>
          <w:sz w:val="13"/>
          <w:szCs w:val="13"/>
          <w:color w:val="auto"/>
        </w:rPr>
        <w:t xml:space="preserve">. If the Board of Directors or a committee thereof or other designees if permitted by the MGCL shall at any time determine in good faith that a Transfer or other event has taken place in violation of Section 9(b) of these Articles Supplementary or that a Person intends to acquire, has attempted to acquire or may acquire beneficial ownership (determined without reference to any rules of attribution), Beneficial Ownership or Constructive Ownership of any shares of Series J Preferred Stock of the Company in violation of Section 9(b) of these Articles Supplementary, the Board of Directors or a committee thereof or other designees if permitted by the MGCL shall take such action as it deems advisable to refuse to give effect or to prevent such Transfer, including, but not limited to, causing the Company to redeem shares of Series J Preferred Stock, refusing to give effect to such Transfer on the books of the Company or instituting proceedings to enjoin such Transfer;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that any Transfers (or, in the case of events other than a Transfer, ownership or Constructive Ownership or Beneficial Ownership) in violation of Section 9(b)(i) of these Articles Supplementary, shall automatically result in the transfer to a Trust as described in Section 9(b)(ii) and any Transfer in violation of Section 9(b)(iii) shall automatically be void </w:t>
      </w:r>
      <w:r>
        <w:rPr>
          <w:rFonts w:ascii="Times New Roman" w:cs="Times New Roman" w:eastAsia="Times New Roman" w:hAnsi="Times New Roman"/>
          <w:sz w:val="13"/>
          <w:szCs w:val="13"/>
          <w:i w:val="1"/>
          <w:iCs w:val="1"/>
          <w:color w:val="auto"/>
        </w:rPr>
        <w:t>ab initio</w:t>
      </w:r>
      <w:r>
        <w:rPr>
          <w:rFonts w:ascii="Times New Roman" w:cs="Times New Roman" w:eastAsia="Times New Roman" w:hAnsi="Times New Roman"/>
          <w:sz w:val="13"/>
          <w:szCs w:val="13"/>
          <w:color w:val="auto"/>
        </w:rPr>
        <w:t xml:space="preserve"> irrespective of any action (or non-action) by the Board of Directors.</w:t>
      </w:r>
    </w:p>
    <w:p>
      <w:pPr>
        <w:spacing w:after="0" w:line="304" w:lineRule="exact"/>
        <w:rPr>
          <w:rFonts w:ascii="Times New Roman" w:cs="Times New Roman" w:eastAsia="Times New Roman" w:hAnsi="Times New Roman"/>
          <w:sz w:val="13"/>
          <w:szCs w:val="13"/>
          <w:color w:val="auto"/>
        </w:rPr>
      </w:pPr>
    </w:p>
    <w:p>
      <w:pPr>
        <w:ind w:left="600" w:right="560" w:firstLine="475"/>
        <w:spacing w:after="0" w:line="305" w:lineRule="auto"/>
        <w:tabs>
          <w:tab w:leader="none" w:pos="1248" w:val="left"/>
        </w:tabs>
        <w:numPr>
          <w:ilvl w:val="0"/>
          <w:numId w:val="4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Notice of Restricted Transfer</w:t>
      </w:r>
      <w:r>
        <w:rPr>
          <w:rFonts w:ascii="Times New Roman" w:cs="Times New Roman" w:eastAsia="Times New Roman" w:hAnsi="Times New Roman"/>
          <w:sz w:val="13"/>
          <w:szCs w:val="13"/>
          <w:color w:val="auto"/>
        </w:rPr>
        <w:t>. Any Person who acquires or attempts to acquire shares of Series J Preferred Stock in violation of Section 9(b) of these Articles Supplementary, or any Person who is a Purported Beneficial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482600</wp:posOffset>
            </wp:positionV>
            <wp:extent cx="4436110" cy="1524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807">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322580</wp:posOffset>
            </wp:positionV>
            <wp:extent cx="5083810" cy="1524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808">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41" w:name="page442"/>
    <w:bookmarkEnd w:id="441"/>
    <w:p>
      <w:pPr>
        <w:jc w:val="both"/>
        <w:ind w:left="600" w:right="600"/>
        <w:spacing w:after="0" w:line="287" w:lineRule="auto"/>
        <w:rPr>
          <w:sz w:val="20"/>
          <w:szCs w:val="20"/>
          <w:color w:val="auto"/>
        </w:rPr>
      </w:pPr>
      <w:r>
        <w:rPr>
          <w:rFonts w:ascii="Times New Roman" w:cs="Times New Roman" w:eastAsia="Times New Roman" w:hAnsi="Times New Roman"/>
          <w:sz w:val="13"/>
          <w:szCs w:val="13"/>
          <w:color w:val="auto"/>
        </w:rPr>
        <w:t>such that an automatic transfer to a Trust results under Section 9(b)(ii) of these Articles Supplementary, shall immediately give written notice to the Company of such event and shall provide to the Company such other information as the Company may request in order to determine the effect, if any, of such Transfer or attempted Transfer on the Company’s status as a REIT.</w:t>
      </w:r>
    </w:p>
    <w:p>
      <w:pPr>
        <w:spacing w:after="0" w:line="136" w:lineRule="exact"/>
        <w:rPr>
          <w:sz w:val="20"/>
          <w:szCs w:val="20"/>
          <w:color w:val="auto"/>
        </w:rPr>
      </w:pPr>
    </w:p>
    <w:p>
      <w:pPr>
        <w:jc w:val="both"/>
        <w:ind w:left="600" w:right="600" w:firstLine="475"/>
        <w:spacing w:after="0" w:line="281" w:lineRule="auto"/>
        <w:tabs>
          <w:tab w:leader="none" w:pos="1236" w:val="left"/>
        </w:tabs>
        <w:numPr>
          <w:ilvl w:val="0"/>
          <w:numId w:val="4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Owners Required To Provide Information</w:t>
      </w:r>
      <w:r>
        <w:rPr>
          <w:rFonts w:ascii="Times New Roman" w:cs="Times New Roman" w:eastAsia="Times New Roman" w:hAnsi="Times New Roman"/>
          <w:sz w:val="13"/>
          <w:szCs w:val="13"/>
          <w:color w:val="auto"/>
        </w:rPr>
        <w:t>. Prior to the Restriction Termination Date each Person who is a beneficial owner or Beneficial Owner or Constructive Owner of Series J Preferred Stock and each Person (including the stockholder of record) who is holding Series J Preferred Stock for a beneficial owner or Beneficial Owner or Constructive Owner shall provide to the Company such information that the Company may request, in good faith, in order to determine the Company’s status as a REIT.</w:t>
      </w:r>
    </w:p>
    <w:p>
      <w:pPr>
        <w:spacing w:after="0" w:line="140" w:lineRule="exact"/>
        <w:rPr>
          <w:rFonts w:ascii="Times New Roman" w:cs="Times New Roman" w:eastAsia="Times New Roman" w:hAnsi="Times New Roman"/>
          <w:sz w:val="13"/>
          <w:szCs w:val="13"/>
          <w:color w:val="auto"/>
        </w:rPr>
      </w:pPr>
    </w:p>
    <w:p>
      <w:pPr>
        <w:jc w:val="both"/>
        <w:ind w:left="600" w:right="600" w:firstLine="475"/>
        <w:spacing w:after="0" w:line="287" w:lineRule="auto"/>
        <w:tabs>
          <w:tab w:leader="none" w:pos="1272" w:val="left"/>
        </w:tabs>
        <w:numPr>
          <w:ilvl w:val="0"/>
          <w:numId w:val="4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Remedies Not Limited</w:t>
      </w:r>
      <w:r>
        <w:rPr>
          <w:rFonts w:ascii="Times New Roman" w:cs="Times New Roman" w:eastAsia="Times New Roman" w:hAnsi="Times New Roman"/>
          <w:sz w:val="13"/>
          <w:szCs w:val="13"/>
          <w:color w:val="auto"/>
        </w:rPr>
        <w:t>. Nothing contained in these Articles Supplementary (but subject to Section 9(l) of these Articles Supplementary) shall limit the authority of the Board of Directors to take such other action as it deems necessary or advisable to protect the Company and the interests of its stockholders by preservation of the Company’s status as a REIT.</w:t>
      </w:r>
    </w:p>
    <w:p>
      <w:pPr>
        <w:spacing w:after="0" w:line="136" w:lineRule="exact"/>
        <w:rPr>
          <w:sz w:val="20"/>
          <w:szCs w:val="20"/>
          <w:color w:val="auto"/>
        </w:rPr>
      </w:pPr>
    </w:p>
    <w:p>
      <w:pPr>
        <w:jc w:val="both"/>
        <w:ind w:left="600" w:right="600" w:firstLine="480"/>
        <w:spacing w:after="0" w:line="273" w:lineRule="auto"/>
        <w:rPr>
          <w:sz w:val="20"/>
          <w:szCs w:val="20"/>
          <w:color w:val="auto"/>
        </w:rPr>
      </w:pPr>
      <w:r>
        <w:rPr>
          <w:rFonts w:ascii="Times New Roman" w:cs="Times New Roman" w:eastAsia="Times New Roman" w:hAnsi="Times New Roman"/>
          <w:sz w:val="13"/>
          <w:szCs w:val="13"/>
          <w:color w:val="auto"/>
        </w:rPr>
        <w:t xml:space="preserve">(h) </w:t>
      </w:r>
      <w:r>
        <w:rPr>
          <w:rFonts w:ascii="Times New Roman" w:cs="Times New Roman" w:eastAsia="Times New Roman" w:hAnsi="Times New Roman"/>
          <w:sz w:val="13"/>
          <w:szCs w:val="13"/>
          <w:u w:val="single" w:color="auto"/>
          <w:color w:val="auto"/>
        </w:rPr>
        <w:t>Ambiguity</w:t>
      </w:r>
      <w:r>
        <w:rPr>
          <w:rFonts w:ascii="Times New Roman" w:cs="Times New Roman" w:eastAsia="Times New Roman" w:hAnsi="Times New Roman"/>
          <w:sz w:val="13"/>
          <w:szCs w:val="13"/>
          <w:color w:val="auto"/>
        </w:rPr>
        <w:t>. In the case of an ambiguity in the application of any of the provisions of this Section 9 of these Articles Supplementary, including any definition contained in Section 9(a), the Board of Directors shall have the power to determine the application of the provisions of this Section 9 with respect to any situation based on the facts known to it (subject, however, to the provisions of Section 9(l) of these Articles Supplementary). In the event Section 9 requires an action by the Board of Directors and these Articles Supplementary fail to provide specific guidance with respect to such action, the Board of Directors shall have the power to determine the action to be taken so long as such action is not contrary to the provisions of Section 9. Absent a decision to the contrary by the Board of Directors (which the Board of Directors may make in its sole and absolute discretion), if a Person would have (but for the remedies set forth in Section 9(b)) acquired Beneficial or Constructive Ownership of Series J Preferred Stock in violation of Section 9(b)(i), such remedies (as applicable) shall apply first to the shares of Series J Preferred Stock which, but for such remedies, would have been actually owned by such Person, and second to shares of Series J Preferred Stock, which, but for such remedies, would have been Beneficially Owned or Constructively Owned (but not actually owned) by such Person, pro rata among the Persons who actually own such shares of Series J Preferred Stock based upon the relative number of the shares of Series J Preferred Stock held by each such Person.</w:t>
      </w:r>
    </w:p>
    <w:p>
      <w:pPr>
        <w:spacing w:after="0" w:line="132" w:lineRule="exact"/>
        <w:rPr>
          <w:sz w:val="20"/>
          <w:szCs w:val="20"/>
          <w:color w:val="auto"/>
        </w:rPr>
      </w:pPr>
    </w:p>
    <w:p>
      <w:pPr>
        <w:ind w:left="1220" w:hanging="133"/>
        <w:spacing w:after="0"/>
        <w:tabs>
          <w:tab w:leader="none" w:pos="1220" w:val="left"/>
        </w:tabs>
        <w:numPr>
          <w:ilvl w:val="0"/>
          <w:numId w:val="4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Exceptions</w:t>
      </w:r>
      <w:r>
        <w:rPr>
          <w:rFonts w:ascii="Times New Roman" w:cs="Times New Roman" w:eastAsia="Times New Roman" w:hAnsi="Times New Roman"/>
          <w:sz w:val="13"/>
          <w:szCs w:val="13"/>
          <w:color w:val="auto"/>
        </w:rPr>
        <w:t>.</w:t>
      </w:r>
    </w:p>
    <w:p>
      <w:pPr>
        <w:spacing w:after="0" w:line="187" w:lineRule="exact"/>
        <w:rPr>
          <w:sz w:val="20"/>
          <w:szCs w:val="20"/>
          <w:color w:val="auto"/>
        </w:rPr>
      </w:pPr>
    </w:p>
    <w:p>
      <w:pPr>
        <w:jc w:val="both"/>
        <w:ind w:left="600" w:right="620" w:firstLine="1272"/>
        <w:spacing w:after="0" w:line="281" w:lineRule="auto"/>
        <w:rPr>
          <w:sz w:val="20"/>
          <w:szCs w:val="20"/>
          <w:color w:val="auto"/>
        </w:rPr>
      </w:pPr>
      <w:r>
        <w:rPr>
          <w:rFonts w:ascii="Times New Roman" w:cs="Times New Roman" w:eastAsia="Times New Roman" w:hAnsi="Times New Roman"/>
          <w:sz w:val="13"/>
          <w:szCs w:val="13"/>
          <w:color w:val="auto"/>
        </w:rPr>
        <w:t>(i)Subject to Section 9(b)(i)(C), the Board of Directors, in its sole discretion, may exempt (prospectively or retroactively) a Person from the limitation on a Person Beneficially Owning shares of Series J Preferred Stock in violation of Section 9(b)(i)(A) if the Board of Directors determines that such exemption will not cause any Individual’s Beneficial Ownership of shares of Capital Stock to violate the Aggregate Stock Ownership Limit and that such exemption will not cause the Company to fail to qualify as a REIT under the Code.</w:t>
      </w:r>
    </w:p>
    <w:p>
      <w:pPr>
        <w:spacing w:after="0" w:line="140" w:lineRule="exact"/>
        <w:rPr>
          <w:sz w:val="20"/>
          <w:szCs w:val="20"/>
          <w:color w:val="auto"/>
        </w:rPr>
      </w:pPr>
    </w:p>
    <w:p>
      <w:pPr>
        <w:jc w:val="both"/>
        <w:ind w:left="600" w:right="580" w:firstLine="1267"/>
        <w:spacing w:after="0" w:line="287" w:lineRule="auto"/>
        <w:tabs>
          <w:tab w:leader="none" w:pos="2064" w:val="left"/>
        </w:tabs>
        <w:numPr>
          <w:ilvl w:val="0"/>
          <w:numId w:val="4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Section 9(b)(i)(C), the Board of Directors in its sole discretion, may exempt (prospectively or retroactively) a Person from the limitation on a Person Constructively Owning shares of Series J Preferred Stock in violation of Section 9(b)(i)(B), if the Board of Directors determines that such ownership would not cause the Company to fail to qualify as a REIT under the Code.</w:t>
      </w:r>
    </w:p>
    <w:p>
      <w:pPr>
        <w:spacing w:after="0" w:line="136" w:lineRule="exact"/>
        <w:rPr>
          <w:sz w:val="20"/>
          <w:szCs w:val="20"/>
          <w:color w:val="auto"/>
        </w:rPr>
      </w:pPr>
    </w:p>
    <w:p>
      <w:pPr>
        <w:jc w:val="both"/>
        <w:ind w:left="600" w:right="600" w:firstLine="1212"/>
        <w:spacing w:after="0" w:line="276" w:lineRule="auto"/>
        <w:rPr>
          <w:sz w:val="20"/>
          <w:szCs w:val="20"/>
          <w:color w:val="auto"/>
        </w:rPr>
      </w:pPr>
      <w:r>
        <w:rPr>
          <w:rFonts w:ascii="Times New Roman" w:cs="Times New Roman" w:eastAsia="Times New Roman" w:hAnsi="Times New Roman"/>
          <w:sz w:val="13"/>
          <w:szCs w:val="13"/>
          <w:color w:val="auto"/>
        </w:rPr>
        <w:t xml:space="preserve">(iii)Subject to Section 9(b)(i)(C) and the remainder of this Section 9(i)(iii), the Board of Directors may from time to time increase or decrease the Ownership Limit;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the decreased Ownership Limit will not be effective for any Person whose percentage ownership of Series J Preferred Stock is in excess of such decreased Ownership Limit until such time as such Person's percentage of Series J Preferred Stock equals or falls below the decreased Ownership Limit, but any further acquisition of Series J Preferred Stock in excess of such percentage ownership of Series J Preferred Stock will be in violation of the Ownership Limit, and, provided further, that the new Ownership Limit would not allow five or fewer Persons to Beneficially Own more than 49% in value of the outstanding capital stock of the Company.</w:t>
      </w:r>
    </w:p>
    <w:p>
      <w:pPr>
        <w:spacing w:after="0" w:line="145" w:lineRule="exact"/>
        <w:rPr>
          <w:sz w:val="20"/>
          <w:szCs w:val="20"/>
          <w:color w:val="auto"/>
        </w:rPr>
      </w:pPr>
    </w:p>
    <w:p>
      <w:pPr>
        <w:jc w:val="both"/>
        <w:ind w:left="600" w:right="600" w:firstLine="1212"/>
        <w:spacing w:after="0" w:line="271" w:lineRule="auto"/>
        <w:rPr>
          <w:sz w:val="20"/>
          <w:szCs w:val="20"/>
          <w:color w:val="auto"/>
        </w:rPr>
      </w:pPr>
      <w:r>
        <w:rPr>
          <w:rFonts w:ascii="Times New Roman" w:cs="Times New Roman" w:eastAsia="Times New Roman" w:hAnsi="Times New Roman"/>
          <w:sz w:val="13"/>
          <w:szCs w:val="13"/>
          <w:color w:val="auto"/>
        </w:rPr>
        <w:t>(iv)In granting a Person an exemption under Section 9(i)(i) or (ii) above, the Board of Directors may require such Person to make certain representations or undertakings or to agree that any violation or attempted violation of such representations or undertakings (or other action which is contrary to the restrictions contained in Section 9(b) of these Articles Supplementary) will result in such Series J Preferred Stock being transferred to a Trust in accordance with Section 9(b)(ii) of these Articles Supplementary. In granting any exception pursuant to Section 9(i)</w:t>
      </w:r>
    </w:p>
    <w:p>
      <w:pPr>
        <w:spacing w:after="0" w:line="1" w:lineRule="exact"/>
        <w:rPr>
          <w:sz w:val="20"/>
          <w:szCs w:val="20"/>
          <w:color w:val="auto"/>
        </w:rPr>
      </w:pPr>
    </w:p>
    <w:p>
      <w:pPr>
        <w:jc w:val="both"/>
        <w:ind w:left="600" w:right="600" w:hanging="6"/>
        <w:spacing w:after="0" w:line="284" w:lineRule="auto"/>
        <w:tabs>
          <w:tab w:leader="none" w:pos="767" w:val="left"/>
        </w:tabs>
        <w:numPr>
          <w:ilvl w:val="0"/>
          <w:numId w:val="4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or (ii) of these Articles Supplementary, the Board of Directors may require a ruling from the IRS, or an opinion of counsel, in either case in form and substance satisfactory to the Board of Directors in its sole discretion, as it may deem necessary or advisable in order to determine or ensure the Company's status as a REIT.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689610</wp:posOffset>
            </wp:positionV>
            <wp:extent cx="4436110" cy="1524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809">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331470</wp:posOffset>
            </wp:positionV>
            <wp:extent cx="5083810" cy="1524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810">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42" w:name="page443"/>
    <w:bookmarkEnd w:id="4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1215390</wp:posOffset>
            </wp:positionH>
            <wp:positionV relativeFrom="page">
              <wp:posOffset>681990</wp:posOffset>
            </wp:positionV>
            <wp:extent cx="5083810" cy="1524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811">
                      <a:extLst>
                        <a:ext uri="{28A0092B-C50C-407E-A947-70E740481C1C}"/>
                      </a:extLst>
                    </a:blip>
                    <a:srcRect/>
                    <a:stretch>
                      <a:fillRect/>
                    </a:stretch>
                  </pic:blipFill>
                  <pic:spPr bwMode="auto">
                    <a:xfrm>
                      <a:off x="0" y="0"/>
                      <a:ext cx="5083810" cy="15240"/>
                    </a:xfrm>
                    <a:prstGeom prst="rect">
                      <a:avLst/>
                    </a:prstGeom>
                    <a:noFill/>
                  </pic:spPr>
                </pic:pic>
              </a:graphicData>
            </a:graphic>
          </wp:anchor>
        </w:drawing>
        <w:drawing>
          <wp:anchor simplePos="0" relativeHeight="251657728" behindDoc="1" locked="0" layoutInCell="0" allowOverlap="1">
            <wp:simplePos x="0" y="0"/>
            <wp:positionH relativeFrom="page">
              <wp:posOffset>1291590</wp:posOffset>
            </wp:positionH>
            <wp:positionV relativeFrom="page">
              <wp:posOffset>361950</wp:posOffset>
            </wp:positionV>
            <wp:extent cx="4436110" cy="1524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812">
                      <a:extLst>
                        <a:ext uri="{28A0092B-C50C-407E-A947-70E740481C1C}"/>
                      </a:extLst>
                    </a:blip>
                    <a:srcRect/>
                    <a:stretch>
                      <a:fillRect/>
                    </a:stretch>
                  </pic:blipFill>
                  <pic:spPr bwMode="auto">
                    <a:xfrm>
                      <a:off x="0" y="0"/>
                      <a:ext cx="4436110" cy="1524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443" w:name="page444"/>
    <w:bookmarkEnd w:id="443"/>
    <w:p>
      <w:pPr>
        <w:ind w:left="600" w:right="620" w:firstLine="475"/>
        <w:spacing w:after="0" w:line="305" w:lineRule="auto"/>
        <w:tabs>
          <w:tab w:leader="none" w:pos="1212" w:val="left"/>
        </w:tabs>
        <w:numPr>
          <w:ilvl w:val="0"/>
          <w:numId w:val="4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Legends</w:t>
      </w:r>
      <w:r>
        <w:rPr>
          <w:rFonts w:ascii="Times New Roman" w:cs="Times New Roman" w:eastAsia="Times New Roman" w:hAnsi="Times New Roman"/>
          <w:sz w:val="13"/>
          <w:szCs w:val="13"/>
          <w:color w:val="auto"/>
        </w:rPr>
        <w:t>. Each certificate for Series J Preferred Stock shall bear substantially the following legends in addition to any legends required to comply with federal and state securities laws:</w:t>
      </w:r>
    </w:p>
    <w:p>
      <w:pPr>
        <w:spacing w:after="0" w:line="12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3"/>
          <w:szCs w:val="13"/>
          <w:b w:val="1"/>
          <w:bCs w:val="1"/>
          <w:color w:val="auto"/>
        </w:rPr>
        <w:t>Classes of Stock</w:t>
      </w:r>
    </w:p>
    <w:p>
      <w:pPr>
        <w:spacing w:after="0" w:line="189" w:lineRule="exact"/>
        <w:rPr>
          <w:sz w:val="20"/>
          <w:szCs w:val="20"/>
          <w:color w:val="auto"/>
        </w:rPr>
      </w:pPr>
    </w:p>
    <w:p>
      <w:pPr>
        <w:ind w:left="1200" w:right="580"/>
        <w:spacing w:after="0" w:line="272" w:lineRule="auto"/>
        <w:rPr>
          <w:sz w:val="20"/>
          <w:szCs w:val="20"/>
          <w:color w:val="auto"/>
        </w:rPr>
      </w:pPr>
      <w:r>
        <w:rPr>
          <w:rFonts w:ascii="Times New Roman" w:cs="Times New Roman" w:eastAsia="Times New Roman" w:hAnsi="Times New Roman"/>
          <w:sz w:val="13"/>
          <w:szCs w:val="13"/>
          <w:color w:val="auto"/>
        </w:rPr>
        <w:t>“THE COMPANY IS AUTHORIZED TO ISSUE CAPITAL STOCK OF MORE THAN ONE CLASS, CONSISTING OF COMMON STOCK AND ONE OR MORE CLASSES OF PREFERRED STOCK. THE BOARD OF DIRECTORS IS AUTHORIZED TO DETERMINE THE PREFERENCES, LIMITATIONS AND RELATIVE RIGHTS OF ANY CLASS OF THE PREFERRED STOCK BEFORE THE ISSUANCE OF SHARES OF SUCH CLASS OF PREFERRED STOCK. THE COMPANY WILL FURNISH, WITHOUT CHARGE, TO ANY STOCKHOLDER MAKING A WRITTEN REQUEST THEREFOR, A COPY OF THE COMPANY’S CHARTER AND A WRITTEN STATEMENT OF THE DESIGNATIONS, RELATIVE RIGHTS, PREFERENCES, CONVERSION OR OTHER RIGHTS, VOTING POWERS, RESTRICTIONS, LIMITATIONS AS TO DIVIDENDS AND OTHER DISTRIBUTIONS, QUALIFICATIONS AND TERMS AND CONDITIONS OF REDEMPTION OF THE STOCK OF EACH CLASS WHICH THE COMPANY HAS THE AUTHORITY TO ISSUE AND, IF THE COMPANY IS AUTHORIZED TO ISSUE ANY PREFERRED OR SPECIAL CLASS IN SERIES, (i) THE DIFFERENCES IN THE RELATIVE RIGHTS AND PREFERENCES BETWEEN THE SHARES OF EACH SERIES TO THE EXTENT SET, AND (ii) THE AUTHORITY OF THE BOARD OF DIRECTORS TO SET SUCH RIGHTS AND PREFERENCES OF SUBSEQUENT SERIES. REQUESTS FOR SUCH WRITTEN STATEMENT MAY BE DIRECTED TO THE SECRETARY OF THE COMPANY AT ITS PRINCIPAL OFFICE.”</w:t>
      </w:r>
    </w:p>
    <w:p>
      <w:pPr>
        <w:spacing w:after="0" w:line="13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3"/>
          <w:szCs w:val="13"/>
          <w:b w:val="1"/>
          <w:bCs w:val="1"/>
          <w:color w:val="auto"/>
        </w:rPr>
        <w:t>Restriction on Ownership and Transfer</w:t>
      </w:r>
    </w:p>
    <w:p>
      <w:pPr>
        <w:spacing w:after="0" w:line="189" w:lineRule="exact"/>
        <w:rPr>
          <w:sz w:val="20"/>
          <w:szCs w:val="20"/>
          <w:color w:val="auto"/>
        </w:rPr>
      </w:pPr>
    </w:p>
    <w:p>
      <w:pPr>
        <w:ind w:left="1200" w:right="600"/>
        <w:spacing w:after="0" w:line="271" w:lineRule="auto"/>
        <w:rPr>
          <w:sz w:val="20"/>
          <w:szCs w:val="20"/>
          <w:color w:val="auto"/>
        </w:rPr>
      </w:pPr>
      <w:r>
        <w:rPr>
          <w:rFonts w:ascii="Times New Roman" w:cs="Times New Roman" w:eastAsia="Times New Roman" w:hAnsi="Times New Roman"/>
          <w:sz w:val="13"/>
          <w:szCs w:val="13"/>
          <w:color w:val="auto"/>
        </w:rPr>
        <w:t xml:space="preserve">“THE SHARES OF THE COMPANY’S 5.250% SERIES J CUMULATIVE REDEEMABLE PREFERRED STOCK (“SERIES J PREFERRED STOCK”) REPRESENTED BY THIS CERTIFICATE ARE SUBJECT TO RESTRICTIONS ON BENEFICIAL AND CONSTRUCTIVE OWNERSHIP AND TRANSFER FOR THE PURPOSE OF THE COMPANY’S MAINTENANCE OF ITS STATUS AS A REAL ESTATE INVESTMENT TRUST UNDER THE INTERNAL REVENUE CODE OF 1986, AS AMENDED (THE “CODE”). SUBJECT TO CERTAIN FURTHER RESTRICTIONS AND EXCEPT AS EXPRESSLY PROVIDED IN THE ARTICLES SUPPLEMENTARY FOR THE SERIES J PREFERRED STOCK, (i) NO PERSON MAY BENEFICIALLY OR CONSTRUCTIVELY OWN SHARES OF SERIES J PREFERRED STOCK IN EXCESS OF 9.8% (BY VALUE OR BY NUMBER OF SHARES, WHICHEVER IS MORE RESTRICTIVE) OF THE OUTSTANDING SERIES J PREFERRED STOCK OF THE COMPANY; (ii) NO PERSON MAY BENEFICIALLY OR CONSTRUCTIVELY OWN SHARES OF SERIES J PREFERRED STOCK THAT, TAKING INTO ACCOUNT ANY OTHER CAPITAL STOCK OF THE COMPANY BENEFICIALLY OR CONSTRUCTIVELY OWNED BY SUCH PERSON, WOULD RESULT IN SUCH PERSON BENEFICIALLY OR CONSTRUCTIVELY OWNING CAPITAL STOCK WITH A VALUE IN EXCESS OF 9.8% OF THE VALUE OF THE COMPANY’S OUTSTANDING CAPITAL STOCK; (iii) NO PERSON MAY BENEFICIALLY OR CONSTRUCTIVELY OWN SHARES OF SERIES J PREFERRED STOCK THAT, TAKING INTO ACCOUNT ANY OTHER CAPITAL STOCK OF THE COMPANY BENEFICIALLY OR CONSTRUCTIVELY OWNED BY SUCH PERSON, WOULD RESULT IN THE COMPANY BEING “CLOSELY HELD” UNDER SECTION 856(h) OF THE CODE OR OTHERWISE CAUSE THE COMPANY TO FAIL TO QUALIFY AS A REIT; AND (iv) ANY TRANSFER OF SHARES OF SERIES J PREFERRED STOCK THAT, IF EFFECTIVE, WOULD RESULT IN THE CAPITAL STOCK OF THE COMPANY BEING BENEFICIALLY OWNED BY FEWER THAN 100 PERSONS WILL BE VOID </w:t>
      </w:r>
      <w:r>
        <w:rPr>
          <w:rFonts w:ascii="Times New Roman" w:cs="Times New Roman" w:eastAsia="Times New Roman" w:hAnsi="Times New Roman"/>
          <w:sz w:val="13"/>
          <w:szCs w:val="13"/>
          <w:i w:val="1"/>
          <w:iCs w:val="1"/>
          <w:color w:val="auto"/>
        </w:rPr>
        <w:t>AB INITIO</w:t>
      </w:r>
      <w:r>
        <w:rPr>
          <w:rFonts w:ascii="Times New Roman" w:cs="Times New Roman" w:eastAsia="Times New Roman" w:hAnsi="Times New Roman"/>
          <w:sz w:val="13"/>
          <w:szCs w:val="13"/>
          <w:color w:val="auto"/>
        </w:rPr>
        <w:t xml:space="preserve"> AND THE INTENDED TRANSFEREE WILL ACQUIRE NO RIGHTS IN SUCH SHARES OF SERIES J PREFERRED STOCK. ANY PERSON WHO BENEFICIALLY OR CONSTRUCTIVELY OWNS OR ATTEMPTS TO BENEFICIALLY OR CONSTRUCTIVELY OWN SERIES J PREFERRED STOCK WHICH CAUSES OR WILL CAUSE A PERSON TO BENEFICIALLY OR CONSTRUCTIVELY OWN SERIES J PREFERRED STOCK IN EXCESS OF THE ABOVE LIMITATIONS MUST IMMEDIATELY NOTIFY THE COMPANY. IF ANY OF THE RESTRICTIONS ON TRANSFER OR OWNERSHIP IN (i) THROUGH (iii) ABOVE ARE VIOLATED, THE SERIES J PREFERRED STOCK REPRESENTED HEREBY IN EXCESS OF SUCH RESTRICTIONS WILL BE AUTOMATICALLY TRANSFERRED TO THE TRUSTEE OF A TRUST FOR THE BENEFIT OF ONE OR MORE CHARITABLE BENEFICIARIES. IN ADDITION, THE COMPANY MAY REDEEM SHARES UPON THE TERMS AND CONDITIONS SPECIFIED BY THE BOARD OF DIRECTORS IN ITS SOLE DISCRETION IF THE BOARD OF DIRECTORS DETERMINES THAT OWNERSHIP OR A TRANSFER OR OTHER EVENT MAY VIOLATE THE RESTRICTIONS DESCRIBED ABOVE. FURTHERMORE, UPON THE OCCURRENCE OF CERTAIN EVENTS, ATTEMPTED TRANSFERS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214630</wp:posOffset>
            </wp:positionV>
            <wp:extent cx="4436110" cy="762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813">
                      <a:extLst>
                        <a:ext uri="{28A0092B-C50C-407E-A947-70E740481C1C}"/>
                      </a:extLst>
                    </a:blip>
                    <a:srcRect/>
                    <a:stretch>
                      <a:fillRect/>
                    </a:stretch>
                  </pic:blipFill>
                  <pic:spPr bwMode="auto">
                    <a:xfrm>
                      <a:off x="0" y="0"/>
                      <a:ext cx="4436110"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641350</wp:posOffset>
            </wp:positionV>
            <wp:extent cx="5083810" cy="1524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814">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44" w:name="page445"/>
    <w:bookmarkEnd w:id="444"/>
    <w:p>
      <w:pPr>
        <w:jc w:val="both"/>
        <w:ind w:left="1200" w:right="600"/>
        <w:spacing w:after="0" w:line="277" w:lineRule="auto"/>
        <w:rPr>
          <w:sz w:val="20"/>
          <w:szCs w:val="20"/>
          <w:color w:val="auto"/>
        </w:rPr>
      </w:pPr>
      <w:r>
        <w:rPr>
          <w:rFonts w:ascii="Times New Roman" w:cs="Times New Roman" w:eastAsia="Times New Roman" w:hAnsi="Times New Roman"/>
          <w:sz w:val="13"/>
          <w:szCs w:val="13"/>
          <w:color w:val="auto"/>
        </w:rPr>
        <w:t xml:space="preserve">IN VIOLATION OF THE RESTRICTIONS DESCRIBED ABOVE MAY BE VOID </w:t>
      </w:r>
      <w:r>
        <w:rPr>
          <w:rFonts w:ascii="Times New Roman" w:cs="Times New Roman" w:eastAsia="Times New Roman" w:hAnsi="Times New Roman"/>
          <w:sz w:val="13"/>
          <w:szCs w:val="13"/>
          <w:i w:val="1"/>
          <w:iCs w:val="1"/>
          <w:color w:val="auto"/>
        </w:rPr>
        <w:t>AB INITIO</w:t>
      </w:r>
      <w:r>
        <w:rPr>
          <w:rFonts w:ascii="Times New Roman" w:cs="Times New Roman" w:eastAsia="Times New Roman" w:hAnsi="Times New Roman"/>
          <w:sz w:val="13"/>
          <w:szCs w:val="13"/>
          <w:color w:val="auto"/>
        </w:rPr>
        <w:t>. ALL TERMS IN THIS LEGEND WHICH ARE DEFINED IN THE ARTICLES SUPPLEMENTARY FOR THE SERIES J PREFERRED STOCK SHALL HAVE THE MEANINGS ASCRIBED TO THEM IN SUCH ARTICLES SUPPLEMENTARY, AS THE SAME MAY BE AMENDED FROM TIME TO TIME, A COPY OF WHICH, INCLUDING THE RESTRICTIONS ON TRANSFER AND OWNERSHIP, WILL BE FURNISHED TO EACH HOLDER OF SERIES J PREFERRED STOCK ON REQUEST AND WITHOUT CHARGE. REQUESTS FOR SUCH A COPY MAY BE DIRECTED TO THE SECRETARY OF THE COMPANY AT ITS PRINCIPAL OFFICE.”</w:t>
      </w:r>
    </w:p>
    <w:p>
      <w:pPr>
        <w:spacing w:after="0" w:line="143" w:lineRule="exact"/>
        <w:rPr>
          <w:sz w:val="20"/>
          <w:szCs w:val="20"/>
          <w:color w:val="auto"/>
        </w:rPr>
      </w:pPr>
    </w:p>
    <w:p>
      <w:pPr>
        <w:ind w:left="1080" w:right="620" w:hanging="486"/>
        <w:spacing w:after="0" w:line="287" w:lineRule="auto"/>
        <w:tabs>
          <w:tab w:leader="none" w:pos="780" w:val="left"/>
        </w:tabs>
        <w:numPr>
          <w:ilvl w:val="0"/>
          <w:numId w:val="4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Severability</w:t>
      </w:r>
      <w:r>
        <w:rPr>
          <w:rFonts w:ascii="Times New Roman" w:cs="Times New Roman" w:eastAsia="Times New Roman" w:hAnsi="Times New Roman"/>
          <w:sz w:val="13"/>
          <w:szCs w:val="13"/>
          <w:color w:val="auto"/>
        </w:rPr>
        <w:t>. If any provision of this Section 9 or any application of any such provision is determined to be invalid by any federal or state court having jurisdiction over the issues, the validity of the remaining provisions shall not be affected and other applications of such provision shall be affected only to the extent necessary to comply with the determination of such court.</w:t>
      </w:r>
    </w:p>
    <w:p>
      <w:pPr>
        <w:spacing w:after="0" w:line="136" w:lineRule="exact"/>
        <w:rPr>
          <w:sz w:val="20"/>
          <w:szCs w:val="20"/>
          <w:color w:val="auto"/>
        </w:rPr>
      </w:pPr>
    </w:p>
    <w:p>
      <w:pPr>
        <w:jc w:val="both"/>
        <w:ind w:left="600" w:right="620" w:firstLine="480"/>
        <w:spacing w:after="0" w:line="287" w:lineRule="auto"/>
        <w:rPr>
          <w:sz w:val="20"/>
          <w:szCs w:val="20"/>
          <w:color w:val="auto"/>
        </w:rPr>
      </w:pPr>
      <w:r>
        <w:rPr>
          <w:rFonts w:ascii="Times New Roman" w:cs="Times New Roman" w:eastAsia="Times New Roman" w:hAnsi="Times New Roman"/>
          <w:sz w:val="13"/>
          <w:szCs w:val="13"/>
          <w:color w:val="auto"/>
        </w:rPr>
        <w:t>(l)</w:t>
      </w:r>
      <w:r>
        <w:rPr>
          <w:rFonts w:ascii="Times New Roman" w:cs="Times New Roman" w:eastAsia="Times New Roman" w:hAnsi="Times New Roman"/>
          <w:sz w:val="13"/>
          <w:szCs w:val="13"/>
          <w:u w:val="single" w:color="auto"/>
          <w:color w:val="auto"/>
        </w:rPr>
        <w:t>NYSE</w:t>
      </w:r>
      <w:r>
        <w:rPr>
          <w:rFonts w:ascii="Times New Roman" w:cs="Times New Roman" w:eastAsia="Times New Roman" w:hAnsi="Times New Roman"/>
          <w:sz w:val="13"/>
          <w:szCs w:val="13"/>
          <w:color w:val="auto"/>
        </w:rPr>
        <w:t>. Nothing in this Section 9 shall preclude the settlement of any transaction entered into through the facilities of the NYSE. The shares of Series J Preferred Stock that are the subject of such transaction shall continue to be subject to the provisions of this Section 9 after such settlement.</w:t>
      </w:r>
    </w:p>
    <w:p>
      <w:pPr>
        <w:spacing w:after="0" w:line="136" w:lineRule="exact"/>
        <w:rPr>
          <w:sz w:val="20"/>
          <w:szCs w:val="20"/>
          <w:color w:val="auto"/>
        </w:rPr>
      </w:pPr>
    </w:p>
    <w:p>
      <w:pPr>
        <w:ind w:left="600" w:right="620" w:firstLine="475"/>
        <w:spacing w:after="0" w:line="305" w:lineRule="auto"/>
        <w:tabs>
          <w:tab w:leader="none" w:pos="1296" w:val="left"/>
        </w:tabs>
        <w:numPr>
          <w:ilvl w:val="0"/>
          <w:numId w:val="4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Applicability of Section 9</w:t>
      </w:r>
      <w:r>
        <w:rPr>
          <w:rFonts w:ascii="Times New Roman" w:cs="Times New Roman" w:eastAsia="Times New Roman" w:hAnsi="Times New Roman"/>
          <w:sz w:val="13"/>
          <w:szCs w:val="13"/>
          <w:color w:val="auto"/>
        </w:rPr>
        <w:t xml:space="preserve"> . The provisions set forth in this Section 9 shall apply to the Series J Preferred Stock notwithstanding any contrary provisions of the Series J Preferred Stock provided for elsewhere in these Articles Supplementary.</w:t>
      </w:r>
    </w:p>
    <w:p>
      <w:pPr>
        <w:spacing w:after="0" w:line="124" w:lineRule="exact"/>
        <w:rPr>
          <w:sz w:val="20"/>
          <w:szCs w:val="20"/>
          <w:color w:val="auto"/>
        </w:rPr>
      </w:pPr>
    </w:p>
    <w:p>
      <w:pPr>
        <w:jc w:val="both"/>
        <w:ind w:left="600" w:right="620" w:firstLine="480"/>
        <w:spacing w:after="0" w:line="305" w:lineRule="auto"/>
        <w:rPr>
          <w:sz w:val="20"/>
          <w:szCs w:val="20"/>
          <w:color w:val="auto"/>
        </w:rPr>
      </w:pPr>
      <w:r>
        <w:rPr>
          <w:rFonts w:ascii="Times New Roman" w:cs="Times New Roman" w:eastAsia="Times New Roman" w:hAnsi="Times New Roman"/>
          <w:sz w:val="13"/>
          <w:szCs w:val="13"/>
          <w:color w:val="auto"/>
        </w:rPr>
        <w:t xml:space="preserve">Section 10. </w:t>
      </w:r>
      <w:r>
        <w:rPr>
          <w:rFonts w:ascii="Times New Roman" w:cs="Times New Roman" w:eastAsia="Times New Roman" w:hAnsi="Times New Roman"/>
          <w:sz w:val="13"/>
          <w:szCs w:val="13"/>
          <w:u w:val="single" w:color="auto"/>
          <w:color w:val="auto"/>
        </w:rPr>
        <w:t>No Conversion Rights</w:t>
      </w:r>
      <w:r>
        <w:rPr>
          <w:rFonts w:ascii="Times New Roman" w:cs="Times New Roman" w:eastAsia="Times New Roman" w:hAnsi="Times New Roman"/>
          <w:sz w:val="13"/>
          <w:szCs w:val="13"/>
          <w:color w:val="auto"/>
        </w:rPr>
        <w:t>. The shares of Series J Preferred Stock shall not be convertible into or exchangeable for any other property or securities of the Company or any other entity, except as otherwise provided herein.</w:t>
      </w:r>
    </w:p>
    <w:p>
      <w:pPr>
        <w:spacing w:after="0" w:line="124" w:lineRule="exact"/>
        <w:rPr>
          <w:sz w:val="20"/>
          <w:szCs w:val="20"/>
          <w:color w:val="auto"/>
        </w:rPr>
      </w:pPr>
    </w:p>
    <w:p>
      <w:pPr>
        <w:jc w:val="both"/>
        <w:ind w:left="600" w:right="600" w:firstLine="480"/>
        <w:spacing w:after="0" w:line="305" w:lineRule="auto"/>
        <w:rPr>
          <w:sz w:val="20"/>
          <w:szCs w:val="20"/>
          <w:color w:val="auto"/>
        </w:rPr>
      </w:pPr>
      <w:r>
        <w:rPr>
          <w:rFonts w:ascii="Times New Roman" w:cs="Times New Roman" w:eastAsia="Times New Roman" w:hAnsi="Times New Roman"/>
          <w:sz w:val="13"/>
          <w:szCs w:val="13"/>
          <w:color w:val="auto"/>
        </w:rPr>
        <w:t xml:space="preserve">Section 11. </w:t>
      </w:r>
      <w:r>
        <w:rPr>
          <w:rFonts w:ascii="Times New Roman" w:cs="Times New Roman" w:eastAsia="Times New Roman" w:hAnsi="Times New Roman"/>
          <w:sz w:val="13"/>
          <w:szCs w:val="13"/>
          <w:u w:val="single" w:color="auto"/>
          <w:color w:val="auto"/>
        </w:rPr>
        <w:t>Record Holders</w:t>
      </w:r>
      <w:r>
        <w:rPr>
          <w:rFonts w:ascii="Times New Roman" w:cs="Times New Roman" w:eastAsia="Times New Roman" w:hAnsi="Times New Roman"/>
          <w:sz w:val="13"/>
          <w:szCs w:val="13"/>
          <w:color w:val="auto"/>
        </w:rPr>
        <w:t>. The Company and its transfer agent may deem and treat the record holder of any Series J Preferred Stock as the true and lawful owner thereof for all purposes, and neither the Company nor its transfer agent shall be affected by any notice to the contrary.</w:t>
      </w:r>
    </w:p>
    <w:p>
      <w:pPr>
        <w:spacing w:after="0" w:line="124" w:lineRule="exact"/>
        <w:rPr>
          <w:sz w:val="20"/>
          <w:szCs w:val="20"/>
          <w:color w:val="auto"/>
        </w:rPr>
      </w:pPr>
    </w:p>
    <w:p>
      <w:pPr>
        <w:jc w:val="both"/>
        <w:ind w:left="600" w:right="600" w:firstLine="480"/>
        <w:spacing w:after="0" w:line="286" w:lineRule="auto"/>
        <w:rPr>
          <w:sz w:val="20"/>
          <w:szCs w:val="20"/>
          <w:color w:val="auto"/>
        </w:rPr>
      </w:pPr>
      <w:r>
        <w:rPr>
          <w:rFonts w:ascii="Times New Roman" w:cs="Times New Roman" w:eastAsia="Times New Roman" w:hAnsi="Times New Roman"/>
          <w:sz w:val="13"/>
          <w:szCs w:val="13"/>
          <w:color w:val="auto"/>
        </w:rPr>
        <w:t xml:space="preserve">Section 12. </w:t>
      </w:r>
      <w:r>
        <w:rPr>
          <w:rFonts w:ascii="Times New Roman" w:cs="Times New Roman" w:eastAsia="Times New Roman" w:hAnsi="Times New Roman"/>
          <w:sz w:val="13"/>
          <w:szCs w:val="13"/>
          <w:u w:val="single" w:color="auto"/>
          <w:color w:val="auto"/>
        </w:rPr>
        <w:t>No Maturity or Sinking Fund</w:t>
      </w:r>
      <w:r>
        <w:rPr>
          <w:rFonts w:ascii="Times New Roman" w:cs="Times New Roman" w:eastAsia="Times New Roman" w:hAnsi="Times New Roman"/>
          <w:sz w:val="13"/>
          <w:szCs w:val="13"/>
          <w:color w:val="auto"/>
        </w:rPr>
        <w:t xml:space="preserve">. The Series J Preferred Stock has no maturity date, and no sinking fund has been established for the retirement or redemption of Series J Preferred Stock;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the Series J Preferred Stock owned by a stockholder in excess of the Ownership Limit or Aggregate Stock Ownership Limit shall be subject to the provisions of Section 5 and Section 9 of these Articles Supplementary.</w:t>
      </w:r>
    </w:p>
    <w:p>
      <w:pPr>
        <w:spacing w:after="0" w:line="306" w:lineRule="exact"/>
        <w:rPr>
          <w:sz w:val="20"/>
          <w:szCs w:val="20"/>
          <w:color w:val="auto"/>
        </w:rPr>
      </w:pPr>
    </w:p>
    <w:p>
      <w:pPr>
        <w:jc w:val="both"/>
        <w:ind w:left="600" w:right="600" w:firstLine="480"/>
        <w:spacing w:after="0" w:line="287" w:lineRule="auto"/>
        <w:rPr>
          <w:sz w:val="20"/>
          <w:szCs w:val="20"/>
          <w:color w:val="auto"/>
        </w:rPr>
      </w:pPr>
      <w:r>
        <w:rPr>
          <w:rFonts w:ascii="Times New Roman" w:cs="Times New Roman" w:eastAsia="Times New Roman" w:hAnsi="Times New Roman"/>
          <w:sz w:val="13"/>
          <w:szCs w:val="13"/>
          <w:color w:val="auto"/>
        </w:rPr>
        <w:t xml:space="preserve">Section 13. </w:t>
      </w:r>
      <w:r>
        <w:rPr>
          <w:rFonts w:ascii="Times New Roman" w:cs="Times New Roman" w:eastAsia="Times New Roman" w:hAnsi="Times New Roman"/>
          <w:sz w:val="13"/>
          <w:szCs w:val="13"/>
          <w:u w:val="single" w:color="auto"/>
          <w:color w:val="auto"/>
        </w:rPr>
        <w:t>Exclusion of Other Rights</w:t>
      </w:r>
      <w:r>
        <w:rPr>
          <w:rFonts w:ascii="Times New Roman" w:cs="Times New Roman" w:eastAsia="Times New Roman" w:hAnsi="Times New Roman"/>
          <w:sz w:val="13"/>
          <w:szCs w:val="13"/>
          <w:color w:val="auto"/>
        </w:rPr>
        <w:t>. The Series J Preferred Stock shall not have any preferences or other rights, voting powers, restrictions, limitations as to dividends or other distributions, qualifications or terms or conditions of redemption other than expressly set forth in the Charter and these Articles Supplementary.</w:t>
      </w:r>
    </w:p>
    <w:p>
      <w:pPr>
        <w:spacing w:after="0" w:line="136" w:lineRule="exact"/>
        <w:rPr>
          <w:sz w:val="20"/>
          <w:szCs w:val="20"/>
          <w:color w:val="auto"/>
        </w:rPr>
      </w:pPr>
    </w:p>
    <w:p>
      <w:pPr>
        <w:jc w:val="both"/>
        <w:ind w:left="600" w:right="620" w:firstLine="480"/>
        <w:spacing w:after="0" w:line="305" w:lineRule="auto"/>
        <w:rPr>
          <w:sz w:val="20"/>
          <w:szCs w:val="20"/>
          <w:color w:val="auto"/>
        </w:rPr>
      </w:pPr>
      <w:r>
        <w:rPr>
          <w:rFonts w:ascii="Times New Roman" w:cs="Times New Roman" w:eastAsia="Times New Roman" w:hAnsi="Times New Roman"/>
          <w:sz w:val="13"/>
          <w:szCs w:val="13"/>
          <w:color w:val="auto"/>
        </w:rPr>
        <w:t xml:space="preserve">Section 14. </w:t>
      </w:r>
      <w:r>
        <w:rPr>
          <w:rFonts w:ascii="Times New Roman" w:cs="Times New Roman" w:eastAsia="Times New Roman" w:hAnsi="Times New Roman"/>
          <w:sz w:val="13"/>
          <w:szCs w:val="13"/>
          <w:u w:val="single" w:color="auto"/>
          <w:color w:val="auto"/>
        </w:rPr>
        <w:t>Headings of Subdivisions</w:t>
      </w:r>
      <w:r>
        <w:rPr>
          <w:rFonts w:ascii="Times New Roman" w:cs="Times New Roman" w:eastAsia="Times New Roman" w:hAnsi="Times New Roman"/>
          <w:sz w:val="13"/>
          <w:szCs w:val="13"/>
          <w:color w:val="auto"/>
        </w:rPr>
        <w:t>. The headings of the various subdivisions hereof are for convenience of reference only and shall not affect the interpretation of any of the provisions hereof.</w:t>
      </w:r>
    </w:p>
    <w:p>
      <w:pPr>
        <w:spacing w:after="0" w:line="124" w:lineRule="exact"/>
        <w:rPr>
          <w:sz w:val="20"/>
          <w:szCs w:val="20"/>
          <w:color w:val="auto"/>
        </w:rPr>
      </w:pPr>
    </w:p>
    <w:p>
      <w:pPr>
        <w:jc w:val="both"/>
        <w:ind w:left="600" w:right="600" w:firstLine="480"/>
        <w:spacing w:after="0" w:line="274" w:lineRule="auto"/>
        <w:rPr>
          <w:sz w:val="20"/>
          <w:szCs w:val="20"/>
          <w:color w:val="auto"/>
        </w:rPr>
      </w:pPr>
      <w:r>
        <w:rPr>
          <w:rFonts w:ascii="Times New Roman" w:cs="Times New Roman" w:eastAsia="Times New Roman" w:hAnsi="Times New Roman"/>
          <w:sz w:val="13"/>
          <w:szCs w:val="13"/>
          <w:color w:val="auto"/>
        </w:rPr>
        <w:t xml:space="preserve">Section 15. </w:t>
      </w:r>
      <w:r>
        <w:rPr>
          <w:rFonts w:ascii="Times New Roman" w:cs="Times New Roman" w:eastAsia="Times New Roman" w:hAnsi="Times New Roman"/>
          <w:sz w:val="13"/>
          <w:szCs w:val="13"/>
          <w:u w:val="single" w:color="auto"/>
          <w:color w:val="auto"/>
        </w:rPr>
        <w:t>Severability of Provisions</w:t>
      </w:r>
      <w:r>
        <w:rPr>
          <w:rFonts w:ascii="Times New Roman" w:cs="Times New Roman" w:eastAsia="Times New Roman" w:hAnsi="Times New Roman"/>
          <w:sz w:val="13"/>
          <w:szCs w:val="13"/>
          <w:color w:val="auto"/>
        </w:rPr>
        <w:t>. If any preferences or other rights, voting powers, restrictions, limitations as to dividends or other distributions, qualifications or terms or conditions of redemption of the Series J Preferred Stock set forth in the Charter and these Articles Supplementary are invalid, unlawful or incapable of being enforced by reason of any rule of law or public policy, all other preferences or other rights, voting powers, restrictions, limitations as to dividends or other distributions, qualifications or terms or conditions of redemption of Series J Preferred Stock set forth in the Charter which can be given effect without the invalid, unlawful or unenforceable provision thereof shall, nevertheless, remain in full force and effect and no preferences or other rights, voting powers, restrictions, limitations as to dividends or other distributions, qualifications or terms or conditions of redemption of the Series J Preferred Stock herein set forth shall be deemed dependent upon any other provision thereof unless so expressed therein.</w:t>
      </w:r>
    </w:p>
    <w:p>
      <w:pPr>
        <w:spacing w:after="0" w:line="135" w:lineRule="exact"/>
        <w:rPr>
          <w:sz w:val="20"/>
          <w:szCs w:val="20"/>
          <w:color w:val="auto"/>
        </w:rPr>
      </w:pPr>
    </w:p>
    <w:p>
      <w:pPr>
        <w:jc w:val="both"/>
        <w:ind w:left="600" w:right="600" w:firstLine="480"/>
        <w:spacing w:after="0" w:line="287" w:lineRule="auto"/>
        <w:rPr>
          <w:sz w:val="20"/>
          <w:szCs w:val="20"/>
          <w:color w:val="auto"/>
        </w:rPr>
      </w:pPr>
      <w:r>
        <w:rPr>
          <w:rFonts w:ascii="Times New Roman" w:cs="Times New Roman" w:eastAsia="Times New Roman" w:hAnsi="Times New Roman"/>
          <w:sz w:val="13"/>
          <w:szCs w:val="13"/>
          <w:color w:val="auto"/>
        </w:rPr>
        <w:t xml:space="preserve">Section 16. </w:t>
      </w:r>
      <w:r>
        <w:rPr>
          <w:rFonts w:ascii="Times New Roman" w:cs="Times New Roman" w:eastAsia="Times New Roman" w:hAnsi="Times New Roman"/>
          <w:sz w:val="13"/>
          <w:szCs w:val="13"/>
          <w:u w:val="single" w:color="auto"/>
          <w:color w:val="auto"/>
        </w:rPr>
        <w:t>No Preemptive Rights</w:t>
      </w:r>
      <w:r>
        <w:rPr>
          <w:rFonts w:ascii="Times New Roman" w:cs="Times New Roman" w:eastAsia="Times New Roman" w:hAnsi="Times New Roman"/>
          <w:sz w:val="13"/>
          <w:szCs w:val="13"/>
          <w:color w:val="auto"/>
        </w:rPr>
        <w:t>. No holder of Series J Preferred Stock shall be entitled to any preemptive rights to subscribe for or acquire any unissued shares of capital stock of the Company (whether now or hereafter authorized) or securities of the Company convertible into or carrying a right to subscribe to or acquire shares of capital stock of the Company.</w:t>
      </w:r>
    </w:p>
    <w:p>
      <w:pPr>
        <w:spacing w:after="0" w:line="136" w:lineRule="exact"/>
        <w:rPr>
          <w:sz w:val="20"/>
          <w:szCs w:val="20"/>
          <w:color w:val="auto"/>
        </w:rPr>
      </w:pPr>
    </w:p>
    <w:p>
      <w:pPr>
        <w:jc w:val="both"/>
        <w:ind w:left="600" w:right="620" w:firstLine="480"/>
        <w:spacing w:after="0" w:line="305" w:lineRule="auto"/>
        <w:rPr>
          <w:sz w:val="20"/>
          <w:szCs w:val="20"/>
          <w:color w:val="auto"/>
        </w:rPr>
      </w:pPr>
      <w:r>
        <w:rPr>
          <w:rFonts w:ascii="Times New Roman" w:cs="Times New Roman" w:eastAsia="Times New Roman" w:hAnsi="Times New Roman"/>
          <w:sz w:val="13"/>
          <w:szCs w:val="13"/>
          <w:u w:val="single" w:color="auto"/>
          <w:color w:val="auto"/>
        </w:rPr>
        <w:t>FOURTH</w:t>
      </w:r>
      <w:r>
        <w:rPr>
          <w:rFonts w:ascii="Times New Roman" w:cs="Times New Roman" w:eastAsia="Times New Roman" w:hAnsi="Times New Roman"/>
          <w:sz w:val="13"/>
          <w:szCs w:val="13"/>
          <w:color w:val="auto"/>
        </w:rPr>
        <w:t>: The Series J Preferred Stock have been classified and designated by the Board of Directors under the authority contained in the Charter.</w:t>
      </w:r>
    </w:p>
    <w:p>
      <w:pPr>
        <w:spacing w:after="0" w:line="12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u w:val="single" w:color="auto"/>
          <w:color w:val="auto"/>
        </w:rPr>
        <w:t>FIFTH</w:t>
      </w:r>
      <w:r>
        <w:rPr>
          <w:rFonts w:ascii="Times New Roman" w:cs="Times New Roman" w:eastAsia="Times New Roman" w:hAnsi="Times New Roman"/>
          <w:sz w:val="13"/>
          <w:szCs w:val="13"/>
          <w:color w:val="auto"/>
        </w:rPr>
        <w:t>: These Articles Supplementary have been approved by the Board of Directors in the manner and by the vote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133350</wp:posOffset>
            </wp:positionV>
            <wp:extent cx="4436110" cy="1524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815">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575310</wp:posOffset>
            </wp:positionV>
            <wp:extent cx="5083810" cy="1524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816">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445" w:name="page446"/>
    <w:bookmarkEnd w:id="4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1215390</wp:posOffset>
            </wp:positionH>
            <wp:positionV relativeFrom="page">
              <wp:posOffset>681990</wp:posOffset>
            </wp:positionV>
            <wp:extent cx="5083810" cy="1524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817">
                      <a:extLst>
                        <a:ext uri="{28A0092B-C50C-407E-A947-70E740481C1C}"/>
                      </a:extLst>
                    </a:blip>
                    <a:srcRect/>
                    <a:stretch>
                      <a:fillRect/>
                    </a:stretch>
                  </pic:blipFill>
                  <pic:spPr bwMode="auto">
                    <a:xfrm>
                      <a:off x="0" y="0"/>
                      <a:ext cx="5083810" cy="15240"/>
                    </a:xfrm>
                    <a:prstGeom prst="rect">
                      <a:avLst/>
                    </a:prstGeom>
                    <a:noFill/>
                  </pic:spPr>
                </pic:pic>
              </a:graphicData>
            </a:graphic>
          </wp:anchor>
        </w:drawing>
        <w:drawing>
          <wp:anchor simplePos="0" relativeHeight="251657728" behindDoc="1" locked="0" layoutInCell="0" allowOverlap="1">
            <wp:simplePos x="0" y="0"/>
            <wp:positionH relativeFrom="page">
              <wp:posOffset>1291590</wp:posOffset>
            </wp:positionH>
            <wp:positionV relativeFrom="page">
              <wp:posOffset>361950</wp:posOffset>
            </wp:positionV>
            <wp:extent cx="4436110" cy="1524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818">
                      <a:extLst>
                        <a:ext uri="{28A0092B-C50C-407E-A947-70E740481C1C}"/>
                      </a:extLst>
                    </a:blip>
                    <a:srcRect/>
                    <a:stretch>
                      <a:fillRect/>
                    </a:stretch>
                  </pic:blipFill>
                  <pic:spPr bwMode="auto">
                    <a:xfrm>
                      <a:off x="0" y="0"/>
                      <a:ext cx="4436110" cy="1524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446" w:name="page447"/>
    <w:bookmarkEnd w:id="446"/>
    <w:p>
      <w:pPr>
        <w:ind w:left="1080"/>
        <w:spacing w:after="0"/>
        <w:rPr>
          <w:sz w:val="20"/>
          <w:szCs w:val="20"/>
          <w:color w:val="auto"/>
        </w:rPr>
      </w:pPr>
      <w:r>
        <w:rPr>
          <w:rFonts w:ascii="Times New Roman" w:cs="Times New Roman" w:eastAsia="Times New Roman" w:hAnsi="Times New Roman"/>
          <w:sz w:val="13"/>
          <w:szCs w:val="13"/>
          <w:u w:val="single" w:color="auto"/>
          <w:color w:val="auto"/>
        </w:rPr>
        <w:t>SIXTH</w:t>
      </w:r>
      <w:r>
        <w:rPr>
          <w:rFonts w:ascii="Times New Roman" w:cs="Times New Roman" w:eastAsia="Times New Roman" w:hAnsi="Times New Roman"/>
          <w:sz w:val="13"/>
          <w:szCs w:val="13"/>
          <w:color w:val="auto"/>
        </w:rPr>
        <w:t>: These Articles Supplementary shall be effective at the time the Department accepts these Articles Supplementary for record.</w:t>
      </w:r>
    </w:p>
    <w:p>
      <w:pPr>
        <w:spacing w:after="0" w:line="187" w:lineRule="exact"/>
        <w:rPr>
          <w:sz w:val="20"/>
          <w:szCs w:val="20"/>
          <w:color w:val="auto"/>
        </w:rPr>
      </w:pPr>
    </w:p>
    <w:p>
      <w:pPr>
        <w:jc w:val="both"/>
        <w:ind w:left="600" w:right="600" w:firstLine="480"/>
        <w:spacing w:after="0" w:line="281" w:lineRule="auto"/>
        <w:rPr>
          <w:sz w:val="20"/>
          <w:szCs w:val="20"/>
          <w:color w:val="auto"/>
        </w:rPr>
      </w:pPr>
      <w:r>
        <w:rPr>
          <w:rFonts w:ascii="Times New Roman" w:cs="Times New Roman" w:eastAsia="Times New Roman" w:hAnsi="Times New Roman"/>
          <w:sz w:val="13"/>
          <w:szCs w:val="13"/>
          <w:u w:val="single" w:color="auto"/>
          <w:color w:val="auto"/>
        </w:rPr>
        <w:t>SEVENTH</w:t>
      </w:r>
      <w:r>
        <w:rPr>
          <w:rFonts w:ascii="Times New Roman" w:cs="Times New Roman" w:eastAsia="Times New Roman" w:hAnsi="Times New Roman"/>
          <w:sz w:val="13"/>
          <w:szCs w:val="13"/>
          <w:color w:val="auto"/>
        </w:rPr>
        <w:t>: The undersigned Chief Executive Officer acknowledges these Articles Supplementary to be the corporate act of the Company and, as to all matters or facts required to be verified under oath, the undersigned Chief Executive Officer acknowledges that to the best of his knowledge, information and belief, these matters and facts are true in all material respects and that this statement is made under the penalties for perjury.</w:t>
      </w:r>
    </w:p>
    <w:p>
      <w:pPr>
        <w:spacing w:after="0" w:line="140" w:lineRule="exact"/>
        <w:rPr>
          <w:sz w:val="20"/>
          <w:szCs w:val="20"/>
          <w:color w:val="auto"/>
        </w:rPr>
      </w:pPr>
    </w:p>
    <w:p>
      <w:pPr>
        <w:jc w:val="both"/>
        <w:ind w:left="600" w:right="600" w:firstLine="480"/>
        <w:spacing w:after="0" w:line="305" w:lineRule="auto"/>
        <w:rPr>
          <w:sz w:val="20"/>
          <w:szCs w:val="20"/>
          <w:color w:val="auto"/>
        </w:rPr>
      </w:pPr>
      <w:r>
        <w:rPr>
          <w:rFonts w:ascii="Times New Roman" w:cs="Times New Roman" w:eastAsia="Times New Roman" w:hAnsi="Times New Roman"/>
          <w:sz w:val="13"/>
          <w:szCs w:val="13"/>
          <w:color w:val="auto"/>
        </w:rPr>
        <w:t>IN WITNESS WHEREOF, the Company has caused these Articles Supplementary to be executed in its name and on its behalf by its Chief Executive Officer as of the date first written above.</w:t>
      </w:r>
    </w:p>
    <w:p>
      <w:pPr>
        <w:spacing w:after="0" w:line="12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3"/>
          <w:szCs w:val="13"/>
          <w:color w:val="auto"/>
        </w:rPr>
        <w:t>DIGITAL REALTY TRUST, INC.</w:t>
      </w:r>
    </w:p>
    <w:p>
      <w:pPr>
        <w:spacing w:after="0" w:line="31" w:lineRule="exact"/>
        <w:rPr>
          <w:sz w:val="20"/>
          <w:szCs w:val="20"/>
          <w:color w:val="auto"/>
        </w:rPr>
      </w:pPr>
    </w:p>
    <w:p>
      <w:pPr>
        <w:ind w:left="4280"/>
        <w:spacing w:after="0"/>
        <w:tabs>
          <w:tab w:leader="none" w:pos="4620" w:val="left"/>
        </w:tabs>
        <w:rPr>
          <w:sz w:val="20"/>
          <w:szCs w:val="20"/>
          <w:color w:val="auto"/>
        </w:rPr>
      </w:pPr>
      <w:r>
        <w:rPr>
          <w:rFonts w:ascii="Times New Roman" w:cs="Times New Roman" w:eastAsia="Times New Roman" w:hAnsi="Times New Roman"/>
          <w:sz w:val="13"/>
          <w:szCs w:val="13"/>
          <w:color w:val="auto"/>
        </w:rPr>
        <w:t>By:</w:t>
        <w:tab/>
        <w:t>/s/ A. William Stein Name:A.</w:t>
      </w:r>
    </w:p>
    <w:p>
      <w:pPr>
        <w:spacing w:after="0" w:line="3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3"/>
          <w:szCs w:val="13"/>
          <w:color w:val="auto"/>
        </w:rPr>
        <w:t>William Stein</w:t>
      </w:r>
    </w:p>
    <w:p>
      <w:pPr>
        <w:spacing w:after="0" w:line="2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3"/>
          <w:szCs w:val="13"/>
          <w:color w:val="auto"/>
        </w:rPr>
        <w:t>Title: Chief Executive Officer</w:t>
      </w:r>
    </w:p>
    <w:p>
      <w:pPr>
        <w:spacing w:after="0" w:line="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ATTEST:</w:t>
      </w:r>
    </w:p>
    <w:p>
      <w:pPr>
        <w:spacing w:after="0" w:line="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DIGITAL REALTY TRUST, INC.</w:t>
      </w:r>
    </w:p>
    <w:p>
      <w:pPr>
        <w:spacing w:after="0" w:line="27" w:lineRule="exact"/>
        <w:rPr>
          <w:sz w:val="20"/>
          <w:szCs w:val="20"/>
          <w:color w:val="auto"/>
        </w:rPr>
      </w:pPr>
    </w:p>
    <w:p>
      <w:pPr>
        <w:ind w:left="600"/>
        <w:spacing w:after="0"/>
        <w:tabs>
          <w:tab w:leader="none" w:pos="940" w:val="left"/>
        </w:tabs>
        <w:rPr>
          <w:sz w:val="20"/>
          <w:szCs w:val="20"/>
          <w:color w:val="auto"/>
        </w:rPr>
      </w:pPr>
      <w:r>
        <w:rPr>
          <w:rFonts w:ascii="Times New Roman" w:cs="Times New Roman" w:eastAsia="Times New Roman" w:hAnsi="Times New Roman"/>
          <w:sz w:val="13"/>
          <w:szCs w:val="13"/>
          <w:color w:val="auto"/>
        </w:rPr>
        <w:t>By:</w:t>
        <w:tab/>
        <w:t>/s/ Jeannie Lee Name: Jeannie</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Lee</w:t>
      </w:r>
    </w:p>
    <w:p>
      <w:pPr>
        <w:spacing w:after="0" w:line="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Title: Vice President, Associate General Counsel</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[Signature Page to Articles Supplementary]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125730</wp:posOffset>
            </wp:positionV>
            <wp:extent cx="4436110" cy="762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819">
                      <a:extLst>
                        <a:ext uri="{28A0092B-C50C-407E-A947-70E740481C1C}"/>
                      </a:extLst>
                    </a:blip>
                    <a:srcRect/>
                    <a:stretch>
                      <a:fillRect/>
                    </a:stretch>
                  </pic:blipFill>
                  <pic:spPr bwMode="auto">
                    <a:xfrm>
                      <a:off x="0" y="0"/>
                      <a:ext cx="4436110"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567690</wp:posOffset>
            </wp:positionV>
            <wp:extent cx="5083810" cy="1524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820">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47" w:name="page448"/>
    <w:bookmarkEnd w:id="447"/>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DIGITAL REALTY TRUST, INC.</w:t>
      </w:r>
    </w:p>
    <w:p>
      <w:pPr>
        <w:spacing w:after="0" w:line="1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ARTICLES SUPPLEMENTARY</w:t>
      </w:r>
    </w:p>
    <w:p>
      <w:pPr>
        <w:spacing w:after="0" w:line="1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8,050,000 Shares of</w:t>
      </w:r>
    </w:p>
    <w:p>
      <w:pPr>
        <w:spacing w:after="0" w:line="271"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3"/>
          <w:szCs w:val="13"/>
          <w:b w:val="1"/>
          <w:bCs w:val="1"/>
          <w:color w:val="auto"/>
        </w:rPr>
        <w:t>6.625% Series C Cumulative Redeemable Perpetual Preferred Stock September 13, 2017</w:t>
      </w:r>
    </w:p>
    <w:p>
      <w:pPr>
        <w:spacing w:after="0" w:line="10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 xml:space="preserve">Digital Realty Trust, Inc., a Maryland corporation (the “ </w:t>
      </w:r>
      <w:r>
        <w:rPr>
          <w:rFonts w:ascii="Times New Roman" w:cs="Times New Roman" w:eastAsia="Times New Roman" w:hAnsi="Times New Roman"/>
          <w:sz w:val="13"/>
          <w:szCs w:val="13"/>
          <w:u w:val="single" w:color="auto"/>
          <w:color w:val="auto"/>
        </w:rPr>
        <w:t>Company</w:t>
      </w:r>
      <w:r>
        <w:rPr>
          <w:rFonts w:ascii="Times New Roman" w:cs="Times New Roman" w:eastAsia="Times New Roman" w:hAnsi="Times New Roman"/>
          <w:sz w:val="13"/>
          <w:szCs w:val="13"/>
          <w:color w:val="auto"/>
        </w:rPr>
        <w:t>”), hereby certifies to the State Department of Assessments and</w:t>
      </w:r>
    </w:p>
    <w:p>
      <w:pPr>
        <w:spacing w:after="0" w:line="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Taxation of Maryland (the “</w:t>
      </w:r>
      <w:r>
        <w:rPr>
          <w:rFonts w:ascii="Times New Roman" w:cs="Times New Roman" w:eastAsia="Times New Roman" w:hAnsi="Times New Roman"/>
          <w:sz w:val="13"/>
          <w:szCs w:val="13"/>
          <w:u w:val="single" w:color="auto"/>
          <w:color w:val="auto"/>
        </w:rPr>
        <w:t>SDAT</w:t>
      </w:r>
      <w:r>
        <w:rPr>
          <w:rFonts w:ascii="Times New Roman" w:cs="Times New Roman" w:eastAsia="Times New Roman" w:hAnsi="Times New Roman"/>
          <w:sz w:val="13"/>
          <w:szCs w:val="13"/>
          <w:color w:val="auto"/>
        </w:rPr>
        <w:t>”) that:</w:t>
      </w:r>
    </w:p>
    <w:p>
      <w:pPr>
        <w:spacing w:after="0" w:line="183" w:lineRule="exact"/>
        <w:rPr>
          <w:sz w:val="20"/>
          <w:szCs w:val="20"/>
          <w:color w:val="auto"/>
        </w:rPr>
      </w:pPr>
    </w:p>
    <w:p>
      <w:pPr>
        <w:ind w:left="600" w:right="740" w:firstLine="480"/>
        <w:spacing w:after="0" w:line="273" w:lineRule="auto"/>
        <w:rPr>
          <w:sz w:val="20"/>
          <w:szCs w:val="20"/>
          <w:color w:val="auto"/>
        </w:rPr>
      </w:pPr>
      <w:r>
        <w:rPr>
          <w:rFonts w:ascii="Times New Roman" w:cs="Times New Roman" w:eastAsia="Times New Roman" w:hAnsi="Times New Roman"/>
          <w:sz w:val="13"/>
          <w:szCs w:val="13"/>
          <w:u w:val="single" w:color="auto"/>
          <w:color w:val="auto"/>
        </w:rPr>
        <w:t>FIRST</w:t>
      </w:r>
      <w:r>
        <w:rPr>
          <w:rFonts w:ascii="Times New Roman" w:cs="Times New Roman" w:eastAsia="Times New Roman" w:hAnsi="Times New Roman"/>
          <w:sz w:val="13"/>
          <w:szCs w:val="13"/>
          <w:color w:val="auto"/>
        </w:rPr>
        <w:t>: Pursuant to the authority expressly vested in the Board of Directors of the Company (the “</w:t>
      </w:r>
      <w:r>
        <w:rPr>
          <w:rFonts w:ascii="Times New Roman" w:cs="Times New Roman" w:eastAsia="Times New Roman" w:hAnsi="Times New Roman"/>
          <w:sz w:val="13"/>
          <w:szCs w:val="13"/>
          <w:u w:val="single" w:color="auto"/>
          <w:color w:val="auto"/>
        </w:rPr>
        <w:t>Board</w:t>
      </w:r>
      <w:r>
        <w:rPr>
          <w:rFonts w:ascii="Times New Roman" w:cs="Times New Roman" w:eastAsia="Times New Roman" w:hAnsi="Times New Roman"/>
          <w:sz w:val="13"/>
          <w:szCs w:val="13"/>
          <w:color w:val="auto"/>
        </w:rPr>
        <w:t>”) by Article V of the Articles of Amendment and Restatement of the Company (as amended and supplemented to date and as may be amended and supplemented from time to time, the “</w:t>
      </w:r>
      <w:r>
        <w:rPr>
          <w:rFonts w:ascii="Times New Roman" w:cs="Times New Roman" w:eastAsia="Times New Roman" w:hAnsi="Times New Roman"/>
          <w:sz w:val="13"/>
          <w:szCs w:val="13"/>
          <w:u w:val="single" w:color="auto"/>
          <w:color w:val="auto"/>
        </w:rPr>
        <w:t>Charter</w:t>
      </w:r>
      <w:r>
        <w:rPr>
          <w:rFonts w:ascii="Times New Roman" w:cs="Times New Roman" w:eastAsia="Times New Roman" w:hAnsi="Times New Roman"/>
          <w:sz w:val="13"/>
          <w:szCs w:val="13"/>
          <w:color w:val="auto"/>
        </w:rPr>
        <w:t xml:space="preserve">”) and Section 2-105 of the Maryland General Corporation Law, the Board, by resolutions duly adopted on June 8, 2017, has classified and designated 6,250,000 authorized but unissued shares of preferred stock of the Company, par value $0.01 per share (“ </w:t>
      </w:r>
      <w:r>
        <w:rPr>
          <w:rFonts w:ascii="Times New Roman" w:cs="Times New Roman" w:eastAsia="Times New Roman" w:hAnsi="Times New Roman"/>
          <w:sz w:val="13"/>
          <w:szCs w:val="13"/>
          <w:u w:val="single" w:color="auto"/>
          <w:color w:val="auto"/>
        </w:rPr>
        <w:t>Preferred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Stock</w:t>
      </w:r>
      <w:r>
        <w:rPr>
          <w:rFonts w:ascii="Times New Roman" w:cs="Times New Roman" w:eastAsia="Times New Roman" w:hAnsi="Times New Roman"/>
          <w:sz w:val="13"/>
          <w:szCs w:val="13"/>
          <w:color w:val="auto"/>
        </w:rPr>
        <w:t>”), and reclassified and designated 1,050,000 authorized but unissued shares of 4.375% Series C Cumulative Convertible Preferred Stock, par value $0.01 per share, and 750,000 authorized but unissued shares of 6.625% Series F Cumulative Redeemable Preferred Stock, par value $0.01 per share, of the Company as a separate class of Preferred Stock to be known as the “6.625% Series C Cumulative Redeemable Perpetual Preferred Stock,” set the preferences, conversion and other rights, voting powers, restrictions, limitations as to dividends and other distributions, transfers, qualifications, terms and conditions of redemption and other terms and conditions of such 6.625% Series C Cumulative Redeemable Perpetual Preferred Stock, and authorized the issuance of up to 8,050,000 shares of 6.625% Series C Cumulative Redeemable Perpetual Preferred Stock.</w:t>
      </w:r>
    </w:p>
    <w:p>
      <w:pPr>
        <w:spacing w:after="0" w:line="304" w:lineRule="exact"/>
        <w:rPr>
          <w:sz w:val="20"/>
          <w:szCs w:val="20"/>
          <w:color w:val="auto"/>
        </w:rPr>
      </w:pPr>
    </w:p>
    <w:p>
      <w:pPr>
        <w:ind w:left="600" w:right="700" w:firstLine="480"/>
        <w:spacing w:after="0" w:line="278" w:lineRule="auto"/>
        <w:rPr>
          <w:sz w:val="20"/>
          <w:szCs w:val="20"/>
          <w:color w:val="auto"/>
        </w:rPr>
      </w:pPr>
      <w:r>
        <w:rPr>
          <w:rFonts w:ascii="Times New Roman" w:cs="Times New Roman" w:eastAsia="Times New Roman" w:hAnsi="Times New Roman"/>
          <w:sz w:val="13"/>
          <w:szCs w:val="13"/>
          <w:u w:val="single" w:color="auto"/>
          <w:color w:val="auto"/>
        </w:rPr>
        <w:t>SECOND</w:t>
      </w:r>
      <w:r>
        <w:rPr>
          <w:rFonts w:ascii="Times New Roman" w:cs="Times New Roman" w:eastAsia="Times New Roman" w:hAnsi="Times New Roman"/>
          <w:sz w:val="13"/>
          <w:szCs w:val="13"/>
          <w:color w:val="auto"/>
        </w:rPr>
        <w:t>: The designation, number of shares, preferences, conversion and other rights, voting powers, restrictions, limitations as to dividends and other distributions, transfers, qualifications, terms and conditions of redemption and other terms and conditions of the separate class of Preferred Stock of the Company designated as the 6.625% Series C Cumulative Redeemable Perpetual Preferred Stock are as follows, which upon any restatement of the Charter shall be made a part of or incorporated by reference into the Charter with any necessary or appropriate changes to the enumeration or lettering of Sections or subsections thereof:</w:t>
      </w:r>
    </w:p>
    <w:p>
      <w:pPr>
        <w:spacing w:after="0" w:line="143" w:lineRule="exact"/>
        <w:rPr>
          <w:sz w:val="20"/>
          <w:szCs w:val="20"/>
          <w:color w:val="auto"/>
        </w:rPr>
      </w:pPr>
    </w:p>
    <w:p>
      <w:pPr>
        <w:ind w:left="600" w:right="980" w:firstLine="480"/>
        <w:spacing w:after="0" w:line="287" w:lineRule="auto"/>
        <w:rPr>
          <w:sz w:val="20"/>
          <w:szCs w:val="20"/>
          <w:color w:val="auto"/>
        </w:rPr>
      </w:pPr>
      <w:r>
        <w:rPr>
          <w:rFonts w:ascii="Times New Roman" w:cs="Times New Roman" w:eastAsia="Times New Roman" w:hAnsi="Times New Roman"/>
          <w:sz w:val="13"/>
          <w:szCs w:val="13"/>
          <w:color w:val="auto"/>
        </w:rPr>
        <w:t xml:space="preserve">Section 1. </w:t>
      </w:r>
      <w:r>
        <w:rPr>
          <w:rFonts w:ascii="Times New Roman" w:cs="Times New Roman" w:eastAsia="Times New Roman" w:hAnsi="Times New Roman"/>
          <w:sz w:val="13"/>
          <w:szCs w:val="13"/>
          <w:u w:val="single" w:color="auto"/>
          <w:color w:val="auto"/>
        </w:rPr>
        <w:t>Designation and Number</w:t>
      </w:r>
      <w:r>
        <w:rPr>
          <w:rFonts w:ascii="Times New Roman" w:cs="Times New Roman" w:eastAsia="Times New Roman" w:hAnsi="Times New Roman"/>
          <w:sz w:val="13"/>
          <w:szCs w:val="13"/>
          <w:color w:val="auto"/>
        </w:rPr>
        <w:t>. A series of preferred stock, designated as the “6.625% Series C Cumulative Redeemable Perpetual Preferred Stock” (the “</w:t>
      </w:r>
      <w:r>
        <w:rPr>
          <w:rFonts w:ascii="Times New Roman" w:cs="Times New Roman" w:eastAsia="Times New Roman" w:hAnsi="Times New Roman"/>
          <w:sz w:val="13"/>
          <w:szCs w:val="13"/>
          <w:u w:val="single" w:color="auto"/>
          <w:color w:val="auto"/>
        </w:rPr>
        <w:t>Series C Preferred Stock</w:t>
      </w:r>
      <w:r>
        <w:rPr>
          <w:rFonts w:ascii="Times New Roman" w:cs="Times New Roman" w:eastAsia="Times New Roman" w:hAnsi="Times New Roman"/>
          <w:sz w:val="13"/>
          <w:szCs w:val="13"/>
          <w:color w:val="auto"/>
        </w:rPr>
        <w:t>”), is hereby established. The par value of the Series C Preferred Stock is $0.01 per share. The number of shares of the Series C Preferred Stock shall be 8,050,000.</w:t>
      </w:r>
    </w:p>
    <w:p>
      <w:pPr>
        <w:spacing w:after="0" w:line="136" w:lineRule="exact"/>
        <w:rPr>
          <w:sz w:val="20"/>
          <w:szCs w:val="20"/>
          <w:color w:val="auto"/>
        </w:rPr>
      </w:pPr>
    </w:p>
    <w:p>
      <w:pPr>
        <w:ind w:left="600" w:right="760" w:firstLine="480"/>
        <w:spacing w:after="0" w:line="274" w:lineRule="auto"/>
        <w:rPr>
          <w:sz w:val="20"/>
          <w:szCs w:val="20"/>
          <w:color w:val="auto"/>
        </w:rPr>
      </w:pPr>
      <w:r>
        <w:rPr>
          <w:rFonts w:ascii="Times New Roman" w:cs="Times New Roman" w:eastAsia="Times New Roman" w:hAnsi="Times New Roman"/>
          <w:sz w:val="13"/>
          <w:szCs w:val="13"/>
          <w:color w:val="auto"/>
        </w:rPr>
        <w:t xml:space="preserve">Section 2. </w:t>
      </w:r>
      <w:r>
        <w:rPr>
          <w:rFonts w:ascii="Times New Roman" w:cs="Times New Roman" w:eastAsia="Times New Roman" w:hAnsi="Times New Roman"/>
          <w:sz w:val="13"/>
          <w:szCs w:val="13"/>
          <w:u w:val="single" w:color="auto"/>
          <w:color w:val="auto"/>
        </w:rPr>
        <w:t>Ranking</w:t>
      </w:r>
      <w:r>
        <w:rPr>
          <w:rFonts w:ascii="Times New Roman" w:cs="Times New Roman" w:eastAsia="Times New Roman" w:hAnsi="Times New Roman"/>
          <w:sz w:val="13"/>
          <w:szCs w:val="13"/>
          <w:color w:val="auto"/>
        </w:rPr>
        <w:t>. The Series C Preferred Stock will, with respect to rights to receive dividends and to participate in distributions or payments upon liquidation, dissolution or winding up of the Company, rank (a) senior to the Common Stock (as defined in the Charter) and any other capital stock of the Company, now or hereafter issued and outstanding, the terms of which provide that such capital stock ranks, as to dividends and upon liquidation, dissolution or winding up of the Company, junior to such Series C Preferred Stock (“</w:t>
      </w:r>
      <w:r>
        <w:rPr>
          <w:rFonts w:ascii="Times New Roman" w:cs="Times New Roman" w:eastAsia="Times New Roman" w:hAnsi="Times New Roman"/>
          <w:sz w:val="13"/>
          <w:szCs w:val="13"/>
          <w:u w:val="single" w:color="auto"/>
          <w:color w:val="auto"/>
        </w:rPr>
        <w:t>Junior Shares</w:t>
      </w:r>
      <w:r>
        <w:rPr>
          <w:rFonts w:ascii="Times New Roman" w:cs="Times New Roman" w:eastAsia="Times New Roman" w:hAnsi="Times New Roman"/>
          <w:sz w:val="13"/>
          <w:szCs w:val="13"/>
          <w:color w:val="auto"/>
        </w:rPr>
        <w:t>”); (b) on a parity with the Series G Cumulative Redeemable Preferred Stock, par value $0.01 per share, the Series H Cumulative Redeemable Preferred Stock, par value $0.01 per share, the Series I Cumulative Redeemable Preferred Stock, par value $0.01 per share, and the Series J Cumulative Redeemable Preferred Stock, par value $0.01 per share of the Company, and any other capital stock of the Company, now or hereafter issued and outstanding, other than the capital stock referred to in clauses (a) and (c) (“</w:t>
      </w:r>
      <w:r>
        <w:rPr>
          <w:rFonts w:ascii="Times New Roman" w:cs="Times New Roman" w:eastAsia="Times New Roman" w:hAnsi="Times New Roman"/>
          <w:sz w:val="13"/>
          <w:szCs w:val="13"/>
          <w:u w:val="single" w:color="auto"/>
          <w:color w:val="auto"/>
        </w:rPr>
        <w:t>Parity Shares</w:t>
      </w:r>
      <w:r>
        <w:rPr>
          <w:rFonts w:ascii="Times New Roman" w:cs="Times New Roman" w:eastAsia="Times New Roman" w:hAnsi="Times New Roman"/>
          <w:sz w:val="13"/>
          <w:szCs w:val="13"/>
          <w:color w:val="auto"/>
        </w:rPr>
        <w:t>”); and (c) junior to all capital stock of the Company the terms of which specifically provide that such capital stock ranks senior to the Series C Preferred Stock.</w:t>
      </w:r>
    </w:p>
    <w:p>
      <w:pPr>
        <w:spacing w:after="0" w:line="13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 xml:space="preserve">Section 3. </w:t>
      </w:r>
      <w:r>
        <w:rPr>
          <w:rFonts w:ascii="Times New Roman" w:cs="Times New Roman" w:eastAsia="Times New Roman" w:hAnsi="Times New Roman"/>
          <w:sz w:val="13"/>
          <w:szCs w:val="13"/>
          <w:u w:val="single" w:color="auto"/>
          <w:color w:val="auto"/>
        </w:rPr>
        <w:t>Dividends</w:t>
      </w:r>
      <w:r>
        <w:rPr>
          <w:rFonts w:ascii="Times New Roman" w:cs="Times New Roman" w:eastAsia="Times New Roman" w:hAnsi="Times New Roman"/>
          <w:sz w:val="13"/>
          <w:szCs w:val="13"/>
          <w:color w:val="auto"/>
        </w:rPr>
        <w:t>.</w:t>
      </w:r>
    </w:p>
    <w:p>
      <w:pPr>
        <w:spacing w:after="0" w:line="187" w:lineRule="exact"/>
        <w:rPr>
          <w:sz w:val="20"/>
          <w:szCs w:val="20"/>
          <w:color w:val="auto"/>
        </w:rPr>
      </w:pPr>
    </w:p>
    <w:p>
      <w:pPr>
        <w:ind w:left="600" w:right="1180" w:firstLine="475"/>
        <w:spacing w:after="0" w:line="305" w:lineRule="auto"/>
        <w:tabs>
          <w:tab w:leader="none" w:pos="1260" w:val="left"/>
        </w:tabs>
        <w:numPr>
          <w:ilvl w:val="0"/>
          <w:numId w:val="4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Holders of the then outstanding shares of Series C Preferred Stock shall be entitled to receive, when, as and if authorized by the Board and declared by the Company, out of funds legally available for payment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604520</wp:posOffset>
            </wp:positionV>
            <wp:extent cx="4436110" cy="1524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821">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322580</wp:posOffset>
            </wp:positionV>
            <wp:extent cx="5083810" cy="1524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822">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448" w:name="page449"/>
    <w:bookmarkEnd w:id="448"/>
    <w:p>
      <w:pPr>
        <w:ind w:left="600" w:right="1280"/>
        <w:spacing w:after="0" w:line="305" w:lineRule="auto"/>
        <w:rPr>
          <w:sz w:val="20"/>
          <w:szCs w:val="20"/>
          <w:color w:val="auto"/>
        </w:rPr>
      </w:pPr>
      <w:r>
        <w:rPr>
          <w:rFonts w:ascii="Times New Roman" w:cs="Times New Roman" w:eastAsia="Times New Roman" w:hAnsi="Times New Roman"/>
          <w:sz w:val="13"/>
          <w:szCs w:val="13"/>
          <w:color w:val="auto"/>
        </w:rPr>
        <w:t>cumulative cash dividends at the rate of 6.625% per annum of the $25 liquidation preference of each share of Series C Preferred Stock (equivalent to $1.65625 per annum per share).</w:t>
      </w:r>
    </w:p>
    <w:p>
      <w:pPr>
        <w:spacing w:after="0" w:line="124" w:lineRule="exact"/>
        <w:rPr>
          <w:sz w:val="20"/>
          <w:szCs w:val="20"/>
          <w:color w:val="auto"/>
        </w:rPr>
      </w:pPr>
    </w:p>
    <w:p>
      <w:pPr>
        <w:ind w:left="600" w:right="640" w:firstLine="475"/>
        <w:spacing w:after="0" w:line="271" w:lineRule="auto"/>
        <w:tabs>
          <w:tab w:leader="none" w:pos="1260" w:val="left"/>
        </w:tabs>
        <w:numPr>
          <w:ilvl w:val="0"/>
          <w:numId w:val="4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Dividends on each outstanding share of Series C Preferred Stock shall accrue and be cumulative from and including the first date on which any shares of Series C Preferred Stock are issued (the “</w:t>
      </w:r>
      <w:r>
        <w:rPr>
          <w:rFonts w:ascii="Times New Roman" w:cs="Times New Roman" w:eastAsia="Times New Roman" w:hAnsi="Times New Roman"/>
          <w:sz w:val="13"/>
          <w:szCs w:val="13"/>
          <w:u w:val="single" w:color="auto"/>
          <w:color w:val="auto"/>
        </w:rPr>
        <w:t>Original Issue Date</w:t>
      </w:r>
      <w:r>
        <w:rPr>
          <w:rFonts w:ascii="Times New Roman" w:cs="Times New Roman" w:eastAsia="Times New Roman" w:hAnsi="Times New Roman"/>
          <w:sz w:val="13"/>
          <w:szCs w:val="13"/>
          <w:color w:val="auto"/>
        </w:rPr>
        <w:t>”) and shall be payable quarterly in arrears on each Dividend Payment Date (as defined below), commencing December 29, 2017, provided, however, that if any Dividend Payment Date is not a Business Day (as defined below), then the dividend which would otherwise have been payable on such Dividend Payment Date may be paid, at the Company’s option, on either the immediately preceding Business Day or the next succeeding Business Day, except that, if such Business Day is in the next succeeding calendar year, such payment shall be made on the immediately preceding Business Day, in each case with the same force and effect as if paid on such Dividend Payment Date, and no interest or additional dividends or other sums shall accrue on the amount so payable from such Dividend Payment Date to such next succeeding Business Day. The amount of any dividend payable on the Series C Preferred Stock for any partial Dividend Period (as defined below) shall be prorated and computed on the basis of a 360-day year consisting of twelve 30-day months. Dividends will be payable to holders of record as they appear in the stockholder records of the Company at the close of business on the applicable Dividend Record Date (as defined below). Notwithstanding any provision to the contrary contained herein, each outstanding share of Series C Preferred Stock shall be entitled to receive a dividend with respect to any Dividend Record Date equal to the dividend paid with respect to each other share of Series C Preferred Stock that is outstanding on such date. “</w:t>
      </w:r>
      <w:r>
        <w:rPr>
          <w:rFonts w:ascii="Times New Roman" w:cs="Times New Roman" w:eastAsia="Times New Roman" w:hAnsi="Times New Roman"/>
          <w:sz w:val="13"/>
          <w:szCs w:val="13"/>
          <w:u w:val="single" w:color="auto"/>
          <w:color w:val="auto"/>
        </w:rPr>
        <w:t>Dividend Record Date</w:t>
      </w:r>
      <w:r>
        <w:rPr>
          <w:rFonts w:ascii="Times New Roman" w:cs="Times New Roman" w:eastAsia="Times New Roman" w:hAnsi="Times New Roman"/>
          <w:sz w:val="13"/>
          <w:szCs w:val="13"/>
          <w:color w:val="auto"/>
        </w:rPr>
        <w:t>” shall mean the date designated by the Board for the payment of dividends that is not more than 35 or fewer than 10 days prior to the applicable Dividend Payment Date. “</w:t>
      </w:r>
      <w:r>
        <w:rPr>
          <w:rFonts w:ascii="Times New Roman" w:cs="Times New Roman" w:eastAsia="Times New Roman" w:hAnsi="Times New Roman"/>
          <w:sz w:val="13"/>
          <w:szCs w:val="13"/>
          <w:u w:val="single" w:color="auto"/>
          <w:color w:val="auto"/>
        </w:rPr>
        <w:t>Dividend Payment Date</w:t>
      </w:r>
      <w:r>
        <w:rPr>
          <w:rFonts w:ascii="Times New Roman" w:cs="Times New Roman" w:eastAsia="Times New Roman" w:hAnsi="Times New Roman"/>
          <w:sz w:val="13"/>
          <w:szCs w:val="13"/>
          <w:color w:val="auto"/>
        </w:rPr>
        <w:t>” shall mean the last calendar day of each March, June, September and December, commencing on December 29, 2017. “</w:t>
      </w:r>
      <w:r>
        <w:rPr>
          <w:rFonts w:ascii="Times New Roman" w:cs="Times New Roman" w:eastAsia="Times New Roman" w:hAnsi="Times New Roman"/>
          <w:sz w:val="13"/>
          <w:szCs w:val="13"/>
          <w:u w:val="single" w:color="auto"/>
          <w:color w:val="auto"/>
        </w:rPr>
        <w:t>Dividend Period</w:t>
      </w:r>
      <w:r>
        <w:rPr>
          <w:rFonts w:ascii="Times New Roman" w:cs="Times New Roman" w:eastAsia="Times New Roman" w:hAnsi="Times New Roman"/>
          <w:sz w:val="13"/>
          <w:szCs w:val="13"/>
          <w:color w:val="auto"/>
        </w:rPr>
        <w:t>” shall mean the respective periods commencing on and including the first day of January, April, July and October of each year and ending on and including the day preceding the first day of the next succeeding Dividend Period (other than the initial Dividend Period, which shall commence on the Original Issue Date and end on and include December 31, 2017, and other than the Dividend Period during which any shares of Series C Preferred Stock shall be redeemed pursuant to Section 5 hereof, which shall end on and include the day preceding the redemption date with respect to the shares of Series C Preferred Stock being redeemed).</w:t>
      </w:r>
    </w:p>
    <w:p>
      <w:pPr>
        <w:spacing w:after="0" w:line="141" w:lineRule="exact"/>
        <w:rPr>
          <w:rFonts w:ascii="Times New Roman" w:cs="Times New Roman" w:eastAsia="Times New Roman" w:hAnsi="Times New Roman"/>
          <w:sz w:val="13"/>
          <w:szCs w:val="13"/>
          <w:color w:val="auto"/>
        </w:rPr>
      </w:pPr>
    </w:p>
    <w:p>
      <w:pPr>
        <w:ind w:left="600" w:right="820" w:firstLine="475"/>
        <w:spacing w:after="0" w:line="281" w:lineRule="auto"/>
        <w:tabs>
          <w:tab w:leader="none" w:pos="1248" w:val="left"/>
        </w:tabs>
        <w:numPr>
          <w:ilvl w:val="0"/>
          <w:numId w:val="4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dividends on the Series C Preferred Stock shall be authorized and declared by the Board or paid or set apart for payment by the Company at such time as the terms and provisions of any agreement of the Company, including any agreement relating to its indebtedness, prohibits such declaration, payment or setting apart for payment or provides that such declaration, payment or setting apart for payment would constitute a breach thereof, or a default thereunder, or if such declaration or payment shall be restricted or prohibited by law.</w:t>
      </w:r>
    </w:p>
    <w:p>
      <w:pPr>
        <w:spacing w:after="0" w:line="140" w:lineRule="exact"/>
        <w:rPr>
          <w:rFonts w:ascii="Times New Roman" w:cs="Times New Roman" w:eastAsia="Times New Roman" w:hAnsi="Times New Roman"/>
          <w:sz w:val="13"/>
          <w:szCs w:val="13"/>
          <w:color w:val="auto"/>
        </w:rPr>
      </w:pPr>
    </w:p>
    <w:p>
      <w:pPr>
        <w:ind w:left="600" w:right="700" w:firstLine="475"/>
        <w:spacing w:after="0" w:line="275" w:lineRule="auto"/>
        <w:tabs>
          <w:tab w:leader="none" w:pos="1260" w:val="left"/>
        </w:tabs>
        <w:numPr>
          <w:ilvl w:val="0"/>
          <w:numId w:val="4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So long as any shares of Series C Preferred Stock are outstanding, no dividends, except as described in the immediately following sentence, shall be authorized and declared or paid or set apart for payment on any series or class or classes of Parity Shares for any period unless full cumulative dividends have been declared and paid or are contemporaneously declared and paid or declared and a sum sufficient for the payment thereof set apart for such payment on the Series C Preferred Stock for all prior dividend periods. When dividends are not paid in full or a sum sufficient for such payment is not set apart, as aforesaid, all dividends authorized and declared upon the Series C Preferred Stock and all dividends authorized and declared upon any other series or class or classes of Parity Shares shall be authorized and declared ratably in proportion to the respective amounts of dividends accumulated and unpaid on the Series C Preferred Stock and such Parity Shares.</w:t>
      </w:r>
    </w:p>
    <w:p>
      <w:pPr>
        <w:spacing w:after="0" w:line="145" w:lineRule="exact"/>
        <w:rPr>
          <w:rFonts w:ascii="Times New Roman" w:cs="Times New Roman" w:eastAsia="Times New Roman" w:hAnsi="Times New Roman"/>
          <w:sz w:val="13"/>
          <w:szCs w:val="13"/>
          <w:color w:val="auto"/>
        </w:rPr>
      </w:pPr>
    </w:p>
    <w:p>
      <w:pPr>
        <w:ind w:left="600" w:right="780" w:firstLine="475"/>
        <w:spacing w:after="0" w:line="272" w:lineRule="auto"/>
        <w:tabs>
          <w:tab w:leader="none" w:pos="1260" w:val="left"/>
        </w:tabs>
        <w:numPr>
          <w:ilvl w:val="0"/>
          <w:numId w:val="4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So long as any shares of Series C Preferred Stock are outstanding, no dividends (other than dividends or distributions paid solely in Junior Shares of, or in options, warrants or rights to subscribe for or purchase, Junior Shares) shall be</w:t>
      </w:r>
    </w:p>
    <w:p>
      <w:pPr>
        <w:ind w:left="600" w:right="640"/>
        <w:spacing w:after="0" w:line="274"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authorized and declared or paid or set apart for payment or other distribution authorized and declared or made upon Junior Shares, nor shall any Junior Shares be redeemed, purchased or otherwise acquired (other than a redemption, purchase or other acquisition of Common Stock made for purposes of and in compliance with requirements of an employee incentive or benefit plan of the Company or any subsidiary, or a conversion into or exchange for Junior Shares or redemptions for the purpose of preserving the Company’s qualification as a REIT (as defined in Section 9(a) hereof)), for any consideration (or any monies to be paid to or made available for a sinking fund for the redemption of any such shares) by the Company, directly or indirectly (except by conversion into or exchange for Junior Shares), unless in each case full cumulative dividends on all outstanding shares of Series C Preferred Stock and any Parity Shares at the time such dividends are payable shall have been paid or set apart for payment for all past dividend periods with respect to the Series C Preferred Stock and all past dividend periods with respect to such Parity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608965</wp:posOffset>
            </wp:positionV>
            <wp:extent cx="4436110" cy="1524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823">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334645</wp:posOffset>
            </wp:positionV>
            <wp:extent cx="5083810" cy="1524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824">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49" w:name="page450"/>
    <w:bookmarkEnd w:id="449"/>
    <w:p>
      <w:pPr>
        <w:ind w:left="600" w:right="840" w:firstLine="475"/>
        <w:spacing w:after="0" w:line="305" w:lineRule="auto"/>
        <w:tabs>
          <w:tab w:leader="none" w:pos="1236" w:val="left"/>
        </w:tabs>
        <w:numPr>
          <w:ilvl w:val="0"/>
          <w:numId w:val="4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dividend payment made on the Series C Preferred Stock shall first be credited against the earliest accrued but unpaid dividend due with respect to such shares which remains payable.</w:t>
      </w:r>
    </w:p>
    <w:p>
      <w:pPr>
        <w:spacing w:after="0" w:line="124" w:lineRule="exact"/>
        <w:rPr>
          <w:rFonts w:ascii="Times New Roman" w:cs="Times New Roman" w:eastAsia="Times New Roman" w:hAnsi="Times New Roman"/>
          <w:sz w:val="13"/>
          <w:szCs w:val="13"/>
          <w:color w:val="auto"/>
        </w:rPr>
      </w:pPr>
    </w:p>
    <w:p>
      <w:pPr>
        <w:ind w:left="1260" w:hanging="185"/>
        <w:spacing w:after="0"/>
        <w:tabs>
          <w:tab w:leader="none" w:pos="1260" w:val="left"/>
        </w:tabs>
        <w:numPr>
          <w:ilvl w:val="0"/>
          <w:numId w:val="4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provided herein, the Series C Preferred Stock shall not be entitled to participate in the earnings or assets of the Company.</w:t>
      </w:r>
    </w:p>
    <w:p>
      <w:pPr>
        <w:spacing w:after="0" w:line="186" w:lineRule="exact"/>
        <w:rPr>
          <w:rFonts w:ascii="Times New Roman" w:cs="Times New Roman" w:eastAsia="Times New Roman" w:hAnsi="Times New Roman"/>
          <w:sz w:val="13"/>
          <w:szCs w:val="13"/>
          <w:color w:val="auto"/>
        </w:rPr>
      </w:pPr>
    </w:p>
    <w:p>
      <w:pPr>
        <w:ind w:left="600" w:right="1080" w:firstLine="475"/>
        <w:spacing w:after="0" w:line="305" w:lineRule="auto"/>
        <w:tabs>
          <w:tab w:leader="none" w:pos="1260" w:val="left"/>
        </w:tabs>
        <w:numPr>
          <w:ilvl w:val="0"/>
          <w:numId w:val="4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used herein, the term “</w:t>
      </w:r>
      <w:r>
        <w:rPr>
          <w:rFonts w:ascii="Times New Roman" w:cs="Times New Roman" w:eastAsia="Times New Roman" w:hAnsi="Times New Roman"/>
          <w:sz w:val="13"/>
          <w:szCs w:val="13"/>
          <w:u w:val="single" w:color="auto"/>
          <w:color w:val="auto"/>
        </w:rPr>
        <w:t>Business Day</w:t>
      </w:r>
      <w:r>
        <w:rPr>
          <w:rFonts w:ascii="Times New Roman" w:cs="Times New Roman" w:eastAsia="Times New Roman" w:hAnsi="Times New Roman"/>
          <w:sz w:val="13"/>
          <w:szCs w:val="13"/>
          <w:color w:val="auto"/>
        </w:rPr>
        <w:t>” shall mean any day, other than a Saturday or a Sunday, which is not a day on which banking institutions in New York, New York are authorized or required by law, regulation or executive order to close.</w:t>
      </w:r>
    </w:p>
    <w:p>
      <w:pPr>
        <w:spacing w:after="0" w:line="124" w:lineRule="exact"/>
        <w:rPr>
          <w:rFonts w:ascii="Times New Roman" w:cs="Times New Roman" w:eastAsia="Times New Roman" w:hAnsi="Times New Roman"/>
          <w:sz w:val="13"/>
          <w:szCs w:val="13"/>
          <w:color w:val="auto"/>
        </w:rPr>
      </w:pPr>
    </w:p>
    <w:p>
      <w:pPr>
        <w:ind w:left="600" w:right="1020" w:firstLine="475"/>
        <w:spacing w:after="0" w:line="305" w:lineRule="auto"/>
        <w:tabs>
          <w:tab w:leader="none" w:pos="1236" w:val="left"/>
        </w:tabs>
        <w:numPr>
          <w:ilvl w:val="0"/>
          <w:numId w:val="4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used herein, the term “</w:t>
      </w:r>
      <w:r>
        <w:rPr>
          <w:rFonts w:ascii="Times New Roman" w:cs="Times New Roman" w:eastAsia="Times New Roman" w:hAnsi="Times New Roman"/>
          <w:sz w:val="13"/>
          <w:szCs w:val="13"/>
          <w:u w:val="single" w:color="auto"/>
          <w:color w:val="auto"/>
        </w:rPr>
        <w:t>dividend</w:t>
      </w:r>
      <w:r>
        <w:rPr>
          <w:rFonts w:ascii="Times New Roman" w:cs="Times New Roman" w:eastAsia="Times New Roman" w:hAnsi="Times New Roman"/>
          <w:sz w:val="13"/>
          <w:szCs w:val="13"/>
          <w:color w:val="auto"/>
        </w:rPr>
        <w:t>” does not include dividends payable solely in shares of Junior Shares on Junior Shares, or in options, warrants or rights to holders of Junior Shares to subscribe for or purchase any Junior Shares.</w:t>
      </w:r>
    </w:p>
    <w:p>
      <w:pPr>
        <w:spacing w:after="0" w:line="12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 xml:space="preserve">Section 4. </w:t>
      </w:r>
      <w:r>
        <w:rPr>
          <w:rFonts w:ascii="Times New Roman" w:cs="Times New Roman" w:eastAsia="Times New Roman" w:hAnsi="Times New Roman"/>
          <w:sz w:val="13"/>
          <w:szCs w:val="13"/>
          <w:u w:val="single" w:color="auto"/>
          <w:color w:val="auto"/>
        </w:rPr>
        <w:t>Liquidation Preference</w:t>
      </w:r>
      <w:r>
        <w:rPr>
          <w:rFonts w:ascii="Times New Roman" w:cs="Times New Roman" w:eastAsia="Times New Roman" w:hAnsi="Times New Roman"/>
          <w:sz w:val="13"/>
          <w:szCs w:val="13"/>
          <w:color w:val="auto"/>
        </w:rPr>
        <w:t>.</w:t>
      </w:r>
    </w:p>
    <w:p>
      <w:pPr>
        <w:spacing w:after="0" w:line="187" w:lineRule="exact"/>
        <w:rPr>
          <w:sz w:val="20"/>
          <w:szCs w:val="20"/>
          <w:color w:val="auto"/>
        </w:rPr>
      </w:pPr>
    </w:p>
    <w:p>
      <w:pPr>
        <w:ind w:left="600" w:right="640" w:firstLine="475"/>
        <w:spacing w:after="0" w:line="273" w:lineRule="auto"/>
        <w:tabs>
          <w:tab w:leader="none" w:pos="1260" w:val="left"/>
        </w:tabs>
        <w:numPr>
          <w:ilvl w:val="0"/>
          <w:numId w:val="4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event of any liquidation, dissolution or winding up of the Company, whether voluntary or involuntary, before any payment or distribution of the assets of the Company shall be made to or set apart for the holders of Junior Shares, the holders of the Series C Preferred Stock shall be entitled to receive $25 per share (the “Liquidation Preference”) plus an amount per share equal to all dividends (whether or not earned or declared) accumulated and unpaid thereon to, but not including, the date of final distribution to such holders; but such holders of the Series C Preferred Stock shall not be entitled to any further payment. If, upon any such liquidation, dissolution or winding up of the Company, the assets of the Company, or proceeds thereof, distributable among the holders of the Series C Preferred Stock shall be insufficient to pay in full the preferential amount aforesaid and liquidating payments on any other Parity Shares, then such assets, or the proceeds thereof, shall be distributed among the holders of such Series C Preferred Stock and any such other Parity Shares ratably in accordance with the respective amounts that would be payable on such Series C Preferred Stock and any such other Parity Shares if all amounts payable thereon were paid in full. For the purposes of this Section 4, none of (i) a consolidation or merger of the Company with one or more entities, (ii) a statutory stock exchange or (iii) a sale or transfer of all or substantially all of the Company’s assets shall be deemed to be a liquidation, dissolution or winding up, voluntary or involuntary, of the Company.</w:t>
      </w:r>
    </w:p>
    <w:p>
      <w:pPr>
        <w:spacing w:after="0" w:line="302" w:lineRule="exact"/>
        <w:rPr>
          <w:rFonts w:ascii="Times New Roman" w:cs="Times New Roman" w:eastAsia="Times New Roman" w:hAnsi="Times New Roman"/>
          <w:sz w:val="13"/>
          <w:szCs w:val="13"/>
          <w:color w:val="auto"/>
        </w:rPr>
      </w:pPr>
    </w:p>
    <w:p>
      <w:pPr>
        <w:jc w:val="both"/>
        <w:ind w:left="600" w:right="780" w:firstLine="475"/>
        <w:spacing w:after="0" w:line="281" w:lineRule="auto"/>
        <w:tabs>
          <w:tab w:leader="none" w:pos="1260" w:val="left"/>
        </w:tabs>
        <w:numPr>
          <w:ilvl w:val="0"/>
          <w:numId w:val="4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the rights of the holders of Parity Shares, upon any liquidation, dissolution or winding up of the Company, after payment shall have been made in full to the holders of the Series C Preferred Stock, as provided in this Section 4, any series or class or classes of Junior Shares shall, subject to any respective terms and provisions applying thereto, be entitled to receive any and all assets remaining to be paid or distributed, and the holders of the Series C Preferred Stock shall not be entitled to share therein.</w:t>
      </w:r>
    </w:p>
    <w:p>
      <w:pPr>
        <w:spacing w:after="0" w:line="14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 xml:space="preserve">Section 5. </w:t>
      </w:r>
      <w:r>
        <w:rPr>
          <w:rFonts w:ascii="Times New Roman" w:cs="Times New Roman" w:eastAsia="Times New Roman" w:hAnsi="Times New Roman"/>
          <w:sz w:val="13"/>
          <w:szCs w:val="13"/>
          <w:u w:val="single" w:color="auto"/>
          <w:color w:val="auto"/>
        </w:rPr>
        <w:t>Optional Redemption</w:t>
      </w:r>
      <w:r>
        <w:rPr>
          <w:rFonts w:ascii="Times New Roman" w:cs="Times New Roman" w:eastAsia="Times New Roman" w:hAnsi="Times New Roman"/>
          <w:sz w:val="13"/>
          <w:szCs w:val="13"/>
          <w:color w:val="auto"/>
        </w:rPr>
        <w:t>.</w:t>
      </w:r>
    </w:p>
    <w:p>
      <w:pPr>
        <w:spacing w:after="0" w:line="187" w:lineRule="exact"/>
        <w:rPr>
          <w:sz w:val="20"/>
          <w:szCs w:val="20"/>
          <w:color w:val="auto"/>
        </w:rPr>
      </w:pPr>
    </w:p>
    <w:p>
      <w:pPr>
        <w:ind w:left="600" w:right="800" w:firstLine="475"/>
        <w:spacing w:after="0" w:line="276" w:lineRule="auto"/>
        <w:tabs>
          <w:tab w:leader="none" w:pos="1260" w:val="left"/>
        </w:tabs>
        <w:numPr>
          <w:ilvl w:val="0"/>
          <w:numId w:val="4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otherwise permitted by the Charter and paragraph (b) below, or to preserve the status of the Company as a REIT (as defined in Section 9(a) hereof) for United States federal income tax purposes, the Series C Preferred Stock shall not be redeemable by the Company prior to May 15, 2021. On and after May 15, 2021, the Company, at its option, upon giving notice as provided below, may redeem the Series C Preferred Stock, in whole, at any time, or in part, from time to time, for cash at a redemption price of $25.00 per share, plus any accumulated and unpaid dividends on the Series C Preferred Stock (whether or not declared), to, but not including, the redemption date (the “</w:t>
      </w:r>
      <w:r>
        <w:rPr>
          <w:rFonts w:ascii="Times New Roman" w:cs="Times New Roman" w:eastAsia="Times New Roman" w:hAnsi="Times New Roman"/>
          <w:sz w:val="13"/>
          <w:szCs w:val="13"/>
          <w:u w:val="single" w:color="auto"/>
          <w:color w:val="auto"/>
        </w:rPr>
        <w:t>Regular Redemption Right</w:t>
      </w:r>
      <w:r>
        <w:rPr>
          <w:rFonts w:ascii="Times New Roman" w:cs="Times New Roman" w:eastAsia="Times New Roman" w:hAnsi="Times New Roman"/>
          <w:sz w:val="13"/>
          <w:szCs w:val="13"/>
          <w:color w:val="auto"/>
        </w:rPr>
        <w:t>”).</w:t>
      </w:r>
    </w:p>
    <w:p>
      <w:pPr>
        <w:spacing w:after="0" w:line="144" w:lineRule="exact"/>
        <w:rPr>
          <w:rFonts w:ascii="Times New Roman" w:cs="Times New Roman" w:eastAsia="Times New Roman" w:hAnsi="Times New Roman"/>
          <w:sz w:val="13"/>
          <w:szCs w:val="13"/>
          <w:color w:val="auto"/>
        </w:rPr>
      </w:pPr>
    </w:p>
    <w:p>
      <w:pPr>
        <w:ind w:left="600" w:right="640" w:firstLine="475"/>
        <w:spacing w:after="0" w:line="274" w:lineRule="auto"/>
        <w:tabs>
          <w:tab w:leader="none" w:pos="1260" w:val="left"/>
        </w:tabs>
        <w:numPr>
          <w:ilvl w:val="0"/>
          <w:numId w:val="4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a Change of Control (as defined below), the Company will have the option, upon giving notice as provided below, to redeem the Series C Preferred Stock, in whole, at any time, or in part, from time to time, within 120 days after the first date on which such Change of Control has occurred (the “</w:t>
      </w:r>
      <w:r>
        <w:rPr>
          <w:rFonts w:ascii="Times New Roman" w:cs="Times New Roman" w:eastAsia="Times New Roman" w:hAnsi="Times New Roman"/>
          <w:sz w:val="13"/>
          <w:szCs w:val="13"/>
          <w:u w:val="single" w:color="auto"/>
          <w:color w:val="auto"/>
        </w:rPr>
        <w:t>Special Redemption Right</w:t>
      </w:r>
      <w:r>
        <w:rPr>
          <w:rFonts w:ascii="Times New Roman" w:cs="Times New Roman" w:eastAsia="Times New Roman" w:hAnsi="Times New Roman"/>
          <w:sz w:val="13"/>
          <w:szCs w:val="13"/>
          <w:color w:val="auto"/>
        </w:rPr>
        <w:t>”), for cash at a redemption price of $25.00 per share, plus any accumulated and unpaid dividends on the Series C Preferred Stock (whether or not declared), to, but not including, the redemption date (the “</w:t>
      </w:r>
      <w:r>
        <w:rPr>
          <w:rFonts w:ascii="Times New Roman" w:cs="Times New Roman" w:eastAsia="Times New Roman" w:hAnsi="Times New Roman"/>
          <w:sz w:val="13"/>
          <w:szCs w:val="13"/>
          <w:u w:val="single" w:color="auto"/>
          <w:color w:val="auto"/>
        </w:rPr>
        <w:t>Special Redemption Price</w:t>
      </w:r>
      <w:r>
        <w:rPr>
          <w:rFonts w:ascii="Times New Roman" w:cs="Times New Roman" w:eastAsia="Times New Roman" w:hAnsi="Times New Roman"/>
          <w:sz w:val="13"/>
          <w:szCs w:val="13"/>
          <w:color w:val="auto"/>
        </w:rPr>
        <w:t>”). If, prior to the Change of Control Conversion Date (as defined below), the Company has provided or provides notice of redemption with respect to the Series C Preferred Stock (whether pursuant to the Regular Redemption Right or the Special Optional Redemption Right), the holders of shares of Series C Preferred Stock will not have the conversion right described below in Section 9. If the Company provides the notice described in Section 9(c) below of a holder’s right to exercise the Change of Control Conversion Right, the Company may no longer exercise its Special Redemption Right until the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106680</wp:posOffset>
            </wp:positionV>
            <wp:extent cx="4436110" cy="1524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825">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548640</wp:posOffset>
            </wp:positionV>
            <wp:extent cx="5083810" cy="1524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826">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50" w:name="page451"/>
    <w:bookmarkEnd w:id="450"/>
    <w:p>
      <w:pPr>
        <w:ind w:left="600"/>
        <w:spacing w:after="0"/>
        <w:rPr>
          <w:sz w:val="20"/>
          <w:szCs w:val="20"/>
          <w:color w:val="auto"/>
        </w:rPr>
      </w:pPr>
      <w:r>
        <w:rPr>
          <w:rFonts w:ascii="Times New Roman" w:cs="Times New Roman" w:eastAsia="Times New Roman" w:hAnsi="Times New Roman"/>
          <w:sz w:val="13"/>
          <w:szCs w:val="13"/>
          <w:color w:val="auto"/>
        </w:rPr>
        <w:t>period during which holders of Series C Preferred Stock may exercise their Change of Control Conversion Right has expired.</w:t>
      </w:r>
    </w:p>
    <w:p>
      <w:pPr>
        <w:spacing w:after="0" w:line="187" w:lineRule="exact"/>
        <w:rPr>
          <w:sz w:val="20"/>
          <w:szCs w:val="20"/>
          <w:color w:val="auto"/>
        </w:rPr>
      </w:pPr>
    </w:p>
    <w:p>
      <w:pPr>
        <w:ind w:left="600" w:right="800" w:firstLine="480"/>
        <w:spacing w:after="0" w:line="305" w:lineRule="auto"/>
        <w:rPr>
          <w:sz w:val="20"/>
          <w:szCs w:val="20"/>
          <w:color w:val="auto"/>
        </w:rPr>
      </w:pPr>
      <w:r>
        <w:rPr>
          <w:rFonts w:ascii="Times New Roman" w:cs="Times New Roman" w:eastAsia="Times New Roman" w:hAnsi="Times New Roman"/>
          <w:sz w:val="13"/>
          <w:szCs w:val="13"/>
          <w:color w:val="auto"/>
        </w:rPr>
        <w:t>A “</w:t>
      </w:r>
      <w:r>
        <w:rPr>
          <w:rFonts w:ascii="Times New Roman" w:cs="Times New Roman" w:eastAsia="Times New Roman" w:hAnsi="Times New Roman"/>
          <w:sz w:val="13"/>
          <w:szCs w:val="13"/>
          <w:u w:val="single" w:color="auto"/>
          <w:color w:val="auto"/>
        </w:rPr>
        <w:t>Change of Control</w:t>
      </w:r>
      <w:r>
        <w:rPr>
          <w:rFonts w:ascii="Times New Roman" w:cs="Times New Roman" w:eastAsia="Times New Roman" w:hAnsi="Times New Roman"/>
          <w:sz w:val="13"/>
          <w:szCs w:val="13"/>
          <w:color w:val="auto"/>
        </w:rPr>
        <w:t>” shall be deemed to have occurred at such time after the original issuance of the Series C Preferred Stock when each of the following has occurred:</w:t>
      </w:r>
    </w:p>
    <w:p>
      <w:pPr>
        <w:spacing w:after="0" w:line="124" w:lineRule="exact"/>
        <w:rPr>
          <w:sz w:val="20"/>
          <w:szCs w:val="20"/>
          <w:color w:val="auto"/>
        </w:rPr>
      </w:pPr>
    </w:p>
    <w:p>
      <w:pPr>
        <w:ind w:left="600" w:right="820" w:firstLine="955"/>
        <w:spacing w:after="0" w:line="276" w:lineRule="auto"/>
        <w:tabs>
          <w:tab w:leader="none" w:pos="1716" w:val="left"/>
        </w:tabs>
        <w:numPr>
          <w:ilvl w:val="0"/>
          <w:numId w:val="4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acquisition by any person, including any syndicate or group deemed to be a “person” under Section 13(d)(3) of the Exchange Act, of beneficial ownership, directly or indirectly, through a purchase, merger or other acquisition transaction or series of purchases, mergers or other acquisition transactions of shares of the Company entitling that person to exercise more than 50% of the total voting power of all shares of the Company entitled to vote generally in elections of directors (except that such person will be deemed to have beneficial ownership of all securities that such person has the right to acquire, whether such right is currently exercisable or is exercisable only upon the occurrence of a subsequent condition); and</w:t>
      </w:r>
    </w:p>
    <w:p>
      <w:pPr>
        <w:spacing w:after="0" w:line="145" w:lineRule="exact"/>
        <w:rPr>
          <w:sz w:val="20"/>
          <w:szCs w:val="20"/>
          <w:color w:val="auto"/>
        </w:rPr>
      </w:pPr>
    </w:p>
    <w:p>
      <w:pPr>
        <w:ind w:left="600" w:right="960" w:firstLine="960"/>
        <w:spacing w:after="0" w:line="287" w:lineRule="auto"/>
        <w:rPr>
          <w:sz w:val="20"/>
          <w:szCs w:val="20"/>
          <w:color w:val="auto"/>
        </w:rPr>
      </w:pPr>
      <w:r>
        <w:rPr>
          <w:rFonts w:ascii="Times New Roman" w:cs="Times New Roman" w:eastAsia="Times New Roman" w:hAnsi="Times New Roman"/>
          <w:sz w:val="13"/>
          <w:szCs w:val="13"/>
          <w:color w:val="auto"/>
        </w:rPr>
        <w:t>(ii) following the closing of any transaction referred to in clause (i) above, neither the Company nor the acquiring or surviving entity has a class of common securities listed on the New York Stock Exchange (the “</w:t>
      </w:r>
      <w:r>
        <w:rPr>
          <w:rFonts w:ascii="Times New Roman" w:cs="Times New Roman" w:eastAsia="Times New Roman" w:hAnsi="Times New Roman"/>
          <w:sz w:val="13"/>
          <w:szCs w:val="13"/>
          <w:u w:val="single" w:color="auto"/>
          <w:color w:val="auto"/>
        </w:rPr>
        <w:t>NYSE</w:t>
      </w:r>
      <w:r>
        <w:rPr>
          <w:rFonts w:ascii="Times New Roman" w:cs="Times New Roman" w:eastAsia="Times New Roman" w:hAnsi="Times New Roman"/>
          <w:sz w:val="13"/>
          <w:szCs w:val="13"/>
          <w:color w:val="auto"/>
        </w:rPr>
        <w:t>”), the NYSE MKT LLC (“</w:t>
      </w:r>
      <w:r>
        <w:rPr>
          <w:rFonts w:ascii="Times New Roman" w:cs="Times New Roman" w:eastAsia="Times New Roman" w:hAnsi="Times New Roman"/>
          <w:sz w:val="13"/>
          <w:szCs w:val="13"/>
          <w:u w:val="single" w:color="auto"/>
          <w:color w:val="auto"/>
        </w:rPr>
        <w:t>NYSE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MKT</w:t>
      </w:r>
      <w:r>
        <w:rPr>
          <w:rFonts w:ascii="Times New Roman" w:cs="Times New Roman" w:eastAsia="Times New Roman" w:hAnsi="Times New Roman"/>
          <w:sz w:val="13"/>
          <w:szCs w:val="13"/>
          <w:color w:val="auto"/>
        </w:rPr>
        <w:t xml:space="preserve">”), or the NASDAQ Stock Market (“ </w:t>
      </w:r>
      <w:r>
        <w:rPr>
          <w:rFonts w:ascii="Times New Roman" w:cs="Times New Roman" w:eastAsia="Times New Roman" w:hAnsi="Times New Roman"/>
          <w:sz w:val="13"/>
          <w:szCs w:val="13"/>
          <w:u w:val="single" w:color="auto"/>
          <w:color w:val="auto"/>
        </w:rPr>
        <w:t>NASDAQ</w:t>
      </w:r>
      <w:r>
        <w:rPr>
          <w:rFonts w:ascii="Times New Roman" w:cs="Times New Roman" w:eastAsia="Times New Roman" w:hAnsi="Times New Roman"/>
          <w:sz w:val="13"/>
          <w:szCs w:val="13"/>
          <w:color w:val="auto"/>
        </w:rPr>
        <w:t>”), or listed on an exchange that is a successor to the NYSE, NYSE MKT or NASDAQ.</w:t>
      </w:r>
    </w:p>
    <w:p>
      <w:pPr>
        <w:spacing w:after="0" w:line="136" w:lineRule="exact"/>
        <w:rPr>
          <w:sz w:val="20"/>
          <w:szCs w:val="20"/>
          <w:color w:val="auto"/>
        </w:rPr>
      </w:pPr>
    </w:p>
    <w:p>
      <w:pPr>
        <w:ind w:left="1260" w:hanging="173"/>
        <w:spacing w:after="0"/>
        <w:tabs>
          <w:tab w:leader="none" w:pos="1260" w:val="left"/>
        </w:tabs>
        <w:numPr>
          <w:ilvl w:val="0"/>
          <w:numId w:val="4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following provisions set forth the procedures for redemption pursuant to the Regular Redemption Right:</w:t>
      </w:r>
    </w:p>
    <w:p>
      <w:pPr>
        <w:spacing w:after="0" w:line="186" w:lineRule="exact"/>
        <w:rPr>
          <w:rFonts w:ascii="Times New Roman" w:cs="Times New Roman" w:eastAsia="Times New Roman" w:hAnsi="Times New Roman"/>
          <w:sz w:val="13"/>
          <w:szCs w:val="13"/>
          <w:color w:val="auto"/>
        </w:rPr>
      </w:pPr>
    </w:p>
    <w:p>
      <w:pPr>
        <w:ind w:left="600" w:right="620" w:firstLine="955"/>
        <w:spacing w:after="0" w:line="273" w:lineRule="auto"/>
        <w:tabs>
          <w:tab w:leader="none" w:pos="1716" w:val="left"/>
        </w:tabs>
        <w:numPr>
          <w:ilvl w:val="1"/>
          <w:numId w:val="4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notice of redemption (which may be contingent upon the occurrence of a future event) shall be mailed, postage prepaid, not less than 30 nor more than 60 days prior to the redemption date, addressed to the holders of record of the Series C Preferred Stock at their addresses as they appear on the Company’s stock transfer records. A failure to give such notice or any defect in the notice or in its mailing shall not affect the validity of the proceedings for the redemption of any shares of the Series C Preferred Stock except as to the holder to whom notice was defective or not given. In addition to any information required by law or by the applicable rules of any exchange upon which the Series C Preferred Stock may be listed or admitted to trading, each notice shall state: (A) the redemption date; (B) the redemption price; (C) the number of shares of Series C Preferred Stock to be redeemed and, if fewer than all the shares of Series C Preferred Stock held by such holder are to be redeemed, the number of such shares of Series C Preferred Stock to be redeemed from such holder; (D) the place or places where the certificates, if any, evidencing the shares of Series C Preferred Stock are to be surrendered for payment of the redemption price; and (E) that dividends on the shares to be redeemed will cease to accrue on such redemption date except as otherwise provided herein.</w:t>
      </w:r>
    </w:p>
    <w:p>
      <w:pPr>
        <w:spacing w:after="0" w:line="136" w:lineRule="exact"/>
        <w:rPr>
          <w:rFonts w:ascii="Times New Roman" w:cs="Times New Roman" w:eastAsia="Times New Roman" w:hAnsi="Times New Roman"/>
          <w:sz w:val="13"/>
          <w:szCs w:val="13"/>
          <w:color w:val="auto"/>
        </w:rPr>
      </w:pPr>
    </w:p>
    <w:p>
      <w:pPr>
        <w:ind w:left="600" w:right="660" w:firstLine="955"/>
        <w:spacing w:after="0" w:line="274" w:lineRule="auto"/>
        <w:tabs>
          <w:tab w:leader="none" w:pos="1752" w:val="left"/>
        </w:tabs>
        <w:numPr>
          <w:ilvl w:val="1"/>
          <w:numId w:val="4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its election, the Company, prior to a redemption date, may irrevocably deposit the redemption price (including accumulated and unpaid dividends to the redemption date) of the Series C Preferred Stock so called for redemption in trust for the holders thereof with a bank or trust company, in which case the redemption notice to holders of the Series C Preferred Stock to be redeemed shall (A) state the date of such deposit, (B) specify the office of such bank or trust company as the place of payment of the redemption price and (C) require such holders to surrender the certificates evidencing such shares at such place on or about the date fixed in such redemption notice (which may not be later than the redemption date) against payment of the redemption price (including all accumulated and unpaid dividends to the redemption date). Subject to applicable escheat laws, any monies so deposited which remain unclaimed by the holders of the Series C Preferred Stock at the end of two years after the redemption date shall be returned by such bank or trust company to the Company.</w:t>
      </w:r>
    </w:p>
    <w:p>
      <w:pPr>
        <w:spacing w:after="0" w:line="135" w:lineRule="exact"/>
        <w:rPr>
          <w:rFonts w:ascii="Times New Roman" w:cs="Times New Roman" w:eastAsia="Times New Roman" w:hAnsi="Times New Roman"/>
          <w:sz w:val="13"/>
          <w:szCs w:val="13"/>
          <w:color w:val="auto"/>
        </w:rPr>
      </w:pPr>
    </w:p>
    <w:p>
      <w:pPr>
        <w:ind w:left="600" w:right="740" w:firstLine="955"/>
        <w:spacing w:after="0" w:line="305" w:lineRule="auto"/>
        <w:tabs>
          <w:tab w:leader="none" w:pos="1788" w:val="left"/>
        </w:tabs>
        <w:numPr>
          <w:ilvl w:val="1"/>
          <w:numId w:val="4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fewer than all the outstanding shares of the Series C Preferred Stock are to be redeemed, the shares to be redeemed shall be selected by lot or pro rata (as nearly as practicable without creating fractional shares).</w:t>
      </w:r>
    </w:p>
    <w:p>
      <w:pPr>
        <w:spacing w:after="0" w:line="124" w:lineRule="exact"/>
        <w:rPr>
          <w:rFonts w:ascii="Times New Roman" w:cs="Times New Roman" w:eastAsia="Times New Roman" w:hAnsi="Times New Roman"/>
          <w:sz w:val="13"/>
          <w:szCs w:val="13"/>
          <w:color w:val="auto"/>
        </w:rPr>
      </w:pPr>
    </w:p>
    <w:p>
      <w:pPr>
        <w:ind w:left="600" w:right="640" w:firstLine="955"/>
        <w:spacing w:after="0" w:line="275" w:lineRule="auto"/>
        <w:tabs>
          <w:tab w:leader="none" w:pos="1776" w:val="left"/>
        </w:tabs>
        <w:numPr>
          <w:ilvl w:val="1"/>
          <w:numId w:val="4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any redemption of Series C Preferred Stock, the Company shall pay any accumulated and unpaid dividends in arrears for any dividend period ending on or prior to the redemption date. If a redemption date falls after a record date for a Series C Preferred Stock dividend payment and prior to the corresponding Dividend Payment Date, then each holder of the Series C Preferred Stock at the close of business on such record date shall be entitled to the dividend payable on such Series C Preferred Stock on the corresponding Dividend Payment Date notwithstanding the redemption of such Series C Preferred Stock before such Dividend Payment Date. Except as provided in this Section 5(c)(iv), the Company shall make no payment or allowance for unpaid dividends, whether or not in arrears, on any shares of Series C Preferred Stock called for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107315</wp:posOffset>
            </wp:positionV>
            <wp:extent cx="4436110" cy="1524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827">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549275</wp:posOffset>
            </wp:positionV>
            <wp:extent cx="5083810" cy="1524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828">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51" w:name="page452"/>
    <w:bookmarkEnd w:id="451"/>
    <w:p>
      <w:pPr>
        <w:ind w:left="600" w:right="660" w:firstLine="955"/>
        <w:spacing w:after="0" w:line="281" w:lineRule="auto"/>
        <w:tabs>
          <w:tab w:leader="none" w:pos="1740" w:val="left"/>
        </w:tabs>
        <w:numPr>
          <w:ilvl w:val="1"/>
          <w:numId w:val="4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full cumulative dividends on the Series C Preferred Stock and any other series or class or classes of Parity Shares have not been paid or declared and set apart for payment, except for redemptions for the purpose of preserving the Company’s qualification as a REIT (as defined in the Section 9(a) hereof) or as otherwise permitted under the Charter, the Company may not purchase, redeem or otherwise acquire shares of the Series C Preferred Stock or any Parity Shares other than in exchange for Junior Shares.</w:t>
      </w:r>
    </w:p>
    <w:p>
      <w:pPr>
        <w:spacing w:after="0" w:line="140" w:lineRule="exact"/>
        <w:rPr>
          <w:rFonts w:ascii="Times New Roman" w:cs="Times New Roman" w:eastAsia="Times New Roman" w:hAnsi="Times New Roman"/>
          <w:sz w:val="13"/>
          <w:szCs w:val="13"/>
          <w:color w:val="auto"/>
        </w:rPr>
      </w:pPr>
    </w:p>
    <w:p>
      <w:pPr>
        <w:ind w:left="600" w:right="720" w:firstLine="955"/>
        <w:spacing w:after="0" w:line="275" w:lineRule="auto"/>
        <w:tabs>
          <w:tab w:leader="none" w:pos="1776" w:val="left"/>
        </w:tabs>
        <w:numPr>
          <w:ilvl w:val="1"/>
          <w:numId w:val="4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and after the date fixed for redemption, provided that the Company has made available at the office of the registrar and transfer agent a sufficient amount of cash to effect the redemption, dividends will cease to accumulate on the shares of Series C Preferred Stock called for redemption (except that, in the case of a redemption date after a dividend payment record date and prior to the related Series C Dividend Payment Date, holders of Series C Preferred Stock on the applicable record date will be entitled on such Series C Dividend Payment Date to receive the dividend payable on such shares on the corresponding Series C Dividend Payment Date), such shares shall no longer be deemed to be outstanding and all rights of the holders of such shares as holders of Series C Preferred Stock shall cease except the right to receive the cash payable upon such redemption, without interest from the date of such redemption.</w:t>
      </w:r>
    </w:p>
    <w:p>
      <w:pPr>
        <w:spacing w:after="0" w:line="145" w:lineRule="exact"/>
        <w:rPr>
          <w:rFonts w:ascii="Times New Roman" w:cs="Times New Roman" w:eastAsia="Times New Roman" w:hAnsi="Times New Roman"/>
          <w:sz w:val="13"/>
          <w:szCs w:val="13"/>
          <w:color w:val="auto"/>
        </w:rPr>
      </w:pPr>
    </w:p>
    <w:p>
      <w:pPr>
        <w:ind w:left="1260" w:hanging="173"/>
        <w:spacing w:after="0"/>
        <w:tabs>
          <w:tab w:leader="none" w:pos="1260" w:val="left"/>
        </w:tabs>
        <w:numPr>
          <w:ilvl w:val="0"/>
          <w:numId w:val="4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following provisions set forth the procedures for redemption pursuant to the Special Redemption Right:</w:t>
      </w:r>
    </w:p>
    <w:p>
      <w:pPr>
        <w:spacing w:after="0" w:line="187" w:lineRule="exact"/>
        <w:rPr>
          <w:sz w:val="20"/>
          <w:szCs w:val="20"/>
          <w:color w:val="auto"/>
        </w:rPr>
      </w:pPr>
    </w:p>
    <w:p>
      <w:pPr>
        <w:ind w:left="600" w:right="640" w:firstLine="960"/>
        <w:spacing w:after="0" w:line="274" w:lineRule="auto"/>
        <w:rPr>
          <w:sz w:val="20"/>
          <w:szCs w:val="20"/>
          <w:color w:val="auto"/>
        </w:rPr>
      </w:pPr>
      <w:r>
        <w:rPr>
          <w:rFonts w:ascii="Times New Roman" w:cs="Times New Roman" w:eastAsia="Times New Roman" w:hAnsi="Times New Roman"/>
          <w:sz w:val="13"/>
          <w:szCs w:val="13"/>
          <w:color w:val="auto"/>
        </w:rPr>
        <w:t>(i) A notice of redemption shall be mailed, postage prepaid, not less than 30 nor more than 60 days prior to the redemption date, addressed to the holders of record of the Series C Preferred Stock at their addresses as they appear on the Company’s stock transfer records. A failure to give such notice or any defect in the notice or in its mailing shall not affect the validity of the proceedings for the redemption of any shares of Series C Preferred Stock except as to the holder to whom notice was defective or not given. In addition to any information required by law or by the applicable rules of any exchange upon which the Series C Preferred Stock may be listed or admitted to trading, each notice shall state: (A) the redemption date; (B) the redemption price; (C) the number of shares of Series C Preferred Stock to be redeemed; (D) the place or places where the certificates, if any, evidencing the shares of Series C Preferred Stock are to be surrendered for payment of the redemption price; and (E) that dividends on the shares to be redeemed will cease to accrue on such redemption date except as otherwise provided herein.</w:t>
      </w:r>
    </w:p>
    <w:p>
      <w:pPr>
        <w:spacing w:after="0" w:line="135" w:lineRule="exact"/>
        <w:rPr>
          <w:sz w:val="20"/>
          <w:szCs w:val="20"/>
          <w:color w:val="auto"/>
        </w:rPr>
      </w:pPr>
    </w:p>
    <w:p>
      <w:pPr>
        <w:ind w:left="600" w:right="660" w:firstLine="955"/>
        <w:spacing w:after="0" w:line="274" w:lineRule="auto"/>
        <w:tabs>
          <w:tab w:leader="none" w:pos="1752" w:val="left"/>
        </w:tabs>
        <w:numPr>
          <w:ilvl w:val="0"/>
          <w:numId w:val="4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its election, the Company, prior to a redemption date, may irrevocably deposit the redemption price (including accumulated and unpaid dividends to the redemption date) of the Series C Preferred Stock so called for redemption in trust for the holders thereof with a bank or trust company, in which case the redemption notice to holders of the Series C Preferred Stock to be redeemed shall (A) state the date of such deposit, (B) specify the office of such bank or trust company as the place of payment of the redemption price and (C) require such holders to surrender the certificates evidencing such shares at such place on or about the date fixed in such redemption notice (which may not be later than the redemption date) against payment of the redemption price (including all accumulated and unpaid dividends to the redemption date). Subject to applicable escheat laws, any monies so deposited which remain unclaimed by the holders of the Series C Preferred Stock at the end of two years after the redemption date shall be returned by such bank or trust company to the Company.</w:t>
      </w:r>
    </w:p>
    <w:p>
      <w:pPr>
        <w:spacing w:after="0" w:line="147" w:lineRule="exact"/>
        <w:rPr>
          <w:rFonts w:ascii="Times New Roman" w:cs="Times New Roman" w:eastAsia="Times New Roman" w:hAnsi="Times New Roman"/>
          <w:sz w:val="13"/>
          <w:szCs w:val="13"/>
          <w:color w:val="auto"/>
        </w:rPr>
      </w:pPr>
    </w:p>
    <w:p>
      <w:pPr>
        <w:ind w:left="600" w:right="660" w:firstLine="955"/>
        <w:spacing w:after="0" w:line="275" w:lineRule="auto"/>
        <w:tabs>
          <w:tab w:leader="none" w:pos="1788" w:val="left"/>
        </w:tabs>
        <w:numPr>
          <w:ilvl w:val="0"/>
          <w:numId w:val="4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the redemption of Series C Preferred Stock, the Company shall pay any accumulated and unpaid dividends in arrears for any dividend period ending on or prior to the redemption date. If the redemption date falls after a record date for a Series C Preferred Stock dividend payment and prior to the corresponding Series C Dividend Payment Date, then each holder of the Series C Preferred Stock at the close of business on such record date shall be entitled to the dividend payable on such Series C Preferred Stock on the corresponding Series C Dividend Payment Date notwithstanding the redemption of such Series C Preferred Stock before such Series C Dividend Payment Date. Except as provided in Section 5(c)(iv), the Company shall make no payment or allowance for unpaid dividends, whether or not in arrears, on any shares of Series C Preferred Stock called for redemption.</w:t>
      </w:r>
    </w:p>
    <w:p>
      <w:pPr>
        <w:spacing w:after="0" w:line="133" w:lineRule="exact"/>
        <w:rPr>
          <w:rFonts w:ascii="Times New Roman" w:cs="Times New Roman" w:eastAsia="Times New Roman" w:hAnsi="Times New Roman"/>
          <w:sz w:val="13"/>
          <w:szCs w:val="13"/>
          <w:color w:val="auto"/>
        </w:rPr>
      </w:pPr>
    </w:p>
    <w:p>
      <w:pPr>
        <w:ind w:left="600" w:right="620" w:firstLine="955"/>
        <w:spacing w:after="0" w:line="281" w:lineRule="auto"/>
        <w:tabs>
          <w:tab w:leader="none" w:pos="1776" w:val="left"/>
        </w:tabs>
        <w:numPr>
          <w:ilvl w:val="0"/>
          <w:numId w:val="4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full cumulative dividends on the Series C Preferred Stock and any other series or class or classes of Parity Shares have not been paid or declared and set apart for payment, except for redemptions for the purpose of preserving the Company’s qualification as a REIT (as defined in the Charter) or as otherwise permitted under the Charter, the Company may not purchase, redeem or otherwise acquire shares of the Series C Preferred Stock or any Parity Shares other than in exchange for Junior Shares.</w:t>
      </w:r>
    </w:p>
    <w:p>
      <w:pPr>
        <w:spacing w:after="0" w:line="140" w:lineRule="exact"/>
        <w:rPr>
          <w:rFonts w:ascii="Times New Roman" w:cs="Times New Roman" w:eastAsia="Times New Roman" w:hAnsi="Times New Roman"/>
          <w:sz w:val="13"/>
          <w:szCs w:val="13"/>
          <w:color w:val="auto"/>
        </w:rPr>
      </w:pPr>
    </w:p>
    <w:p>
      <w:pPr>
        <w:ind w:left="600" w:right="760" w:firstLine="955"/>
        <w:spacing w:after="0" w:line="305" w:lineRule="auto"/>
        <w:tabs>
          <w:tab w:leader="none" w:pos="1740" w:val="left"/>
        </w:tabs>
        <w:numPr>
          <w:ilvl w:val="0"/>
          <w:numId w:val="4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and after the date fixed for redemption, provided that the Company has made available at the office of the registrar and transfer agent a sufficient amount of cash to effect the redemption, dividends will cease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93980</wp:posOffset>
            </wp:positionV>
            <wp:extent cx="4436110" cy="762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829">
                      <a:extLst>
                        <a:ext uri="{28A0092B-C50C-407E-A947-70E740481C1C}"/>
                      </a:extLst>
                    </a:blip>
                    <a:srcRect/>
                    <a:stretch>
                      <a:fillRect/>
                    </a:stretch>
                  </pic:blipFill>
                  <pic:spPr bwMode="auto">
                    <a:xfrm>
                      <a:off x="0" y="0"/>
                      <a:ext cx="4436110"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528320</wp:posOffset>
            </wp:positionV>
            <wp:extent cx="5083810" cy="1524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830">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52" w:name="page453"/>
    <w:bookmarkEnd w:id="452"/>
    <w:p>
      <w:pPr>
        <w:ind w:left="600" w:right="640"/>
        <w:spacing w:after="0" w:line="278" w:lineRule="auto"/>
        <w:rPr>
          <w:sz w:val="20"/>
          <w:szCs w:val="20"/>
          <w:color w:val="auto"/>
        </w:rPr>
      </w:pPr>
      <w:r>
        <w:rPr>
          <w:rFonts w:ascii="Times New Roman" w:cs="Times New Roman" w:eastAsia="Times New Roman" w:hAnsi="Times New Roman"/>
          <w:sz w:val="13"/>
          <w:szCs w:val="13"/>
          <w:color w:val="auto"/>
        </w:rPr>
        <w:t>accumulate on the shares of Series C Preferred Stock called for redemption (except that, in the case of a redemption date after a dividend payment record date and prior to the related Series C Dividend Payment Date, holders of Series C Preferred Stock on the applicable record date will be entitled on such Series C Dividend Payment Date to receive the dividend payable on such shares on the corresponding Series C Dividend Payment Date), such shares shall no longer be deemed to be outstanding and all rights of the holders of such shares as holders of Series C Preferred Stock shall cease except the right to receive the cash payable upon such redemption, without interest from the date of such redemption.</w:t>
      </w:r>
    </w:p>
    <w:p>
      <w:pPr>
        <w:spacing w:after="0" w:line="143" w:lineRule="exact"/>
        <w:rPr>
          <w:sz w:val="20"/>
          <w:szCs w:val="20"/>
          <w:color w:val="auto"/>
        </w:rPr>
      </w:pPr>
    </w:p>
    <w:p>
      <w:pPr>
        <w:ind w:left="600" w:right="900" w:firstLine="475"/>
        <w:spacing w:after="0" w:line="305" w:lineRule="auto"/>
        <w:tabs>
          <w:tab w:leader="none" w:pos="1260" w:val="left"/>
        </w:tabs>
        <w:numPr>
          <w:ilvl w:val="0"/>
          <w:numId w:val="4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shares of Series C Preferred Stock that shall at any time have been redeemed shall, after such redemption, have the status of authorized but unissued Preferred Stock, without designation as to series or class.</w:t>
      </w:r>
    </w:p>
    <w:p>
      <w:pPr>
        <w:spacing w:after="0" w:line="118" w:lineRule="exact"/>
        <w:rPr>
          <w:sz w:val="20"/>
          <w:szCs w:val="20"/>
          <w:color w:val="auto"/>
        </w:rPr>
      </w:pPr>
    </w:p>
    <w:tbl>
      <w:tblPr>
        <w:tblLayout w:type="fixed"/>
        <w:tblInd w:w="1080" w:type="dxa"/>
        <w:tblCellMar>
          <w:top w:w="0" w:type="dxa"/>
          <w:left w:w="0" w:type="dxa"/>
          <w:bottom w:w="0" w:type="dxa"/>
          <w:right w:w="0" w:type="dxa"/>
        </w:tblCellMar>
      </w:tblPr>
      <w:tr>
        <w:trPr>
          <w:trHeight w:val="149"/>
        </w:trPr>
        <w:tc>
          <w:tcPr>
            <w:tcW w:w="63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Section 6. Voting Rights. Holders of the Series C Preferred Stock shall not have any voting rights, except as set forth in</w:t>
            </w:r>
          </w:p>
        </w:tc>
        <w:tc>
          <w:tcPr>
            <w:tcW w:w="78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7"/>
              </w:rPr>
              <w:t>this Section 6.</w:t>
            </w:r>
          </w:p>
        </w:tc>
      </w:tr>
      <w:tr>
        <w:trPr>
          <w:trHeight w:val="20"/>
        </w:trPr>
        <w:tc>
          <w:tcPr>
            <w:tcW w:w="5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44"/>
        </w:trPr>
        <w:tc>
          <w:tcPr>
            <w:tcW w:w="63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(a) Whenever dividends on any shares of Series C Preferred Stock shall be in arrears for six or more consecutive or non-</w:t>
            </w: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consecutive</w:t>
            </w:r>
          </w:p>
        </w:tc>
      </w:tr>
    </w:tbl>
    <w:p>
      <w:pPr>
        <w:ind w:left="600" w:right="640"/>
        <w:spacing w:after="0" w:line="269" w:lineRule="auto"/>
        <w:rPr>
          <w:sz w:val="20"/>
          <w:szCs w:val="20"/>
          <w:color w:val="auto"/>
        </w:rPr>
      </w:pPr>
      <w:r>
        <w:rPr>
          <w:rFonts w:ascii="Times New Roman" w:cs="Times New Roman" w:eastAsia="Times New Roman" w:hAnsi="Times New Roman"/>
          <w:sz w:val="13"/>
          <w:szCs w:val="13"/>
          <w:color w:val="auto"/>
        </w:rPr>
        <w:t>quarterly periods (a “</w:t>
      </w:r>
      <w:r>
        <w:rPr>
          <w:rFonts w:ascii="Times New Roman" w:cs="Times New Roman" w:eastAsia="Times New Roman" w:hAnsi="Times New Roman"/>
          <w:sz w:val="13"/>
          <w:szCs w:val="13"/>
          <w:u w:val="single" w:color="auto"/>
          <w:color w:val="auto"/>
        </w:rPr>
        <w:t>Preferred Dividend Default</w:t>
      </w:r>
      <w:r>
        <w:rPr>
          <w:rFonts w:ascii="Times New Roman" w:cs="Times New Roman" w:eastAsia="Times New Roman" w:hAnsi="Times New Roman"/>
          <w:sz w:val="13"/>
          <w:szCs w:val="13"/>
          <w:color w:val="auto"/>
        </w:rPr>
        <w:t>”), the holders of such Series C Preferred Stock (voting separately as a class together with holders of all other Parity Shares (the “</w:t>
      </w:r>
      <w:r>
        <w:rPr>
          <w:rFonts w:ascii="Times New Roman" w:cs="Times New Roman" w:eastAsia="Times New Roman" w:hAnsi="Times New Roman"/>
          <w:sz w:val="13"/>
          <w:szCs w:val="13"/>
          <w:u w:val="single" w:color="auto"/>
          <w:color w:val="auto"/>
        </w:rPr>
        <w:t>Voting Preferred Shares</w:t>
      </w:r>
      <w:r>
        <w:rPr>
          <w:rFonts w:ascii="Times New Roman" w:cs="Times New Roman" w:eastAsia="Times New Roman" w:hAnsi="Times New Roman"/>
          <w:sz w:val="13"/>
          <w:szCs w:val="13"/>
          <w:color w:val="auto"/>
        </w:rPr>
        <w:t>”), shall be entitled to vote for the election of a total of two additional directors of the Company (the “</w:t>
      </w:r>
      <w:r>
        <w:rPr>
          <w:rFonts w:ascii="Times New Roman" w:cs="Times New Roman" w:eastAsia="Times New Roman" w:hAnsi="Times New Roman"/>
          <w:sz w:val="13"/>
          <w:szCs w:val="13"/>
          <w:u w:val="single" w:color="auto"/>
          <w:color w:val="auto"/>
        </w:rPr>
        <w:t>Preferred Directors</w:t>
      </w:r>
      <w:r>
        <w:rPr>
          <w:rFonts w:ascii="Times New Roman" w:cs="Times New Roman" w:eastAsia="Times New Roman" w:hAnsi="Times New Roman"/>
          <w:sz w:val="13"/>
          <w:szCs w:val="13"/>
          <w:color w:val="auto"/>
        </w:rPr>
        <w:t>”) until all dividends accumulated on such Series C Preferred Stock and Parity Shares for the past Dividend Periods shall have been fully paid. In such case, the entire Board will be increased by two directors. The Preferred Directors will be elected by a plurality of the votes cast in the election for a one-year term and each Preferred Director will serve until his or her successor is duly elected and qualifies or until such Preferred Director’s right to hold the office terminates, whichever occurs earlier, subject to such Preferred Director’s earlier death, disqualification, resignation or removal. The election will take place at (i) either a special meeting called in accordance with Section 6(b) below if the request is received more than 90 days before the date fixed for the Company’s next annual or special meeting of stockholders or</w:t>
      </w:r>
    </w:p>
    <w:p>
      <w:pPr>
        <w:spacing w:after="0" w:line="4" w:lineRule="exact"/>
        <w:rPr>
          <w:sz w:val="20"/>
          <w:szCs w:val="20"/>
          <w:color w:val="auto"/>
        </w:rPr>
      </w:pPr>
    </w:p>
    <w:p>
      <w:pPr>
        <w:ind w:left="600" w:right="680" w:hanging="6"/>
        <w:spacing w:after="0" w:line="275" w:lineRule="auto"/>
        <w:tabs>
          <w:tab w:leader="none" w:pos="809" w:val="left"/>
        </w:tabs>
        <w:numPr>
          <w:ilvl w:val="0"/>
          <w:numId w:val="4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next annual or special meeting of stockholders if the request is received within 90 days of the date fixed for the Company’s next annual or special meeting of stockholders, and (ii) at each subsequent annual meeting of stockholders, or special meeting held in place thereof, until all such dividends in arrears on the Series C Preferred Stock and each such class or series of outstanding Parity Preferred have been paid in full. A dividend in respect of Series C Preferred Stock shall be considered timely made if made within two Business Days after the applicable Dividend Payment Date if at the time of such late payment date there shall not be any prior quarterly Dividend Periods in respect of which full dividends were not timely made at the applicable Dividend Payment Date.</w:t>
      </w:r>
    </w:p>
    <w:p>
      <w:pPr>
        <w:spacing w:after="0" w:line="133" w:lineRule="exact"/>
        <w:rPr>
          <w:rFonts w:ascii="Times New Roman" w:cs="Times New Roman" w:eastAsia="Times New Roman" w:hAnsi="Times New Roman"/>
          <w:sz w:val="13"/>
          <w:szCs w:val="13"/>
          <w:color w:val="auto"/>
        </w:rPr>
      </w:pPr>
    </w:p>
    <w:p>
      <w:pPr>
        <w:ind w:left="600" w:right="620" w:firstLine="475"/>
        <w:spacing w:after="0" w:line="271" w:lineRule="auto"/>
        <w:tabs>
          <w:tab w:leader="none" w:pos="1260" w:val="left"/>
        </w:tabs>
        <w:numPr>
          <w:ilvl w:val="1"/>
          <w:numId w:val="4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any time when such voting rights shall have vested, a proper officer of the Company shall call or cause to be called, upon written request of holders of record of at least 10% of the outstanding shares of Series C Preferred Stock and Parity Shares, a special meeting of the holders of Series C Preferred Stock and each class or series of Parity Shares by mailing or causing to be mailed to such holders a notice of such special meeting to be held not fewer than ten or more than 45 days after the date such notice is given. The record date for determining holders of the Series C Preferred Stock and Parity Shares entitled to notice of and to vote at such special meeting will be the close of business on the third Business Day preceding the day on which such notice is mailed. At any such annual or special meeting, all of the holders of the Series C Preferred Stock and Parity Shares, by plurality vote, voting together as a single class without regard to class or series will be entitled to elect two directors on the basis of one vote per $25.00 of liquidation preference to which such Series C Preferred Stock and Parity Shares are entitled by their terms (excluding amounts in respect of accumulated and unpaid dividends) and not cumulatively. The holder or holders of one- third of the Series C Preferred Stock and Parity Shares voting as a single class then outstanding, present in person or by proxy, will constitute a quorum for the election of the Preferred Directors except as otherwise provided by law. Notice of all meetings at which holders of the Series C Preferred Stock and the Parity Shares shall be entitled to vote will be given to such holders at their addresses as they appear in the transfer records. At any such meeting or adjournment thereof in the absence of a quorum, subject to the provisions of any applicable law, a majority of the holders of the Series C Preferred Stock and Parity Shares voting as a single class present in person or by proxy shall have the power to adjourn the meeting for the election of the Preferred Directors, without notice other than an announcement at the meeting, until a quorum is present. If a Preferred Dividend Default shall terminate after the notice of a special meeting has been given but before such special meeting has been held, the Company shall, as soon as practicable after such termination, mail or cause to be mailed notice of such termination to holders of the Series C Preferred Stock and the Parity Shares that would have been entitled to vote at such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113030</wp:posOffset>
            </wp:positionV>
            <wp:extent cx="4436110" cy="1524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831">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547370</wp:posOffset>
            </wp:positionV>
            <wp:extent cx="5083810" cy="1524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832">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53" w:name="page454"/>
    <w:bookmarkEnd w:id="453"/>
    <w:p>
      <w:pPr>
        <w:ind w:left="600" w:right="620" w:firstLine="475"/>
        <w:spacing w:after="0" w:line="273" w:lineRule="auto"/>
        <w:tabs>
          <w:tab w:leader="none" w:pos="1248" w:val="left"/>
        </w:tabs>
        <w:numPr>
          <w:ilvl w:val="1"/>
          <w:numId w:val="4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and when all accumulated dividends on such Series C Preferred Stock and all classes or series of Parity Shares for the past Dividend Periods shall have been fully paid, the right of the holders of Series C Preferred Stock and the Parity Preferred to elect such additional two directors shall immediately cease (subject to revesting in the event of each and every Preferred Dividend Default), and the term of office of each Preferred Director so elected shall terminate and the entire Board shall be reduced accordingly. Any Preferred Director may be removed at any time with or without cause by the vote of, and shall not be removed otherwise than by the vote of, the holders of record of a majority of the outstanding Series C Preferred Stock and the Parity Shares entitled to vote thereon when they have the voting rights set forth in Section 6(a) hereof (voting as a single class). So long as a Preferred Dividend Default shall continue, any vacancy in the office of a Preferred Director may be filled by written consent of the Preferred Director remaining in office, or if none remains in office, by a vote of the holders of record of a majority of the outstanding Series C Preferred Stock when they have the voting rights described above (voting as a single class with all other classes or series of Parity Preferred). Each of the Preferred Directors shall be entitled to one vote on any matter.</w:t>
      </w:r>
    </w:p>
    <w:p>
      <w:pPr>
        <w:spacing w:after="0" w:line="136" w:lineRule="exact"/>
        <w:rPr>
          <w:rFonts w:ascii="Times New Roman" w:cs="Times New Roman" w:eastAsia="Times New Roman" w:hAnsi="Times New Roman"/>
          <w:sz w:val="13"/>
          <w:szCs w:val="13"/>
          <w:color w:val="auto"/>
        </w:rPr>
      </w:pPr>
    </w:p>
    <w:p>
      <w:pPr>
        <w:ind w:left="600" w:right="700" w:firstLine="475"/>
        <w:spacing w:after="0" w:line="272" w:lineRule="auto"/>
        <w:tabs>
          <w:tab w:leader="none" w:pos="1260" w:val="left"/>
        </w:tabs>
        <w:numPr>
          <w:ilvl w:val="1"/>
          <w:numId w:val="4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So long as any shares of Series C Preferred Stock are outstanding, the approval of two-thirds of the votes entitled to be cast by the holders of outstanding Series C Preferred Stock, voting separately as a class, either at a meeting of stockholders or by written consent, is required</w:t>
      </w:r>
    </w:p>
    <w:p>
      <w:pPr>
        <w:ind w:left="600" w:right="620" w:hanging="6"/>
        <w:spacing w:after="0" w:line="272" w:lineRule="auto"/>
        <w:tabs>
          <w:tab w:leader="none" w:pos="756" w:val="left"/>
        </w:tabs>
        <w:numPr>
          <w:ilvl w:val="0"/>
          <w:numId w:val="4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amend, alter or repeal any provisions of the Charter (including these Articles Supplementary), whether by merger, consolidation or otherwise, to affect materially and adversely the voting powers, rights or preferences of the holders of the Series C Preferred Stock, unless in connection with any such amendment, alteration or repeal, the Series C Preferred Stock remains outstanding without the terms thereof being materially changed in any respect adverse to the holders thereof or is converted into or exchanged for preferred stock of the surviving entity having preferences, conversion and other rights, voting powers, restrictions, limitations as to dividends, qualifications and terms and conditions of redemption thereof that are substantially similar to those of the Series C Preferred Stock, or (ii) to authorize, create, or increase the authorized amount of any class or series of capital stock having rights senior to the Series C Preferred Stock with respect to the payment of dividends or amounts upon liquidation, dissolution or winding up (provided that if such amendment affects materially and adversely the rights, preferences, privileges or voting powers of one or more but not all of the other series of Voting Preferred Shares, the consent of the holders of at least two-thirds of the outstanding shares of each such series so affected is required). However, the Company may create additional classes of Parity Shares and Junior Shares, amend the Charter and these Articles Supplementary to increase the authorized number of shares of Parity Shares (including the Series C Preferred Stock) and Junior Shares and issue additional series of Parity Shares and Junior Shares without the consent of any holder of Series C Preferred Stock.</w:t>
      </w:r>
    </w:p>
    <w:p>
      <w:pPr>
        <w:spacing w:after="0" w:line="304" w:lineRule="exact"/>
        <w:rPr>
          <w:rFonts w:ascii="Times New Roman" w:cs="Times New Roman" w:eastAsia="Times New Roman" w:hAnsi="Times New Roman"/>
          <w:sz w:val="13"/>
          <w:szCs w:val="13"/>
          <w:color w:val="auto"/>
        </w:rPr>
      </w:pPr>
    </w:p>
    <w:p>
      <w:pPr>
        <w:ind w:left="600" w:right="640" w:firstLine="475"/>
        <w:spacing w:after="0" w:line="287" w:lineRule="auto"/>
        <w:tabs>
          <w:tab w:leader="none" w:pos="1260" w:val="left"/>
        </w:tabs>
        <w:numPr>
          <w:ilvl w:val="1"/>
          <w:numId w:val="4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foregoing voting provisions shall not apply if, at or prior to the time when the act with respect to which such vote would otherwise be required shall be effected, all outstanding shares of Series C Preferred Stock shall have been redeemed or called for redemption upon proper notice and sufficient funds shall have been deposited in trust to effect such redemption.</w:t>
      </w:r>
    </w:p>
    <w:p>
      <w:pPr>
        <w:spacing w:after="0" w:line="136" w:lineRule="exact"/>
        <w:rPr>
          <w:sz w:val="20"/>
          <w:szCs w:val="20"/>
          <w:color w:val="auto"/>
        </w:rPr>
      </w:pPr>
    </w:p>
    <w:p>
      <w:pPr>
        <w:ind w:left="600" w:right="680" w:firstLine="480"/>
        <w:spacing w:after="0" w:line="274" w:lineRule="auto"/>
        <w:rPr>
          <w:sz w:val="20"/>
          <w:szCs w:val="20"/>
          <w:color w:val="auto"/>
        </w:rPr>
      </w:pPr>
      <w:r>
        <w:rPr>
          <w:rFonts w:ascii="Times New Roman" w:cs="Times New Roman" w:eastAsia="Times New Roman" w:hAnsi="Times New Roman"/>
          <w:sz w:val="13"/>
          <w:szCs w:val="13"/>
          <w:color w:val="auto"/>
        </w:rPr>
        <w:t xml:space="preserve">Section 7. </w:t>
      </w:r>
      <w:r>
        <w:rPr>
          <w:rFonts w:ascii="Times New Roman" w:cs="Times New Roman" w:eastAsia="Times New Roman" w:hAnsi="Times New Roman"/>
          <w:sz w:val="13"/>
          <w:szCs w:val="13"/>
          <w:u w:val="single" w:color="auto"/>
          <w:color w:val="auto"/>
        </w:rPr>
        <w:t>Information Rights</w:t>
      </w:r>
      <w:r>
        <w:rPr>
          <w:rFonts w:ascii="Times New Roman" w:cs="Times New Roman" w:eastAsia="Times New Roman" w:hAnsi="Times New Roman"/>
          <w:sz w:val="13"/>
          <w:szCs w:val="13"/>
          <w:color w:val="auto"/>
        </w:rPr>
        <w:t>. During any period in which the Company is not subject to Section 13 or 15(d) of the Securities Exchange Act of 1934 (the “</w:t>
      </w:r>
      <w:r>
        <w:rPr>
          <w:rFonts w:ascii="Times New Roman" w:cs="Times New Roman" w:eastAsia="Times New Roman" w:hAnsi="Times New Roman"/>
          <w:sz w:val="13"/>
          <w:szCs w:val="13"/>
          <w:u w:val="single" w:color="auto"/>
          <w:color w:val="auto"/>
        </w:rPr>
        <w:t>Exchange Act</w:t>
      </w:r>
      <w:r>
        <w:rPr>
          <w:rFonts w:ascii="Times New Roman" w:cs="Times New Roman" w:eastAsia="Times New Roman" w:hAnsi="Times New Roman"/>
          <w:sz w:val="13"/>
          <w:szCs w:val="13"/>
          <w:color w:val="auto"/>
        </w:rPr>
        <w:t>”) and any shares of Series C Preferred Stock are outstanding, the Company will (i) transmit by mail (or other permissible means under the Exchange Act) to all holders of Series C Preferred Stock, as their names and addresses appear in the record books of the Company and without cost to such holders, copies of the annual reports and quarterly reports that the Company would have been required to file with the Securities and Exchange Commission (the “</w:t>
      </w:r>
      <w:r>
        <w:rPr>
          <w:rFonts w:ascii="Times New Roman" w:cs="Times New Roman" w:eastAsia="Times New Roman" w:hAnsi="Times New Roman"/>
          <w:sz w:val="13"/>
          <w:szCs w:val="13"/>
          <w:u w:val="single" w:color="auto"/>
          <w:color w:val="auto"/>
        </w:rPr>
        <w:t>SEC</w:t>
      </w:r>
      <w:r>
        <w:rPr>
          <w:rFonts w:ascii="Times New Roman" w:cs="Times New Roman" w:eastAsia="Times New Roman" w:hAnsi="Times New Roman"/>
          <w:sz w:val="13"/>
          <w:szCs w:val="13"/>
          <w:color w:val="auto"/>
        </w:rPr>
        <w:t>”) pursuant to Section 13 or 15(d) of the Exchange Act if the Company were subject thereto (other than any exhibits that would have been required) and (ii) promptly, upon request, supply copies of such reports to any prospective holder of Series C Preferred Stock. The Company will mail (or otherwise provide) the information to the holders of Series C Preferred Stock within 15 days after the respective dates by which a periodic report on Form 10-K or Form 10-Q, as the case may be, in respect of such information would have been required to be filed with the SEC if the Company were subject to Section 13 or 15(d) of the Exchange Act.</w:t>
      </w:r>
    </w:p>
    <w:p>
      <w:pPr>
        <w:spacing w:after="0" w:line="132" w:lineRule="exact"/>
        <w:rPr>
          <w:sz w:val="20"/>
          <w:szCs w:val="20"/>
          <w:color w:val="auto"/>
        </w:rPr>
      </w:pPr>
    </w:p>
    <w:p>
      <w:pPr>
        <w:ind w:left="600" w:right="880" w:firstLine="480"/>
        <w:spacing w:after="0" w:line="305" w:lineRule="auto"/>
        <w:rPr>
          <w:sz w:val="20"/>
          <w:szCs w:val="20"/>
          <w:color w:val="auto"/>
        </w:rPr>
      </w:pPr>
      <w:r>
        <w:rPr>
          <w:rFonts w:ascii="Times New Roman" w:cs="Times New Roman" w:eastAsia="Times New Roman" w:hAnsi="Times New Roman"/>
          <w:sz w:val="13"/>
          <w:szCs w:val="13"/>
          <w:color w:val="auto"/>
        </w:rPr>
        <w:t xml:space="preserve">Section 8. </w:t>
      </w:r>
      <w:r>
        <w:rPr>
          <w:rFonts w:ascii="Times New Roman" w:cs="Times New Roman" w:eastAsia="Times New Roman" w:hAnsi="Times New Roman"/>
          <w:sz w:val="13"/>
          <w:szCs w:val="13"/>
          <w:u w:val="single" w:color="auto"/>
          <w:color w:val="auto"/>
        </w:rPr>
        <w:t>Conversion Upon a Change of Control</w:t>
      </w:r>
      <w:r>
        <w:rPr>
          <w:rFonts w:ascii="Times New Roman" w:cs="Times New Roman" w:eastAsia="Times New Roman" w:hAnsi="Times New Roman"/>
          <w:sz w:val="13"/>
          <w:szCs w:val="13"/>
          <w:color w:val="auto"/>
        </w:rPr>
        <w:t>. The Series C Preferred Stock is not convertible into or exchangeable for any other property or securities of the Company, except as provided in this Section 8.</w:t>
      </w:r>
    </w:p>
    <w:p>
      <w:pPr>
        <w:spacing w:after="0" w:line="124" w:lineRule="exact"/>
        <w:rPr>
          <w:sz w:val="20"/>
          <w:szCs w:val="20"/>
          <w:color w:val="auto"/>
        </w:rPr>
      </w:pPr>
    </w:p>
    <w:p>
      <w:pPr>
        <w:jc w:val="both"/>
        <w:ind w:left="600" w:right="620" w:firstLine="475"/>
        <w:spacing w:after="0" w:line="287" w:lineRule="auto"/>
        <w:tabs>
          <w:tab w:leader="none" w:pos="1248" w:val="left"/>
        </w:tabs>
        <w:numPr>
          <w:ilvl w:val="0"/>
          <w:numId w:val="4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the occurrence of a Change of Control, each holder of Series C Preferred Stock shall have the right, unless, prior to the Change of Control Conversion Date, the Company has provided or provides notice of its election to redeem the Series C Preferred Stock pursuant to the Regular Redemption Right or Special Redemption Right, to convert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101600</wp:posOffset>
            </wp:positionV>
            <wp:extent cx="4436110" cy="1524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833">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543560</wp:posOffset>
            </wp:positionV>
            <wp:extent cx="5083810" cy="1524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834">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54" w:name="page455"/>
    <w:bookmarkEnd w:id="454"/>
    <w:p>
      <w:pPr>
        <w:jc w:val="both"/>
        <w:ind w:left="600" w:right="600"/>
        <w:spacing w:after="0" w:line="274" w:lineRule="auto"/>
        <w:rPr>
          <w:sz w:val="20"/>
          <w:szCs w:val="20"/>
          <w:color w:val="auto"/>
        </w:rPr>
      </w:pPr>
      <w:r>
        <w:rPr>
          <w:rFonts w:ascii="Times New Roman" w:cs="Times New Roman" w:eastAsia="Times New Roman" w:hAnsi="Times New Roman"/>
          <w:sz w:val="13"/>
          <w:szCs w:val="13"/>
          <w:color w:val="auto"/>
        </w:rPr>
        <w:t>some or all of the shares of Series C Preferred Stock held by such holder (the “</w:t>
      </w:r>
      <w:r>
        <w:rPr>
          <w:rFonts w:ascii="Times New Roman" w:cs="Times New Roman" w:eastAsia="Times New Roman" w:hAnsi="Times New Roman"/>
          <w:sz w:val="13"/>
          <w:szCs w:val="13"/>
          <w:u w:val="single" w:color="auto"/>
          <w:color w:val="auto"/>
        </w:rPr>
        <w:t>Change of Control Conversion Right</w:t>
      </w:r>
      <w:r>
        <w:rPr>
          <w:rFonts w:ascii="Times New Roman" w:cs="Times New Roman" w:eastAsia="Times New Roman" w:hAnsi="Times New Roman"/>
          <w:sz w:val="13"/>
          <w:szCs w:val="13"/>
          <w:color w:val="auto"/>
        </w:rPr>
        <w:t>”) on the relevant Change of Control Conversion Date (as defined herein) into a number of shares of Common Stock per share of Series C Preferred Stock to be converted (the “</w:t>
      </w:r>
      <w:r>
        <w:rPr>
          <w:rFonts w:ascii="Times New Roman" w:cs="Times New Roman" w:eastAsia="Times New Roman" w:hAnsi="Times New Roman"/>
          <w:sz w:val="13"/>
          <w:szCs w:val="13"/>
          <w:u w:val="single" w:color="auto"/>
          <w:color w:val="auto"/>
        </w:rPr>
        <w:t>Common Stock Conversion Consideration</w:t>
      </w:r>
      <w:r>
        <w:rPr>
          <w:rFonts w:ascii="Times New Roman" w:cs="Times New Roman" w:eastAsia="Times New Roman" w:hAnsi="Times New Roman"/>
          <w:sz w:val="13"/>
          <w:szCs w:val="13"/>
          <w:color w:val="auto"/>
        </w:rPr>
        <w:t>”) equal to the lesser of (i) the quotient obtained by dividing (A) the sum of (x) $25.00, plus (y) an amount equal to any accumulated and unpaid dividends (whether or not declared) to, but not including, the Change of Control Conversion Date (as defined herein) except if such Change of Control Conversion Date is after a record date for a Series C Preferred Stock dividend payment and prior to the corresponding Series C Dividend Payment Date, in which case the amount pursuant to this clause (A)(y) shall equal $0.00 in respect of such dividend payment to be made on such Series C Dividend Payment Date, by (B) the Common Stock Price (such quotient, the “Conversion Rate”), and (ii) 0.6389035 (the “Share Cap”), subject to the immediately succeeding paragraph.</w:t>
      </w:r>
    </w:p>
    <w:p>
      <w:pPr>
        <w:spacing w:after="0" w:line="135" w:lineRule="exact"/>
        <w:rPr>
          <w:sz w:val="20"/>
          <w:szCs w:val="20"/>
          <w:color w:val="auto"/>
        </w:rPr>
      </w:pPr>
    </w:p>
    <w:p>
      <w:pPr>
        <w:jc w:val="both"/>
        <w:ind w:left="600" w:right="600" w:firstLine="960"/>
        <w:spacing w:after="0" w:line="278" w:lineRule="auto"/>
        <w:rPr>
          <w:sz w:val="20"/>
          <w:szCs w:val="20"/>
          <w:color w:val="auto"/>
        </w:rPr>
      </w:pPr>
      <w:r>
        <w:rPr>
          <w:rFonts w:ascii="Times New Roman" w:cs="Times New Roman" w:eastAsia="Times New Roman" w:hAnsi="Times New Roman"/>
          <w:sz w:val="13"/>
          <w:szCs w:val="13"/>
          <w:color w:val="auto"/>
        </w:rPr>
        <w:t>The Share Cap is subject to pro rata adjustments for any share splits (including those effected pursuant to a Common Stock dividend), subdivisions or combinations (in each case, a “</w:t>
      </w:r>
      <w:r>
        <w:rPr>
          <w:rFonts w:ascii="Times New Roman" w:cs="Times New Roman" w:eastAsia="Times New Roman" w:hAnsi="Times New Roman"/>
          <w:sz w:val="13"/>
          <w:szCs w:val="13"/>
          <w:u w:val="single" w:color="auto"/>
          <w:color w:val="auto"/>
        </w:rPr>
        <w:t>Share Split</w:t>
      </w:r>
      <w:r>
        <w:rPr>
          <w:rFonts w:ascii="Times New Roman" w:cs="Times New Roman" w:eastAsia="Times New Roman" w:hAnsi="Times New Roman"/>
          <w:sz w:val="13"/>
          <w:szCs w:val="13"/>
          <w:color w:val="auto"/>
        </w:rPr>
        <w:t>”) with respect to the Common Stock as follows: the adjusted Share Cap as the result of a Share Split shall be the number of shares of Common Stock that is equivalent to the product of (i) the Share Cap in effect immediately prior to such Share Split multiplied by (ii) a fraction, the numerator of which is the number of shares of Common Stock outstanding after giving effect to such Share Split and the denominator of which is the number of shares of Common Stock outstanding immediately prior to such Share Split.</w:t>
      </w:r>
    </w:p>
    <w:p>
      <w:pPr>
        <w:spacing w:after="0" w:line="311" w:lineRule="exact"/>
        <w:rPr>
          <w:sz w:val="20"/>
          <w:szCs w:val="20"/>
          <w:color w:val="auto"/>
        </w:rPr>
      </w:pPr>
    </w:p>
    <w:p>
      <w:pPr>
        <w:jc w:val="both"/>
        <w:ind w:left="600" w:right="600" w:firstLine="960"/>
        <w:spacing w:after="0" w:line="274" w:lineRule="auto"/>
        <w:rPr>
          <w:sz w:val="20"/>
          <w:szCs w:val="20"/>
          <w:color w:val="auto"/>
        </w:rPr>
      </w:pPr>
      <w:r>
        <w:rPr>
          <w:rFonts w:ascii="Times New Roman" w:cs="Times New Roman" w:eastAsia="Times New Roman" w:hAnsi="Times New Roman"/>
          <w:sz w:val="13"/>
          <w:szCs w:val="13"/>
          <w:color w:val="auto"/>
        </w:rPr>
        <w:t>For the avoidance of doubt, subject to the immediately succeeding sentence, the aggregate number of shares of Common Stock (or equivalent Alternative Conversion Consideration (as defined below)) issuable in connection with the exercise of the Change of Control Conversion Right shall not exceed 5,143,174 shares of Common Stock (or equivalent Alternative Conversion Consideration, as applicable) (the “</w:t>
      </w:r>
      <w:r>
        <w:rPr>
          <w:rFonts w:ascii="Times New Roman" w:cs="Times New Roman" w:eastAsia="Times New Roman" w:hAnsi="Times New Roman"/>
          <w:sz w:val="13"/>
          <w:szCs w:val="13"/>
          <w:u w:val="single" w:color="auto"/>
          <w:color w:val="auto"/>
        </w:rPr>
        <w:t>Exchange Cap</w:t>
      </w:r>
      <w:r>
        <w:rPr>
          <w:rFonts w:ascii="Times New Roman" w:cs="Times New Roman" w:eastAsia="Times New Roman" w:hAnsi="Times New Roman"/>
          <w:sz w:val="13"/>
          <w:szCs w:val="13"/>
          <w:color w:val="auto"/>
        </w:rPr>
        <w:t>”). The Exchange Cap is subject to pro rata adjustments for any Share Splits with respect to Common Stock as follows: The adjusted Exchange Cap as the result of a Share Split shall be the number of shares of Common Stock that is equivalent to the product of (i) the Exchange Cap in effect immediately prior to such Share Split multiplied by (ii) a fraction, the numerator of which is the number of shares of Common Stock outstanding after giving effect to such Share Split and the denominator of which is the number of shares of Common Stock outstanding immediately prior to such Share Split.</w:t>
      </w:r>
    </w:p>
    <w:p>
      <w:pPr>
        <w:spacing w:after="0" w:line="135" w:lineRule="exact"/>
        <w:rPr>
          <w:sz w:val="20"/>
          <w:szCs w:val="20"/>
          <w:color w:val="auto"/>
        </w:rPr>
      </w:pPr>
    </w:p>
    <w:p>
      <w:pPr>
        <w:ind w:left="600" w:right="600" w:firstLine="960"/>
        <w:spacing w:after="0" w:line="273" w:lineRule="auto"/>
        <w:rPr>
          <w:sz w:val="20"/>
          <w:szCs w:val="20"/>
          <w:color w:val="auto"/>
        </w:rPr>
      </w:pPr>
      <w:r>
        <w:rPr>
          <w:rFonts w:ascii="Times New Roman" w:cs="Times New Roman" w:eastAsia="Times New Roman" w:hAnsi="Times New Roman"/>
          <w:sz w:val="13"/>
          <w:szCs w:val="13"/>
          <w:color w:val="auto"/>
        </w:rPr>
        <w:t>In the case of a Change of Control as a result of which holders of Common Stock are entitled to receive consideration other than solely shares of Common Stock, including other securities, other property or assets (including cash or any combination thereof) with respect to or in exchange for shares of Common Stock (the “</w:t>
      </w:r>
      <w:r>
        <w:rPr>
          <w:rFonts w:ascii="Times New Roman" w:cs="Times New Roman" w:eastAsia="Times New Roman" w:hAnsi="Times New Roman"/>
          <w:sz w:val="13"/>
          <w:szCs w:val="13"/>
          <w:u w:val="single" w:color="auto"/>
          <w:color w:val="auto"/>
        </w:rPr>
        <w:t>Alternative Form Consideration</w:t>
      </w:r>
      <w:r>
        <w:rPr>
          <w:rFonts w:ascii="Times New Roman" w:cs="Times New Roman" w:eastAsia="Times New Roman" w:hAnsi="Times New Roman"/>
          <w:sz w:val="13"/>
          <w:szCs w:val="13"/>
          <w:color w:val="auto"/>
        </w:rPr>
        <w:t>”), a holder of Series C Preferred Stock shall be entitled thereafter to convert (unless, prior to the Change of Control Conversion Date, the Company has provided or provides notice of its election to redeem the Series C Preferred Stock pursuant to the Regular Redemption Right or Special Redemption Right) such Series C Preferred Stock not into Common Stock but solely into the kind and amount of Alternative Form Consideration which the holder of Series C Preferred Stock would have owned or been entitled to receive upon such Change of Control as if such holder of Series C Preferred Stock then held the Common Stock Conversion Consideration immediately prior to the effective time of the Change of Control (the “</w:t>
      </w:r>
      <w:r>
        <w:rPr>
          <w:rFonts w:ascii="Times New Roman" w:cs="Times New Roman" w:eastAsia="Times New Roman" w:hAnsi="Times New Roman"/>
          <w:sz w:val="13"/>
          <w:szCs w:val="13"/>
          <w:u w:val="single" w:color="auto"/>
          <w:color w:val="auto"/>
        </w:rPr>
        <w:t>Alternative Conversion Consideration</w:t>
      </w:r>
      <w:r>
        <w:rPr>
          <w:rFonts w:ascii="Times New Roman" w:cs="Times New Roman" w:eastAsia="Times New Roman" w:hAnsi="Times New Roman"/>
          <w:sz w:val="13"/>
          <w:szCs w:val="13"/>
          <w:color w:val="auto"/>
        </w:rPr>
        <w:t>”; and the Common Stock Conversion Consideration or the Alternative Conversion Consideration, as may be applicable to a Change of Control, shall be referred to herein as the “</w:t>
      </w:r>
      <w:r>
        <w:rPr>
          <w:rFonts w:ascii="Times New Roman" w:cs="Times New Roman" w:eastAsia="Times New Roman" w:hAnsi="Times New Roman"/>
          <w:sz w:val="13"/>
          <w:szCs w:val="13"/>
          <w:u w:val="single" w:color="auto"/>
          <w:color w:val="auto"/>
        </w:rPr>
        <w:t>Conversion Consideration</w:t>
      </w:r>
      <w:r>
        <w:rPr>
          <w:rFonts w:ascii="Times New Roman" w:cs="Times New Roman" w:eastAsia="Times New Roman" w:hAnsi="Times New Roman"/>
          <w:sz w:val="13"/>
          <w:szCs w:val="13"/>
          <w:color w:val="auto"/>
        </w:rPr>
        <w:t>”).</w:t>
      </w:r>
    </w:p>
    <w:p>
      <w:pPr>
        <w:spacing w:after="0" w:line="136" w:lineRule="exact"/>
        <w:rPr>
          <w:sz w:val="20"/>
          <w:szCs w:val="20"/>
          <w:color w:val="auto"/>
        </w:rPr>
      </w:pPr>
    </w:p>
    <w:p>
      <w:pPr>
        <w:jc w:val="both"/>
        <w:ind w:left="600" w:right="580" w:firstLine="960"/>
        <w:spacing w:after="0" w:line="276" w:lineRule="auto"/>
        <w:rPr>
          <w:sz w:val="20"/>
          <w:szCs w:val="20"/>
          <w:color w:val="auto"/>
        </w:rPr>
      </w:pPr>
      <w:r>
        <w:rPr>
          <w:rFonts w:ascii="Times New Roman" w:cs="Times New Roman" w:eastAsia="Times New Roman" w:hAnsi="Times New Roman"/>
          <w:sz w:val="13"/>
          <w:szCs w:val="13"/>
          <w:color w:val="auto"/>
        </w:rPr>
        <w:t>If the holders of Common Stock have the opportunity to elect the form of consideration to be received in such Change of Control, the Conversion Consideration will be deemed to be the kind and amount of consideration actually received by holders of a majority of the Common Stock that voted for such an election (if electing between two types of consideration) or holders of a plurality of the Common Stock that voted for such an election (if electing between more than two types of consideration), as the case may be, and will be subject to any limitations to which all holders of Common Stock are subject, including, without limitation, pro rata reductions applicable to any portion of the consideration payable in the Change of Control.</w:t>
      </w:r>
    </w:p>
    <w:p>
      <w:pPr>
        <w:spacing w:after="0" w:line="145" w:lineRule="exact"/>
        <w:rPr>
          <w:sz w:val="20"/>
          <w:szCs w:val="20"/>
          <w:color w:val="auto"/>
        </w:rPr>
      </w:pPr>
    </w:p>
    <w:p>
      <w:pPr>
        <w:jc w:val="both"/>
        <w:ind w:left="600" w:right="600" w:firstLine="960"/>
        <w:spacing w:after="0" w:line="287" w:lineRule="auto"/>
        <w:rPr>
          <w:sz w:val="20"/>
          <w:szCs w:val="20"/>
          <w:color w:val="auto"/>
        </w:rPr>
      </w:pPr>
      <w:r>
        <w:rPr>
          <w:rFonts w:ascii="Times New Roman" w:cs="Times New Roman" w:eastAsia="Times New Roman" w:hAnsi="Times New Roman"/>
          <w:sz w:val="13"/>
          <w:szCs w:val="13"/>
          <w:color w:val="auto"/>
        </w:rPr>
        <w:t>The “</w:t>
      </w:r>
      <w:r>
        <w:rPr>
          <w:rFonts w:ascii="Times New Roman" w:cs="Times New Roman" w:eastAsia="Times New Roman" w:hAnsi="Times New Roman"/>
          <w:sz w:val="13"/>
          <w:szCs w:val="13"/>
          <w:u w:val="single" w:color="auto"/>
          <w:color w:val="auto"/>
        </w:rPr>
        <w:t>Change of Control Conversion Date</w:t>
      </w:r>
      <w:r>
        <w:rPr>
          <w:rFonts w:ascii="Times New Roman" w:cs="Times New Roman" w:eastAsia="Times New Roman" w:hAnsi="Times New Roman"/>
          <w:sz w:val="13"/>
          <w:szCs w:val="13"/>
          <w:color w:val="auto"/>
        </w:rPr>
        <w:t xml:space="preserve"> ” shall be a Business Day set forth in the notice of Change of Control provided in accordance with Section 8(c) below that is no less than 20 days nor more than 35 days after the date on which the Company provides such notice pursuant to Section 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101600</wp:posOffset>
            </wp:positionV>
            <wp:extent cx="4436110" cy="762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835">
                      <a:extLst>
                        <a:ext uri="{28A0092B-C50C-407E-A947-70E740481C1C}"/>
                      </a:extLst>
                    </a:blip>
                    <a:srcRect/>
                    <a:stretch>
                      <a:fillRect/>
                    </a:stretch>
                  </pic:blipFill>
                  <pic:spPr bwMode="auto">
                    <a:xfrm>
                      <a:off x="0" y="0"/>
                      <a:ext cx="4436110"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535940</wp:posOffset>
            </wp:positionV>
            <wp:extent cx="5083810" cy="1524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836">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55" w:name="page456"/>
    <w:bookmarkEnd w:id="455"/>
    <w:p>
      <w:pPr>
        <w:jc w:val="both"/>
        <w:ind w:left="600" w:right="600" w:firstLine="960"/>
        <w:spacing w:after="0" w:line="276" w:lineRule="auto"/>
        <w:rPr>
          <w:sz w:val="20"/>
          <w:szCs w:val="20"/>
          <w:color w:val="auto"/>
        </w:rPr>
      </w:pPr>
      <w:r>
        <w:rPr>
          <w:rFonts w:ascii="Times New Roman" w:cs="Times New Roman" w:eastAsia="Times New Roman" w:hAnsi="Times New Roman"/>
          <w:sz w:val="13"/>
          <w:szCs w:val="13"/>
          <w:color w:val="auto"/>
        </w:rPr>
        <w:t>As used herein, “</w:t>
      </w:r>
      <w:r>
        <w:rPr>
          <w:rFonts w:ascii="Times New Roman" w:cs="Times New Roman" w:eastAsia="Times New Roman" w:hAnsi="Times New Roman"/>
          <w:sz w:val="13"/>
          <w:szCs w:val="13"/>
          <w:u w:val="single" w:color="auto"/>
          <w:color w:val="auto"/>
        </w:rPr>
        <w:t>Common Stock Price</w:t>
      </w:r>
      <w:r>
        <w:rPr>
          <w:rFonts w:ascii="Times New Roman" w:cs="Times New Roman" w:eastAsia="Times New Roman" w:hAnsi="Times New Roman"/>
          <w:sz w:val="13"/>
          <w:szCs w:val="13"/>
          <w:color w:val="auto"/>
        </w:rPr>
        <w:t>” shall mean (i) if the consideration to be received in the Change of Control by holders of Common Stock is solely cash, the amount of cash consideration per share of Common Stock, (ii) if the consideration to be received in the Change of Control by holders of Common Stock is other than solely cash, the average of the closing price per share of Common Stock on the ten consecutive trading days immediately preceding, but not including, the effective date of such Change of Control, and (iii) if there is not a readily determinable closing price for the common stock, the fair market value of the Alternative Form Consideration received in the Change of Control per share of Common Stock as determined by the Board or a committee thereof.</w:t>
      </w:r>
    </w:p>
    <w:p>
      <w:pPr>
        <w:spacing w:after="0" w:line="145" w:lineRule="exact"/>
        <w:rPr>
          <w:sz w:val="20"/>
          <w:szCs w:val="20"/>
          <w:color w:val="auto"/>
        </w:rPr>
      </w:pPr>
    </w:p>
    <w:p>
      <w:pPr>
        <w:ind w:left="600" w:right="600" w:firstLine="475"/>
        <w:spacing w:after="0" w:line="305" w:lineRule="auto"/>
        <w:tabs>
          <w:tab w:leader="none" w:pos="1272" w:val="left"/>
        </w:tabs>
        <w:numPr>
          <w:ilvl w:val="1"/>
          <w:numId w:val="4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fractional shares of Common Stock shall be issued upon the conversion of Series C Preferred Stock. In lieu of fractional shares, holders shall be entitled to receive the cash value of such fractional shares based on the Common Stock Price.</w:t>
      </w:r>
    </w:p>
    <w:p>
      <w:pPr>
        <w:spacing w:after="0" w:line="124" w:lineRule="exact"/>
        <w:rPr>
          <w:rFonts w:ascii="Times New Roman" w:cs="Times New Roman" w:eastAsia="Times New Roman" w:hAnsi="Times New Roman"/>
          <w:sz w:val="13"/>
          <w:szCs w:val="13"/>
          <w:color w:val="auto"/>
        </w:rPr>
      </w:pPr>
    </w:p>
    <w:p>
      <w:pPr>
        <w:jc w:val="both"/>
        <w:ind w:left="600" w:right="600" w:firstLine="475"/>
        <w:spacing w:after="0" w:line="270" w:lineRule="auto"/>
        <w:tabs>
          <w:tab w:leader="none" w:pos="1260" w:val="left"/>
        </w:tabs>
        <w:numPr>
          <w:ilvl w:val="1"/>
          <w:numId w:val="4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Unless the Company has exercised its Special Redemption Right in whole during the 15 day period following the occurrence of a Change of Control, within 15 days following the occurrence of a Change of Control, a notice of occurrence of the Change of Control, describing the resulting Change of Control Conversion Right, shall be delivered to the holders of record of the shares of Series C Preferred Stock at their addresses as they appear on the Company’s share transfer records and notice shall be provided to the Company’s transfer agent. A failure to give such notice or any defect in the notice or in its mailing shall not affect the validity of the proceedings for the conversion of any share of Series C Preferred Stock except as to the holder to whom notice was defective or not given. Each notice shall state: (i) the events constituting the Change of Control; (ii) the date of the Change of Control; (iii) the last date on which the holders of Series C Preferred Stock may exercise their Change of Control Conversion Right, which shall be the Change of Control Conversion Date; (iv) the method and period for calculating the Common Stock Price; (v) the Change of Control Conversion Date, which shall be a Business Day occurring within 20 to 35 days following the date of the notice;</w:t>
      </w:r>
    </w:p>
    <w:p>
      <w:pPr>
        <w:spacing w:after="0" w:line="2" w:lineRule="exact"/>
        <w:rPr>
          <w:rFonts w:ascii="Times New Roman" w:cs="Times New Roman" w:eastAsia="Times New Roman" w:hAnsi="Times New Roman"/>
          <w:sz w:val="13"/>
          <w:szCs w:val="13"/>
          <w:color w:val="auto"/>
        </w:rPr>
      </w:pPr>
    </w:p>
    <w:p>
      <w:pPr>
        <w:jc w:val="both"/>
        <w:ind w:left="600" w:right="600" w:hanging="6"/>
        <w:spacing w:after="0" w:line="284" w:lineRule="auto"/>
        <w:tabs>
          <w:tab w:leader="none" w:pos="828" w:val="left"/>
        </w:tabs>
        <w:numPr>
          <w:ilvl w:val="0"/>
          <w:numId w:val="4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applicable, the type and amount of Alternative Conversion Consideration entitled to be received per share of Series C Preferred Stock; (vii) the name and address of the paying agent and the conversion agent; and (viii) the procedures that the holders of Series C Preferred Stock must follow to exercise the Change of Control Conversion Right.</w:t>
      </w:r>
    </w:p>
    <w:p>
      <w:pPr>
        <w:spacing w:after="0" w:line="125" w:lineRule="exact"/>
        <w:rPr>
          <w:rFonts w:ascii="Times New Roman" w:cs="Times New Roman" w:eastAsia="Times New Roman" w:hAnsi="Times New Roman"/>
          <w:sz w:val="13"/>
          <w:szCs w:val="13"/>
          <w:color w:val="auto"/>
        </w:rPr>
      </w:pPr>
    </w:p>
    <w:p>
      <w:pPr>
        <w:jc w:val="both"/>
        <w:ind w:left="600" w:right="600" w:firstLine="475"/>
        <w:spacing w:after="0" w:line="278" w:lineRule="auto"/>
        <w:tabs>
          <w:tab w:leader="none" w:pos="1272" w:val="left"/>
        </w:tabs>
        <w:numPr>
          <w:ilvl w:val="1"/>
          <w:numId w:val="4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issue a press release for publication on the Dow Jones &amp; Company, Inc., Business Wire, PR Newswire or Bloomberg Business News (or, if such organizations are not in existence at the time of issuance of such press release, such other news or press organization as is reasonably calculated to broadly disseminate the relevant information to the public), or post notice on the Company’s website, in any event prior to the opening of business on the first Business Day following any date on which the Company provides notice pursuant to Section 8(c) above to the holders of Series C Preferred Stock.</w:t>
      </w:r>
    </w:p>
    <w:p>
      <w:pPr>
        <w:spacing w:after="0" w:line="142" w:lineRule="exact"/>
        <w:rPr>
          <w:rFonts w:ascii="Times New Roman" w:cs="Times New Roman" w:eastAsia="Times New Roman" w:hAnsi="Times New Roman"/>
          <w:sz w:val="13"/>
          <w:szCs w:val="13"/>
          <w:color w:val="auto"/>
        </w:rPr>
      </w:pPr>
    </w:p>
    <w:p>
      <w:pPr>
        <w:jc w:val="both"/>
        <w:ind w:left="600" w:right="600" w:firstLine="475"/>
        <w:spacing w:after="0" w:line="271" w:lineRule="auto"/>
        <w:tabs>
          <w:tab w:leader="none" w:pos="1260" w:val="left"/>
        </w:tabs>
        <w:numPr>
          <w:ilvl w:val="1"/>
          <w:numId w:val="4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order to exercise the Change of Control Conversion Right, a holder of shares of Series C Preferred Stock shall be required to deliver, on or before the close of business on the Change of Control Conversion Date, the certificates (if any) evidencing the shares of Series C Preferred Stock to be converted, duly endorsed for transfer, together with a written conversion notice completed, to the Company’s transfer agent. Such notice shall state: (i) the relevant Change of Control Conversion Date;</w:t>
      </w:r>
    </w:p>
    <w:p>
      <w:pPr>
        <w:jc w:val="both"/>
        <w:ind w:left="600" w:right="600" w:hanging="6"/>
        <w:spacing w:after="0" w:line="284" w:lineRule="auto"/>
        <w:tabs>
          <w:tab w:leader="none" w:pos="808" w:val="left"/>
        </w:tabs>
        <w:numPr>
          <w:ilvl w:val="0"/>
          <w:numId w:val="4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number of shares of Series C Preferred Stock to be converted; and (iii) that the shares of Series C Preferred Stock are to be converted pursuant to the applicable provisions of these Articles Supplementary. Notwithstanding the foregoing, if the shares of Series C Preferred Stock are held in global form, such notice shall comply with applicable procedures of The Depository Trust Company (“</w:t>
      </w:r>
      <w:r>
        <w:rPr>
          <w:rFonts w:ascii="Times New Roman" w:cs="Times New Roman" w:eastAsia="Times New Roman" w:hAnsi="Times New Roman"/>
          <w:sz w:val="13"/>
          <w:szCs w:val="13"/>
          <w:u w:val="single" w:color="auto"/>
          <w:color w:val="auto"/>
        </w:rPr>
        <w:t>DTC</w:t>
      </w:r>
      <w:r>
        <w:rPr>
          <w:rFonts w:ascii="Times New Roman" w:cs="Times New Roman" w:eastAsia="Times New Roman" w:hAnsi="Times New Roman"/>
          <w:sz w:val="13"/>
          <w:szCs w:val="13"/>
          <w:color w:val="auto"/>
        </w:rPr>
        <w:t>”).</w:t>
      </w:r>
    </w:p>
    <w:p>
      <w:pPr>
        <w:spacing w:after="0" w:line="126" w:lineRule="exact"/>
        <w:rPr>
          <w:sz w:val="20"/>
          <w:szCs w:val="20"/>
          <w:color w:val="auto"/>
        </w:rPr>
      </w:pPr>
    </w:p>
    <w:p>
      <w:pPr>
        <w:jc w:val="both"/>
        <w:ind w:left="600" w:right="620" w:firstLine="480"/>
        <w:spacing w:after="0" w:line="271" w:lineRule="auto"/>
        <w:rPr>
          <w:sz w:val="20"/>
          <w:szCs w:val="20"/>
          <w:color w:val="auto"/>
        </w:rPr>
      </w:pPr>
      <w:r>
        <w:rPr>
          <w:rFonts w:ascii="Times New Roman" w:cs="Times New Roman" w:eastAsia="Times New Roman" w:hAnsi="Times New Roman"/>
          <w:sz w:val="13"/>
          <w:szCs w:val="13"/>
          <w:color w:val="auto"/>
        </w:rPr>
        <w:t>(f) Holders of Series C Preferred Stock may withdraw any notice of exercise of a Change of Control Conversion Right (in whole or in part) by a written notice of withdrawal delivered to the Company’s transfer agent prior to the close of business on the Business Day prior to the Change of Control Conversion Date. The notice of withdrawal must state: (i) the number of withdrawn shares of Series C Preferred Stock; (ii) if certificated shares of Series C Preferred Stock have been issued, the certificate numbers of the withdrawn shares of Series C Preferred Stock; and</w:t>
      </w:r>
    </w:p>
    <w:p>
      <w:pPr>
        <w:spacing w:after="0" w:line="1" w:lineRule="exact"/>
        <w:rPr>
          <w:sz w:val="20"/>
          <w:szCs w:val="20"/>
          <w:color w:val="auto"/>
        </w:rPr>
      </w:pPr>
    </w:p>
    <w:p>
      <w:pPr>
        <w:ind w:left="600" w:right="600" w:hanging="6"/>
        <w:spacing w:after="0" w:line="299" w:lineRule="auto"/>
        <w:tabs>
          <w:tab w:leader="none" w:pos="835" w:val="left"/>
        </w:tabs>
        <w:numPr>
          <w:ilvl w:val="0"/>
          <w:numId w:val="4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number of shares of Series C Preferred Stock, if any, which remain subject to the conversion notice. Notwithstanding the foregoing, if the shares of Series C Preferred Stock are held in global form, the notice of withdrawal shall comply with applicable DTC procedures.</w:t>
      </w:r>
    </w:p>
    <w:p>
      <w:pPr>
        <w:spacing w:after="0" w:line="128" w:lineRule="exact"/>
        <w:rPr>
          <w:rFonts w:ascii="Times New Roman" w:cs="Times New Roman" w:eastAsia="Times New Roman" w:hAnsi="Times New Roman"/>
          <w:sz w:val="13"/>
          <w:szCs w:val="13"/>
          <w:color w:val="auto"/>
        </w:rPr>
      </w:pPr>
    </w:p>
    <w:p>
      <w:pPr>
        <w:ind w:left="600" w:right="620" w:firstLine="475"/>
        <w:spacing w:after="0" w:line="305" w:lineRule="auto"/>
        <w:tabs>
          <w:tab w:leader="none" w:pos="1272" w:val="left"/>
        </w:tabs>
        <w:numPr>
          <w:ilvl w:val="1"/>
          <w:numId w:val="4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Shares of Series C Preferred Stock as to which the Change of Control Conversion Right has been properly exercised and for which the conversion notice has not been properly withdrawn shall be converted into the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93980</wp:posOffset>
            </wp:positionV>
            <wp:extent cx="4436110" cy="1524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837">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535940</wp:posOffset>
            </wp:positionV>
            <wp:extent cx="5083810" cy="1524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838">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56" w:name="page457"/>
    <w:bookmarkEnd w:id="456"/>
    <w:p>
      <w:pPr>
        <w:ind w:left="600"/>
        <w:spacing w:after="0"/>
        <w:rPr>
          <w:sz w:val="20"/>
          <w:szCs w:val="20"/>
          <w:color w:val="auto"/>
        </w:rPr>
      </w:pPr>
      <w:r>
        <w:rPr>
          <w:rFonts w:ascii="Times New Roman" w:cs="Times New Roman" w:eastAsia="Times New Roman" w:hAnsi="Times New Roman"/>
          <w:sz w:val="13"/>
          <w:szCs w:val="13"/>
          <w:color w:val="auto"/>
        </w:rPr>
        <w:t>Conversion Consideration in accordance with the Change of Control Conversion Right on the Change of Control Conversion Date.</w:t>
      </w:r>
    </w:p>
    <w:p>
      <w:pPr>
        <w:spacing w:after="0" w:line="187" w:lineRule="exact"/>
        <w:rPr>
          <w:sz w:val="20"/>
          <w:szCs w:val="20"/>
          <w:color w:val="auto"/>
        </w:rPr>
      </w:pPr>
    </w:p>
    <w:p>
      <w:pPr>
        <w:ind w:left="600" w:right="620" w:firstLine="475"/>
        <w:spacing w:after="0" w:line="305" w:lineRule="auto"/>
        <w:tabs>
          <w:tab w:leader="none" w:pos="1272" w:val="left"/>
        </w:tabs>
        <w:numPr>
          <w:ilvl w:val="0"/>
          <w:numId w:val="4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deliver the applicable Conversion Consideration no later than the third Business Day following the Change of Control Conversion Date.</w:t>
      </w:r>
    </w:p>
    <w:p>
      <w:pPr>
        <w:spacing w:after="0" w:line="124" w:lineRule="exact"/>
        <w:rPr>
          <w:rFonts w:ascii="Times New Roman" w:cs="Times New Roman" w:eastAsia="Times New Roman" w:hAnsi="Times New Roman"/>
          <w:sz w:val="13"/>
          <w:szCs w:val="13"/>
          <w:color w:val="auto"/>
        </w:rPr>
      </w:pPr>
    </w:p>
    <w:p>
      <w:pPr>
        <w:jc w:val="both"/>
        <w:ind w:left="600" w:right="620" w:firstLine="475"/>
        <w:spacing w:after="0" w:line="278" w:lineRule="auto"/>
        <w:tabs>
          <w:tab w:leader="none" w:pos="1236" w:val="left"/>
        </w:tabs>
        <w:numPr>
          <w:ilvl w:val="0"/>
          <w:numId w:val="4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anything to the contrary contained herein, no Series C Preferred Stock may be converted into shares of Common Stock to the extent that receipt of such shares of Common Stock would cause the holder of such shares of Common Stock (or any other person) to have actual ownership, Beneficial Ownership or Constructive Ownership (each as defined in Section 9(a) hereof) in excess of the Ownership Limit (as defined in Section 9(a) hereof), the Aggregate Stock Ownership Limit (as defined in Section 9(a) hereof), or such other limit as permitted by the Board or a committee thereof pursuant to Section 9(i) hereof.</w:t>
      </w:r>
    </w:p>
    <w:p>
      <w:pPr>
        <w:spacing w:after="0" w:line="14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 xml:space="preserve">Section 9. </w:t>
      </w:r>
      <w:r>
        <w:rPr>
          <w:rFonts w:ascii="Times New Roman" w:cs="Times New Roman" w:eastAsia="Times New Roman" w:hAnsi="Times New Roman"/>
          <w:sz w:val="13"/>
          <w:szCs w:val="13"/>
          <w:u w:val="single" w:color="auto"/>
          <w:color w:val="auto"/>
        </w:rPr>
        <w:t>Restrictions on Ownership and Transfer to Preserve Tax Benefit</w:t>
      </w:r>
      <w:r>
        <w:rPr>
          <w:rFonts w:ascii="Times New Roman" w:cs="Times New Roman" w:eastAsia="Times New Roman" w:hAnsi="Times New Roman"/>
          <w:sz w:val="13"/>
          <w:szCs w:val="13"/>
          <w:color w:val="auto"/>
        </w:rPr>
        <w:t>.</w:t>
      </w:r>
    </w:p>
    <w:p>
      <w:pPr>
        <w:spacing w:after="0" w:line="271" w:lineRule="exact"/>
        <w:rPr>
          <w:sz w:val="20"/>
          <w:szCs w:val="20"/>
          <w:color w:val="auto"/>
        </w:rPr>
      </w:pPr>
    </w:p>
    <w:p>
      <w:pPr>
        <w:ind w:left="1080"/>
        <w:spacing w:after="0"/>
        <w:tabs>
          <w:tab w:leader="none" w:pos="7760" w:val="left"/>
        </w:tabs>
        <w:rPr>
          <w:sz w:val="20"/>
          <w:szCs w:val="20"/>
          <w:color w:val="auto"/>
        </w:rPr>
      </w:pPr>
      <w:r>
        <w:rPr>
          <w:rFonts w:ascii="Times New Roman" w:cs="Times New Roman" w:eastAsia="Times New Roman" w:hAnsi="Times New Roman"/>
          <w:sz w:val="13"/>
          <w:szCs w:val="13"/>
          <w:color w:val="auto"/>
        </w:rPr>
        <w:t xml:space="preserve">(a) </w:t>
      </w:r>
      <w:r>
        <w:rPr>
          <w:rFonts w:ascii="Times New Roman" w:cs="Times New Roman" w:eastAsia="Times New Roman" w:hAnsi="Times New Roman"/>
          <w:sz w:val="13"/>
          <w:szCs w:val="13"/>
          <w:u w:val="single" w:color="auto"/>
          <w:color w:val="auto"/>
        </w:rPr>
        <w:t>Definitions</w:t>
      </w:r>
      <w:r>
        <w:rPr>
          <w:rFonts w:ascii="Times New Roman" w:cs="Times New Roman" w:eastAsia="Times New Roman" w:hAnsi="Times New Roman"/>
          <w:sz w:val="13"/>
          <w:szCs w:val="13"/>
          <w:color w:val="auto"/>
        </w:rPr>
        <w:t>. For the purposes of these Articles Supplementary, the following terms shall have the following meanings:</w:t>
        <w:tab/>
        <w:t>“</w:t>
      </w:r>
      <w:r>
        <w:rPr>
          <w:rFonts w:ascii="Times New Roman" w:cs="Times New Roman" w:eastAsia="Times New Roman" w:hAnsi="Times New Roman"/>
          <w:sz w:val="13"/>
          <w:szCs w:val="13"/>
          <w:u w:val="single" w:color="auto"/>
          <w:color w:val="auto"/>
        </w:rPr>
        <w:t>Aggregate</w:t>
      </w:r>
    </w:p>
    <w:p>
      <w:pPr>
        <w:spacing w:after="0" w:line="18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3"/>
          <w:szCs w:val="13"/>
          <w:u w:val="single" w:color="auto"/>
          <w:color w:val="auto"/>
        </w:rPr>
        <w:t>Stock Ownership Limit</w:t>
      </w:r>
      <w:r>
        <w:rPr>
          <w:rFonts w:ascii="Times New Roman" w:cs="Times New Roman" w:eastAsia="Times New Roman" w:hAnsi="Times New Roman"/>
          <w:sz w:val="13"/>
          <w:szCs w:val="13"/>
          <w:color w:val="auto"/>
        </w:rPr>
        <w:t>” has the meaning set forth in Article VI of the Charter.</w:t>
      </w:r>
    </w:p>
    <w:p>
      <w:pPr>
        <w:spacing w:after="0" w:line="103" w:lineRule="exact"/>
        <w:rPr>
          <w:sz w:val="20"/>
          <w:szCs w:val="20"/>
          <w:color w:val="auto"/>
        </w:rPr>
      </w:pPr>
    </w:p>
    <w:p>
      <w:pPr>
        <w:jc w:val="both"/>
        <w:ind w:left="1200" w:right="600" w:firstLine="360"/>
        <w:spacing w:after="0" w:line="28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Beneficial Ownership</w:t>
      </w:r>
      <w:r>
        <w:rPr>
          <w:rFonts w:ascii="Times New Roman" w:cs="Times New Roman" w:eastAsia="Times New Roman" w:hAnsi="Times New Roman"/>
          <w:sz w:val="13"/>
          <w:szCs w:val="13"/>
          <w:color w:val="auto"/>
        </w:rPr>
        <w:t>” shall mean ownership of Series C Preferred Stock by a Person who is or would be treated as an owner of such Series C Preferred Stock either actually or constructively through the application of Section 544 of the Code, as modified by Sections 856(h)(1)(B) and 856(h)(3) of the Code. The terms “</w:t>
      </w:r>
      <w:r>
        <w:rPr>
          <w:rFonts w:ascii="Times New Roman" w:cs="Times New Roman" w:eastAsia="Times New Roman" w:hAnsi="Times New Roman"/>
          <w:sz w:val="13"/>
          <w:szCs w:val="13"/>
          <w:u w:val="single" w:color="auto"/>
          <w:color w:val="auto"/>
        </w:rPr>
        <w:t>Beneficial Owner</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u w:val="single" w:color="auto"/>
          <w:color w:val="auto"/>
        </w:rPr>
        <w:t>Beneficially Owns</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u w:val="single" w:color="auto"/>
          <w:color w:val="auto"/>
        </w:rPr>
        <w:t>Beneficially Owned</w:t>
      </w:r>
      <w:r>
        <w:rPr>
          <w:rFonts w:ascii="Times New Roman" w:cs="Times New Roman" w:eastAsia="Times New Roman" w:hAnsi="Times New Roman"/>
          <w:sz w:val="13"/>
          <w:szCs w:val="13"/>
          <w:color w:val="auto"/>
        </w:rPr>
        <w:t>” shall have the correlative meanings.</w:t>
      </w:r>
    </w:p>
    <w:p>
      <w:pPr>
        <w:spacing w:after="0" w:line="14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Capital Stock</w:t>
      </w:r>
      <w:r>
        <w:rPr>
          <w:rFonts w:ascii="Times New Roman" w:cs="Times New Roman" w:eastAsia="Times New Roman" w:hAnsi="Times New Roman"/>
          <w:sz w:val="13"/>
          <w:szCs w:val="13"/>
          <w:color w:val="auto"/>
        </w:rPr>
        <w:t>” has the meaning set forth in Article VI of the Charter.</w:t>
      </w:r>
    </w:p>
    <w:p>
      <w:pPr>
        <w:spacing w:after="0" w:line="1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Charitable Beneficiary</w:t>
      </w:r>
      <w:r>
        <w:rPr>
          <w:rFonts w:ascii="Times New Roman" w:cs="Times New Roman" w:eastAsia="Times New Roman" w:hAnsi="Times New Roman"/>
          <w:sz w:val="13"/>
          <w:szCs w:val="13"/>
          <w:color w:val="auto"/>
        </w:rPr>
        <w:t>” shall mean one or more beneficiaries of a Trust, as determined pursuant to Section 9(c)</w:t>
      </w:r>
    </w:p>
    <w:p>
      <w:pPr>
        <w:spacing w:after="0" w:line="22" w:lineRule="exact"/>
        <w:rPr>
          <w:sz w:val="20"/>
          <w:szCs w:val="20"/>
          <w:color w:val="auto"/>
        </w:rPr>
      </w:pPr>
    </w:p>
    <w:p>
      <w:pPr>
        <w:ind w:left="1440" w:hanging="233"/>
        <w:spacing w:after="0"/>
        <w:tabs>
          <w:tab w:leader="none" w:pos="1440" w:val="left"/>
        </w:tabs>
        <w:numPr>
          <w:ilvl w:val="0"/>
          <w:numId w:val="4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of these Articles Supplementary, each of which shall be an organization described in Sections 170(b)(1)(A), 170(c)</w:t>
      </w:r>
    </w:p>
    <w:p>
      <w:pPr>
        <w:spacing w:after="0" w:line="18" w:lineRule="exact"/>
        <w:rPr>
          <w:rFonts w:ascii="Times New Roman" w:cs="Times New Roman" w:eastAsia="Times New Roman" w:hAnsi="Times New Roman"/>
          <w:sz w:val="13"/>
          <w:szCs w:val="13"/>
          <w:color w:val="auto"/>
        </w:rPr>
      </w:pPr>
    </w:p>
    <w:p>
      <w:pPr>
        <w:ind w:left="120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 and 501(c)(3) of the Code.</w:t>
      </w:r>
    </w:p>
    <w:p>
      <w:pPr>
        <w:spacing w:after="0" w:line="183" w:lineRule="exact"/>
        <w:rPr>
          <w:sz w:val="20"/>
          <w:szCs w:val="20"/>
          <w:color w:val="auto"/>
        </w:rPr>
      </w:pPr>
    </w:p>
    <w:p>
      <w:pPr>
        <w:jc w:val="both"/>
        <w:ind w:left="1200" w:right="620" w:firstLine="360"/>
        <w:spacing w:after="0" w:line="30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Code</w:t>
      </w:r>
      <w:r>
        <w:rPr>
          <w:rFonts w:ascii="Times New Roman" w:cs="Times New Roman" w:eastAsia="Times New Roman" w:hAnsi="Times New Roman"/>
          <w:sz w:val="13"/>
          <w:szCs w:val="13"/>
          <w:color w:val="auto"/>
        </w:rPr>
        <w:t>” shall mean the Internal Revenue Code of 1986, as amended. All section references to the Code shall include any successor provisions thereof as may be adopted from time to time.</w:t>
      </w:r>
    </w:p>
    <w:p>
      <w:pPr>
        <w:spacing w:after="0" w:line="124" w:lineRule="exact"/>
        <w:rPr>
          <w:sz w:val="20"/>
          <w:szCs w:val="20"/>
          <w:color w:val="auto"/>
        </w:rPr>
      </w:pPr>
    </w:p>
    <w:p>
      <w:pPr>
        <w:jc w:val="both"/>
        <w:ind w:left="1200" w:right="600" w:firstLine="360"/>
        <w:spacing w:after="0" w:line="28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Constructive Ownership</w:t>
      </w:r>
      <w:r>
        <w:rPr>
          <w:rFonts w:ascii="Times New Roman" w:cs="Times New Roman" w:eastAsia="Times New Roman" w:hAnsi="Times New Roman"/>
          <w:sz w:val="13"/>
          <w:szCs w:val="13"/>
          <w:color w:val="auto"/>
        </w:rPr>
        <w:t>” shall mean ownership of Series C Preferred Stock by a Person who is or would be treated as an owner of such Series C Preferred Stock either actually or constructively through the application of Section 318 of the Code, as modified by Section 856(d)(5) of the Code. The terms “</w:t>
      </w:r>
      <w:r>
        <w:rPr>
          <w:rFonts w:ascii="Times New Roman" w:cs="Times New Roman" w:eastAsia="Times New Roman" w:hAnsi="Times New Roman"/>
          <w:sz w:val="13"/>
          <w:szCs w:val="13"/>
          <w:u w:val="single" w:color="auto"/>
          <w:color w:val="auto"/>
        </w:rPr>
        <w:t>Constructive Owner</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u w:val="single" w:color="auto"/>
          <w:color w:val="auto"/>
        </w:rPr>
        <w:t>Constructively Owns</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u w:val="single" w:color="auto"/>
          <w:color w:val="auto"/>
        </w:rPr>
        <w:t>Constructively Owned</w:t>
      </w:r>
      <w:r>
        <w:rPr>
          <w:rFonts w:ascii="Times New Roman" w:cs="Times New Roman" w:eastAsia="Times New Roman" w:hAnsi="Times New Roman"/>
          <w:sz w:val="13"/>
          <w:szCs w:val="13"/>
          <w:color w:val="auto"/>
        </w:rPr>
        <w:t>” shall have the correlative meanings.</w:t>
      </w:r>
    </w:p>
    <w:p>
      <w:pPr>
        <w:spacing w:after="0" w:line="140" w:lineRule="exact"/>
        <w:rPr>
          <w:sz w:val="20"/>
          <w:szCs w:val="20"/>
          <w:color w:val="auto"/>
        </w:rPr>
      </w:pPr>
    </w:p>
    <w:p>
      <w:pPr>
        <w:jc w:val="both"/>
        <w:ind w:left="1200" w:right="600" w:firstLine="360"/>
        <w:spacing w:after="0" w:line="28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Individual</w:t>
      </w:r>
      <w:r>
        <w:rPr>
          <w:rFonts w:ascii="Times New Roman" w:cs="Times New Roman" w:eastAsia="Times New Roman" w:hAnsi="Times New Roman"/>
          <w:sz w:val="13"/>
          <w:szCs w:val="13"/>
          <w:color w:val="auto"/>
        </w:rPr>
        <w:t>” means an individual, a trust qualified under Section 401(a) or 501(c)(17) of the Code, a portion of a trust permanently set aside for or to be used exclusively for the purposes described in Section 642(c) of the Code, or a private foundation within the meaning of Section 509(a) of the Code, provided that a trust described in Section 401(a) of the Code and exempt from tax under Section 501(a) of the Code shall be excluded from this definition.</w:t>
      </w:r>
    </w:p>
    <w:p>
      <w:pPr>
        <w:spacing w:after="0" w:line="14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IRS</w:t>
      </w:r>
      <w:r>
        <w:rPr>
          <w:rFonts w:ascii="Times New Roman" w:cs="Times New Roman" w:eastAsia="Times New Roman" w:hAnsi="Times New Roman"/>
          <w:sz w:val="13"/>
          <w:szCs w:val="13"/>
          <w:color w:val="auto"/>
        </w:rPr>
        <w:t>” means the United States Internal Revenue Service.</w:t>
      </w:r>
    </w:p>
    <w:p>
      <w:pPr>
        <w:spacing w:after="0" w:line="187" w:lineRule="exact"/>
        <w:rPr>
          <w:sz w:val="20"/>
          <w:szCs w:val="20"/>
          <w:color w:val="auto"/>
        </w:rPr>
      </w:pPr>
    </w:p>
    <w:p>
      <w:pPr>
        <w:jc w:val="both"/>
        <w:ind w:left="1200" w:right="600" w:firstLine="360"/>
        <w:spacing w:after="0" w:line="27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Market Price</w:t>
      </w:r>
      <w:r>
        <w:rPr>
          <w:rFonts w:ascii="Times New Roman" w:cs="Times New Roman" w:eastAsia="Times New Roman" w:hAnsi="Times New Roman"/>
          <w:sz w:val="13"/>
          <w:szCs w:val="13"/>
          <w:color w:val="auto"/>
        </w:rPr>
        <w:t>” shall mean the last reported sales price reported on the NYSE of the Series C Preferred Stock on the Trading Day immediately preceding the relevant date, or if the Series C Preferred Stock is not then traded on the NYSE, the last reported sales price of the Series C Preferred Stock on the Trading Day immediately preceding the relevant date as reported on any exchange or quotation system over which the Series C Preferred Stock may be traded, or if the Series C Preferred Stock is not then traded over any exchange or quotation system, the market price of the Series C Preferred Stock on the relevant date as determined in good faith by the Board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106680</wp:posOffset>
            </wp:positionV>
            <wp:extent cx="4436110" cy="1524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839">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549275</wp:posOffset>
            </wp:positionV>
            <wp:extent cx="5083810" cy="1524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840">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57" w:name="page458"/>
    <w:bookmarkEnd w:id="457"/>
    <w:p>
      <w:pPr>
        <w:jc w:val="both"/>
        <w:ind w:left="1200" w:right="600" w:firstLine="360"/>
        <w:spacing w:after="0" w:line="28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Ownership Limit</w:t>
      </w:r>
      <w:r>
        <w:rPr>
          <w:rFonts w:ascii="Times New Roman" w:cs="Times New Roman" w:eastAsia="Times New Roman" w:hAnsi="Times New Roman"/>
          <w:sz w:val="13"/>
          <w:szCs w:val="13"/>
          <w:color w:val="auto"/>
        </w:rPr>
        <w:t>” shall mean 9.8% (by value or number of shares, whichever is more restrictive) of the outstanding shares of Series C Preferred Stock of the Company. The number and value of shares of outstanding Series C Preferred Stock of the Company shall be determined by the Board in good faith, which determination shall be conclusive for all purposes hereof.</w:t>
      </w:r>
    </w:p>
    <w:p>
      <w:pPr>
        <w:spacing w:after="0" w:line="136" w:lineRule="exact"/>
        <w:rPr>
          <w:sz w:val="20"/>
          <w:szCs w:val="20"/>
          <w:color w:val="auto"/>
        </w:rPr>
      </w:pPr>
    </w:p>
    <w:p>
      <w:pPr>
        <w:jc w:val="both"/>
        <w:ind w:left="1200" w:right="600" w:firstLine="360"/>
        <w:spacing w:after="0" w:line="27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Person</w:t>
      </w:r>
      <w:r>
        <w:rPr>
          <w:rFonts w:ascii="Times New Roman" w:cs="Times New Roman" w:eastAsia="Times New Roman" w:hAnsi="Times New Roman"/>
          <w:sz w:val="13"/>
          <w:szCs w:val="13"/>
          <w:color w:val="auto"/>
        </w:rPr>
        <w:t>” shall mean an Individual, corporation, partnership, limited liability company, estate, trust (including a trust qualified under Section 401(a) or 501(c)(17) of the Code), association, joint stock company or other entity; but does not include an underwriter acting in a capacity as such in a public offering of shares of Series C Preferred Stock provided that the ownership of such shares of Series C Preferred Stock by such underwriter would not result in the Company being “closely held” within the meaning of Section 856(h) of the Code, or otherwise result in the Company failing to qualify as a REIT.</w:t>
      </w:r>
    </w:p>
    <w:p>
      <w:pPr>
        <w:spacing w:after="0" w:line="143" w:lineRule="exact"/>
        <w:rPr>
          <w:sz w:val="20"/>
          <w:szCs w:val="20"/>
          <w:color w:val="auto"/>
        </w:rPr>
      </w:pPr>
    </w:p>
    <w:p>
      <w:pPr>
        <w:jc w:val="both"/>
        <w:ind w:left="1200" w:right="600" w:firstLine="360"/>
        <w:spacing w:after="0" w:line="28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Purported Beneficial Transferee</w:t>
      </w:r>
      <w:r>
        <w:rPr>
          <w:rFonts w:ascii="Times New Roman" w:cs="Times New Roman" w:eastAsia="Times New Roman" w:hAnsi="Times New Roman"/>
          <w:sz w:val="13"/>
          <w:szCs w:val="13"/>
          <w:color w:val="auto"/>
        </w:rPr>
        <w:t>” shall mean, with respect to any purported Transfer (or other event) which results in a transfer to a Trust, as provided in Section 9(b)(ii) of these Articles Supplementary, the Purported Record Transferee, unless the Purported Record Transferee would have acquired or owned shares of Series C Preferred Stock for another Person who is the beneficial transferee or beneficial owner of such shares, in which case the Purported Beneficial Transferee shall be such Person.</w:t>
      </w:r>
    </w:p>
    <w:p>
      <w:pPr>
        <w:spacing w:after="0" w:line="140" w:lineRule="exact"/>
        <w:rPr>
          <w:sz w:val="20"/>
          <w:szCs w:val="20"/>
          <w:color w:val="auto"/>
        </w:rPr>
      </w:pPr>
    </w:p>
    <w:p>
      <w:pPr>
        <w:jc w:val="both"/>
        <w:ind w:left="1200" w:right="620" w:firstLine="360"/>
        <w:spacing w:after="0" w:line="28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Purported Record Transferee</w:t>
      </w:r>
      <w:r>
        <w:rPr>
          <w:rFonts w:ascii="Times New Roman" w:cs="Times New Roman" w:eastAsia="Times New Roman" w:hAnsi="Times New Roman"/>
          <w:sz w:val="13"/>
          <w:szCs w:val="13"/>
          <w:color w:val="auto"/>
        </w:rPr>
        <w:t>” shall mean, with respect to any purported Transfer (or other event) which results in a transfer to a Trust, as provided in Section 9(b)(ii) of these Articles Supplementary, the record holder of the Series C Preferred Stock if such Transfer had been valid under Section 9(b)(i) of these Articles Supplementary.</w:t>
      </w:r>
    </w:p>
    <w:p>
      <w:pPr>
        <w:spacing w:after="0" w:line="13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REIT</w:t>
      </w:r>
      <w:r>
        <w:rPr>
          <w:rFonts w:ascii="Times New Roman" w:cs="Times New Roman" w:eastAsia="Times New Roman" w:hAnsi="Times New Roman"/>
          <w:sz w:val="13"/>
          <w:szCs w:val="13"/>
          <w:color w:val="auto"/>
        </w:rPr>
        <w:t>” shall mean a real estate investment trust under Sections 856 through 860 of the Code.</w:t>
      </w:r>
    </w:p>
    <w:p>
      <w:pPr>
        <w:spacing w:after="0" w:line="187" w:lineRule="exact"/>
        <w:rPr>
          <w:sz w:val="20"/>
          <w:szCs w:val="20"/>
          <w:color w:val="auto"/>
        </w:rPr>
      </w:pPr>
    </w:p>
    <w:p>
      <w:pPr>
        <w:jc w:val="both"/>
        <w:ind w:left="1200" w:right="600" w:firstLine="360"/>
        <w:spacing w:after="0" w:line="30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Restriction Termination Date</w:t>
      </w:r>
      <w:r>
        <w:rPr>
          <w:rFonts w:ascii="Times New Roman" w:cs="Times New Roman" w:eastAsia="Times New Roman" w:hAnsi="Times New Roman"/>
          <w:sz w:val="13"/>
          <w:szCs w:val="13"/>
          <w:color w:val="auto"/>
        </w:rPr>
        <w:t>” shall mean the first day after the date hereof on which the Board of the Company determines that it is no longer in the best interests of the Company to attempt to, or continue to, qualify as a REIT.</w:t>
      </w:r>
    </w:p>
    <w:p>
      <w:pPr>
        <w:spacing w:after="0" w:line="124" w:lineRule="exact"/>
        <w:rPr>
          <w:sz w:val="20"/>
          <w:szCs w:val="20"/>
          <w:color w:val="auto"/>
        </w:rPr>
      </w:pPr>
    </w:p>
    <w:p>
      <w:pPr>
        <w:jc w:val="both"/>
        <w:ind w:left="1200" w:right="600" w:firstLine="360"/>
        <w:spacing w:after="0" w:line="28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Trading Day</w:t>
      </w:r>
      <w:r>
        <w:rPr>
          <w:rFonts w:ascii="Times New Roman" w:cs="Times New Roman" w:eastAsia="Times New Roman" w:hAnsi="Times New Roman"/>
          <w:sz w:val="13"/>
          <w:szCs w:val="13"/>
          <w:color w:val="auto"/>
        </w:rPr>
        <w:t>” means a day during which trading in securities generally occurs on the NYSE or, if the Common Stock is not quoted on the NYSE, then a day during which trading in securities generally occurs on the principal U.S. securities exchange on which the Common Stock is listed or, if the Common Stock is not listed on a U.S. national or regional securities exchange, then on the principal other market on which the Common Stock is then traded or quoted.</w:t>
      </w:r>
    </w:p>
    <w:p>
      <w:pPr>
        <w:spacing w:after="0" w:line="140" w:lineRule="exact"/>
        <w:rPr>
          <w:sz w:val="20"/>
          <w:szCs w:val="20"/>
          <w:color w:val="auto"/>
        </w:rPr>
      </w:pPr>
    </w:p>
    <w:p>
      <w:pPr>
        <w:jc w:val="both"/>
        <w:ind w:left="1200" w:right="600" w:firstLine="360"/>
        <w:spacing w:after="0" w:line="27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Transfer</w:t>
      </w:r>
      <w:r>
        <w:rPr>
          <w:rFonts w:ascii="Times New Roman" w:cs="Times New Roman" w:eastAsia="Times New Roman" w:hAnsi="Times New Roman"/>
          <w:sz w:val="13"/>
          <w:szCs w:val="13"/>
          <w:color w:val="auto"/>
        </w:rPr>
        <w:t>” shall mean any sale, issuance, transfer, gift, assignment, devise or other disposition of Series C Preferred Stock as well as any other event that causes any Person to Beneficially Own or Constructively Own Series C Preferred Stock, including (i) the granting of any option or entering into any agreement for the sale, transfer or other disposition of Series C Preferred Stock or (ii) the sale, transfer, assignment or other disposition of any securities (or rights convertible into or exchangeable for Series C Preferred Stock), whether voluntary or involuntary, whether such transfer has occurred of record or beneficially or Beneficially or Constructively (including but not limited to transfers of interests in other entities which result in changes in Beneficial or Constructive Ownership of Series C Preferred Stock), and whether such transfer has occurred by operation of law or otherwise.</w:t>
      </w:r>
    </w:p>
    <w:p>
      <w:pPr>
        <w:spacing w:after="0" w:line="14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Trust</w:t>
      </w:r>
      <w:r>
        <w:rPr>
          <w:rFonts w:ascii="Times New Roman" w:cs="Times New Roman" w:eastAsia="Times New Roman" w:hAnsi="Times New Roman"/>
          <w:sz w:val="13"/>
          <w:szCs w:val="13"/>
          <w:color w:val="auto"/>
        </w:rPr>
        <w:t>” shall mean each of the trusts provided for in Section 9(c) of these Articles Supplementary.</w:t>
      </w:r>
    </w:p>
    <w:p>
      <w:pPr>
        <w:spacing w:after="0" w:line="187" w:lineRule="exact"/>
        <w:rPr>
          <w:sz w:val="20"/>
          <w:szCs w:val="20"/>
          <w:color w:val="auto"/>
        </w:rPr>
      </w:pPr>
    </w:p>
    <w:p>
      <w:pPr>
        <w:jc w:val="both"/>
        <w:ind w:left="1200" w:right="620" w:firstLine="360"/>
        <w:spacing w:after="0" w:line="30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Trustee</w:t>
      </w:r>
      <w:r>
        <w:rPr>
          <w:rFonts w:ascii="Times New Roman" w:cs="Times New Roman" w:eastAsia="Times New Roman" w:hAnsi="Times New Roman"/>
          <w:sz w:val="13"/>
          <w:szCs w:val="13"/>
          <w:color w:val="auto"/>
        </w:rPr>
        <w:t>” shall mean any Person unaffiliated with the Company, or a Purported Beneficial Transferee, or a Purported Record Transferee, that is appointed by the Company to serve as trustee of a Trust.</w:t>
      </w:r>
    </w:p>
    <w:p>
      <w:pPr>
        <w:spacing w:after="0" w:line="124" w:lineRule="exact"/>
        <w:rPr>
          <w:sz w:val="20"/>
          <w:szCs w:val="20"/>
          <w:color w:val="auto"/>
        </w:rPr>
      </w:pPr>
    </w:p>
    <w:p>
      <w:pPr>
        <w:ind w:left="1260" w:hanging="173"/>
        <w:spacing w:after="0"/>
        <w:tabs>
          <w:tab w:leader="none" w:pos="1260" w:val="left"/>
        </w:tabs>
        <w:numPr>
          <w:ilvl w:val="0"/>
          <w:numId w:val="4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Restriction on Ownership and Transfers</w:t>
      </w:r>
      <w:r>
        <w:rPr>
          <w:rFonts w:ascii="Times New Roman" w:cs="Times New Roman" w:eastAsia="Times New Roman" w:hAnsi="Times New Roman"/>
          <w:sz w:val="13"/>
          <w:szCs w:val="13"/>
          <w:color w:val="auto"/>
        </w:rPr>
        <w:t>.</w:t>
      </w:r>
    </w:p>
    <w:p>
      <w:pPr>
        <w:spacing w:after="0" w:line="186" w:lineRule="exact"/>
        <w:rPr>
          <w:rFonts w:ascii="Times New Roman" w:cs="Times New Roman" w:eastAsia="Times New Roman" w:hAnsi="Times New Roman"/>
          <w:sz w:val="13"/>
          <w:szCs w:val="13"/>
          <w:color w:val="auto"/>
        </w:rPr>
      </w:pPr>
    </w:p>
    <w:p>
      <w:pPr>
        <w:ind w:left="1720" w:hanging="153"/>
        <w:spacing w:after="0"/>
        <w:tabs>
          <w:tab w:leader="none" w:pos="1720" w:val="left"/>
        </w:tabs>
        <w:numPr>
          <w:ilvl w:val="1"/>
          <w:numId w:val="4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Prior to the Restriction Termination Date, but subject to Section 9(l):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125730</wp:posOffset>
            </wp:positionV>
            <wp:extent cx="4436110" cy="762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841">
                      <a:extLst>
                        <a:ext uri="{28A0092B-C50C-407E-A947-70E740481C1C}"/>
                      </a:extLst>
                    </a:blip>
                    <a:srcRect/>
                    <a:stretch>
                      <a:fillRect/>
                    </a:stretch>
                  </pic:blipFill>
                  <pic:spPr bwMode="auto">
                    <a:xfrm>
                      <a:off x="0" y="0"/>
                      <a:ext cx="4436110"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567690</wp:posOffset>
            </wp:positionV>
            <wp:extent cx="5083810" cy="1524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842">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58" w:name="page459"/>
    <w:bookmarkEnd w:id="458"/>
    <w:p>
      <w:pPr>
        <w:jc w:val="both"/>
        <w:ind w:left="1560" w:right="600" w:firstLine="480"/>
        <w:spacing w:after="0" w:line="281" w:lineRule="auto"/>
        <w:rPr>
          <w:sz w:val="20"/>
          <w:szCs w:val="20"/>
          <w:color w:val="auto"/>
        </w:rPr>
      </w:pPr>
      <w:r>
        <w:rPr>
          <w:rFonts w:ascii="Times New Roman" w:cs="Times New Roman" w:eastAsia="Times New Roman" w:hAnsi="Times New Roman"/>
          <w:sz w:val="13"/>
          <w:szCs w:val="13"/>
          <w:color w:val="auto"/>
        </w:rPr>
        <w:t>(A) except as provided in Section 9(i) of these Articles Supplementary, (1) no Person shall Beneficially Own shares of Series C Preferred Stock in excess of the Ownership Limit and (2) no Person shall Beneficially Own shares of Series C Preferred Stock that, taking into account any other Capital Stock Beneficially Owned by such Person, would result in such Person Beneficially Owning Capital Stock in excess of the Aggregate Stock Ownership Limit;</w:t>
      </w:r>
    </w:p>
    <w:p>
      <w:pPr>
        <w:spacing w:after="0" w:line="140" w:lineRule="exact"/>
        <w:rPr>
          <w:sz w:val="20"/>
          <w:szCs w:val="20"/>
          <w:color w:val="auto"/>
        </w:rPr>
      </w:pPr>
    </w:p>
    <w:p>
      <w:pPr>
        <w:jc w:val="both"/>
        <w:ind w:left="1560" w:right="600" w:firstLine="480"/>
        <w:spacing w:after="0" w:line="281" w:lineRule="auto"/>
        <w:rPr>
          <w:sz w:val="20"/>
          <w:szCs w:val="20"/>
          <w:color w:val="auto"/>
        </w:rPr>
      </w:pPr>
      <w:r>
        <w:rPr>
          <w:rFonts w:ascii="Times New Roman" w:cs="Times New Roman" w:eastAsia="Times New Roman" w:hAnsi="Times New Roman"/>
          <w:sz w:val="13"/>
          <w:szCs w:val="13"/>
          <w:color w:val="auto"/>
        </w:rPr>
        <w:t>(B) except as provided in Section 9(i) of these Articles Supplementary, (1) no Person shall Constructively Own shares of Series C Preferred Stock in excess of the Ownership Limit and (2) no Person shall Constructively Own shares of Series C Preferred Stock that, taking into account any other Capital Stock Constructively Owned by such Person, would result in such Person Constructively Owning Capital Stock in excess of the Aggregate Stock Ownership Limit;</w:t>
      </w:r>
    </w:p>
    <w:p>
      <w:pPr>
        <w:spacing w:after="0" w:line="140" w:lineRule="exact"/>
        <w:rPr>
          <w:sz w:val="20"/>
          <w:szCs w:val="20"/>
          <w:color w:val="auto"/>
        </w:rPr>
      </w:pPr>
    </w:p>
    <w:p>
      <w:pPr>
        <w:jc w:val="both"/>
        <w:ind w:left="1560" w:right="600" w:firstLine="487"/>
        <w:spacing w:after="0" w:line="270" w:lineRule="auto"/>
        <w:tabs>
          <w:tab w:leader="none" w:pos="2244" w:val="left"/>
        </w:tabs>
        <w:numPr>
          <w:ilvl w:val="3"/>
          <w:numId w:val="4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Person shall Beneficially Own or Constructively Own Series C Preferred Stock which, taking into account any other Capital Stock of the Company Beneficially or Constructively Owned by such Person, would result in the Company being “closely held” within the meaning of Section 856(h) of the Code, or otherwise failing to qualify as a REIT (including but not limited to Beneficial or Constructive Ownership that would result in the Company owning (actually or Constructively) an interest in a tenant that is described in Section 856(d)(2)</w:t>
      </w:r>
    </w:p>
    <w:p>
      <w:pPr>
        <w:spacing w:after="0" w:line="2" w:lineRule="exact"/>
        <w:rPr>
          <w:rFonts w:ascii="Times New Roman" w:cs="Times New Roman" w:eastAsia="Times New Roman" w:hAnsi="Times New Roman"/>
          <w:sz w:val="13"/>
          <w:szCs w:val="13"/>
          <w:color w:val="auto"/>
        </w:rPr>
      </w:pPr>
    </w:p>
    <w:p>
      <w:pPr>
        <w:ind w:left="1560" w:right="620" w:firstLine="7"/>
        <w:spacing w:after="0" w:line="299" w:lineRule="auto"/>
        <w:tabs>
          <w:tab w:leader="none" w:pos="1769" w:val="left"/>
        </w:tabs>
        <w:numPr>
          <w:ilvl w:val="2"/>
          <w:numId w:val="4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of the Code if the income derived by the Company (either directly or indirectly through one or more subsidiaries) from such tenant would cause the Company to fail to satisfy any of the gross income requirements of Section 856(c) of the Code).</w:t>
      </w:r>
    </w:p>
    <w:p>
      <w:pPr>
        <w:spacing w:after="0" w:line="128" w:lineRule="exact"/>
        <w:rPr>
          <w:rFonts w:ascii="Times New Roman" w:cs="Times New Roman" w:eastAsia="Times New Roman" w:hAnsi="Times New Roman"/>
          <w:sz w:val="13"/>
          <w:szCs w:val="13"/>
          <w:color w:val="auto"/>
        </w:rPr>
      </w:pPr>
    </w:p>
    <w:p>
      <w:pPr>
        <w:jc w:val="both"/>
        <w:ind w:left="600" w:right="600" w:firstLine="955"/>
        <w:spacing w:after="0" w:line="274" w:lineRule="auto"/>
        <w:tabs>
          <w:tab w:leader="none" w:pos="1752" w:val="left"/>
        </w:tabs>
        <w:numPr>
          <w:ilvl w:val="1"/>
          <w:numId w:val="4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prior to the Restriction Termination Date, any Transfer or other event occurs that, if effective, would result in any Person Beneficially or Constructively Owning Series C Preferred Stock in violation of Section 9(b)(i) of these Articles Supplementary, (A) then that number of shares of Series C Preferred Stock that otherwise would cause such Person to violate Section 9(b)(i) of these Articles Supplementary (rounded up to the nearest whole share) shall be automatically transferred to a Trust for the benefit of a Charitable Beneficiary, as described in Section 9(c), effective as of the close of business on the Business Day prior to the date of such Transfer or other event, and such Purported Beneficial Transferee shall thereafter have no rights in such shares or (B) if, for any reason, the transfer to the Trust described in clause (A) of this sentence is not automatically effective as provided therein to prevent any Person from Beneficially or Constructively Owning Series C Preferred Stock in violation of Section 9(b)(i) of these Articles Supplementary, then the Transfer of that number of shares of Series C Preferred Stock that otherwise would cause any Person to violate Section 9(b)(i) shall be void </w:t>
      </w:r>
      <w:r>
        <w:rPr>
          <w:rFonts w:ascii="Times New Roman" w:cs="Times New Roman" w:eastAsia="Times New Roman" w:hAnsi="Times New Roman"/>
          <w:sz w:val="13"/>
          <w:szCs w:val="13"/>
          <w:i w:val="1"/>
          <w:iCs w:val="1"/>
          <w:color w:val="auto"/>
        </w:rPr>
        <w:t>ab initio</w:t>
      </w:r>
      <w:r>
        <w:rPr>
          <w:rFonts w:ascii="Times New Roman" w:cs="Times New Roman" w:eastAsia="Times New Roman" w:hAnsi="Times New Roman"/>
          <w:sz w:val="13"/>
          <w:szCs w:val="13"/>
          <w:color w:val="auto"/>
        </w:rPr>
        <w:t>, and the Purported Beneficial Transferee shall have no rights in such shares.</w:t>
      </w:r>
    </w:p>
    <w:p>
      <w:pPr>
        <w:spacing w:after="0" w:line="300" w:lineRule="exact"/>
        <w:rPr>
          <w:rFonts w:ascii="Times New Roman" w:cs="Times New Roman" w:eastAsia="Times New Roman" w:hAnsi="Times New Roman"/>
          <w:sz w:val="13"/>
          <w:szCs w:val="13"/>
          <w:color w:val="auto"/>
        </w:rPr>
      </w:pPr>
    </w:p>
    <w:p>
      <w:pPr>
        <w:jc w:val="both"/>
        <w:ind w:left="600" w:right="620" w:firstLine="955"/>
        <w:spacing w:after="0" w:line="287" w:lineRule="auto"/>
        <w:tabs>
          <w:tab w:leader="none" w:pos="1776" w:val="left"/>
        </w:tabs>
        <w:numPr>
          <w:ilvl w:val="1"/>
          <w:numId w:val="4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Subject to Section 9(l) and prior to the Restriction Termination Date, any Transfer of Series C Preferred Stock that, if effective, would result in the capital stock of the Company being beneficially owned by fewer than 100 Persons (determined without reference to any rules of attribution) shall be void </w:t>
      </w:r>
      <w:r>
        <w:rPr>
          <w:rFonts w:ascii="Times New Roman" w:cs="Times New Roman" w:eastAsia="Times New Roman" w:hAnsi="Times New Roman"/>
          <w:sz w:val="13"/>
          <w:szCs w:val="13"/>
          <w:i w:val="1"/>
          <w:iCs w:val="1"/>
          <w:color w:val="auto"/>
        </w:rPr>
        <w:t>ab initio</w:t>
      </w:r>
      <w:r>
        <w:rPr>
          <w:rFonts w:ascii="Times New Roman" w:cs="Times New Roman" w:eastAsia="Times New Roman" w:hAnsi="Times New Roman"/>
          <w:sz w:val="13"/>
          <w:szCs w:val="13"/>
          <w:color w:val="auto"/>
        </w:rPr>
        <w:t>, and the intended transferee shall acquire no rights in such Series C Preferred Stock.</w:t>
      </w:r>
    </w:p>
    <w:p>
      <w:pPr>
        <w:spacing w:after="0" w:line="135" w:lineRule="exact"/>
        <w:rPr>
          <w:rFonts w:ascii="Times New Roman" w:cs="Times New Roman" w:eastAsia="Times New Roman" w:hAnsi="Times New Roman"/>
          <w:sz w:val="13"/>
          <w:szCs w:val="13"/>
          <w:color w:val="auto"/>
        </w:rPr>
      </w:pPr>
    </w:p>
    <w:p>
      <w:pPr>
        <w:ind w:left="1260" w:hanging="173"/>
        <w:spacing w:after="0"/>
        <w:tabs>
          <w:tab w:leader="none" w:pos="1260" w:val="left"/>
        </w:tabs>
        <w:numPr>
          <w:ilvl w:val="0"/>
          <w:numId w:val="4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Transfers of Series C Preferred Stock in Trust</w:t>
      </w:r>
      <w:r>
        <w:rPr>
          <w:rFonts w:ascii="Times New Roman" w:cs="Times New Roman" w:eastAsia="Times New Roman" w:hAnsi="Times New Roman"/>
          <w:sz w:val="13"/>
          <w:szCs w:val="13"/>
          <w:color w:val="auto"/>
        </w:rPr>
        <w:t>.</w:t>
      </w:r>
    </w:p>
    <w:p>
      <w:pPr>
        <w:spacing w:after="0" w:line="186" w:lineRule="exact"/>
        <w:rPr>
          <w:rFonts w:ascii="Times New Roman" w:cs="Times New Roman" w:eastAsia="Times New Roman" w:hAnsi="Times New Roman"/>
          <w:sz w:val="13"/>
          <w:szCs w:val="13"/>
          <w:color w:val="auto"/>
        </w:rPr>
      </w:pPr>
    </w:p>
    <w:p>
      <w:pPr>
        <w:jc w:val="both"/>
        <w:ind w:left="600" w:right="600" w:firstLine="955"/>
        <w:spacing w:after="0" w:line="276" w:lineRule="auto"/>
        <w:tabs>
          <w:tab w:leader="none" w:pos="1716" w:val="left"/>
        </w:tabs>
        <w:numPr>
          <w:ilvl w:val="1"/>
          <w:numId w:val="4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any purported Transfer or other event described in Section 9(b)(ii) of these Articles Supplementary, such Series C Preferred Stock shall be deemed to have been transferred to the Trustee in his capacity as trustee of a Trust for the exclusive benefit of one or more Charitable Beneficiaries. Such transfer to the Trustee shall be deemed to be effective as of the close of business on the Business Day prior to the purported Transfer or other event that results in a transfer to the Trust pursuant to Section 9(b)(ii). The Trustee shall be appointed by the Company and shall be a Person unaffiliated with the Company, any Purported Beneficial Transferee or any Purported Record Transferee. Each Charitable Beneficiary shall be designated by the Company as provided in Section 9(c)(vi) of these Articles Supplementary.</w:t>
      </w:r>
    </w:p>
    <w:p>
      <w:pPr>
        <w:spacing w:after="0" w:line="144" w:lineRule="exact"/>
        <w:rPr>
          <w:rFonts w:ascii="Times New Roman" w:cs="Times New Roman" w:eastAsia="Times New Roman" w:hAnsi="Times New Roman"/>
          <w:sz w:val="13"/>
          <w:szCs w:val="13"/>
          <w:color w:val="auto"/>
        </w:rPr>
      </w:pPr>
    </w:p>
    <w:p>
      <w:pPr>
        <w:jc w:val="both"/>
        <w:ind w:left="600" w:right="600" w:firstLine="955"/>
        <w:spacing w:after="0" w:line="278" w:lineRule="auto"/>
        <w:tabs>
          <w:tab w:leader="none" w:pos="1752" w:val="left"/>
        </w:tabs>
        <w:numPr>
          <w:ilvl w:val="1"/>
          <w:numId w:val="4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Series C Preferred Stock held by the Trustee shall be issued and outstanding Series C Preferred Stock of the Company. The Purported Beneficial Transferee or Purported Record Transferee shall have no rights in the shares of the Series C Preferred Stock held by the Trustee. The Purported Beneficial Transferee or Purported Record Transferee shall not benefit economically from ownership of any shares held in trust by the Trustee, shall have no rights to dividends and shall not possess any rights to vote or other rights attributable to the shares of Series C Preferred Stock held in the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105410</wp:posOffset>
            </wp:positionV>
            <wp:extent cx="4436110" cy="1524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843">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547370</wp:posOffset>
            </wp:positionV>
            <wp:extent cx="5083810" cy="1524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844">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59" w:name="page460"/>
    <w:bookmarkEnd w:id="459"/>
    <w:p>
      <w:pPr>
        <w:jc w:val="both"/>
        <w:ind w:left="600" w:right="600" w:firstLine="955"/>
        <w:spacing w:after="0" w:line="270" w:lineRule="auto"/>
        <w:tabs>
          <w:tab w:leader="none" w:pos="1788" w:val="left"/>
        </w:tabs>
        <w:numPr>
          <w:ilvl w:val="0"/>
          <w:numId w:val="4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shall have all voting rights and rights to dividends with respect to Series C Preferred Stock held in the Trust, which rights shall be exercised for the exclusive benefit of the Charitable Beneficiary. Any dividend or distribution paid to or on behalf of the Purported Record Transferee or Purported Beneficial Transferee prior to the discovery by the Company that shares of Series C Preferred Stock have been transferred to the Trustee shall be paid to the Trustee upon demand, and any dividend or distribution declared but unpaid shall be paid when due to the Trustee with respect to such Series C Preferred Stock. Any dividends or distributions so paid over to the Trustee shall be held in trust for the Charitable Beneficiary. The Purported Record Transferee and Purported Beneficial Transferee shall have no voting rights with respect to the Series C Preferred Stock held in the Trust and, subject to Maryland law, effective as of the date the Series C Preferred Stock has been transferred to the Trustee, the Trustee shall have the authority (at the Trustee’s sole discretion) (A) to rescind as void any vote cast by a Purported</w:t>
      </w:r>
    </w:p>
    <w:p>
      <w:pPr>
        <w:spacing w:after="0" w:line="3" w:lineRule="exact"/>
        <w:rPr>
          <w:sz w:val="20"/>
          <w:szCs w:val="20"/>
          <w:color w:val="auto"/>
        </w:rPr>
      </w:pPr>
    </w:p>
    <w:p>
      <w:pPr>
        <w:jc w:val="both"/>
        <w:ind w:left="600" w:right="600"/>
        <w:spacing w:after="0" w:line="274" w:lineRule="auto"/>
        <w:rPr>
          <w:sz w:val="20"/>
          <w:szCs w:val="20"/>
          <w:color w:val="auto"/>
        </w:rPr>
      </w:pPr>
      <w:r>
        <w:rPr>
          <w:rFonts w:ascii="Times New Roman" w:cs="Times New Roman" w:eastAsia="Times New Roman" w:hAnsi="Times New Roman"/>
          <w:sz w:val="13"/>
          <w:szCs w:val="13"/>
          <w:color w:val="auto"/>
        </w:rPr>
        <w:t xml:space="preserve">Record Transferee with respect to such Series C Preferred Stock prior to the discovery by the Company that the Series C Preferred Stock has been transferred to the Trustee and (B) to recast such vote in accordance with the desires of the Trustee acting for the benefit of the Charitable Beneficiary;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if the Company has already taken irreversible corporate action, then the Trustee shall not have the authority to rescind and recast such vote. Notwithstanding any other provision of these Articles Supplementary to the contrary, until the Company has received notification that the Series C Preferred Stock has been transferred into a Trust, the Company shall be entitled to rely on its share transfer and other stockholder records for purposes of preparing lists of stockholders entitled to vote at meetings, determining the validity and authority of proxies and otherwise conducting votes of stockholders.</w:t>
      </w:r>
    </w:p>
    <w:p>
      <w:pPr>
        <w:spacing w:after="0" w:line="134" w:lineRule="exact"/>
        <w:rPr>
          <w:sz w:val="20"/>
          <w:szCs w:val="20"/>
          <w:color w:val="auto"/>
        </w:rPr>
      </w:pPr>
    </w:p>
    <w:p>
      <w:pPr>
        <w:jc w:val="both"/>
        <w:ind w:left="600" w:right="600" w:firstLine="955"/>
        <w:spacing w:after="0" w:line="272" w:lineRule="auto"/>
        <w:tabs>
          <w:tab w:leader="none" w:pos="1788" w:val="left"/>
        </w:tabs>
        <w:numPr>
          <w:ilvl w:val="0"/>
          <w:numId w:val="4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Within 20 days of receiving notice from the Company that shares of Series C Preferred Stock have been transferred to the Trust, the Trustee of the Trust shall sell the shares of Series C Preferred Stock held in the Trust to a Person, designated by the Trustee, whose ownership of the shares of Series C Preferred Stock will not violate the ownership limitations set forth in Section 9(b)(i). Upon such sale, the interest of the Charitable Beneficiary in the shares of Series C Preferred Stock sold shall terminate and the Trustee shall distribute the net proceeds of the sale to the Purported Record Transferee and to the Charitable Beneficiary as provided in this Section 9(c)(iv). The Purported Record Transferee shall receive the lesser of (A) the price paid by the Purported Record Transferee for the shares of Series C Preferred Stock in the transaction that resulted in such transfer to the Trust (or, if the event which resulted in the transfer to the Trust did not involve a purchase of such shares of Series C Preferred Stock at Market Price, the Market Price of such shares of Series C Preferred Stock on the day of the event which resulted in the transfer of such shares of Series C Preferred Stock to the Trust) and (B) the price per share received by the Trustee (net of any commissions and other expenses of sale) from the sale or other disposition of the shares of Series C Preferred Stock held in the Trust. The Trustee may reduce the amount payable to the Purported Record Transferee by the amount of dividends and distributions which have been paid to the Purported Record Transferee and are owed by the Purported Record Transferee to the Trustee pursuant to Section 9(c)(iii). Any net sales proceeds in excess of the amount payable to the Purported Record Transferee shall be immediately paid to the Charitable Beneficiary together with any dividends or other distributions thereon. If, prior to the discovery by the Company that shares of such Series C Preferred Stock have been transferred to the Trustee, such shares of Series C Preferred Stock are sold by a Purported Record Transferee then (1) such shares of Series C Preferred Stock shall be deemed to have been sold on behalf of the Trust and (2) to the extent that the Purported Record Transferee received an amount for such shares of Series C Preferred Stock that exceeds the amount that such Purported Record Transferee was entitled to receive pursuant to this Section 9(c)(iv), such excess shall be paid to the Trustee upon demand.</w:t>
      </w:r>
    </w:p>
    <w:p>
      <w:pPr>
        <w:spacing w:after="0" w:line="301" w:lineRule="exact"/>
        <w:rPr>
          <w:sz w:val="20"/>
          <w:szCs w:val="20"/>
          <w:color w:val="auto"/>
        </w:rPr>
      </w:pPr>
    </w:p>
    <w:p>
      <w:pPr>
        <w:jc w:val="both"/>
        <w:ind w:left="600" w:right="600" w:firstLine="960"/>
        <w:spacing w:after="0" w:line="275" w:lineRule="auto"/>
        <w:rPr>
          <w:sz w:val="20"/>
          <w:szCs w:val="20"/>
          <w:color w:val="auto"/>
        </w:rPr>
      </w:pPr>
      <w:r>
        <w:rPr>
          <w:rFonts w:ascii="Times New Roman" w:cs="Times New Roman" w:eastAsia="Times New Roman" w:hAnsi="Times New Roman"/>
          <w:sz w:val="13"/>
          <w:szCs w:val="13"/>
          <w:color w:val="auto"/>
        </w:rPr>
        <w:t>(v) Series C Preferred Stock transferred to the Trustee shall be deemed to have been offered for sale to the Company, or its designee, at a price per share equal to the lesser of (A) the price paid by the Purported Record Transferee for the shares of Series C Preferred Stock in the transaction that resulted in such transfer to the Trust (or, if the event which resulted in the transfer to the Trust did not involve a purchase of such shares of Series C Preferred Stock at Market Price, the Market Price of such shares of Series C Preferred Stock on the day of the event which resulted in the transfer of such shares of Series C Preferred Stock to the Trust) and (B) the Market Price on the date the Company, or its designee, accepts such offer. The Company may reduce the amount payable to the Purported Record Transferee by the amount of dividends and distributions which have been paid to the Purported Record Transferee and are owed by the Purported Record Transferee to the Trustee pursuant to Section 9(c)</w:t>
      </w:r>
    </w:p>
    <w:p>
      <w:pPr>
        <w:spacing w:after="0" w:line="149" w:lineRule="exact"/>
        <w:rPr>
          <w:sz w:val="20"/>
          <w:szCs w:val="20"/>
          <w:color w:val="auto"/>
        </w:rPr>
      </w:pPr>
    </w:p>
    <w:p>
      <w:pPr>
        <w:jc w:val="both"/>
        <w:ind w:left="600" w:right="600"/>
        <w:spacing w:after="0" w:line="279" w:lineRule="auto"/>
        <w:rPr>
          <w:sz w:val="20"/>
          <w:szCs w:val="20"/>
          <w:color w:val="auto"/>
        </w:rPr>
      </w:pPr>
      <w:r>
        <w:rPr>
          <w:rFonts w:ascii="Times New Roman" w:cs="Times New Roman" w:eastAsia="Times New Roman" w:hAnsi="Times New Roman"/>
          <w:sz w:val="13"/>
          <w:szCs w:val="13"/>
          <w:color w:val="auto"/>
        </w:rPr>
        <w:t>(iii). The Company shall have the right to accept such offer until the Trustee has sold the shares of Series C Preferred Stock held in the Trust pursuant to Section 9(c)(iv). Upon such a sale to the Company, the interest of the Charitable Beneficiary in the shares of Series C Preferred Stock sold shall terminate and the Trustee shall distribute the net proceeds of the sale to the Purported Record Transferee and any dividends or other distributions held by the Trustee with respect to such Series C Preferred Stock shall thereupon be paid to the Charitable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615315</wp:posOffset>
            </wp:positionV>
            <wp:extent cx="4436110" cy="1524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845">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333375</wp:posOffset>
            </wp:positionV>
            <wp:extent cx="5083810" cy="1524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846">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60" w:name="page461"/>
    <w:bookmarkEnd w:id="460"/>
    <w:p>
      <w:pPr>
        <w:jc w:val="both"/>
        <w:ind w:left="600" w:right="620" w:firstLine="955"/>
        <w:spacing w:after="0" w:line="287" w:lineRule="auto"/>
        <w:tabs>
          <w:tab w:leader="none" w:pos="1776" w:val="left"/>
        </w:tabs>
        <w:numPr>
          <w:ilvl w:val="1"/>
          <w:numId w:val="4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written notice to the Trustee, the Company shall designate one or more nonprofit organizations to be the Charitable Beneficiary of the interest in the Trust such that the Series C Preferred Stock held in the Trust would not violate the restrictions set forth in Section 9(b)(i) in the hands of such Charitable Beneficiary.</w:t>
      </w:r>
    </w:p>
    <w:p>
      <w:pPr>
        <w:spacing w:after="0" w:line="135" w:lineRule="exact"/>
        <w:rPr>
          <w:rFonts w:ascii="Times New Roman" w:cs="Times New Roman" w:eastAsia="Times New Roman" w:hAnsi="Times New Roman"/>
          <w:sz w:val="13"/>
          <w:szCs w:val="13"/>
          <w:color w:val="auto"/>
        </w:rPr>
      </w:pPr>
    </w:p>
    <w:p>
      <w:pPr>
        <w:jc w:val="both"/>
        <w:ind w:left="600" w:right="600" w:firstLine="475"/>
        <w:spacing w:after="0" w:line="273" w:lineRule="auto"/>
        <w:tabs>
          <w:tab w:leader="none" w:pos="1260" w:val="left"/>
        </w:tabs>
        <w:numPr>
          <w:ilvl w:val="0"/>
          <w:numId w:val="4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Remedies For Breach</w:t>
      </w:r>
      <w:r>
        <w:rPr>
          <w:rFonts w:ascii="Times New Roman" w:cs="Times New Roman" w:eastAsia="Times New Roman" w:hAnsi="Times New Roman"/>
          <w:sz w:val="13"/>
          <w:szCs w:val="13"/>
          <w:color w:val="auto"/>
        </w:rPr>
        <w:t xml:space="preserve">. If the Board or a committee thereof or other designees if permitted by the MGCL shall at any time determine in good faith that a Transfer or other event has taken place in violation of Section 9(b) of these Articles Supplementary or that a Person intends to acquire, has attempted to acquire or may acquire beneficial ownership (determined without reference to any rules of attribution), Beneficial Ownership or Constructive Ownership of any shares of Series C Preferred Stock of the Company in violation of Section 9(b) of these Articles Supplementary, the Board or a committee thereof or other designees if permitted by the MGCL shall take such action as it deems advisable to refuse to give effect or to prevent such Transfer, including, but not limited to, causing the Company to redeem shares of Series C Preferred Stock, refusing to give effect to such Transfer on the books of the Company or instituting proceedings to enjoin such Transfer;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that any Transfers (or, in the case of events other than a Transfer, ownership or Constructive Ownership or Beneficial Ownership) in violation of Section 9(b)(i) of these Articles Supplementary, shall automatically result in the transfer to a Trust as described in Section 9(b)(ii) and any Transfer in violation of Section 9(b)(iii) shall automatically be void </w:t>
      </w:r>
      <w:r>
        <w:rPr>
          <w:rFonts w:ascii="Times New Roman" w:cs="Times New Roman" w:eastAsia="Times New Roman" w:hAnsi="Times New Roman"/>
          <w:sz w:val="13"/>
          <w:szCs w:val="13"/>
          <w:i w:val="1"/>
          <w:iCs w:val="1"/>
          <w:color w:val="auto"/>
        </w:rPr>
        <w:t>ab initio</w:t>
      </w:r>
      <w:r>
        <w:rPr>
          <w:rFonts w:ascii="Times New Roman" w:cs="Times New Roman" w:eastAsia="Times New Roman" w:hAnsi="Times New Roman"/>
          <w:sz w:val="13"/>
          <w:szCs w:val="13"/>
          <w:color w:val="auto"/>
        </w:rPr>
        <w:t xml:space="preserve"> irrespective of any action (or non-action) by the Board.</w:t>
      </w:r>
    </w:p>
    <w:p>
      <w:pPr>
        <w:spacing w:after="0" w:line="136" w:lineRule="exact"/>
        <w:rPr>
          <w:rFonts w:ascii="Times New Roman" w:cs="Times New Roman" w:eastAsia="Times New Roman" w:hAnsi="Times New Roman"/>
          <w:sz w:val="13"/>
          <w:szCs w:val="13"/>
          <w:color w:val="auto"/>
        </w:rPr>
      </w:pPr>
    </w:p>
    <w:p>
      <w:pPr>
        <w:jc w:val="both"/>
        <w:ind w:left="600" w:right="600" w:firstLine="475"/>
        <w:spacing w:after="0" w:line="278" w:lineRule="auto"/>
        <w:tabs>
          <w:tab w:leader="none" w:pos="1248" w:val="left"/>
        </w:tabs>
        <w:numPr>
          <w:ilvl w:val="0"/>
          <w:numId w:val="4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Notice of Restricted Transfer</w:t>
      </w:r>
      <w:r>
        <w:rPr>
          <w:rFonts w:ascii="Times New Roman" w:cs="Times New Roman" w:eastAsia="Times New Roman" w:hAnsi="Times New Roman"/>
          <w:sz w:val="13"/>
          <w:szCs w:val="13"/>
          <w:color w:val="auto"/>
        </w:rPr>
        <w:t>. Any Person who acquires or attempts to acquire shares of Series C Preferred Stock in violation of Section 9(b) of these Articles Supplementary, or any Person who is a Purported Beneficial Transferee such that an automatic transfer to a Trust results under Section 9(b)(ii) of these Articles Supplementary, shall immediately give written notice to the Company of such event and shall provide to the Company such other information as the Company may request in order to determine the effect, if any, of such Transfer or attempted Transfer on the Company’s status as a REIT.</w:t>
      </w:r>
    </w:p>
    <w:p>
      <w:pPr>
        <w:spacing w:after="0" w:line="142" w:lineRule="exact"/>
        <w:rPr>
          <w:rFonts w:ascii="Times New Roman" w:cs="Times New Roman" w:eastAsia="Times New Roman" w:hAnsi="Times New Roman"/>
          <w:sz w:val="13"/>
          <w:szCs w:val="13"/>
          <w:color w:val="auto"/>
        </w:rPr>
      </w:pPr>
    </w:p>
    <w:p>
      <w:pPr>
        <w:jc w:val="both"/>
        <w:ind w:left="600" w:right="600" w:firstLine="475"/>
        <w:spacing w:after="0" w:line="281" w:lineRule="auto"/>
        <w:tabs>
          <w:tab w:leader="none" w:pos="1236" w:val="left"/>
        </w:tabs>
        <w:numPr>
          <w:ilvl w:val="0"/>
          <w:numId w:val="4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Owners Required To Provide Information</w:t>
      </w:r>
      <w:r>
        <w:rPr>
          <w:rFonts w:ascii="Times New Roman" w:cs="Times New Roman" w:eastAsia="Times New Roman" w:hAnsi="Times New Roman"/>
          <w:sz w:val="13"/>
          <w:szCs w:val="13"/>
          <w:color w:val="auto"/>
        </w:rPr>
        <w:t>. Prior to the Restriction Termination Date each Person who is a beneficial owner or Beneficial Owner or Constructive Owner of Series C Preferred Stock and each Person (including the stockholder of record) who is holding Series C Preferred Stock for a beneficial owner or Beneficial Owner or Constructive Owner shall provide to the Company such information that the Company may request, in good faith, in order to determine the Company’s status as a REIT.</w:t>
      </w:r>
    </w:p>
    <w:p>
      <w:pPr>
        <w:spacing w:after="0" w:line="140" w:lineRule="exact"/>
        <w:rPr>
          <w:rFonts w:ascii="Times New Roman" w:cs="Times New Roman" w:eastAsia="Times New Roman" w:hAnsi="Times New Roman"/>
          <w:sz w:val="13"/>
          <w:szCs w:val="13"/>
          <w:color w:val="auto"/>
        </w:rPr>
      </w:pPr>
    </w:p>
    <w:p>
      <w:pPr>
        <w:jc w:val="both"/>
        <w:ind w:left="600" w:right="600" w:firstLine="475"/>
        <w:spacing w:after="0" w:line="287" w:lineRule="auto"/>
        <w:tabs>
          <w:tab w:leader="none" w:pos="1272" w:val="left"/>
        </w:tabs>
        <w:numPr>
          <w:ilvl w:val="0"/>
          <w:numId w:val="4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Remedies Not Limited</w:t>
      </w:r>
      <w:r>
        <w:rPr>
          <w:rFonts w:ascii="Times New Roman" w:cs="Times New Roman" w:eastAsia="Times New Roman" w:hAnsi="Times New Roman"/>
          <w:sz w:val="13"/>
          <w:szCs w:val="13"/>
          <w:color w:val="auto"/>
        </w:rPr>
        <w:t>. Nothing contained in these Articles Supplementary (but subject to Section 9(l) of these Articles Supplementary) shall limit the authority of the Board to take such other action as it deems necessary or advisable to protect the Company and the interests of its stockholders by preservation of the Company’s status as a REIT.</w:t>
      </w:r>
    </w:p>
    <w:p>
      <w:pPr>
        <w:spacing w:after="0" w:line="136" w:lineRule="exact"/>
        <w:rPr>
          <w:sz w:val="20"/>
          <w:szCs w:val="20"/>
          <w:color w:val="auto"/>
        </w:rPr>
      </w:pPr>
    </w:p>
    <w:p>
      <w:pPr>
        <w:jc w:val="both"/>
        <w:ind w:left="600" w:right="600" w:firstLine="480"/>
        <w:spacing w:after="0" w:line="273" w:lineRule="auto"/>
        <w:rPr>
          <w:sz w:val="20"/>
          <w:szCs w:val="20"/>
          <w:color w:val="auto"/>
        </w:rPr>
      </w:pPr>
      <w:r>
        <w:rPr>
          <w:rFonts w:ascii="Times New Roman" w:cs="Times New Roman" w:eastAsia="Times New Roman" w:hAnsi="Times New Roman"/>
          <w:sz w:val="13"/>
          <w:szCs w:val="13"/>
          <w:color w:val="auto"/>
        </w:rPr>
        <w:t xml:space="preserve">(h) </w:t>
      </w:r>
      <w:r>
        <w:rPr>
          <w:rFonts w:ascii="Times New Roman" w:cs="Times New Roman" w:eastAsia="Times New Roman" w:hAnsi="Times New Roman"/>
          <w:sz w:val="13"/>
          <w:szCs w:val="13"/>
          <w:u w:val="single" w:color="auto"/>
          <w:color w:val="auto"/>
        </w:rPr>
        <w:t>Ambiguity</w:t>
      </w:r>
      <w:r>
        <w:rPr>
          <w:rFonts w:ascii="Times New Roman" w:cs="Times New Roman" w:eastAsia="Times New Roman" w:hAnsi="Times New Roman"/>
          <w:sz w:val="13"/>
          <w:szCs w:val="13"/>
          <w:color w:val="auto"/>
        </w:rPr>
        <w:t>. In the case of an ambiguity in the application of any of the provisions of this Section 9 of these Articles Supplementary, including any definition contained in Section 9(a), the Board shall have the power to determine the application of the provisions of this Section 9 with respect to any situation based on the facts known to it (subject, however, to the provisions of Section 9(l) of these Articles Supplementary). In the event Section 9 requires an action by the Board and these Articles Supplementary fail to provide specific guidance with respect to such action, the Board shall have the power to determine the action to be taken so long as such action is not contrary to the provisions of Section 9. Absent a decision to the contrary by the Board (which the Board may make in its sole and absolute discretion), if a Person would have (but for the remedies set forth in Section 9(b)) acquired Beneficial or Constructive Ownership of Series C Preferred Stock in violation of Section 9(b)(i), such remedies (as applicable) shall apply first to the shares of Series C Preferred Stock which, but for such remedies, would have been actually owned by such Person, and second to shares of Series C Preferred Stock, which, but for such remedies, would have been Beneficially Owned or Constructively Owned (but not actually owned) by such Person, pro rata among the Persons who actually own such shares of Series C Preferred Stock based upon the relative number of the shares of Series C Preferred Stock held by each such Person.</w:t>
      </w:r>
    </w:p>
    <w:p>
      <w:pPr>
        <w:spacing w:after="0" w:line="134" w:lineRule="exact"/>
        <w:rPr>
          <w:sz w:val="20"/>
          <w:szCs w:val="20"/>
          <w:color w:val="auto"/>
        </w:rPr>
      </w:pPr>
    </w:p>
    <w:p>
      <w:pPr>
        <w:ind w:left="1220" w:hanging="133"/>
        <w:spacing w:after="0"/>
        <w:tabs>
          <w:tab w:leader="none" w:pos="1220" w:val="left"/>
        </w:tabs>
        <w:numPr>
          <w:ilvl w:val="0"/>
          <w:numId w:val="4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Exceptions</w:t>
      </w:r>
      <w:r>
        <w:rPr>
          <w:rFonts w:ascii="Times New Roman" w:cs="Times New Roman" w:eastAsia="Times New Roman" w:hAnsi="Times New Roman"/>
          <w:sz w:val="13"/>
          <w:szCs w:val="13"/>
          <w:color w:val="auto"/>
        </w:rPr>
        <w:t>.</w:t>
      </w:r>
    </w:p>
    <w:p>
      <w:pPr>
        <w:spacing w:after="0" w:line="186" w:lineRule="exact"/>
        <w:rPr>
          <w:rFonts w:ascii="Times New Roman" w:cs="Times New Roman" w:eastAsia="Times New Roman" w:hAnsi="Times New Roman"/>
          <w:sz w:val="13"/>
          <w:szCs w:val="13"/>
          <w:color w:val="auto"/>
        </w:rPr>
      </w:pPr>
    </w:p>
    <w:p>
      <w:pPr>
        <w:jc w:val="both"/>
        <w:ind w:left="600" w:right="600" w:firstLine="955"/>
        <w:spacing w:after="0" w:line="287" w:lineRule="auto"/>
        <w:tabs>
          <w:tab w:leader="none" w:pos="1716" w:val="left"/>
        </w:tabs>
        <w:numPr>
          <w:ilvl w:val="1"/>
          <w:numId w:val="4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Section 9(b)(i)(C), the Board, in its sole discretion, may exempt (prospectively or retroactively) a Person from the limitation on a Person Beneficially Owning shares of Series C Preferred Stock in violation of Section 9(b)(i)(A) if the Board determines that such exemption will not cause any Individual’s Beneficial Ownership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612140</wp:posOffset>
            </wp:positionV>
            <wp:extent cx="4436110" cy="1524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847">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330200</wp:posOffset>
            </wp:positionV>
            <wp:extent cx="5083810" cy="1524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848">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61" w:name="page462"/>
    <w:bookmarkEnd w:id="461"/>
    <w:p>
      <w:pPr>
        <w:ind w:left="600" w:right="640"/>
        <w:spacing w:after="0" w:line="305" w:lineRule="auto"/>
        <w:rPr>
          <w:sz w:val="20"/>
          <w:szCs w:val="20"/>
          <w:color w:val="auto"/>
        </w:rPr>
      </w:pPr>
      <w:r>
        <w:rPr>
          <w:rFonts w:ascii="Times New Roman" w:cs="Times New Roman" w:eastAsia="Times New Roman" w:hAnsi="Times New Roman"/>
          <w:sz w:val="13"/>
          <w:szCs w:val="13"/>
          <w:color w:val="auto"/>
        </w:rPr>
        <w:t>shares of Capital Stock to violate the Aggregate Stock Ownership Limit and that such exemption will not cause the Company to fail to qualify as a REIT under the Code.</w:t>
      </w:r>
    </w:p>
    <w:p>
      <w:pPr>
        <w:spacing w:after="0" w:line="124" w:lineRule="exact"/>
        <w:rPr>
          <w:sz w:val="20"/>
          <w:szCs w:val="20"/>
          <w:color w:val="auto"/>
        </w:rPr>
      </w:pPr>
    </w:p>
    <w:p>
      <w:pPr>
        <w:jc w:val="both"/>
        <w:ind w:left="600" w:right="600" w:firstLine="955"/>
        <w:spacing w:after="0" w:line="287" w:lineRule="auto"/>
        <w:tabs>
          <w:tab w:leader="none" w:pos="1752" w:val="left"/>
        </w:tabs>
        <w:numPr>
          <w:ilvl w:val="1"/>
          <w:numId w:val="4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Section 9(b)(i)(C), the Board in its sole discretion, may exempt (prospectively or retroactively) a Person from the limitation on a Person Constructively Owning shares of Series C Preferred Stock in violation of Section 9(b)(i)(B), if the Board determines that such ownership would not cause the Company to fail to qualify as a REIT under the Code.</w:t>
      </w:r>
    </w:p>
    <w:p>
      <w:pPr>
        <w:spacing w:after="0" w:line="135" w:lineRule="exact"/>
        <w:rPr>
          <w:rFonts w:ascii="Times New Roman" w:cs="Times New Roman" w:eastAsia="Times New Roman" w:hAnsi="Times New Roman"/>
          <w:sz w:val="13"/>
          <w:szCs w:val="13"/>
          <w:color w:val="auto"/>
        </w:rPr>
      </w:pPr>
    </w:p>
    <w:p>
      <w:pPr>
        <w:jc w:val="both"/>
        <w:ind w:left="600" w:right="600" w:firstLine="955"/>
        <w:spacing w:after="0" w:line="271" w:lineRule="auto"/>
        <w:tabs>
          <w:tab w:leader="none" w:pos="1788" w:val="left"/>
        </w:tabs>
        <w:numPr>
          <w:ilvl w:val="1"/>
          <w:numId w:val="4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granting a Person an exemption under Section 9(i)(i) or (ii) above, the Board may require such Person to make certain representations or undertakings or to agree that any violation or attempted violation of such representations or undertakings (or other action which is contrary to the restrictions contained in Section 9(b) of these Articles Supplementary) will result in such Series C Preferred Stock being transferred to a Trust in accordance with Section 9(b)(ii) of these Articles Supplementary. In granting any exception pursuant to Section 9(i)(i) or</w:t>
      </w:r>
    </w:p>
    <w:p>
      <w:pPr>
        <w:jc w:val="both"/>
        <w:ind w:left="600" w:right="620" w:hanging="6"/>
        <w:spacing w:after="0" w:line="299" w:lineRule="auto"/>
        <w:tabs>
          <w:tab w:leader="none" w:pos="792" w:val="left"/>
        </w:tabs>
        <w:numPr>
          <w:ilvl w:val="0"/>
          <w:numId w:val="4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of these Articles Supplementary, the Board may require a ruling from the IRS, or an opinion of counsel, in either case in form and substance satisfactory to the Board in its sole discretion, as it may deem necessary or advisable in order to determine or ensure the Company's status as a REIT.</w:t>
      </w:r>
    </w:p>
    <w:p>
      <w:pPr>
        <w:spacing w:after="0" w:line="296" w:lineRule="exact"/>
        <w:rPr>
          <w:sz w:val="20"/>
          <w:szCs w:val="20"/>
          <w:color w:val="auto"/>
        </w:rPr>
      </w:pPr>
    </w:p>
    <w:p>
      <w:pPr>
        <w:ind w:left="600" w:right="1060" w:firstLine="475"/>
        <w:spacing w:after="0" w:line="305" w:lineRule="auto"/>
        <w:tabs>
          <w:tab w:leader="none" w:pos="1212" w:val="left"/>
        </w:tabs>
        <w:numPr>
          <w:ilvl w:val="0"/>
          <w:numId w:val="4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Legends</w:t>
      </w:r>
      <w:r>
        <w:rPr>
          <w:rFonts w:ascii="Times New Roman" w:cs="Times New Roman" w:eastAsia="Times New Roman" w:hAnsi="Times New Roman"/>
          <w:sz w:val="13"/>
          <w:szCs w:val="13"/>
          <w:color w:val="auto"/>
        </w:rPr>
        <w:t>. Each certificate for Series C Preferred Stock shall bear substantially the following legends in addition to any legends required to comply with federal and state securities laws:</w:t>
      </w:r>
    </w:p>
    <w:p>
      <w:pPr>
        <w:spacing w:after="0" w:line="12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3"/>
          <w:szCs w:val="13"/>
          <w:b w:val="1"/>
          <w:bCs w:val="1"/>
          <w:color w:val="auto"/>
        </w:rPr>
        <w:t>Classes of Stock</w:t>
      </w:r>
    </w:p>
    <w:p>
      <w:pPr>
        <w:spacing w:after="0" w:line="189" w:lineRule="exact"/>
        <w:rPr>
          <w:sz w:val="20"/>
          <w:szCs w:val="20"/>
          <w:color w:val="auto"/>
        </w:rPr>
      </w:pPr>
    </w:p>
    <w:p>
      <w:pPr>
        <w:ind w:left="1200" w:right="580"/>
        <w:spacing w:after="0" w:line="272" w:lineRule="auto"/>
        <w:rPr>
          <w:sz w:val="20"/>
          <w:szCs w:val="20"/>
          <w:color w:val="auto"/>
        </w:rPr>
      </w:pPr>
      <w:r>
        <w:rPr>
          <w:rFonts w:ascii="Times New Roman" w:cs="Times New Roman" w:eastAsia="Times New Roman" w:hAnsi="Times New Roman"/>
          <w:sz w:val="13"/>
          <w:szCs w:val="13"/>
          <w:color w:val="auto"/>
        </w:rPr>
        <w:t>“THE COMPANY IS AUTHORIZED TO ISSUE CAPITAL STOCK OF MORE THAN ONE CLASS, CONSISTING OF COMMON STOCK AND ONE OR MORE CLASSES OF PREFERRED STOCK. THE BOARD OF DIRECTORS IS AUTHORIZED TO DETERMINE THE PREFERENCES, LIMITATIONS AND RELATIVE RIGHTS OF ANY CLASS OF THE PREFERRED STOCK BEFORE THE ISSUANCE OF SHARES OF SUCH CLASS OF PREFERRED STOCK. THE COMPANY WILL FURNISH, WITHOUT CHARGE, TO ANY STOCKHOLDER MAKING A WRITTEN REQUEST THEREFOR, A COPY OF THE COMPANY’S CHARTER AND A WRITTEN STATEMENT OF THE DESIGNATIONS, RELATIVE RIGHTS, PREFERENCES, CONVERSION OR OTHER RIGHTS, VOTING POWERS, RESTRICTIONS, LIMITATIONS AS TO DIVIDENDS AND OTHER DISTRIBUTIONS, QUALIFICATIONS AND TERMS AND CONDITIONS OF REDEMPTION OF THE STOCK OF EACH CLASS WHICH THE COMPANY HAS THE AUTHORITY TO ISSUE AND, IF THE COMPANY IS AUTHORIZED TO ISSUE ANY PREFERRED OR SPECIAL CLASS IN SERIES, (i) THE DIFFERENCES IN THE RELATIVE RIGHTS AND PREFERENCES BETWEEN THE SHARES OF EACH SERIES TO THE EXTENT SET, AND (ii) THE AUTHORITY OF THE BOARD OF DIRECTORS TO SET SUCH RIGHTS AND PREFERENCES OF SUBSEQUENT SERIES. REQUESTS FOR SUCH WRITTEN STATEMENT MAY BE DIRECTED TO THE SECRETARY OF THE COMPANY AT ITS PRINCIPAL OFFICE.”</w:t>
      </w:r>
    </w:p>
    <w:p>
      <w:pPr>
        <w:spacing w:after="0" w:line="13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3"/>
          <w:szCs w:val="13"/>
          <w:b w:val="1"/>
          <w:bCs w:val="1"/>
          <w:color w:val="auto"/>
        </w:rPr>
        <w:t>Restriction on Ownership and Transfer</w:t>
      </w:r>
    </w:p>
    <w:p>
      <w:pPr>
        <w:spacing w:after="0" w:line="189" w:lineRule="exact"/>
        <w:rPr>
          <w:sz w:val="20"/>
          <w:szCs w:val="20"/>
          <w:color w:val="auto"/>
        </w:rPr>
      </w:pPr>
    </w:p>
    <w:p>
      <w:pPr>
        <w:jc w:val="both"/>
        <w:ind w:left="1200" w:right="600"/>
        <w:spacing w:after="0" w:line="273" w:lineRule="auto"/>
        <w:rPr>
          <w:sz w:val="20"/>
          <w:szCs w:val="20"/>
          <w:color w:val="auto"/>
        </w:rPr>
      </w:pPr>
      <w:r>
        <w:rPr>
          <w:rFonts w:ascii="Times New Roman" w:cs="Times New Roman" w:eastAsia="Times New Roman" w:hAnsi="Times New Roman"/>
          <w:sz w:val="13"/>
          <w:szCs w:val="13"/>
          <w:color w:val="auto"/>
        </w:rPr>
        <w:t>“THE SHARES OF THE COMPANY’S 6.625% SERIES C CUMULATIVE REDEEMABLE PREFERRED STOCK (“SERIES C PREFERRED STOCK”) REPRESENTED BY THIS CERTIFICATE ARE SUBJECT TO RESTRICTIONS ON BENEFICIAL AND CONSTRUCTIVE OWNERSHIP AND TRANSFER FOR THE PURPOSE OF THE COMPANY’S MAINTENANCE OF ITS STATUS AS A REAL ESTATE INVESTMENT TRUST UNDER THE INTERNAL REVENUE CODE OF 1986, AS AMENDED (THE “CODE”). SUBJECT TO CERTAIN FURTHER RESTRICTIONS AND EXCEPT AS EXPRESSLY PROVIDED IN THE ARTICLES SUPPLEMENTARY FOR THE SERIES C PREFERRED STOCK, (i) NO PERSON MAY BENEFICIALLY OR CONSTRUCTIVELY OWN SHARES OF SERIES C PREFERRED STOCK IN EXCESS OF 9.8% (BY VALUE OR BY NUMBER OF SHARES, WHICHEVER IS MORE RESTRICTIVE) OF THE OUTSTANDING SERIES C PREFERRED STOCK OF THE COMPANY; (ii) NO PERSON MAY BENEFICIALLY OR CONSTRUCTIVELY OWN SHARES OF SERIES C PREFERRED STOCK THAT, TAKING INTO ACCOUNT ANY OTHER CAPITAL STOCK OF THE COMPANY BENEFICIALLY OR CONSTRUCTIVELY OWNED BY SUCH PERSON, WOULD RESULT IN SUCH PERSON BENEFICIALLY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107950</wp:posOffset>
            </wp:positionV>
            <wp:extent cx="4436110" cy="1524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849">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542290</wp:posOffset>
            </wp:positionV>
            <wp:extent cx="5083810" cy="1524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850">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62" w:name="page463"/>
    <w:bookmarkEnd w:id="462"/>
    <w:p>
      <w:pPr>
        <w:jc w:val="both"/>
        <w:ind w:left="1200" w:right="580"/>
        <w:spacing w:after="0" w:line="271" w:lineRule="auto"/>
        <w:rPr>
          <w:sz w:val="20"/>
          <w:szCs w:val="20"/>
          <w:color w:val="auto"/>
        </w:rPr>
      </w:pPr>
      <w:r>
        <w:rPr>
          <w:rFonts w:ascii="Times New Roman" w:cs="Times New Roman" w:eastAsia="Times New Roman" w:hAnsi="Times New Roman"/>
          <w:sz w:val="13"/>
          <w:szCs w:val="13"/>
          <w:color w:val="auto"/>
        </w:rPr>
        <w:t xml:space="preserve">OR CONSTRUCTIVELY OWNING CAPITAL STOCK WITH A VALUE IN EXCESS OF 9.8% OF THE VALUE OF THE COMPANY’S OUTSTANDING CAPITAL STOCK; (iii) NO PERSON MAY BENEFICIALLY OR CONSTRUCTIVELY OWN SHARES OF SERIES C PREFERRED STOCK THAT, TAKING INTO ACCOUNT ANY OTHER CAPITAL STOCK OF THE COMPANY BENEFICIALLY OR CONSTRUCTIVELY OWNED BY SUCH PERSON, WOULD RESULT IN THE COMPANY BEING “CLOSELY HELD” UNDER SECTION 856(h) OF THE CODE OR OTHERWISE CAUSE THE COMPANY TO FAIL TO QUALIFY AS A REIT; AND (iv) ANY TRANSFER OF SHARES OF SERIES C PREFERRED STOCK THAT, IF EFFECTIVE, WOULD RESULT IN THE CAPITAL STOCK OF THE COMPANY BEING BENEFICIALLY OWNED BY FEWER THAN 100 PERSONS WILL BE VOID </w:t>
      </w:r>
      <w:r>
        <w:rPr>
          <w:rFonts w:ascii="Times New Roman" w:cs="Times New Roman" w:eastAsia="Times New Roman" w:hAnsi="Times New Roman"/>
          <w:sz w:val="13"/>
          <w:szCs w:val="13"/>
          <w:i w:val="1"/>
          <w:iCs w:val="1"/>
          <w:color w:val="auto"/>
        </w:rPr>
        <w:t>AB INITIO</w:t>
      </w:r>
      <w:r>
        <w:rPr>
          <w:rFonts w:ascii="Times New Roman" w:cs="Times New Roman" w:eastAsia="Times New Roman" w:hAnsi="Times New Roman"/>
          <w:sz w:val="13"/>
          <w:szCs w:val="13"/>
          <w:color w:val="auto"/>
        </w:rPr>
        <w:t xml:space="preserve"> AND THE INTENDED TRANSFEREE WILL ACQUIRE NO RIGHTS IN SUCH SHARES OF SERIES C PREFERRED STOCK. ANY PERSON WHO BENEFICIALLY OR CONSTRUCTIVELY OWNS OR ATTEMPTS TO BENEFICIALLY OR CONSTRUCTIVELY OWN SERIES C PREFERRED STOCK WHICH CAUSES OR WILL CAUSE A PERSON TO BENEFICIALLY OR CONSTRUCTIVELY OWN SERIES C PREFERRED STOCK IN EXCESS OF THE ABOVE LIMITATIONS MUST IMMEDIATELY NOTIFY THE COMPANY. IF ANY OF THE RESTRICTIONS ON TRANSFER OR OWNERSHIP IN (i) THROUGH (iii) ABOVE ARE VIOLATED, THE SERIES C PREFERRED STOCK REPRESENTED HEREBY IN EXCESS OF SUCH RESTRICTIONS WILL BE AUTOMATICALLY TRANSFERRED TO THE TRUSTEE OF A TRUST FOR THE BENEFIT OF ONE OR MORE CHARITABLE BENEFICIARIES. IN ADDITION, THE COMPANY MAY REDEEM SHARES UPON THE TERMS AND CONDITIONS SPECIFIED BY THE BOARD OF DIRECTORS IN ITS SOLE DISCRETION IF THE BOARD OF DIRECTORS DETERMINES THAT OWNERSHIP OR A TRANSFER OR OTHER EVENT MAY VIOLATE THE RESTRICTIONS DESCRIBED ABOVE. FURTHERMORE, UPON THE OCCURRENCE OF CERTAIN EVENTS, ATTEMPTED TRANSFERS IN VIOLATION OF THE RESTRICTIONS DESCRIBED ABOVE MAY BE VOID </w:t>
      </w:r>
      <w:r>
        <w:rPr>
          <w:rFonts w:ascii="Times New Roman" w:cs="Times New Roman" w:eastAsia="Times New Roman" w:hAnsi="Times New Roman"/>
          <w:sz w:val="13"/>
          <w:szCs w:val="13"/>
          <w:i w:val="1"/>
          <w:iCs w:val="1"/>
          <w:color w:val="auto"/>
        </w:rPr>
        <w:t>AB INITIO</w:t>
      </w:r>
      <w:r>
        <w:rPr>
          <w:rFonts w:ascii="Times New Roman" w:cs="Times New Roman" w:eastAsia="Times New Roman" w:hAnsi="Times New Roman"/>
          <w:sz w:val="13"/>
          <w:szCs w:val="13"/>
          <w:color w:val="auto"/>
        </w:rPr>
        <w:t>. ALL TERMS IN THIS LEGEND WHICH ARE DEFINED IN THE ARTICLES SUPPLEMENTARY FOR THE SERIES C PREFERRED STOCK SHALL HAVE THE MEANINGS ASCRIBED TO THEM IN SUCH ARTICLES SUPPLEMENTARY, AS THE SAME MAY BE AMENDED FROM TIME TO TIME, A COPY OF WHICH, INCLUDING THE RESTRICTIONS ON TRANSFER AND OWNERSHIP, WILL BE FURNISHED TO EACH HOLDER OF SERIES C PREFERRED STOCK ON REQUEST AND WITHOUT CHARGE. REQUESTS FOR SUCH A COPY MAY BE DIRECTED TO THE SECRETARY OF THE COMPANY AT ITS PRINCIPAL OFFICE.”</w:t>
      </w:r>
    </w:p>
    <w:p>
      <w:pPr>
        <w:spacing w:after="0" w:line="306" w:lineRule="exact"/>
        <w:rPr>
          <w:sz w:val="20"/>
          <w:szCs w:val="20"/>
          <w:color w:val="auto"/>
        </w:rPr>
      </w:pPr>
    </w:p>
    <w:p>
      <w:pPr>
        <w:jc w:val="both"/>
        <w:ind w:left="600" w:right="600" w:firstLine="475"/>
        <w:spacing w:after="0" w:line="287" w:lineRule="auto"/>
        <w:tabs>
          <w:tab w:leader="none" w:pos="1248" w:val="left"/>
        </w:tabs>
        <w:numPr>
          <w:ilvl w:val="0"/>
          <w:numId w:val="4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Severability</w:t>
      </w:r>
      <w:r>
        <w:rPr>
          <w:rFonts w:ascii="Times New Roman" w:cs="Times New Roman" w:eastAsia="Times New Roman" w:hAnsi="Times New Roman"/>
          <w:sz w:val="13"/>
          <w:szCs w:val="13"/>
          <w:color w:val="auto"/>
        </w:rPr>
        <w:t>. If any provision of this Section 9 or any application of any such provision is determined to be invalid by any federal or state court having jurisdiction over the issues, the validity of the remaining provisions shall not be affected and other applications of such provision shall be affected only to the extent necessary to comply with the determination of such court.</w:t>
      </w:r>
    </w:p>
    <w:p>
      <w:pPr>
        <w:spacing w:after="0" w:line="136" w:lineRule="exact"/>
        <w:rPr>
          <w:sz w:val="20"/>
          <w:szCs w:val="20"/>
          <w:color w:val="auto"/>
        </w:rPr>
      </w:pPr>
    </w:p>
    <w:p>
      <w:pPr>
        <w:jc w:val="both"/>
        <w:ind w:left="600" w:right="620" w:firstLine="480"/>
        <w:spacing w:after="0" w:line="287" w:lineRule="auto"/>
        <w:rPr>
          <w:sz w:val="20"/>
          <w:szCs w:val="20"/>
          <w:color w:val="auto"/>
        </w:rPr>
      </w:pPr>
      <w:r>
        <w:rPr>
          <w:rFonts w:ascii="Times New Roman" w:cs="Times New Roman" w:eastAsia="Times New Roman" w:hAnsi="Times New Roman"/>
          <w:sz w:val="13"/>
          <w:szCs w:val="13"/>
          <w:color w:val="auto"/>
        </w:rPr>
        <w:t>(l)</w:t>
      </w:r>
      <w:r>
        <w:rPr>
          <w:rFonts w:ascii="Times New Roman" w:cs="Times New Roman" w:eastAsia="Times New Roman" w:hAnsi="Times New Roman"/>
          <w:sz w:val="13"/>
          <w:szCs w:val="13"/>
          <w:u w:val="single" w:color="auto"/>
          <w:color w:val="auto"/>
        </w:rPr>
        <w:t>NYSE</w:t>
      </w:r>
      <w:r>
        <w:rPr>
          <w:rFonts w:ascii="Times New Roman" w:cs="Times New Roman" w:eastAsia="Times New Roman" w:hAnsi="Times New Roman"/>
          <w:sz w:val="13"/>
          <w:szCs w:val="13"/>
          <w:color w:val="auto"/>
        </w:rPr>
        <w:t>. Nothing in this Section 9 shall preclude the settlement of any transaction entered into through the facilities of the NYSE. The shares of Series C Preferred Stock that are the subject of such transaction shall continue to be subject to the provisions of this Section 9 after such settlement.</w:t>
      </w:r>
    </w:p>
    <w:p>
      <w:pPr>
        <w:spacing w:after="0" w:line="136" w:lineRule="exact"/>
        <w:rPr>
          <w:sz w:val="20"/>
          <w:szCs w:val="20"/>
          <w:color w:val="auto"/>
        </w:rPr>
      </w:pPr>
    </w:p>
    <w:p>
      <w:pPr>
        <w:ind w:left="600" w:right="620" w:firstLine="475"/>
        <w:spacing w:after="0" w:line="305" w:lineRule="auto"/>
        <w:tabs>
          <w:tab w:leader="none" w:pos="1296" w:val="left"/>
        </w:tabs>
        <w:numPr>
          <w:ilvl w:val="0"/>
          <w:numId w:val="4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Applicability of Section 9</w:t>
      </w:r>
      <w:r>
        <w:rPr>
          <w:rFonts w:ascii="Times New Roman" w:cs="Times New Roman" w:eastAsia="Times New Roman" w:hAnsi="Times New Roman"/>
          <w:sz w:val="13"/>
          <w:szCs w:val="13"/>
          <w:color w:val="auto"/>
        </w:rPr>
        <w:t xml:space="preserve"> . The provisions set forth in this Section 9 shall apply to the Series C Preferred Stock notwithstanding any contrary provisions of the Series C Preferred Stock provided for elsewhere in these Articles Supplementary.</w:t>
      </w:r>
    </w:p>
    <w:p>
      <w:pPr>
        <w:spacing w:after="0" w:line="124" w:lineRule="exact"/>
        <w:rPr>
          <w:sz w:val="20"/>
          <w:szCs w:val="20"/>
          <w:color w:val="auto"/>
        </w:rPr>
      </w:pPr>
    </w:p>
    <w:p>
      <w:pPr>
        <w:jc w:val="both"/>
        <w:ind w:left="600" w:right="620" w:firstLine="480"/>
        <w:spacing w:after="0" w:line="305" w:lineRule="auto"/>
        <w:rPr>
          <w:sz w:val="20"/>
          <w:szCs w:val="20"/>
          <w:color w:val="auto"/>
        </w:rPr>
      </w:pPr>
      <w:r>
        <w:rPr>
          <w:rFonts w:ascii="Times New Roman" w:cs="Times New Roman" w:eastAsia="Times New Roman" w:hAnsi="Times New Roman"/>
          <w:sz w:val="13"/>
          <w:szCs w:val="13"/>
          <w:color w:val="auto"/>
        </w:rPr>
        <w:t xml:space="preserve">Section 10. </w:t>
      </w:r>
      <w:r>
        <w:rPr>
          <w:rFonts w:ascii="Times New Roman" w:cs="Times New Roman" w:eastAsia="Times New Roman" w:hAnsi="Times New Roman"/>
          <w:sz w:val="13"/>
          <w:szCs w:val="13"/>
          <w:u w:val="single" w:color="auto"/>
          <w:color w:val="auto"/>
        </w:rPr>
        <w:t>No Conversion Rights</w:t>
      </w:r>
      <w:r>
        <w:rPr>
          <w:rFonts w:ascii="Times New Roman" w:cs="Times New Roman" w:eastAsia="Times New Roman" w:hAnsi="Times New Roman"/>
          <w:sz w:val="13"/>
          <w:szCs w:val="13"/>
          <w:color w:val="auto"/>
        </w:rPr>
        <w:t>. The shares of Series C Preferred Stock shall not be convertible into or exchangeable for any other property or securities of the Company or any other entity, except as otherwise provided herein.</w:t>
      </w:r>
    </w:p>
    <w:p>
      <w:pPr>
        <w:spacing w:after="0" w:line="124" w:lineRule="exact"/>
        <w:rPr>
          <w:sz w:val="20"/>
          <w:szCs w:val="20"/>
          <w:color w:val="auto"/>
        </w:rPr>
      </w:pPr>
    </w:p>
    <w:p>
      <w:pPr>
        <w:jc w:val="both"/>
        <w:ind w:left="600" w:right="620" w:firstLine="480"/>
        <w:spacing w:after="0" w:line="287" w:lineRule="auto"/>
        <w:rPr>
          <w:sz w:val="20"/>
          <w:szCs w:val="20"/>
          <w:color w:val="auto"/>
        </w:rPr>
      </w:pPr>
      <w:r>
        <w:rPr>
          <w:rFonts w:ascii="Times New Roman" w:cs="Times New Roman" w:eastAsia="Times New Roman" w:hAnsi="Times New Roman"/>
          <w:sz w:val="13"/>
          <w:szCs w:val="13"/>
          <w:color w:val="auto"/>
        </w:rPr>
        <w:t xml:space="preserve">Section 11. </w:t>
      </w:r>
      <w:r>
        <w:rPr>
          <w:rFonts w:ascii="Times New Roman" w:cs="Times New Roman" w:eastAsia="Times New Roman" w:hAnsi="Times New Roman"/>
          <w:sz w:val="13"/>
          <w:szCs w:val="13"/>
          <w:u w:val="single" w:color="auto"/>
          <w:color w:val="auto"/>
        </w:rPr>
        <w:t>Record Holders</w:t>
      </w:r>
      <w:r>
        <w:rPr>
          <w:rFonts w:ascii="Times New Roman" w:cs="Times New Roman" w:eastAsia="Times New Roman" w:hAnsi="Times New Roman"/>
          <w:sz w:val="13"/>
          <w:szCs w:val="13"/>
          <w:color w:val="auto"/>
        </w:rPr>
        <w:t>. The Company and the transfer agent for the Series C Preferred Stock may deem and treat the record holder of any Series C Preferred Stock as the true and lawful owner thereof for all purposes, and neither the Company nor the transfer agent shall be affected by any notice to the contrary.</w:t>
      </w:r>
    </w:p>
    <w:p>
      <w:pPr>
        <w:spacing w:after="0" w:line="136" w:lineRule="exact"/>
        <w:rPr>
          <w:sz w:val="20"/>
          <w:szCs w:val="20"/>
          <w:color w:val="auto"/>
        </w:rPr>
      </w:pPr>
    </w:p>
    <w:p>
      <w:pPr>
        <w:jc w:val="both"/>
        <w:ind w:left="600" w:right="620" w:firstLine="480"/>
        <w:spacing w:after="0" w:line="287" w:lineRule="auto"/>
        <w:rPr>
          <w:sz w:val="20"/>
          <w:szCs w:val="20"/>
          <w:color w:val="auto"/>
        </w:rPr>
      </w:pPr>
      <w:r>
        <w:rPr>
          <w:rFonts w:ascii="Times New Roman" w:cs="Times New Roman" w:eastAsia="Times New Roman" w:hAnsi="Times New Roman"/>
          <w:sz w:val="13"/>
          <w:szCs w:val="13"/>
          <w:color w:val="auto"/>
        </w:rPr>
        <w:t xml:space="preserve">Section 12. </w:t>
      </w:r>
      <w:r>
        <w:rPr>
          <w:rFonts w:ascii="Times New Roman" w:cs="Times New Roman" w:eastAsia="Times New Roman" w:hAnsi="Times New Roman"/>
          <w:sz w:val="13"/>
          <w:szCs w:val="13"/>
          <w:u w:val="single" w:color="auto"/>
          <w:color w:val="auto"/>
        </w:rPr>
        <w:t>Severability of Provisions</w:t>
      </w:r>
      <w:r>
        <w:rPr>
          <w:rFonts w:ascii="Times New Roman" w:cs="Times New Roman" w:eastAsia="Times New Roman" w:hAnsi="Times New Roman"/>
          <w:sz w:val="13"/>
          <w:szCs w:val="13"/>
          <w:color w:val="auto"/>
        </w:rPr>
        <w:t>. If any preferences or other rights, voting powers, restrictions, limitations as to dividends or other distributions, qualifications or terms or conditions of redemption of the Series C Preferred Stock set forth in the Charter and these Articles Supplementary are invalid, unlawful or incapable of being enforced by reason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101600</wp:posOffset>
            </wp:positionV>
            <wp:extent cx="4436110" cy="1524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851">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543560</wp:posOffset>
            </wp:positionV>
            <wp:extent cx="5083810" cy="1524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852">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63" w:name="page464"/>
    <w:bookmarkEnd w:id="463"/>
    <w:p>
      <w:pPr>
        <w:jc w:val="both"/>
        <w:ind w:left="600" w:right="600"/>
        <w:spacing w:after="0" w:line="278" w:lineRule="auto"/>
        <w:rPr>
          <w:sz w:val="20"/>
          <w:szCs w:val="20"/>
          <w:color w:val="auto"/>
        </w:rPr>
      </w:pPr>
      <w:r>
        <w:rPr>
          <w:rFonts w:ascii="Times New Roman" w:cs="Times New Roman" w:eastAsia="Times New Roman" w:hAnsi="Times New Roman"/>
          <w:sz w:val="13"/>
          <w:szCs w:val="13"/>
          <w:color w:val="auto"/>
        </w:rPr>
        <w:t>rule of law or public policy, all other preferences or other rights, voting powers, restrictions, limitations as to dividends or other distributions, qualifications or terms or conditions of redemption of Series C Preferred Stock set forth in the Charter which can be given effect without the invalid, unlawful or unenforceable provision thereof shall, nevertheless, remain in full force and effect and no preferences or other rights, voting powers, restrictions, limitations as to dividends or other distributions, qualifications or terms or conditions of redemption of the Series C Preferred Stock herein set forth shall be deemed dependent upon any other provision thereof unless so expressed therein.</w:t>
      </w:r>
    </w:p>
    <w:p>
      <w:pPr>
        <w:spacing w:after="0" w:line="143" w:lineRule="exact"/>
        <w:rPr>
          <w:sz w:val="20"/>
          <w:szCs w:val="20"/>
          <w:color w:val="auto"/>
        </w:rPr>
      </w:pPr>
    </w:p>
    <w:p>
      <w:pPr>
        <w:ind w:left="600" w:right="640"/>
        <w:spacing w:after="0" w:line="305" w:lineRule="auto"/>
        <w:rPr>
          <w:sz w:val="20"/>
          <w:szCs w:val="20"/>
          <w:color w:val="auto"/>
        </w:rPr>
      </w:pPr>
      <w:r>
        <w:rPr>
          <w:rFonts w:ascii="Times New Roman" w:cs="Times New Roman" w:eastAsia="Times New Roman" w:hAnsi="Times New Roman"/>
          <w:sz w:val="13"/>
          <w:szCs w:val="13"/>
          <w:u w:val="single" w:color="auto"/>
          <w:color w:val="auto"/>
        </w:rPr>
        <w:t>FOURTH</w:t>
      </w:r>
      <w:r>
        <w:rPr>
          <w:rFonts w:ascii="Times New Roman" w:cs="Times New Roman" w:eastAsia="Times New Roman" w:hAnsi="Times New Roman"/>
          <w:sz w:val="13"/>
          <w:szCs w:val="13"/>
          <w:color w:val="auto"/>
        </w:rPr>
        <w:t>: The Series C Preferred Stock have been classified and designated by the Board pursuant to the powers of the Board as contained in the Charter. These Articles Supplementary have been approved by the Board in the manner and by the vote required by law.</w:t>
      </w:r>
    </w:p>
    <w:p>
      <w:pPr>
        <w:spacing w:after="0" w:line="1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u w:val="single" w:color="auto"/>
          <w:color w:val="auto"/>
        </w:rPr>
        <w:t>FIFTH</w:t>
      </w:r>
      <w:r>
        <w:rPr>
          <w:rFonts w:ascii="Times New Roman" w:cs="Times New Roman" w:eastAsia="Times New Roman" w:hAnsi="Times New Roman"/>
          <w:sz w:val="13"/>
          <w:szCs w:val="13"/>
          <w:color w:val="auto"/>
        </w:rPr>
        <w:t>: These Articles Supplementary shall be effective at the time the SDAT accepts these Articles Supplementary.</w:t>
      </w:r>
    </w:p>
    <w:p>
      <w:pPr>
        <w:spacing w:after="0" w:line="187" w:lineRule="exact"/>
        <w:rPr>
          <w:sz w:val="20"/>
          <w:szCs w:val="20"/>
          <w:color w:val="auto"/>
        </w:rPr>
      </w:pPr>
    </w:p>
    <w:p>
      <w:pPr>
        <w:ind w:left="600" w:right="640"/>
        <w:spacing w:after="0" w:line="287" w:lineRule="auto"/>
        <w:rPr>
          <w:sz w:val="20"/>
          <w:szCs w:val="20"/>
          <w:color w:val="auto"/>
        </w:rPr>
      </w:pPr>
      <w:r>
        <w:rPr>
          <w:rFonts w:ascii="Times New Roman" w:cs="Times New Roman" w:eastAsia="Times New Roman" w:hAnsi="Times New Roman"/>
          <w:sz w:val="13"/>
          <w:szCs w:val="13"/>
          <w:u w:val="single" w:color="auto"/>
          <w:color w:val="auto"/>
        </w:rPr>
        <w:t>SIXTH</w:t>
      </w:r>
      <w:r>
        <w:rPr>
          <w:rFonts w:ascii="Times New Roman" w:cs="Times New Roman" w:eastAsia="Times New Roman" w:hAnsi="Times New Roman"/>
          <w:sz w:val="13"/>
          <w:szCs w:val="13"/>
          <w:color w:val="auto"/>
        </w:rPr>
        <w:t>: The undersigned officer acknowledges these Articles Supplementary to be the corporate act of the Company and, as to all matters or facts required to be verified under oath, the undersigned officer acknowledges that to the best of his knowledge, information and belief, these matters and facts are true in all material respects and that this statement is made under the penalties for perjury.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101600</wp:posOffset>
            </wp:positionV>
            <wp:extent cx="4436110" cy="762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853">
                      <a:extLst>
                        <a:ext uri="{28A0092B-C50C-407E-A947-70E740481C1C}"/>
                      </a:extLst>
                    </a:blip>
                    <a:srcRect/>
                    <a:stretch>
                      <a:fillRect/>
                    </a:stretch>
                  </pic:blipFill>
                  <pic:spPr bwMode="auto">
                    <a:xfrm>
                      <a:off x="0" y="0"/>
                      <a:ext cx="4436110"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535940</wp:posOffset>
            </wp:positionV>
            <wp:extent cx="5083810" cy="1524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854">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64" w:name="page465"/>
    <w:bookmarkEnd w:id="464"/>
    <w:p>
      <w:pPr>
        <w:ind w:left="600" w:right="1000"/>
        <w:spacing w:after="0" w:line="305" w:lineRule="auto"/>
        <w:rPr>
          <w:sz w:val="20"/>
          <w:szCs w:val="20"/>
          <w:color w:val="auto"/>
        </w:rPr>
      </w:pPr>
      <w:r>
        <w:rPr>
          <w:rFonts w:ascii="Times New Roman" w:cs="Times New Roman" w:eastAsia="Times New Roman" w:hAnsi="Times New Roman"/>
          <w:sz w:val="13"/>
          <w:szCs w:val="13"/>
          <w:color w:val="auto"/>
        </w:rPr>
        <w:t>IN WITNESS WHEREOF, the Company has caused these Articles Supplementary to be executed in its name and on its behalf by its Chief Executive Officer as of the date first written above.</w:t>
      </w:r>
    </w:p>
    <w:p>
      <w:pPr>
        <w:spacing w:after="0" w:line="12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3"/>
          <w:szCs w:val="13"/>
          <w:color w:val="auto"/>
        </w:rPr>
        <w:t>DIGITAL REALTY TRUST, INC.</w:t>
      </w:r>
    </w:p>
    <w:p>
      <w:pPr>
        <w:spacing w:after="0" w:line="31" w:lineRule="exact"/>
        <w:rPr>
          <w:sz w:val="20"/>
          <w:szCs w:val="20"/>
          <w:color w:val="auto"/>
        </w:rPr>
      </w:pPr>
    </w:p>
    <w:p>
      <w:pPr>
        <w:ind w:left="4280"/>
        <w:spacing w:after="0"/>
        <w:tabs>
          <w:tab w:leader="none" w:pos="4620" w:val="left"/>
        </w:tabs>
        <w:rPr>
          <w:sz w:val="20"/>
          <w:szCs w:val="20"/>
          <w:color w:val="auto"/>
        </w:rPr>
      </w:pPr>
      <w:r>
        <w:rPr>
          <w:rFonts w:ascii="Times New Roman" w:cs="Times New Roman" w:eastAsia="Times New Roman" w:hAnsi="Times New Roman"/>
          <w:sz w:val="13"/>
          <w:szCs w:val="13"/>
          <w:color w:val="auto"/>
        </w:rPr>
        <w:t>By:</w:t>
        <w:tab/>
        <w:t>/s/ A. William Stein Name:A.</w:t>
      </w:r>
    </w:p>
    <w:p>
      <w:pPr>
        <w:spacing w:after="0" w:line="3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3"/>
          <w:szCs w:val="13"/>
          <w:color w:val="auto"/>
        </w:rPr>
        <w:t>William Stein</w:t>
      </w:r>
    </w:p>
    <w:p>
      <w:pPr>
        <w:spacing w:after="0" w:line="2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3"/>
          <w:szCs w:val="13"/>
          <w:color w:val="auto"/>
        </w:rPr>
        <w:t>Title: Chief Executive Officer</w:t>
      </w:r>
    </w:p>
    <w:p>
      <w:pPr>
        <w:spacing w:after="0" w:line="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ATTEST:</w:t>
      </w:r>
    </w:p>
    <w:p>
      <w:pPr>
        <w:spacing w:after="0" w:line="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DIGITAL REALTY TRUST, INC.</w:t>
      </w:r>
    </w:p>
    <w:p>
      <w:pPr>
        <w:spacing w:after="0" w:line="27" w:lineRule="exact"/>
        <w:rPr>
          <w:sz w:val="20"/>
          <w:szCs w:val="20"/>
          <w:color w:val="auto"/>
        </w:rPr>
      </w:pPr>
    </w:p>
    <w:p>
      <w:pPr>
        <w:ind w:left="600"/>
        <w:spacing w:after="0"/>
        <w:tabs>
          <w:tab w:leader="none" w:pos="940" w:val="left"/>
        </w:tabs>
        <w:rPr>
          <w:sz w:val="20"/>
          <w:szCs w:val="20"/>
          <w:color w:val="auto"/>
        </w:rPr>
      </w:pPr>
      <w:r>
        <w:rPr>
          <w:rFonts w:ascii="Times New Roman" w:cs="Times New Roman" w:eastAsia="Times New Roman" w:hAnsi="Times New Roman"/>
          <w:sz w:val="13"/>
          <w:szCs w:val="13"/>
          <w:color w:val="auto"/>
        </w:rPr>
        <w:t>By:</w:t>
        <w:tab/>
        <w:t>/s/ Joshua A. Mills Name: Joshua</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A. Mills</w:t>
      </w:r>
    </w:p>
    <w:p>
      <w:pPr>
        <w:spacing w:after="0" w:line="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Title: Senior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109220</wp:posOffset>
            </wp:positionV>
            <wp:extent cx="4436110" cy="1524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855">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558800</wp:posOffset>
            </wp:positionV>
            <wp:extent cx="5083810" cy="1524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856">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65" w:name="page466"/>
    <w:bookmarkEnd w:id="465"/>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DIGITAL REALTY TRUST, INC.</w:t>
      </w:r>
    </w:p>
    <w:p>
      <w:pPr>
        <w:spacing w:after="0" w:line="1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ARTICLES OF AMENDMENT</w:t>
      </w:r>
    </w:p>
    <w:p>
      <w:pPr>
        <w:spacing w:after="0" w:line="1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Digital Realty Trust, Inc., a Maryland corporation (the “Corporation”), hereby certifies to the State Department of Assessments and Taxation of</w:t>
      </w:r>
    </w:p>
    <w:p>
      <w:pPr>
        <w:spacing w:after="0" w:line="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Maryland that:</w:t>
      </w:r>
    </w:p>
    <w:p>
      <w:pPr>
        <w:spacing w:after="0" w:line="1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FIRST: The charter of the Corporation (the “Charter”) is hereby amended by deleting therefrom in their entirety the first two sentences of</w:t>
      </w:r>
    </w:p>
    <w:p>
      <w:pPr>
        <w:spacing w:after="0" w:line="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Section 5.1 of Article V and inserting in lieu thereof two new sentences to read as follows:</w:t>
      </w:r>
    </w:p>
    <w:p>
      <w:pPr>
        <w:spacing w:after="0" w:line="183" w:lineRule="exact"/>
        <w:rPr>
          <w:sz w:val="20"/>
          <w:szCs w:val="20"/>
          <w:color w:val="auto"/>
        </w:rPr>
      </w:pPr>
    </w:p>
    <w:p>
      <w:pPr>
        <w:ind w:left="600" w:right="900"/>
        <w:spacing w:after="0" w:line="287" w:lineRule="auto"/>
        <w:rPr>
          <w:sz w:val="20"/>
          <w:szCs w:val="20"/>
          <w:color w:val="auto"/>
        </w:rPr>
      </w:pPr>
      <w:r>
        <w:rPr>
          <w:rFonts w:ascii="Times New Roman" w:cs="Times New Roman" w:eastAsia="Times New Roman" w:hAnsi="Times New Roman"/>
          <w:sz w:val="13"/>
          <w:szCs w:val="13"/>
          <w:color w:val="auto"/>
        </w:rPr>
        <w:t>The Corporation has authority to issue 425,000,000 shares of stock, consisting of 315,000,000 shares of Common Stock, $.01 par value per share (“Common Stock”), and 110,000,000 shares of Preferred Stock, $.01 par value per share (“Preferred Stock”). The aggregate par value of all authorized shares of stock having par value is $4,250,000.</w:t>
      </w:r>
    </w:p>
    <w:p>
      <w:pPr>
        <w:spacing w:after="0" w:line="136" w:lineRule="exact"/>
        <w:rPr>
          <w:sz w:val="20"/>
          <w:szCs w:val="20"/>
          <w:color w:val="auto"/>
        </w:rPr>
      </w:pPr>
    </w:p>
    <w:p>
      <w:pPr>
        <w:jc w:val="both"/>
        <w:ind w:left="600" w:right="660"/>
        <w:spacing w:after="0" w:line="287" w:lineRule="auto"/>
        <w:rPr>
          <w:sz w:val="20"/>
          <w:szCs w:val="20"/>
          <w:color w:val="auto"/>
        </w:rPr>
      </w:pPr>
      <w:r>
        <w:rPr>
          <w:rFonts w:ascii="Times New Roman" w:cs="Times New Roman" w:eastAsia="Times New Roman" w:hAnsi="Times New Roman"/>
          <w:sz w:val="13"/>
          <w:szCs w:val="13"/>
          <w:color w:val="auto"/>
        </w:rPr>
        <w:t>SECOND: The total number of shares of stock which the Corporation had authority to issue immediately prior to the foregoing amendment of the Charter was 375,000,000 shares of stock, consisting of 265,000,000 shares of Common Stock, $.01 par value per share, and 110,000,000 shares of Preferred Stock, $.01 par value per share. The aggregate par value of all authorized shares of stock having par value was $3,750,000.</w:t>
      </w:r>
    </w:p>
    <w:p>
      <w:pPr>
        <w:spacing w:after="0" w:line="136" w:lineRule="exact"/>
        <w:rPr>
          <w:sz w:val="20"/>
          <w:szCs w:val="20"/>
          <w:color w:val="auto"/>
        </w:rPr>
      </w:pPr>
    </w:p>
    <w:p>
      <w:pPr>
        <w:ind w:left="600" w:right="740"/>
        <w:spacing w:after="0" w:line="287" w:lineRule="auto"/>
        <w:rPr>
          <w:sz w:val="20"/>
          <w:szCs w:val="20"/>
          <w:color w:val="auto"/>
        </w:rPr>
      </w:pPr>
      <w:r>
        <w:rPr>
          <w:rFonts w:ascii="Times New Roman" w:cs="Times New Roman" w:eastAsia="Times New Roman" w:hAnsi="Times New Roman"/>
          <w:sz w:val="13"/>
          <w:szCs w:val="13"/>
          <w:color w:val="auto"/>
        </w:rPr>
        <w:t>THIRD: The total number of shares of stock which the Corporation has authority to issue pursuant to the foregoing amendment of the Charter is 425,000,000 shares of stock, consisting of 315,000,000 shares of Common Stock, $.01 par value per share, and 110,000,000 shares of Preferred Stock, $.01 par value per share. The aggregate par value of all authorized shares of stock having par value is $4,250,000.</w:t>
      </w:r>
    </w:p>
    <w:p>
      <w:pPr>
        <w:spacing w:after="0" w:line="136" w:lineRule="exact"/>
        <w:rPr>
          <w:sz w:val="20"/>
          <w:szCs w:val="20"/>
          <w:color w:val="auto"/>
        </w:rPr>
      </w:pPr>
    </w:p>
    <w:p>
      <w:pPr>
        <w:ind w:left="600" w:right="840"/>
        <w:spacing w:after="0" w:line="305" w:lineRule="auto"/>
        <w:rPr>
          <w:sz w:val="20"/>
          <w:szCs w:val="20"/>
          <w:color w:val="auto"/>
        </w:rPr>
      </w:pPr>
      <w:r>
        <w:rPr>
          <w:rFonts w:ascii="Times New Roman" w:cs="Times New Roman" w:eastAsia="Times New Roman" w:hAnsi="Times New Roman"/>
          <w:sz w:val="13"/>
          <w:szCs w:val="13"/>
          <w:color w:val="auto"/>
        </w:rPr>
        <w:t>FOURTH: The information required by Section 2-607(b)(2)(i) of the Maryland General Corporation Law (the “MGCL”) is not changed by the foregoing amendment of the Charter.</w:t>
      </w:r>
    </w:p>
    <w:p>
      <w:pPr>
        <w:spacing w:after="0" w:line="124" w:lineRule="exact"/>
        <w:rPr>
          <w:sz w:val="20"/>
          <w:szCs w:val="20"/>
          <w:color w:val="auto"/>
        </w:rPr>
      </w:pPr>
    </w:p>
    <w:p>
      <w:pPr>
        <w:ind w:left="600" w:right="800"/>
        <w:spacing w:after="0" w:line="287" w:lineRule="auto"/>
        <w:rPr>
          <w:sz w:val="20"/>
          <w:szCs w:val="20"/>
          <w:color w:val="auto"/>
        </w:rPr>
      </w:pPr>
      <w:r>
        <w:rPr>
          <w:rFonts w:ascii="Times New Roman" w:cs="Times New Roman" w:eastAsia="Times New Roman" w:hAnsi="Times New Roman"/>
          <w:sz w:val="13"/>
          <w:szCs w:val="13"/>
          <w:color w:val="auto"/>
        </w:rPr>
        <w:t>FIFTH: The foregoing amendment of the Charter was approved by a majority of the entire Board of Directors of the Corporation as required by law and was limited to a change expressly authorized by Section 2-105(a)(13) of the MGCL without any action by the stockholders of the Corporation.</w:t>
      </w:r>
    </w:p>
    <w:p>
      <w:pPr>
        <w:spacing w:after="0" w:line="136" w:lineRule="exact"/>
        <w:rPr>
          <w:sz w:val="20"/>
          <w:szCs w:val="20"/>
          <w:color w:val="auto"/>
        </w:rPr>
      </w:pPr>
    </w:p>
    <w:p>
      <w:pPr>
        <w:jc w:val="both"/>
        <w:ind w:left="600" w:right="920"/>
        <w:spacing w:after="0" w:line="287" w:lineRule="auto"/>
        <w:rPr>
          <w:sz w:val="20"/>
          <w:szCs w:val="20"/>
          <w:color w:val="auto"/>
        </w:rPr>
      </w:pPr>
      <w:r>
        <w:rPr>
          <w:rFonts w:ascii="Times New Roman" w:cs="Times New Roman" w:eastAsia="Times New Roman" w:hAnsi="Times New Roman"/>
          <w:sz w:val="13"/>
          <w:szCs w:val="13"/>
          <w:color w:val="auto"/>
        </w:rPr>
        <w:t>SIXTH: The undersigned acknowledges these Articles of Amendment to be the corporate act of the Corporation and as to all matters or facts required to be verified under oath, the undersigned acknowledges that to the best of his knowledge, information and belief, these matters and facts are true in all material respects and that this statement is made under the penalties of perjury.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101600</wp:posOffset>
            </wp:positionV>
            <wp:extent cx="4436110" cy="1524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857">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543560</wp:posOffset>
            </wp:positionV>
            <wp:extent cx="5083810" cy="1524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858">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466" w:name="page467"/>
    <w:bookmarkEnd w:id="466"/>
    <w:p>
      <w:pPr>
        <w:jc w:val="both"/>
        <w:ind w:left="600" w:right="740" w:firstLine="480"/>
        <w:spacing w:after="0" w:line="287" w:lineRule="auto"/>
        <w:rPr>
          <w:sz w:val="20"/>
          <w:szCs w:val="20"/>
          <w:color w:val="auto"/>
        </w:rPr>
      </w:pPr>
      <w:r>
        <w:rPr>
          <w:rFonts w:ascii="Times New Roman" w:cs="Times New Roman" w:eastAsia="Times New Roman" w:hAnsi="Times New Roman"/>
          <w:sz w:val="13"/>
          <w:szCs w:val="13"/>
          <w:color w:val="auto"/>
        </w:rPr>
        <w:t>IN WITNESS WHEREOF, the Corporation has caused these Articles of Amendment to be executed in its name and on its behalf by its Senior Vice President, General Counsel and Secretary and attested to by its Vice President, Associate General Counsel and Assistant Secretary on this 13th day of September, 2017.</w:t>
      </w:r>
    </w:p>
    <w:p>
      <w:pPr>
        <w:spacing w:after="0" w:line="136"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3"/>
          <w:szCs w:val="13"/>
          <w:color w:val="auto"/>
        </w:rPr>
        <w:t>DIGITAL REALTY TRUST, INC.</w:t>
      </w:r>
    </w:p>
    <w:p>
      <w:pPr>
        <w:spacing w:after="0" w:line="31" w:lineRule="exact"/>
        <w:rPr>
          <w:sz w:val="20"/>
          <w:szCs w:val="20"/>
          <w:color w:val="auto"/>
        </w:rPr>
      </w:pPr>
    </w:p>
    <w:p>
      <w:pPr>
        <w:ind w:left="4280"/>
        <w:spacing w:after="0"/>
        <w:tabs>
          <w:tab w:leader="none" w:pos="4620" w:val="left"/>
        </w:tabs>
        <w:rPr>
          <w:sz w:val="20"/>
          <w:szCs w:val="20"/>
          <w:color w:val="auto"/>
        </w:rPr>
      </w:pPr>
      <w:r>
        <w:rPr>
          <w:rFonts w:ascii="Times New Roman" w:cs="Times New Roman" w:eastAsia="Times New Roman" w:hAnsi="Times New Roman"/>
          <w:sz w:val="13"/>
          <w:szCs w:val="13"/>
          <w:color w:val="auto"/>
        </w:rPr>
        <w:t>By:</w:t>
        <w:tab/>
        <w:t>/s/ Joshua A. Mills Name:Joshua</w:t>
      </w:r>
    </w:p>
    <w:p>
      <w:pPr>
        <w:spacing w:after="0" w:line="3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3"/>
          <w:szCs w:val="13"/>
          <w:color w:val="auto"/>
        </w:rPr>
        <w:t>A. Mills</w:t>
      </w:r>
    </w:p>
    <w:p>
      <w:pPr>
        <w:spacing w:after="0" w:line="2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3"/>
          <w:szCs w:val="13"/>
          <w:color w:val="auto"/>
        </w:rPr>
        <w:t>Title: Senior Vice President, General Counsel and Secretary</w:t>
      </w:r>
    </w:p>
    <w:p>
      <w:pPr>
        <w:spacing w:after="0" w:line="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ATTEST:</w:t>
      </w:r>
    </w:p>
    <w:p>
      <w:pPr>
        <w:spacing w:after="0" w:line="17" w:lineRule="exact"/>
        <w:rPr>
          <w:sz w:val="20"/>
          <w:szCs w:val="20"/>
          <w:color w:val="auto"/>
        </w:rPr>
      </w:pPr>
    </w:p>
    <w:p>
      <w:pPr>
        <w:ind w:left="600"/>
        <w:spacing w:after="0"/>
        <w:tabs>
          <w:tab w:leader="none" w:pos="940" w:val="left"/>
        </w:tabs>
        <w:rPr>
          <w:sz w:val="20"/>
          <w:szCs w:val="20"/>
          <w:color w:val="auto"/>
        </w:rPr>
      </w:pPr>
      <w:r>
        <w:rPr>
          <w:rFonts w:ascii="Times New Roman" w:cs="Times New Roman" w:eastAsia="Times New Roman" w:hAnsi="Times New Roman"/>
          <w:sz w:val="13"/>
          <w:szCs w:val="13"/>
          <w:color w:val="auto"/>
        </w:rPr>
        <w:t>By:</w:t>
        <w:tab/>
        <w:t>/s/ Jeannie Lee Name: Jeannie</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Lee</w:t>
      </w:r>
    </w:p>
    <w:p>
      <w:pPr>
        <w:spacing w:after="0" w:line="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Title: Vice President, Associate General Counsel and Assistant</w:t>
      </w:r>
    </w:p>
    <w:p>
      <w:pPr>
        <w:spacing w:after="0" w:line="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Secretary</w:t>
      </w:r>
    </w:p>
    <w:p>
      <w:pPr>
        <w:spacing w:after="0" w:line="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DIGITAL REALTY TRUST, INC. ARTICLES</w:t>
      </w:r>
    </w:p>
    <w:p>
      <w:pPr>
        <w:spacing w:after="0" w:line="1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SUPPLEMENTARY 9,200,000 SHARES OF</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5.850% SERIES K CUMULATIVE REDEEMABLE PREFERRED STOCK</w:t>
      </w:r>
    </w:p>
    <w:p>
      <w:pPr>
        <w:spacing w:after="0" w:line="1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March 4, 2019</w:t>
      </w:r>
    </w:p>
    <w:p>
      <w:pPr>
        <w:spacing w:after="0" w:line="18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Digital Realty Trust, Inc., a Maryland corporation (the “</w:t>
      </w:r>
      <w:r>
        <w:rPr>
          <w:rFonts w:ascii="Times New Roman" w:cs="Times New Roman" w:eastAsia="Times New Roman" w:hAnsi="Times New Roman"/>
          <w:sz w:val="13"/>
          <w:szCs w:val="13"/>
          <w:u w:val="single" w:color="auto"/>
          <w:color w:val="auto"/>
        </w:rPr>
        <w:t>Company</w:t>
      </w:r>
      <w:r>
        <w:rPr>
          <w:rFonts w:ascii="Times New Roman" w:cs="Times New Roman" w:eastAsia="Times New Roman" w:hAnsi="Times New Roman"/>
          <w:sz w:val="13"/>
          <w:szCs w:val="13"/>
          <w:color w:val="auto"/>
        </w:rPr>
        <w:t>”), hereby certifies to the State Department of Assessments and</w:t>
      </w:r>
    </w:p>
    <w:p>
      <w:pPr>
        <w:spacing w:after="0" w:line="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Taxation of Maryland (the “</w:t>
      </w:r>
      <w:r>
        <w:rPr>
          <w:rFonts w:ascii="Times New Roman" w:cs="Times New Roman" w:eastAsia="Times New Roman" w:hAnsi="Times New Roman"/>
          <w:sz w:val="13"/>
          <w:szCs w:val="13"/>
          <w:u w:val="single" w:color="auto"/>
          <w:color w:val="auto"/>
        </w:rPr>
        <w:t>Department</w:t>
      </w:r>
      <w:r>
        <w:rPr>
          <w:rFonts w:ascii="Times New Roman" w:cs="Times New Roman" w:eastAsia="Times New Roman" w:hAnsi="Times New Roman"/>
          <w:sz w:val="13"/>
          <w:szCs w:val="13"/>
          <w:color w:val="auto"/>
        </w:rPr>
        <w:t>”) that:</w:t>
      </w:r>
    </w:p>
    <w:p>
      <w:pPr>
        <w:spacing w:after="0" w:line="183" w:lineRule="exact"/>
        <w:rPr>
          <w:sz w:val="20"/>
          <w:szCs w:val="20"/>
          <w:color w:val="auto"/>
        </w:rPr>
      </w:pPr>
    </w:p>
    <w:p>
      <w:pPr>
        <w:jc w:val="both"/>
        <w:ind w:left="600" w:right="600" w:firstLine="480"/>
        <w:spacing w:after="0" w:line="270" w:lineRule="auto"/>
        <w:rPr>
          <w:sz w:val="20"/>
          <w:szCs w:val="20"/>
          <w:color w:val="auto"/>
        </w:rPr>
      </w:pPr>
      <w:r>
        <w:rPr>
          <w:rFonts w:ascii="Times New Roman" w:cs="Times New Roman" w:eastAsia="Times New Roman" w:hAnsi="Times New Roman"/>
          <w:sz w:val="13"/>
          <w:szCs w:val="13"/>
          <w:u w:val="single" w:color="auto"/>
          <w:color w:val="auto"/>
        </w:rPr>
        <w:t>FIRST</w:t>
      </w:r>
      <w:r>
        <w:rPr>
          <w:rFonts w:ascii="Times New Roman" w:cs="Times New Roman" w:eastAsia="Times New Roman" w:hAnsi="Times New Roman"/>
          <w:sz w:val="13"/>
          <w:szCs w:val="13"/>
          <w:color w:val="auto"/>
        </w:rPr>
        <w:t>: Pursuant to the authority expressly vested in the Board of Directors of the Company (the “</w:t>
      </w:r>
      <w:r>
        <w:rPr>
          <w:rFonts w:ascii="Times New Roman" w:cs="Times New Roman" w:eastAsia="Times New Roman" w:hAnsi="Times New Roman"/>
          <w:sz w:val="13"/>
          <w:szCs w:val="13"/>
          <w:u w:val="single" w:color="auto"/>
          <w:color w:val="auto"/>
        </w:rPr>
        <w:t>Board of Directors</w:t>
      </w:r>
      <w:r>
        <w:rPr>
          <w:rFonts w:ascii="Times New Roman" w:cs="Times New Roman" w:eastAsia="Times New Roman" w:hAnsi="Times New Roman"/>
          <w:sz w:val="13"/>
          <w:szCs w:val="13"/>
          <w:color w:val="auto"/>
        </w:rPr>
        <w:t>”) by Article V of the Articles of Amendment and Restatement of the Company filed with the Department on October 26, 2004 (as amended and supplemented to date and as may be amended and supplemented from time to time, the “</w:t>
      </w:r>
      <w:r>
        <w:rPr>
          <w:rFonts w:ascii="Times New Roman" w:cs="Times New Roman" w:eastAsia="Times New Roman" w:hAnsi="Times New Roman"/>
          <w:sz w:val="13"/>
          <w:szCs w:val="13"/>
          <w:u w:val="single" w:color="auto"/>
          <w:color w:val="auto"/>
        </w:rPr>
        <w:t>Charter</w:t>
      </w:r>
      <w:r>
        <w:rPr>
          <w:rFonts w:ascii="Times New Roman" w:cs="Times New Roman" w:eastAsia="Times New Roman" w:hAnsi="Times New Roman"/>
          <w:sz w:val="13"/>
          <w:szCs w:val="13"/>
          <w:color w:val="auto"/>
        </w:rPr>
        <w:t>”) and Section 2-105 of the Maryland General Corporation Law (the “</w:t>
      </w:r>
      <w:r>
        <w:rPr>
          <w:rFonts w:ascii="Times New Roman" w:cs="Times New Roman" w:eastAsia="Times New Roman" w:hAnsi="Times New Roman"/>
          <w:sz w:val="13"/>
          <w:szCs w:val="13"/>
          <w:u w:val="single" w:color="auto"/>
          <w:color w:val="auto"/>
        </w:rPr>
        <w:t>MGCL</w:t>
      </w:r>
      <w:r>
        <w:rPr>
          <w:rFonts w:ascii="Times New Roman" w:cs="Times New Roman" w:eastAsia="Times New Roman" w:hAnsi="Times New Roman"/>
          <w:sz w:val="13"/>
          <w:szCs w:val="13"/>
          <w:color w:val="auto"/>
        </w:rPr>
        <w:t>”), the Board of Directors, by resolutions duly adopted on February 21-22, 2019 has authorized the issuance, classification and designation of a number of shares of the authorized but unissued preferred stock of the Company, par value $0.01 per share (“</w:t>
      </w:r>
      <w:r>
        <w:rPr>
          <w:rFonts w:ascii="Times New Roman" w:cs="Times New Roman" w:eastAsia="Times New Roman" w:hAnsi="Times New Roman"/>
          <w:sz w:val="13"/>
          <w:szCs w:val="13"/>
          <w:u w:val="single" w:color="auto"/>
          <w:color w:val="auto"/>
        </w:rPr>
        <w:t>Preferred Stock</w:t>
      </w:r>
      <w:r>
        <w:rPr>
          <w:rFonts w:ascii="Times New Roman" w:cs="Times New Roman" w:eastAsia="Times New Roman" w:hAnsi="Times New Roman"/>
          <w:sz w:val="13"/>
          <w:szCs w:val="13"/>
          <w:color w:val="auto"/>
        </w:rPr>
        <w:t xml:space="preserve">”), as a separate class of Preferred Stock, that, on the date of issue, has a liquidation value or aggregate offering price of up to $500,000,000 (plus up to an additional 15% to cover any underwriter over-allotment option), and, pursuant to the powers contained in the Eighth Amended and Restated Bylaws (as may be amended from time to time, the “ </w:t>
      </w:r>
      <w:r>
        <w:rPr>
          <w:rFonts w:ascii="Times New Roman" w:cs="Times New Roman" w:eastAsia="Times New Roman" w:hAnsi="Times New Roman"/>
          <w:sz w:val="13"/>
          <w:szCs w:val="13"/>
          <w:u w:val="single" w:color="auto"/>
          <w:color w:val="auto"/>
        </w:rPr>
        <w:t>Bylaws</w:t>
      </w:r>
      <w:r>
        <w:rPr>
          <w:rFonts w:ascii="Times New Roman" w:cs="Times New Roman" w:eastAsia="Times New Roman" w:hAnsi="Times New Roman"/>
          <w:sz w:val="13"/>
          <w:szCs w:val="13"/>
          <w:color w:val="auto"/>
        </w:rPr>
        <w:t>”) of the Company and the MGCL, delegated to the Pricing Committee of the Board of Directors (the “</w:t>
      </w:r>
      <w:r>
        <w:rPr>
          <w:rFonts w:ascii="Times New Roman" w:cs="Times New Roman" w:eastAsia="Times New Roman" w:hAnsi="Times New Roman"/>
          <w:sz w:val="13"/>
          <w:szCs w:val="13"/>
          <w:u w:val="single" w:color="auto"/>
          <w:color w:val="auto"/>
        </w:rPr>
        <w:t>Committee</w:t>
      </w:r>
      <w:r>
        <w:rPr>
          <w:rFonts w:ascii="Times New Roman" w:cs="Times New Roman" w:eastAsia="Times New Roman" w:hAnsi="Times New Roman"/>
          <w:sz w:val="13"/>
          <w:szCs w:val="13"/>
          <w:color w:val="auto"/>
        </w:rPr>
        <w:t>”), to the fullest extent permitted by the MGCL and the Charter and Bylaws of the Company, among other things, all powers of the Board of Directors with respect to (i) setting the number of shares of the Preferred Stock to be classified and designated, provided that in no event shall the liquidation value or aggregate offering price of such shares exceed</w:t>
      </w:r>
    </w:p>
    <w:p>
      <w:pPr>
        <w:spacing w:after="0" w:line="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$500,000,000 (plus up to an additional 15% to cover any underwriter over-allotment option), (ii) choosing the cumulative dividend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109220</wp:posOffset>
            </wp:positionV>
            <wp:extent cx="4436110" cy="762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859">
                      <a:extLst>
                        <a:ext uri="{28A0092B-C50C-407E-A947-70E740481C1C}"/>
                      </a:extLst>
                    </a:blip>
                    <a:srcRect/>
                    <a:stretch>
                      <a:fillRect/>
                    </a:stretch>
                  </pic:blipFill>
                  <pic:spPr bwMode="auto">
                    <a:xfrm>
                      <a:off x="0" y="0"/>
                      <a:ext cx="4436110"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551180</wp:posOffset>
            </wp:positionV>
            <wp:extent cx="5083810" cy="1524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860">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67" w:name="page468"/>
    <w:bookmarkEnd w:id="467"/>
    <w:p>
      <w:pPr>
        <w:jc w:val="both"/>
        <w:ind w:left="600" w:right="620"/>
        <w:spacing w:after="0" w:line="281" w:lineRule="auto"/>
        <w:rPr>
          <w:sz w:val="20"/>
          <w:szCs w:val="20"/>
          <w:color w:val="auto"/>
        </w:rPr>
      </w:pPr>
      <w:r>
        <w:rPr>
          <w:rFonts w:ascii="Times New Roman" w:cs="Times New Roman" w:eastAsia="Times New Roman" w:hAnsi="Times New Roman"/>
          <w:sz w:val="13"/>
          <w:szCs w:val="13"/>
          <w:color w:val="auto"/>
        </w:rPr>
        <w:t>percentage for the Preferred Stock, (iii) selecting the dates on which dividends will be paid on the Preferred Stock, (iv) establishing the price per share for the Preferred Stock, (v) authorizing, approving and filing these Articles Supplementary with the Department and (vi) authorizing and approving all such other actions as the Committee may deem necessary or desirable in connection with the classification, authorization, issuance, offer, and sale of the Preferred Stock.</w:t>
      </w:r>
    </w:p>
    <w:p>
      <w:pPr>
        <w:spacing w:after="0" w:line="140" w:lineRule="exact"/>
        <w:rPr>
          <w:sz w:val="20"/>
          <w:szCs w:val="20"/>
          <w:color w:val="auto"/>
        </w:rPr>
      </w:pPr>
    </w:p>
    <w:p>
      <w:pPr>
        <w:jc w:val="both"/>
        <w:ind w:left="600" w:right="600" w:firstLine="480"/>
        <w:spacing w:after="0" w:line="278" w:lineRule="auto"/>
        <w:rPr>
          <w:sz w:val="20"/>
          <w:szCs w:val="20"/>
          <w:color w:val="auto"/>
        </w:rPr>
      </w:pPr>
      <w:r>
        <w:rPr>
          <w:rFonts w:ascii="Times New Roman" w:cs="Times New Roman" w:eastAsia="Times New Roman" w:hAnsi="Times New Roman"/>
          <w:sz w:val="13"/>
          <w:szCs w:val="13"/>
          <w:u w:val="single" w:color="auto"/>
          <w:color w:val="auto"/>
        </w:rPr>
        <w:t>SECOND</w:t>
      </w:r>
      <w:r>
        <w:rPr>
          <w:rFonts w:ascii="Times New Roman" w:cs="Times New Roman" w:eastAsia="Times New Roman" w:hAnsi="Times New Roman"/>
          <w:sz w:val="13"/>
          <w:szCs w:val="13"/>
          <w:color w:val="auto"/>
        </w:rPr>
        <w:t>: The Committee has unanimously adopted resolutions classifying and designating the Preferred Stock as a separate class of Preferred Stock to be known as the “5.850% Series K Cumulative Redeemable Preferred Stock,” setting the preferences, conversion and other rights, voting powers, restrictions, limitations as to dividends and other distributions, transfers, qualifications, terms and conditions of redemption and other terms and conditions of such 5.850% Series K Cumulative Redeemable Preferred Stock, and authorizing the issuance of up to 8,000,000 (plus up to an additional 15% to cover any underwriter over-allotment option) shares of 5.850% Series K Cumulative Redeemable Preferred Stock.</w:t>
      </w:r>
    </w:p>
    <w:p>
      <w:pPr>
        <w:spacing w:after="0" w:line="143" w:lineRule="exact"/>
        <w:rPr>
          <w:sz w:val="20"/>
          <w:szCs w:val="20"/>
          <w:color w:val="auto"/>
        </w:rPr>
      </w:pPr>
    </w:p>
    <w:p>
      <w:pPr>
        <w:jc w:val="both"/>
        <w:ind w:left="600" w:right="600" w:firstLine="480"/>
        <w:spacing w:after="0" w:line="278" w:lineRule="auto"/>
        <w:rPr>
          <w:sz w:val="20"/>
          <w:szCs w:val="20"/>
          <w:color w:val="auto"/>
        </w:rPr>
      </w:pPr>
      <w:r>
        <w:rPr>
          <w:rFonts w:ascii="Times New Roman" w:cs="Times New Roman" w:eastAsia="Times New Roman" w:hAnsi="Times New Roman"/>
          <w:sz w:val="13"/>
          <w:szCs w:val="13"/>
          <w:u w:val="single" w:color="auto"/>
          <w:color w:val="auto"/>
        </w:rPr>
        <w:t>THIRD</w:t>
      </w:r>
      <w:r>
        <w:rPr>
          <w:rFonts w:ascii="Times New Roman" w:cs="Times New Roman" w:eastAsia="Times New Roman" w:hAnsi="Times New Roman"/>
          <w:sz w:val="13"/>
          <w:szCs w:val="13"/>
          <w:color w:val="auto"/>
        </w:rPr>
        <w:t>: The designation, number of shares, preferences, conversion and other rights, voting powers, restrictions, limitations as to dividends and other distributions, transfers, qualifications, terms and conditions of redemption and other terms and conditions of the separate class of Preferred Stock of the Company designated as the 5.850% Series K Cumulative Redeemable Preferred Stock are as follows, which upon any restatement of the Charter shall be made a part of or incorporated by reference into the Charter with any necessary or appropriate changes to the enumeration or lettering of Sections or subsections thereof:</w:t>
      </w:r>
    </w:p>
    <w:p>
      <w:pPr>
        <w:spacing w:after="0" w:line="143" w:lineRule="exact"/>
        <w:rPr>
          <w:sz w:val="20"/>
          <w:szCs w:val="20"/>
          <w:color w:val="auto"/>
        </w:rPr>
      </w:pPr>
    </w:p>
    <w:p>
      <w:pPr>
        <w:ind w:left="1080" w:right="620"/>
        <w:spacing w:after="0" w:line="305" w:lineRule="auto"/>
        <w:rPr>
          <w:sz w:val="20"/>
          <w:szCs w:val="20"/>
          <w:color w:val="auto"/>
        </w:rPr>
      </w:pPr>
      <w:r>
        <w:rPr>
          <w:rFonts w:ascii="Times New Roman" w:cs="Times New Roman" w:eastAsia="Times New Roman" w:hAnsi="Times New Roman"/>
          <w:sz w:val="13"/>
          <w:szCs w:val="13"/>
          <w:color w:val="auto"/>
        </w:rPr>
        <w:t xml:space="preserve">Section 1. </w:t>
      </w:r>
      <w:r>
        <w:rPr>
          <w:rFonts w:ascii="Times New Roman" w:cs="Times New Roman" w:eastAsia="Times New Roman" w:hAnsi="Times New Roman"/>
          <w:sz w:val="13"/>
          <w:szCs w:val="13"/>
          <w:u w:val="single" w:color="auto"/>
          <w:color w:val="auto"/>
        </w:rPr>
        <w:t>Designation and Number</w:t>
      </w:r>
      <w:r>
        <w:rPr>
          <w:rFonts w:ascii="Times New Roman" w:cs="Times New Roman" w:eastAsia="Times New Roman" w:hAnsi="Times New Roman"/>
          <w:sz w:val="13"/>
          <w:szCs w:val="13"/>
          <w:color w:val="auto"/>
        </w:rPr>
        <w:t>. A series of Preferred Stock, designated the “5.850% Series K Cumulative Redeemable Preferred Stock” (the “</w:t>
      </w:r>
      <w:r>
        <w:rPr>
          <w:rFonts w:ascii="Times New Roman" w:cs="Times New Roman" w:eastAsia="Times New Roman" w:hAnsi="Times New Roman"/>
          <w:sz w:val="13"/>
          <w:szCs w:val="13"/>
          <w:u w:val="single" w:color="auto"/>
          <w:color w:val="auto"/>
        </w:rPr>
        <w:t>Series K Preferred Stock</w:t>
      </w:r>
      <w:r>
        <w:rPr>
          <w:rFonts w:ascii="Times New Roman" w:cs="Times New Roman" w:eastAsia="Times New Roman" w:hAnsi="Times New Roman"/>
          <w:sz w:val="13"/>
          <w:szCs w:val="13"/>
          <w:color w:val="auto"/>
        </w:rPr>
        <w:t>”), is hereby established. The number of shares of Series K Preferred Stock shall be 9,200,000.</w:t>
      </w:r>
    </w:p>
    <w:p>
      <w:pPr>
        <w:spacing w:after="0" w:line="124" w:lineRule="exact"/>
        <w:rPr>
          <w:sz w:val="20"/>
          <w:szCs w:val="20"/>
          <w:color w:val="auto"/>
        </w:rPr>
      </w:pPr>
    </w:p>
    <w:p>
      <w:pPr>
        <w:jc w:val="both"/>
        <w:ind w:left="600" w:right="600" w:firstLine="480"/>
        <w:spacing w:after="0" w:line="272" w:lineRule="auto"/>
        <w:rPr>
          <w:sz w:val="20"/>
          <w:szCs w:val="20"/>
          <w:color w:val="auto"/>
        </w:rPr>
      </w:pPr>
      <w:r>
        <w:rPr>
          <w:rFonts w:ascii="Times New Roman" w:cs="Times New Roman" w:eastAsia="Times New Roman" w:hAnsi="Times New Roman"/>
          <w:sz w:val="13"/>
          <w:szCs w:val="13"/>
          <w:color w:val="auto"/>
        </w:rPr>
        <w:t xml:space="preserve">Section 2. </w:t>
      </w:r>
      <w:r>
        <w:rPr>
          <w:rFonts w:ascii="Times New Roman" w:cs="Times New Roman" w:eastAsia="Times New Roman" w:hAnsi="Times New Roman"/>
          <w:sz w:val="13"/>
          <w:szCs w:val="13"/>
          <w:u w:val="single" w:color="auto"/>
          <w:color w:val="auto"/>
        </w:rPr>
        <w:t>Rank</w:t>
      </w:r>
      <w:r>
        <w:rPr>
          <w:rFonts w:ascii="Times New Roman" w:cs="Times New Roman" w:eastAsia="Times New Roman" w:hAnsi="Times New Roman"/>
          <w:sz w:val="13"/>
          <w:szCs w:val="13"/>
          <w:color w:val="auto"/>
        </w:rPr>
        <w:t>. The Series K Preferred Stock will, with respect to dividend rights and rights upon voluntary or involuntary liquidation, dissolution or winding up of the Company, rank: (a) senior to all classes or series of the Company’s common stock, par value $0.01 per share (the “</w:t>
      </w:r>
      <w:r>
        <w:rPr>
          <w:rFonts w:ascii="Times New Roman" w:cs="Times New Roman" w:eastAsia="Times New Roman" w:hAnsi="Times New Roman"/>
          <w:sz w:val="13"/>
          <w:szCs w:val="13"/>
          <w:u w:val="single" w:color="auto"/>
          <w:color w:val="auto"/>
        </w:rPr>
        <w:t>Common Stock</w:t>
      </w:r>
      <w:r>
        <w:rPr>
          <w:rFonts w:ascii="Times New Roman" w:cs="Times New Roman" w:eastAsia="Times New Roman" w:hAnsi="Times New Roman"/>
          <w:sz w:val="13"/>
          <w:szCs w:val="13"/>
          <w:color w:val="auto"/>
        </w:rPr>
        <w:t>”), and all classes or series of capital stock of the Company now or hereafter authorized, issued or outstanding expressly designated as ranking junior to the Series K Preferred Stock as to dividend rights and rights upon voluntary or involuntary liquidation, dissolution or winding up of the Company; (b) on parity with the Series C Cumulative Redeemable Perpetual Preferred Stock, par value $0.01 per share, Series G Cumulative Redeemable Preferred Stock, par value $0.01 per share, the Series H Cumulative Redeemable Preferred Stock, par value $0.01 per share, Series I Cumulative Redeemable Preferred Stock, par value $0.01 per share, and the Series J Cumulative Redeemable Preferred Stock, par value $0.01 per share, of the Company, and with any class or series of capital stock of the Company expressly designated as ranking on parity with the Series K Preferred Stock as to dividend rights and rights upon voluntary or involuntary liquidation, dissolution or winding up of the Company; and (c) junior to any class or series of capital stock of the Company expressly designated as ranking senior to the Series K Preferred Stock as to dividend rights and rights upon voluntary or involuntary liquidation, dissolution or winding up of the Company. The term “</w:t>
      </w:r>
      <w:r>
        <w:rPr>
          <w:rFonts w:ascii="Times New Roman" w:cs="Times New Roman" w:eastAsia="Times New Roman" w:hAnsi="Times New Roman"/>
          <w:sz w:val="13"/>
          <w:szCs w:val="13"/>
          <w:u w:val="single" w:color="auto"/>
          <w:color w:val="auto"/>
        </w:rPr>
        <w:t>capital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stock</w:t>
      </w:r>
      <w:r>
        <w:rPr>
          <w:rFonts w:ascii="Times New Roman" w:cs="Times New Roman" w:eastAsia="Times New Roman" w:hAnsi="Times New Roman"/>
          <w:sz w:val="13"/>
          <w:szCs w:val="13"/>
          <w:color w:val="auto"/>
        </w:rPr>
        <w:t>” does not include convertible or exchangeable debt securities, which will rank senior to the Series K Preferred Stock prior to conversion or exchange. The Series K Preferred Stock will also rank junior in right of payment to the Company’s existing and future debt obligations.</w:t>
      </w:r>
    </w:p>
    <w:p>
      <w:pPr>
        <w:spacing w:after="0" w:line="13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 xml:space="preserve">Section 3. </w:t>
      </w:r>
      <w:r>
        <w:rPr>
          <w:rFonts w:ascii="Times New Roman" w:cs="Times New Roman" w:eastAsia="Times New Roman" w:hAnsi="Times New Roman"/>
          <w:sz w:val="13"/>
          <w:szCs w:val="13"/>
          <w:u w:val="single" w:color="auto"/>
          <w:color w:val="auto"/>
        </w:rPr>
        <w:t>Dividends</w:t>
      </w:r>
      <w:r>
        <w:rPr>
          <w:rFonts w:ascii="Times New Roman" w:cs="Times New Roman" w:eastAsia="Times New Roman" w:hAnsi="Times New Roman"/>
          <w:sz w:val="13"/>
          <w:szCs w:val="13"/>
          <w:color w:val="auto"/>
        </w:rPr>
        <w:t>.</w:t>
      </w:r>
    </w:p>
    <w:p>
      <w:pPr>
        <w:spacing w:after="0" w:line="187" w:lineRule="exact"/>
        <w:rPr>
          <w:sz w:val="20"/>
          <w:szCs w:val="20"/>
          <w:color w:val="auto"/>
        </w:rPr>
      </w:pPr>
    </w:p>
    <w:p>
      <w:pPr>
        <w:ind w:left="600" w:right="600" w:firstLine="475"/>
        <w:spacing w:after="0" w:line="274" w:lineRule="auto"/>
        <w:tabs>
          <w:tab w:leader="none" w:pos="1248" w:val="left"/>
        </w:tabs>
        <w:numPr>
          <w:ilvl w:val="0"/>
          <w:numId w:val="4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the preferential rights of the holders of any class or series of capital stock of the Company ranking senior to the Series K Preferred Stock as to dividends, the holders of shares of the Series K Preferred Stock shall be entitled to receive, when, as and if authorized by the Board of Directors and declared by the Company, out of funds legally available for the payment of dividends, cumulative cash dividends at the rate of 5.850% per annum of the $25.00 liquidation preference per share of the Series K Preferred Stock (equivalent to a fixed annual amount of $1.4625 per share of the Series K Preferred Stock). Such dividends shall accrue and be cumulative from and including the first date on which any shares of Series K Preferred Stock are issued (the “</w:t>
      </w:r>
      <w:r>
        <w:rPr>
          <w:rFonts w:ascii="Times New Roman" w:cs="Times New Roman" w:eastAsia="Times New Roman" w:hAnsi="Times New Roman"/>
          <w:sz w:val="13"/>
          <w:szCs w:val="13"/>
          <w:u w:val="single" w:color="auto"/>
          <w:color w:val="auto"/>
        </w:rPr>
        <w:t>Original Issue Date</w:t>
      </w:r>
      <w:r>
        <w:rPr>
          <w:rFonts w:ascii="Times New Roman" w:cs="Times New Roman" w:eastAsia="Times New Roman" w:hAnsi="Times New Roman"/>
          <w:sz w:val="13"/>
          <w:szCs w:val="13"/>
          <w:color w:val="auto"/>
        </w:rPr>
        <w:t xml:space="preserve">”) and shall be payable quarterly in arrears on each Dividend Payment Date (as defined below), commencing June 28, 2019;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if any Dividend Payment Date is not a Business Day (as defined below), then the dividend which would otherwise have been payable on such Dividend Payment Date may be paid, at the Company’s option, on either the immediately preceding Business Day or the next succeeding Business Day, except that, if such Business Day is in the next succeeding calendar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106680</wp:posOffset>
            </wp:positionV>
            <wp:extent cx="4436110" cy="1524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861">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541020</wp:posOffset>
            </wp:positionV>
            <wp:extent cx="5083810" cy="1524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862">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68" w:name="page469"/>
    <w:bookmarkEnd w:id="468"/>
    <w:p>
      <w:pPr>
        <w:jc w:val="both"/>
        <w:ind w:left="600" w:right="600"/>
        <w:spacing w:after="0" w:line="272" w:lineRule="auto"/>
        <w:rPr>
          <w:sz w:val="20"/>
          <w:szCs w:val="20"/>
          <w:color w:val="auto"/>
        </w:rPr>
      </w:pPr>
      <w:r>
        <w:rPr>
          <w:rFonts w:ascii="Times New Roman" w:cs="Times New Roman" w:eastAsia="Times New Roman" w:hAnsi="Times New Roman"/>
          <w:sz w:val="13"/>
          <w:szCs w:val="13"/>
          <w:color w:val="auto"/>
        </w:rPr>
        <w:t>year, such payment shall be made on the immediately preceding Business Day, in each case with the same force and effect as if paid on such Dividend Payment Date, and no interest or additional dividends or other sums shall accrue on the amount so payable from such Dividend Payment Date to such next succeeding Business Day. The amount of any dividend payable on the Series K Preferred Stock for any partial Dividend Period (as defined below) shall be prorated and computed on the basis of a 360- day year consisting of twelve 30-day months. Dividends will be payable to holders of record as they appear in the stockholder records of the Company at the close of business on the applicable Dividend Record Date (as defined below). Notwithstanding any provision to the contrary contained herein, each outstanding share of Series K Preferred Stock shall be entitled to receive a dividend with respect to any Dividend Record Date equal to the dividend paid with respect to each other share of Series K Preferred Stock that is outstanding on such date. “</w:t>
      </w:r>
      <w:r>
        <w:rPr>
          <w:rFonts w:ascii="Times New Roman" w:cs="Times New Roman" w:eastAsia="Times New Roman" w:hAnsi="Times New Roman"/>
          <w:sz w:val="13"/>
          <w:szCs w:val="13"/>
          <w:u w:val="single" w:color="auto"/>
          <w:color w:val="auto"/>
        </w:rPr>
        <w:t>Dividend Record Date</w:t>
      </w:r>
      <w:r>
        <w:rPr>
          <w:rFonts w:ascii="Times New Roman" w:cs="Times New Roman" w:eastAsia="Times New Roman" w:hAnsi="Times New Roman"/>
          <w:sz w:val="13"/>
          <w:szCs w:val="13"/>
          <w:color w:val="auto"/>
        </w:rPr>
        <w:t>” shall mean the date designated by the Board of Directors for the payment of dividends that is not more than 35 or fewer than 10 days prior to the applicable Dividend Payment Date. “</w:t>
      </w:r>
      <w:r>
        <w:rPr>
          <w:rFonts w:ascii="Times New Roman" w:cs="Times New Roman" w:eastAsia="Times New Roman" w:hAnsi="Times New Roman"/>
          <w:sz w:val="13"/>
          <w:szCs w:val="13"/>
          <w:u w:val="single" w:color="auto"/>
          <w:color w:val="auto"/>
        </w:rPr>
        <w:t>Dividend Payment Date</w:t>
      </w:r>
      <w:r>
        <w:rPr>
          <w:rFonts w:ascii="Times New Roman" w:cs="Times New Roman" w:eastAsia="Times New Roman" w:hAnsi="Times New Roman"/>
          <w:sz w:val="13"/>
          <w:szCs w:val="13"/>
          <w:color w:val="auto"/>
        </w:rPr>
        <w:t>” shall mean the last calendar day of each March, June, September and December, commencing on June 28, 2019. “</w:t>
      </w:r>
      <w:r>
        <w:rPr>
          <w:rFonts w:ascii="Times New Roman" w:cs="Times New Roman" w:eastAsia="Times New Roman" w:hAnsi="Times New Roman"/>
          <w:sz w:val="13"/>
          <w:szCs w:val="13"/>
          <w:u w:val="single" w:color="auto"/>
          <w:color w:val="auto"/>
        </w:rPr>
        <w:t>Dividend Period</w:t>
      </w:r>
      <w:r>
        <w:rPr>
          <w:rFonts w:ascii="Times New Roman" w:cs="Times New Roman" w:eastAsia="Times New Roman" w:hAnsi="Times New Roman"/>
          <w:sz w:val="13"/>
          <w:szCs w:val="13"/>
          <w:color w:val="auto"/>
        </w:rPr>
        <w:t>” shall mean the respective periods commencing on and including the first day of January, April, July and October of each year and ending on and including the day preceding the first day of the next succeeding Dividend Period (other than the initial Dividend Period, which shall commence on the Original Issue Date and end on and include June 30, 2019, and other than the Dividend Period during which any shares of Series K Preferred Stock shall be redeemed pursuant to Section 5 or Section 6 hereof, which shall end on and include the day preceding the redemption date with respect to the shares of Series K Preferred Stock being redeemed).</w:t>
      </w:r>
    </w:p>
    <w:p>
      <w:pPr>
        <w:spacing w:after="0" w:line="135" w:lineRule="exact"/>
        <w:rPr>
          <w:sz w:val="20"/>
          <w:szCs w:val="20"/>
          <w:color w:val="auto"/>
        </w:rPr>
      </w:pPr>
    </w:p>
    <w:p>
      <w:pPr>
        <w:ind w:left="600" w:right="520" w:firstLine="480"/>
        <w:spacing w:after="0" w:line="305" w:lineRule="auto"/>
        <w:rPr>
          <w:sz w:val="20"/>
          <w:szCs w:val="20"/>
          <w:color w:val="auto"/>
        </w:rPr>
      </w:pPr>
      <w:r>
        <w:rPr>
          <w:rFonts w:ascii="Times New Roman" w:cs="Times New Roman" w:eastAsia="Times New Roman" w:hAnsi="Times New Roman"/>
          <w:sz w:val="13"/>
          <w:szCs w:val="13"/>
          <w:color w:val="auto"/>
        </w:rPr>
        <w:t>The term “</w:t>
      </w:r>
      <w:r>
        <w:rPr>
          <w:rFonts w:ascii="Times New Roman" w:cs="Times New Roman" w:eastAsia="Times New Roman" w:hAnsi="Times New Roman"/>
          <w:sz w:val="13"/>
          <w:szCs w:val="13"/>
          <w:u w:val="single" w:color="auto"/>
          <w:color w:val="auto"/>
        </w:rPr>
        <w:t>Business Day</w:t>
      </w:r>
      <w:r>
        <w:rPr>
          <w:rFonts w:ascii="Times New Roman" w:cs="Times New Roman" w:eastAsia="Times New Roman" w:hAnsi="Times New Roman"/>
          <w:sz w:val="13"/>
          <w:szCs w:val="13"/>
          <w:color w:val="auto"/>
        </w:rPr>
        <w:t>” shall mean each day, other than a Saturday or a Sunday, which is not a day on which banking institutions in New York, New York are authorized or required by law, regulation or executive order to close.</w:t>
      </w:r>
    </w:p>
    <w:p>
      <w:pPr>
        <w:spacing w:after="0" w:line="124" w:lineRule="exact"/>
        <w:rPr>
          <w:sz w:val="20"/>
          <w:szCs w:val="20"/>
          <w:color w:val="auto"/>
        </w:rPr>
      </w:pPr>
    </w:p>
    <w:p>
      <w:pPr>
        <w:jc w:val="both"/>
        <w:ind w:left="600" w:right="600" w:firstLine="475"/>
        <w:spacing w:after="0" w:line="287" w:lineRule="auto"/>
        <w:tabs>
          <w:tab w:leader="none" w:pos="1260" w:val="left"/>
        </w:tabs>
        <w:numPr>
          <w:ilvl w:val="1"/>
          <w:numId w:val="4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anything contained herein to the contrary, dividends on the Series K Preferred Stock shall accrue whether or not the Company has earnings, whether or not there are funds legally available for the payment of such dividends, and whether or not such dividends are authorized or declared.</w:t>
      </w:r>
    </w:p>
    <w:p>
      <w:pPr>
        <w:spacing w:after="0" w:line="135" w:lineRule="exact"/>
        <w:rPr>
          <w:rFonts w:ascii="Times New Roman" w:cs="Times New Roman" w:eastAsia="Times New Roman" w:hAnsi="Times New Roman"/>
          <w:sz w:val="13"/>
          <w:szCs w:val="13"/>
          <w:color w:val="auto"/>
        </w:rPr>
      </w:pPr>
    </w:p>
    <w:p>
      <w:pPr>
        <w:jc w:val="both"/>
        <w:ind w:left="600" w:right="600" w:firstLine="475"/>
        <w:spacing w:after="0" w:line="270" w:lineRule="auto"/>
        <w:tabs>
          <w:tab w:leader="none" w:pos="1260" w:val="left"/>
        </w:tabs>
        <w:numPr>
          <w:ilvl w:val="1"/>
          <w:numId w:val="4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provided in Section 3(d) below, no dividends shall be declared and paid or declared and set apart for payment, and no other distribution of cash or other property may be declared and made, directly or indirectly, on or with respect to, any shares of Common Stock or shares of any other class or series of capital stock of the Company ranking, as to dividends, on parity with or junior to the Series K Preferred Stock (other than a dividend paid in shares of Common Stock or in shares of any other class or series of capital stock ranking junior to the Series K Preferred Stock as to payment of dividends and the distribution of assets upon the Company’s liquidation, dissolution or winding up) for any period, nor shall any shares of Common Stock or any other shares of any other class or series of capital stock of the Company ranking, as to payment of dividends and the distribution of assets upon the Company’s liquidation, dissolution or winding up, on parity with or junior to the Series K Preferred Stock be redeemed, purchased or otherwise acquired for any consideration, nor shall any funds be paid or made available for a sinking fund for the redemption of such shares, and no other distribution of cash or other property may be made, directly or indirectly, on or with respect thereto by the Company (except by conversion into or exchange for other shares of any class or series of capital stock of the Company ranking junior to the Series K Preferred Stock as to payment of dividends and the distribution of assets upon the Company’s liquidation, dissolution or winding up, and except for the acquisition of shares made pursuant to the provisions of Article VI of the Charter or Section 9 hereof), unless full cumulative dividends on the Series K Preferred Stock for all past Dividend Periods shall have been or contemporaneously are</w:t>
      </w:r>
    </w:p>
    <w:p>
      <w:pPr>
        <w:spacing w:after="0" w:line="1" w:lineRule="exact"/>
        <w:rPr>
          <w:rFonts w:ascii="Times New Roman" w:cs="Times New Roman" w:eastAsia="Times New Roman" w:hAnsi="Times New Roman"/>
          <w:sz w:val="13"/>
          <w:szCs w:val="13"/>
          <w:color w:val="auto"/>
        </w:rPr>
      </w:pPr>
    </w:p>
    <w:p>
      <w:pPr>
        <w:ind w:left="760" w:hanging="166"/>
        <w:spacing w:after="0"/>
        <w:tabs>
          <w:tab w:leader="none" w:pos="760" w:val="left"/>
        </w:tabs>
        <w:numPr>
          <w:ilvl w:val="0"/>
          <w:numId w:val="4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declared and paid in cash or (ii) declared and a sum sufficient for the payment thereof in cash is set apart for such payment.</w:t>
      </w:r>
    </w:p>
    <w:p>
      <w:pPr>
        <w:spacing w:after="0" w:line="171" w:lineRule="exact"/>
        <w:rPr>
          <w:sz w:val="20"/>
          <w:szCs w:val="20"/>
          <w:color w:val="auto"/>
        </w:rPr>
      </w:pPr>
    </w:p>
    <w:p>
      <w:pPr>
        <w:jc w:val="both"/>
        <w:ind w:left="600" w:right="600" w:firstLine="480"/>
        <w:spacing w:after="0" w:line="274" w:lineRule="auto"/>
        <w:rPr>
          <w:sz w:val="20"/>
          <w:szCs w:val="20"/>
          <w:color w:val="auto"/>
        </w:rPr>
      </w:pPr>
      <w:r>
        <w:rPr>
          <w:rFonts w:ascii="Times New Roman" w:cs="Times New Roman" w:eastAsia="Times New Roman" w:hAnsi="Times New Roman"/>
          <w:sz w:val="13"/>
          <w:szCs w:val="13"/>
          <w:color w:val="auto"/>
        </w:rPr>
        <w:t>(d) When dividends are not paid in full (and a sum sufficient for such full payment is not so set apart) on the Series K Preferred Stock and the shares of any other class or series of capital stock ranking, as to dividends, on parity with the Series K Preferred Stock, all dividends declared upon the Series K Preferred Stock and each such other class or series of capital stock ranking, as to dividends, on parity with the Series K Preferred Stock shall be declared pro rata so that the amount of dividends declared per share of Series K Preferred Stock and such other class or series of capital stock shall in all cases bear to each other the same ratio that accrued dividends per share on the Series K Preferred Stock and such other class or series of capital stock (which shall not include any accrual in respect of unpaid dividends on such other class or series of capital stock for prior Dividend Periods if such other class or series of capital stock does not have a cumulative dividend) bear to each other. No interest, or sum of money in lieu of interest, shall be payable in respect of any dividend payment or payments on the Series K Preferred Stock which may be in arrears.</w:t>
      </w:r>
    </w:p>
    <w:p>
      <w:pPr>
        <w:spacing w:after="0" w:line="303" w:lineRule="exact"/>
        <w:rPr>
          <w:sz w:val="20"/>
          <w:szCs w:val="20"/>
          <w:color w:val="auto"/>
        </w:rPr>
      </w:pPr>
    </w:p>
    <w:p>
      <w:pPr>
        <w:jc w:val="both"/>
        <w:ind w:left="600" w:right="600" w:firstLine="475"/>
        <w:spacing w:after="0" w:line="287" w:lineRule="auto"/>
        <w:tabs>
          <w:tab w:leader="none" w:pos="1248" w:val="left"/>
        </w:tabs>
        <w:numPr>
          <w:ilvl w:val="0"/>
          <w:numId w:val="4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Holders of shares of Series K Preferred Stock shall not be entitled to any dividend, whether payable in cash, property or shares of capital stock, in excess of full cumulative dividends on the Series K Preferred Stock as provided herein. Any dividend payment made on the Series K Preferred Stock shall first be credited against the earliest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101600</wp:posOffset>
            </wp:positionV>
            <wp:extent cx="4436110" cy="1524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863">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543560</wp:posOffset>
            </wp:positionV>
            <wp:extent cx="5083810" cy="1524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864">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69" w:name="page470"/>
    <w:bookmarkEnd w:id="469"/>
    <w:p>
      <w:pPr>
        <w:ind w:left="600" w:right="620"/>
        <w:spacing w:after="0" w:line="305" w:lineRule="auto"/>
        <w:rPr>
          <w:sz w:val="20"/>
          <w:szCs w:val="20"/>
          <w:color w:val="auto"/>
        </w:rPr>
      </w:pPr>
      <w:r>
        <w:rPr>
          <w:rFonts w:ascii="Times New Roman" w:cs="Times New Roman" w:eastAsia="Times New Roman" w:hAnsi="Times New Roman"/>
          <w:sz w:val="13"/>
          <w:szCs w:val="13"/>
          <w:color w:val="auto"/>
        </w:rPr>
        <w:t>accrued but unpaid dividends due with respect to such shares which remain payable. Accrued but unpaid dividends on the Series K Preferred Stock will accumulate as of the Dividend Payment Date on which they first become payable.</w:t>
      </w:r>
    </w:p>
    <w:p>
      <w:pPr>
        <w:spacing w:after="0" w:line="12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 xml:space="preserve">Section 4. </w:t>
      </w:r>
      <w:r>
        <w:rPr>
          <w:rFonts w:ascii="Times New Roman" w:cs="Times New Roman" w:eastAsia="Times New Roman" w:hAnsi="Times New Roman"/>
          <w:sz w:val="13"/>
          <w:szCs w:val="13"/>
          <w:u w:val="single" w:color="auto"/>
          <w:color w:val="auto"/>
        </w:rPr>
        <w:t>Liquidation Preference</w:t>
      </w:r>
      <w:r>
        <w:rPr>
          <w:rFonts w:ascii="Times New Roman" w:cs="Times New Roman" w:eastAsia="Times New Roman" w:hAnsi="Times New Roman"/>
          <w:sz w:val="13"/>
          <w:szCs w:val="13"/>
          <w:color w:val="auto"/>
        </w:rPr>
        <w:t>.</w:t>
      </w:r>
    </w:p>
    <w:p>
      <w:pPr>
        <w:spacing w:after="0" w:line="187" w:lineRule="exact"/>
        <w:rPr>
          <w:sz w:val="20"/>
          <w:szCs w:val="20"/>
          <w:color w:val="auto"/>
        </w:rPr>
      </w:pPr>
    </w:p>
    <w:p>
      <w:pPr>
        <w:jc w:val="both"/>
        <w:ind w:left="600" w:right="600" w:firstLine="475"/>
        <w:spacing w:after="0" w:line="271" w:lineRule="auto"/>
        <w:tabs>
          <w:tab w:leader="none" w:pos="1248" w:val="left"/>
        </w:tabs>
        <w:numPr>
          <w:ilvl w:val="0"/>
          <w:numId w:val="4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any voluntary or involuntary liquidation, dissolution or winding up of the Company, before any distribution or payment shall be made to holders of shares of Common Stock or any other class or series of capital stock of the Company ranking, as to rights upon any voluntary or involuntary liquidation, dissolution or winding up of the Company, junior to the Series K Preferred Stock, the holders of shares of Series K Preferred Stock shall be entitled to be paid out of the assets of the Company legally available for distribution to its stockholders, after payment of or provision for the debts and other liabilities of the Company and, subject to compliance with section 7(f)(i) of these Articles Supplementary, any class or series of capital stock of the Company ranking, as to rights upon any voluntary or involuntary liquidation, dissolution or winding up of the Company, senior to the Series K Preferred Stock, a liquidation preference of $25.00 per share, plus an amount equal to any accrued and unpaid dividends (whether or not authorized or declared) up to but excluding the date of payment. In the event that, upon such voluntary or involuntary liquidation, dissolution or winding up, the available assets of the Company are insufficient to pay the full amount of the liquidating distributions on all outstanding shares of Series K Preferred Stock and the corresponding amounts payable on all shares of other classes or series of capital stock of the Company ranking, as to rights upon the Company’s liquidation, dissolution or winding up, on parity with the Series K Preferred Stock in the distribution of assets, then the holders of the Series K Preferred Stock and each such other class or series of capital stock ranking, as to rights upon any voluntary or involuntary liquidation, dissolution or winding up, on parity with the Series K Preferred Stock shall share ratably in any such distribution of assets in proportion to the full liquidating distributions to which they would otherwise be respectively entitled. Written notice of any such voluntary or involuntary liquidation, dissolution or winding up of the Company, stating the payment date or dates when, and the place or places where, the amounts distributable in such circumstances shall be payable, shall be given by first class mail, postage pre-paid, not fewer than 30 or more than 60 days prior to the payment date stated therein, to each record holder of shares of Series K Preferred Stock at the respective addresses of such holders as the same shall appear on the stock transfer records of the Company. After payment of the full amount of the liquidating distributions to which they are entitled, the holders of Series K Preferred Stock will have no right or claim to any of the remaining assets of the Company. The consolidation or merger of the Company with or into any other corporation, trust or entity, or the voluntary sale, lease, transfer or conveyance of all or substantially all of the property or business of the Company, shall not be deemed to constitute a liquidation, dissolution or winding up of the Company.</w:t>
      </w:r>
    </w:p>
    <w:p>
      <w:pPr>
        <w:spacing w:after="0" w:line="308" w:lineRule="exact"/>
        <w:rPr>
          <w:rFonts w:ascii="Times New Roman" w:cs="Times New Roman" w:eastAsia="Times New Roman" w:hAnsi="Times New Roman"/>
          <w:sz w:val="13"/>
          <w:szCs w:val="13"/>
          <w:color w:val="auto"/>
        </w:rPr>
      </w:pPr>
    </w:p>
    <w:p>
      <w:pPr>
        <w:jc w:val="both"/>
        <w:ind w:left="600" w:right="600" w:firstLine="475"/>
        <w:spacing w:after="0" w:line="281" w:lineRule="auto"/>
        <w:tabs>
          <w:tab w:leader="none" w:pos="1260" w:val="left"/>
        </w:tabs>
        <w:numPr>
          <w:ilvl w:val="0"/>
          <w:numId w:val="4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determining whether a distribution (other than upon voluntary or involuntary liquidation), by dividend, redemption or other acquisition of shares of capital stock of the Company or otherwise, is permitted under the MGCL, amounts that would be needed, if the Company were to be dissolved at the time of the distribution, to satisfy the preferential rights upon dissolution of holders of shares of Series K Preferred Stock shall not be added to the Company’s total liabilities.</w:t>
      </w:r>
    </w:p>
    <w:p>
      <w:pPr>
        <w:spacing w:after="0" w:line="14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 xml:space="preserve">Section 5. </w:t>
      </w:r>
      <w:r>
        <w:rPr>
          <w:rFonts w:ascii="Times New Roman" w:cs="Times New Roman" w:eastAsia="Times New Roman" w:hAnsi="Times New Roman"/>
          <w:sz w:val="13"/>
          <w:szCs w:val="13"/>
          <w:u w:val="single" w:color="auto"/>
          <w:color w:val="auto"/>
        </w:rPr>
        <w:t>Redemption</w:t>
      </w:r>
      <w:r>
        <w:rPr>
          <w:rFonts w:ascii="Times New Roman" w:cs="Times New Roman" w:eastAsia="Times New Roman" w:hAnsi="Times New Roman"/>
          <w:sz w:val="13"/>
          <w:szCs w:val="13"/>
          <w:color w:val="auto"/>
        </w:rPr>
        <w:t>.</w:t>
      </w:r>
    </w:p>
    <w:p>
      <w:pPr>
        <w:spacing w:after="0" w:line="187" w:lineRule="exact"/>
        <w:rPr>
          <w:sz w:val="20"/>
          <w:szCs w:val="20"/>
          <w:color w:val="auto"/>
        </w:rPr>
      </w:pPr>
    </w:p>
    <w:p>
      <w:pPr>
        <w:jc w:val="both"/>
        <w:ind w:left="600" w:right="600" w:firstLine="475"/>
        <w:spacing w:after="0" w:line="278" w:lineRule="auto"/>
        <w:tabs>
          <w:tab w:leader="none" w:pos="1260" w:val="left"/>
        </w:tabs>
        <w:numPr>
          <w:ilvl w:val="0"/>
          <w:numId w:val="4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Shares of Series K Preferred Stock shall not be redeemable prior to March 13, 2024 except as set forth in Section 6 hereof or to preserve the status of the Company as a REIT (as defined in Section 9(a) hereof) for United States federal income tax purposes. In addition, the Series K Preferred Stock shall be subject to the provisions of Section 9 hereof pursuant to which Series K Preferred Stock owned by a stockholder in excess of the Ownership Limit (as defined in Section 9(a) hereof) shall automatically be transferred to a Trust (as defined in Section 9(a) hereof) for the exclusive benefit of a Charitable Beneficiary (as defined in Section 9(a) hereof).</w:t>
      </w:r>
    </w:p>
    <w:p>
      <w:pPr>
        <w:spacing w:after="0" w:line="143" w:lineRule="exact"/>
        <w:rPr>
          <w:sz w:val="20"/>
          <w:szCs w:val="20"/>
          <w:color w:val="auto"/>
        </w:rPr>
      </w:pPr>
    </w:p>
    <w:p>
      <w:pPr>
        <w:jc w:val="both"/>
        <w:ind w:left="600" w:right="600" w:firstLine="480"/>
        <w:spacing w:after="0" w:line="272" w:lineRule="auto"/>
        <w:rPr>
          <w:sz w:val="20"/>
          <w:szCs w:val="20"/>
          <w:color w:val="auto"/>
        </w:rPr>
      </w:pPr>
      <w:r>
        <w:rPr>
          <w:rFonts w:ascii="Times New Roman" w:cs="Times New Roman" w:eastAsia="Times New Roman" w:hAnsi="Times New Roman"/>
          <w:sz w:val="13"/>
          <w:szCs w:val="13"/>
          <w:color w:val="auto"/>
        </w:rPr>
        <w:t>(b) On and after March 13, 2024, the Company, at its option, upon not fewer than 30 or more than 60 days’ written notice, may redeem the Series K Preferred Stock, in whole or in part, at any time or from time to time, for cash at a redemption price of</w:t>
      </w:r>
    </w:p>
    <w:p>
      <w:pPr>
        <w:spacing w:after="0" w:line="1" w:lineRule="exact"/>
        <w:rPr>
          <w:sz w:val="20"/>
          <w:szCs w:val="20"/>
          <w:color w:val="auto"/>
        </w:rPr>
      </w:pPr>
    </w:p>
    <w:p>
      <w:pPr>
        <w:jc w:val="both"/>
        <w:ind w:left="600" w:right="600"/>
        <w:spacing w:after="0" w:line="274" w:lineRule="auto"/>
        <w:rPr>
          <w:sz w:val="20"/>
          <w:szCs w:val="20"/>
          <w:color w:val="auto"/>
        </w:rPr>
      </w:pPr>
      <w:r>
        <w:rPr>
          <w:rFonts w:ascii="Times New Roman" w:cs="Times New Roman" w:eastAsia="Times New Roman" w:hAnsi="Times New Roman"/>
          <w:sz w:val="13"/>
          <w:szCs w:val="13"/>
          <w:color w:val="auto"/>
        </w:rPr>
        <w:t>$25.00 per share, plus all accrued and unpaid dividends (whether or not authorized or declared) thereon up to but not including the date fixed for redemption, without interest, to the extent the Company has funds legally available therefor (the “</w:t>
      </w:r>
      <w:r>
        <w:rPr>
          <w:rFonts w:ascii="Times New Roman" w:cs="Times New Roman" w:eastAsia="Times New Roman" w:hAnsi="Times New Roman"/>
          <w:sz w:val="13"/>
          <w:szCs w:val="13"/>
          <w:u w:val="single" w:color="auto"/>
          <w:color w:val="auto"/>
        </w:rPr>
        <w:t>Redemption Right</w:t>
      </w:r>
      <w:r>
        <w:rPr>
          <w:rFonts w:ascii="Times New Roman" w:cs="Times New Roman" w:eastAsia="Times New Roman" w:hAnsi="Times New Roman"/>
          <w:sz w:val="13"/>
          <w:szCs w:val="13"/>
          <w:color w:val="auto"/>
        </w:rPr>
        <w:t>”). If fewer than all of the outstanding shares of Series K Preferred Stock are to be redeemed, the shares of Series K Preferred Stock to be redeemed shall be redeemed pro rata (as nearly as may be practicable without creating fractional shares) or by lot as determined by the Company. If redemption is to be by lot and, as a result, any holder of shares of Series K Preferred Stock would have actual ownership, Beneficial Ownership or Constructive Ownership (each as defined in Section 9(a) hereof) in excess of the Ownership Limit (as defined in Section 9(a) hereof), the Aggregate Stock Ownership Limit (as defined in Section 9(a) hereof), or such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107950</wp:posOffset>
            </wp:positionV>
            <wp:extent cx="4436110" cy="762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865">
                      <a:extLst>
                        <a:ext uri="{28A0092B-C50C-407E-A947-70E740481C1C}"/>
                      </a:extLst>
                    </a:blip>
                    <a:srcRect/>
                    <a:stretch>
                      <a:fillRect/>
                    </a:stretch>
                  </pic:blipFill>
                  <pic:spPr bwMode="auto">
                    <a:xfrm>
                      <a:off x="0" y="0"/>
                      <a:ext cx="4436110"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542290</wp:posOffset>
            </wp:positionV>
            <wp:extent cx="5083810" cy="1524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866">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70" w:name="page471"/>
    <w:bookmarkEnd w:id="470"/>
    <w:p>
      <w:pPr>
        <w:jc w:val="both"/>
        <w:ind w:left="600" w:right="600"/>
        <w:spacing w:after="0" w:line="272" w:lineRule="auto"/>
        <w:rPr>
          <w:sz w:val="20"/>
          <w:szCs w:val="20"/>
          <w:color w:val="auto"/>
        </w:rPr>
      </w:pPr>
      <w:r>
        <w:rPr>
          <w:rFonts w:ascii="Times New Roman" w:cs="Times New Roman" w:eastAsia="Times New Roman" w:hAnsi="Times New Roman"/>
          <w:sz w:val="13"/>
          <w:szCs w:val="13"/>
          <w:color w:val="auto"/>
        </w:rPr>
        <w:t>limit as permitted by the Board of Directors or a committee thereof pursuant to Section 9(i) hereof, because such holder’s shares of Series K Preferred Stock were not redeemed, or were only redeemed in part, then, except as otherwise provided in the Charter, the Company shall redeem the requisite number of shares of Series K Preferred Stock of such holder such that no holder will hold an amount of Series K Preferred Stock in excess of the applicable ownership limit, subsequent to such redemption. Holders of Series K Preferred Stock to be redeemed shall surrender such Series K Preferred Stock at the place, or in accordance with the book-entry procedures, designated in such notice and shall be entitled to the redemption price of $25.00 per share and any accrued and unpaid dividends payable upon such redemption following such surrender. If (i) notice of redemption of any shares of Series K Preferred Stock has been given (in the case of a redemption of the Series K Preferred Stock other than to preserve the status of the Company as a REIT), (ii) the funds necessary for such redemption have been set aside by the Company in trust for the benefit of the holders of any shares of Series K Preferred Stock so called for redemption, and (iii) irrevocable instructions have been given to pay the redemption price and all accrued and unpaid dividends, then from and after the redemption date, dividends shall cease to accrue on such shares of Series K Preferred Stock, such shares of Series K Preferred Stock shall no longer be deemed outstanding, and all rights of the holders of such shares shall terminate, except the right to receive the redemption price plus any accrued and unpaid dividends payable upon such redemption, without interest. So long as full cumulative dividends on the Series K Preferred Stock for all past Dividend Periods shall have been or contemporaneously are (i) declared and paid in cash, or (ii) declared and a sum sufficient for the payment thereof in cash is set apart for payment, nothing herein shall prevent or restrict the Company’s right or ability to purchase, from time to time, either at a public or a private sale, all or any part of the Series K Preferred Stock at such price or prices as the Company may determine, subject to the provisions of applicable law, including the repurchase of shares of Series K Preferred Stock in open-market transactions duly authorized by the Board of Directors.</w:t>
      </w:r>
    </w:p>
    <w:p>
      <w:pPr>
        <w:spacing w:after="0" w:line="133" w:lineRule="exact"/>
        <w:rPr>
          <w:sz w:val="20"/>
          <w:szCs w:val="20"/>
          <w:color w:val="auto"/>
        </w:rPr>
      </w:pPr>
    </w:p>
    <w:p>
      <w:pPr>
        <w:jc w:val="both"/>
        <w:ind w:left="600" w:right="600" w:firstLine="475"/>
        <w:spacing w:after="0" w:line="278" w:lineRule="auto"/>
        <w:tabs>
          <w:tab w:leader="none" w:pos="1248" w:val="left"/>
        </w:tabs>
        <w:numPr>
          <w:ilvl w:val="0"/>
          <w:numId w:val="4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event of any redemption of the Series K Preferred Stock in order to preserve the status of the Company as a REIT for United States federal income tax purposes, such redemption shall be made in accordance with the terms and conditions set forth in this Section 5 of these Articles Supplementary. If the Company calls for redemption of any shares of Series K Preferred Stock pursuant to and in accordance with this Section 5(c), then the redemption price for such shares will be an amount in cash equal to $25.00 per share together with all accrued and unpaid dividends to but excluding the dated fixed for redemption.</w:t>
      </w:r>
    </w:p>
    <w:p>
      <w:pPr>
        <w:spacing w:after="0" w:line="143" w:lineRule="exact"/>
        <w:rPr>
          <w:sz w:val="20"/>
          <w:szCs w:val="20"/>
          <w:color w:val="auto"/>
        </w:rPr>
      </w:pPr>
    </w:p>
    <w:p>
      <w:pPr>
        <w:jc w:val="both"/>
        <w:ind w:left="600" w:right="600" w:firstLine="480"/>
        <w:spacing w:after="0" w:line="272" w:lineRule="auto"/>
        <w:rPr>
          <w:sz w:val="20"/>
          <w:szCs w:val="20"/>
          <w:color w:val="auto"/>
        </w:rPr>
      </w:pPr>
      <w:r>
        <w:rPr>
          <w:rFonts w:ascii="Times New Roman" w:cs="Times New Roman" w:eastAsia="Times New Roman" w:hAnsi="Times New Roman"/>
          <w:sz w:val="13"/>
          <w:szCs w:val="13"/>
          <w:color w:val="auto"/>
        </w:rPr>
        <w:t xml:space="preserve">(d) Unless full cumulative dividends on the Series K Preferred Stock for all past Dividend Periods shall have been or contemporaneously are (i) declared and paid in cash, or (ii) declared and a sum sufficient for the payment thereof in cash is set apart for payment, no shares of Series K Preferred Stock shall be redeemed pursuant to the Redemption Right or Special Optional Redemption Right (defined below) unless all outstanding shares of Series K Preferred Stock are simultaneously redeemed, and the Company shall not purchase or otherwise acquire directly or indirectly any shares of Series K Preferred Stock or any class or series of capital stock of the Company ranking, as to payment of dividends and the distribution of assets upon liquidation, dissolution or winding up of the Company, on parity with or junior to the Series K Preferred Stock (except by conversion into or exchange for shares of capital stock of the Company ranking, as to payment of dividends and the distribution of assets upon liquidation, dissolution or winding up of the Company, junior to the Series K Preferred Stock);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the foregoing shall not prevent the purchase of Series K Preferred Stock, or any other class or series of capital stock of the Company ranking, as to payment of dividends and the distribution of assets upon liquidation, dissolution or winding up of the Company, on parity with or junior to the Series K Preferred Stock, by the Company in accordance with the terms of Sections 5(c) and 9 of these Articles Supplementary or otherwise, in order to ensure that the Company remains qualified as a REIT for United States federal income tax purposes, or the purchase or acquisition of Series K Preferred Stock pursuant to a purchase or exchange offer made on the same terms to holders of all outstanding shares of Series K Preferred Stock.</w:t>
      </w:r>
    </w:p>
    <w:p>
      <w:pPr>
        <w:spacing w:after="0" w:line="138" w:lineRule="exact"/>
        <w:rPr>
          <w:sz w:val="20"/>
          <w:szCs w:val="20"/>
          <w:color w:val="auto"/>
        </w:rPr>
      </w:pPr>
    </w:p>
    <w:p>
      <w:pPr>
        <w:jc w:val="both"/>
        <w:ind w:left="600" w:right="600" w:firstLine="475"/>
        <w:spacing w:after="0" w:line="270" w:lineRule="auto"/>
        <w:tabs>
          <w:tab w:leader="none" w:pos="1260" w:val="left"/>
        </w:tabs>
        <w:numPr>
          <w:ilvl w:val="1"/>
          <w:numId w:val="4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Notice of redemption pursuant to the Redemption Right will be mailed by the Company, postage prepaid, not fewer than 30 or more than 60 days prior to the redemption date, addressed to the respective holders of record of the Series K Preferred Stock to be redeemed at their respective addresses as they appear on the transfer records of the Company. No failure to give or defect in such notice shall affect the validity of the proceedings for the redemption of any Series K Preferred Stock except as to the holder to whom such notice was defective or not given. In addition to any information required by law or by the applicable rules of any exchange upon which the Series K Preferred Stock may be listed or admitted to trading, each such notice shall state:</w:t>
      </w:r>
    </w:p>
    <w:p>
      <w:pPr>
        <w:spacing w:after="0" w:line="2" w:lineRule="exact"/>
        <w:rPr>
          <w:rFonts w:ascii="Times New Roman" w:cs="Times New Roman" w:eastAsia="Times New Roman" w:hAnsi="Times New Roman"/>
          <w:sz w:val="13"/>
          <w:szCs w:val="13"/>
          <w:color w:val="auto"/>
        </w:rPr>
      </w:pPr>
    </w:p>
    <w:p>
      <w:pPr>
        <w:jc w:val="both"/>
        <w:ind w:left="600" w:right="600" w:hanging="6"/>
        <w:spacing w:after="0" w:line="279" w:lineRule="auto"/>
        <w:tabs>
          <w:tab w:leader="none" w:pos="756" w:val="left"/>
        </w:tabs>
        <w:numPr>
          <w:ilvl w:val="0"/>
          <w:numId w:val="4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redemption date; (ii) the redemption price; (iii) the number of shares of Series K Preferred Stock to be redeemed; (iv) the place or places where the certificates, if any, representing shares of Series K Preferred Stock are to be surrendered for payment of the redemption price; (v) procedures for surrendering noncertificated shares of Series K Preferred Stock for payment of the redemption price; (vi) that dividends on the shares of Series K Preferred Stock to be redeemed will cease to accumulate on such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104775</wp:posOffset>
            </wp:positionV>
            <wp:extent cx="4436110" cy="1524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867">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539115</wp:posOffset>
            </wp:positionV>
            <wp:extent cx="5083810" cy="1524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868">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71" w:name="page472"/>
    <w:bookmarkEnd w:id="471"/>
    <w:p>
      <w:pPr>
        <w:jc w:val="both"/>
        <w:ind w:left="600" w:right="600"/>
        <w:spacing w:after="0" w:line="276" w:lineRule="auto"/>
        <w:rPr>
          <w:sz w:val="20"/>
          <w:szCs w:val="20"/>
          <w:color w:val="auto"/>
        </w:rPr>
      </w:pPr>
      <w:r>
        <w:rPr>
          <w:rFonts w:ascii="Times New Roman" w:cs="Times New Roman" w:eastAsia="Times New Roman" w:hAnsi="Times New Roman"/>
          <w:sz w:val="13"/>
          <w:szCs w:val="13"/>
          <w:color w:val="auto"/>
        </w:rPr>
        <w:t>date; and (vii) that payment of the redemption price and any accumulated and unpaid dividends will be made upon presentation and surrender of such Series K Preferred Stock. If fewer than all of the shares of Series K Preferred Stock held by any holder are to be redeemed, the notice mailed to such holder shall also specify the number of shares of Series K Preferred Stock held by such holder to be redeemed. Notwithstanding anything else to the contrary in these Articles Supplementary, the Company shall not be required to provide notice to the holder of Series K Preferred Stock in the event such holder’s Series K Preferred Stock is redeemed in accordance with Sections 5(c) and 9 of these Articles Supplementary to preserve the Company’s status as a REIT.</w:t>
      </w:r>
    </w:p>
    <w:p>
      <w:pPr>
        <w:spacing w:after="0" w:line="145" w:lineRule="exact"/>
        <w:rPr>
          <w:sz w:val="20"/>
          <w:szCs w:val="20"/>
          <w:color w:val="auto"/>
        </w:rPr>
      </w:pPr>
    </w:p>
    <w:p>
      <w:pPr>
        <w:jc w:val="both"/>
        <w:ind w:left="600" w:right="600" w:firstLine="480"/>
        <w:spacing w:after="0" w:line="276" w:lineRule="auto"/>
        <w:rPr>
          <w:sz w:val="20"/>
          <w:szCs w:val="20"/>
          <w:color w:val="auto"/>
        </w:rPr>
      </w:pPr>
      <w:r>
        <w:rPr>
          <w:rFonts w:ascii="Times New Roman" w:cs="Times New Roman" w:eastAsia="Times New Roman" w:hAnsi="Times New Roman"/>
          <w:sz w:val="13"/>
          <w:szCs w:val="13"/>
          <w:color w:val="auto"/>
        </w:rPr>
        <w:t>(f)If a redemption date falls after a Dividend Record Date and on or prior to the corresponding Dividend Payment Date, each holder of Series K Preferred Stock at the close of business of such Dividend Record Date shall be entitled to the dividend payable on such shares on the corresponding Dividend Payment Date notwithstanding the redemption of such shares on or prior to such Dividend Payment Date, and each holder of Series K Preferred Stock that surrenders its shares on such redemption date will be entitled to the dividends accruing after the end of the Dividend Period to which such Dividend Payment Date relates up to but excluding the redemption date. Except as provided herein, the Company shall make no payment or allowance for unpaid dividends, whether or not in arrears, on Series K Preferred Stock for which a notice of redemption has been given.</w:t>
      </w:r>
    </w:p>
    <w:p>
      <w:pPr>
        <w:spacing w:after="0" w:line="313" w:lineRule="exact"/>
        <w:rPr>
          <w:sz w:val="20"/>
          <w:szCs w:val="20"/>
          <w:color w:val="auto"/>
        </w:rPr>
      </w:pPr>
    </w:p>
    <w:p>
      <w:pPr>
        <w:jc w:val="both"/>
        <w:ind w:left="600" w:right="620" w:firstLine="475"/>
        <w:spacing w:after="0" w:line="287" w:lineRule="auto"/>
        <w:tabs>
          <w:tab w:leader="none" w:pos="1260" w:val="left"/>
        </w:tabs>
        <w:numPr>
          <w:ilvl w:val="0"/>
          <w:numId w:val="4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shares of the Series K Preferred Stock redeemed or repurchased pursuant to this Section 5, or otherwise acquired in any other manner by the Company, shall be retired and shall be restored to the status of authorized but unissued shares of Preferred Stock, without designation as to series or class.</w:t>
      </w:r>
    </w:p>
    <w:p>
      <w:pPr>
        <w:spacing w:after="0" w:line="136" w:lineRule="exact"/>
        <w:rPr>
          <w:sz w:val="20"/>
          <w:szCs w:val="20"/>
          <w:color w:val="auto"/>
        </w:rPr>
      </w:pPr>
    </w:p>
    <w:p>
      <w:pPr>
        <w:jc w:val="both"/>
        <w:ind w:left="600" w:right="600" w:firstLine="480"/>
        <w:spacing w:after="0" w:line="287" w:lineRule="auto"/>
        <w:rPr>
          <w:sz w:val="20"/>
          <w:szCs w:val="20"/>
          <w:color w:val="auto"/>
        </w:rPr>
      </w:pPr>
      <w:r>
        <w:rPr>
          <w:rFonts w:ascii="Times New Roman" w:cs="Times New Roman" w:eastAsia="Times New Roman" w:hAnsi="Times New Roman"/>
          <w:sz w:val="13"/>
          <w:szCs w:val="13"/>
          <w:color w:val="auto"/>
        </w:rPr>
        <w:t xml:space="preserve">(h) The Series K Preferred Stock shall have no stated maturity and shall not be subject to any sinking fund or mandatory redemption;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the Series K Preferred Stock owned by a stockholder in excess of the applicable ownership limit shall be subject to the provisions of this Section 5 and Section 9 of these Articles Supplementary.</w:t>
      </w:r>
    </w:p>
    <w:p>
      <w:pPr>
        <w:spacing w:after="0" w:line="13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 xml:space="preserve">Section 6. </w:t>
      </w:r>
      <w:r>
        <w:rPr>
          <w:rFonts w:ascii="Times New Roman" w:cs="Times New Roman" w:eastAsia="Times New Roman" w:hAnsi="Times New Roman"/>
          <w:sz w:val="13"/>
          <w:szCs w:val="13"/>
          <w:u w:val="single" w:color="auto"/>
          <w:color w:val="auto"/>
        </w:rPr>
        <w:t>Special Optional Redemption by the Company</w:t>
      </w:r>
      <w:r>
        <w:rPr>
          <w:rFonts w:ascii="Times New Roman" w:cs="Times New Roman" w:eastAsia="Times New Roman" w:hAnsi="Times New Roman"/>
          <w:sz w:val="13"/>
          <w:szCs w:val="13"/>
          <w:color w:val="auto"/>
        </w:rPr>
        <w:t>.</w:t>
      </w:r>
    </w:p>
    <w:p>
      <w:pPr>
        <w:spacing w:after="0" w:line="187" w:lineRule="exact"/>
        <w:rPr>
          <w:sz w:val="20"/>
          <w:szCs w:val="20"/>
          <w:color w:val="auto"/>
        </w:rPr>
      </w:pPr>
    </w:p>
    <w:p>
      <w:pPr>
        <w:ind w:left="600" w:right="600" w:firstLine="475"/>
        <w:spacing w:after="0" w:line="273" w:lineRule="auto"/>
        <w:tabs>
          <w:tab w:leader="none" w:pos="1260" w:val="left"/>
        </w:tabs>
        <w:numPr>
          <w:ilvl w:val="0"/>
          <w:numId w:val="4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the occurrence of a Change of Control (as defined below), the Company will have the option upon written notice mailed by the Company, postage pre-paid, no fewer than 30 nor more than 60 days prior to the redemption date and addressed to the holders of record of shares of the Series K Preferred Stock to be redeemed at their respective addresses as they appear on the share transfer records of the Company, to redeem shares of the Series K Preferred Stock, in whole or in part within 120 days after the first date on which such Change of Control occurred, for cash at $25.00 per share plus accrued and unpaid dividends, if any, to, but not including, the redemption date (“</w:t>
      </w:r>
      <w:r>
        <w:rPr>
          <w:rFonts w:ascii="Times New Roman" w:cs="Times New Roman" w:eastAsia="Times New Roman" w:hAnsi="Times New Roman"/>
          <w:sz w:val="13"/>
          <w:szCs w:val="13"/>
          <w:u w:val="single" w:color="auto"/>
          <w:color w:val="auto"/>
        </w:rPr>
        <w:t>Special Optional Redemption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Right</w:t>
      </w:r>
      <w:r>
        <w:rPr>
          <w:rFonts w:ascii="Times New Roman" w:cs="Times New Roman" w:eastAsia="Times New Roman" w:hAnsi="Times New Roman"/>
          <w:sz w:val="13"/>
          <w:szCs w:val="13"/>
          <w:color w:val="auto"/>
        </w:rPr>
        <w:t>”). No failure to give such notice or any defect thereto or in the mailing thereof shall affect the validity of the proceedings for the redemption of any shares of Series K Preferred Stock except as to the holder to whom notice was defective or not given. If, prior to the Change of Control Conversion Date (as defined below), the Company has provided or provides notice of redemption with respect to the Series K Preferred Stock (whether pursuant to the Redemption Right or the Special Optional Redemption Right), the holders of shares of Series K Preferred Stock will not have the conversion right described below in Section 8 of these Articles Supplementary.</w:t>
      </w:r>
    </w:p>
    <w:p>
      <w:pPr>
        <w:spacing w:after="0" w:line="13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3"/>
          <w:szCs w:val="13"/>
          <w:color w:val="auto"/>
        </w:rPr>
        <w:t>A “</w:t>
      </w:r>
      <w:r>
        <w:rPr>
          <w:rFonts w:ascii="Times New Roman" w:cs="Times New Roman" w:eastAsia="Times New Roman" w:hAnsi="Times New Roman"/>
          <w:sz w:val="13"/>
          <w:szCs w:val="13"/>
          <w:u w:val="single" w:color="auto"/>
          <w:color w:val="auto"/>
        </w:rPr>
        <w:t>Change of Control</w:t>
      </w:r>
      <w:r>
        <w:rPr>
          <w:rFonts w:ascii="Times New Roman" w:cs="Times New Roman" w:eastAsia="Times New Roman" w:hAnsi="Times New Roman"/>
          <w:sz w:val="13"/>
          <w:szCs w:val="13"/>
          <w:color w:val="auto"/>
        </w:rPr>
        <w:t>” is when, after the original issuance of the Series K Preferred Stock, the following have occurred and are</w:t>
      </w:r>
    </w:p>
    <w:p>
      <w:pPr>
        <w:spacing w:after="0" w:line="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continuing:</w:t>
      </w:r>
    </w:p>
    <w:p>
      <w:pPr>
        <w:spacing w:after="0" w:line="183" w:lineRule="exact"/>
        <w:rPr>
          <w:sz w:val="20"/>
          <w:szCs w:val="20"/>
          <w:color w:val="auto"/>
        </w:rPr>
      </w:pPr>
    </w:p>
    <w:p>
      <w:pPr>
        <w:jc w:val="both"/>
        <w:ind w:left="600" w:right="600" w:firstLine="955"/>
        <w:spacing w:after="0" w:line="276" w:lineRule="auto"/>
        <w:tabs>
          <w:tab w:leader="none" w:pos="1704" w:val="left"/>
        </w:tabs>
        <w:numPr>
          <w:ilvl w:val="0"/>
          <w:numId w:val="4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acquisition by any person, including any syndicate or group deemed to be a “person” under Section 13(d)(3) of the Securities Exchange Act of 1934, as amended (the “</w:t>
      </w:r>
      <w:r>
        <w:rPr>
          <w:rFonts w:ascii="Times New Roman" w:cs="Times New Roman" w:eastAsia="Times New Roman" w:hAnsi="Times New Roman"/>
          <w:sz w:val="13"/>
          <w:szCs w:val="13"/>
          <w:u w:val="single" w:color="auto"/>
          <w:color w:val="auto"/>
        </w:rPr>
        <w:t>Exchange Act</w:t>
      </w:r>
      <w:r>
        <w:rPr>
          <w:rFonts w:ascii="Times New Roman" w:cs="Times New Roman" w:eastAsia="Times New Roman" w:hAnsi="Times New Roman"/>
          <w:sz w:val="13"/>
          <w:szCs w:val="13"/>
          <w:color w:val="auto"/>
        </w:rPr>
        <w:t>”), of beneficial ownership, directly or indirectly, through a purchase, merger or other acquisition transaction or series of purchases, mergers or other acquisition transactions of stock of the Company entitling that person to exercise more than 50% of the total voting power of all stock of the Company entitled to vote generally in the election of the Company’s directors (except that such person will be deemed to have beneficial ownership of all securities that such person has the right to acquire, whether such right is currently exercisable or is exercisable only upon the occurrence of a subsequent condition); and</w:t>
      </w:r>
    </w:p>
    <w:p>
      <w:pPr>
        <w:spacing w:after="0" w:line="145" w:lineRule="exact"/>
        <w:rPr>
          <w:sz w:val="20"/>
          <w:szCs w:val="20"/>
          <w:color w:val="auto"/>
        </w:rPr>
      </w:pPr>
    </w:p>
    <w:p>
      <w:pPr>
        <w:ind w:left="600" w:right="560" w:firstLine="960"/>
        <w:spacing w:after="0" w:line="281" w:lineRule="auto"/>
        <w:rPr>
          <w:sz w:val="20"/>
          <w:szCs w:val="20"/>
          <w:color w:val="auto"/>
        </w:rPr>
      </w:pPr>
      <w:r>
        <w:rPr>
          <w:rFonts w:ascii="Times New Roman" w:cs="Times New Roman" w:eastAsia="Times New Roman" w:hAnsi="Times New Roman"/>
          <w:sz w:val="13"/>
          <w:szCs w:val="13"/>
          <w:color w:val="auto"/>
        </w:rPr>
        <w:t>(ii) following the closing of any transaction referred to in (i) above, neither the Company nor the acquiring or surviving entity has a class of common securities (or American Depositary Receipts representing such securities) listed on the New York Stock Exchange (the “</w:t>
      </w:r>
      <w:r>
        <w:rPr>
          <w:rFonts w:ascii="Times New Roman" w:cs="Times New Roman" w:eastAsia="Times New Roman" w:hAnsi="Times New Roman"/>
          <w:sz w:val="13"/>
          <w:szCs w:val="13"/>
          <w:u w:val="single" w:color="auto"/>
          <w:color w:val="auto"/>
        </w:rPr>
        <w:t>NYSE</w:t>
      </w:r>
      <w:r>
        <w:rPr>
          <w:rFonts w:ascii="Times New Roman" w:cs="Times New Roman" w:eastAsia="Times New Roman" w:hAnsi="Times New Roman"/>
          <w:sz w:val="13"/>
          <w:szCs w:val="13"/>
          <w:color w:val="auto"/>
        </w:rPr>
        <w:t>”), the NYSE MKT LLC (the “</w:t>
      </w:r>
      <w:r>
        <w:rPr>
          <w:rFonts w:ascii="Times New Roman" w:cs="Times New Roman" w:eastAsia="Times New Roman" w:hAnsi="Times New Roman"/>
          <w:sz w:val="13"/>
          <w:szCs w:val="13"/>
          <w:u w:val="single" w:color="auto"/>
          <w:color w:val="auto"/>
        </w:rPr>
        <w:t>NYSE MKT</w:t>
      </w:r>
      <w:r>
        <w:rPr>
          <w:rFonts w:ascii="Times New Roman" w:cs="Times New Roman" w:eastAsia="Times New Roman" w:hAnsi="Times New Roman"/>
          <w:sz w:val="13"/>
          <w:szCs w:val="13"/>
          <w:color w:val="auto"/>
        </w:rPr>
        <w:t>”), or the NASDAQ Stock Market (“</w:t>
      </w:r>
      <w:r>
        <w:rPr>
          <w:rFonts w:ascii="Times New Roman" w:cs="Times New Roman" w:eastAsia="Times New Roman" w:hAnsi="Times New Roman"/>
          <w:sz w:val="13"/>
          <w:szCs w:val="13"/>
          <w:u w:val="single" w:color="auto"/>
          <w:color w:val="auto"/>
        </w:rPr>
        <w:t>NASDAQ</w:t>
      </w:r>
      <w:r>
        <w:rPr>
          <w:rFonts w:ascii="Times New Roman" w:cs="Times New Roman" w:eastAsia="Times New Roman" w:hAnsi="Times New Roman"/>
          <w:sz w:val="13"/>
          <w:szCs w:val="13"/>
          <w:color w:val="auto"/>
        </w:rPr>
        <w:t>”), or listed or quoted on an exchange or quotation system that is a successor to the NYSE, the NYSE MKT or NASDAQ.</w:t>
      </w:r>
    </w:p>
    <w:p>
      <w:pPr>
        <w:spacing w:after="0" w:line="140" w:lineRule="exact"/>
        <w:rPr>
          <w:sz w:val="20"/>
          <w:szCs w:val="20"/>
          <w:color w:val="auto"/>
        </w:rPr>
      </w:pPr>
    </w:p>
    <w:p>
      <w:pPr>
        <w:ind w:left="600" w:right="620" w:firstLine="480"/>
        <w:spacing w:after="0" w:line="305" w:lineRule="auto"/>
        <w:rPr>
          <w:sz w:val="20"/>
          <w:szCs w:val="20"/>
          <w:color w:val="auto"/>
        </w:rPr>
      </w:pPr>
      <w:r>
        <w:rPr>
          <w:rFonts w:ascii="Times New Roman" w:cs="Times New Roman" w:eastAsia="Times New Roman" w:hAnsi="Times New Roman"/>
          <w:sz w:val="13"/>
          <w:szCs w:val="13"/>
          <w:color w:val="auto"/>
        </w:rPr>
        <w:t>(b) In addition to any information required by law or by the applicable rules of any exchange upon which the Series K Preferred Stock may be listed or admitted to trading, such notice shall state: (i) the redemption date; (ii)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261620</wp:posOffset>
            </wp:positionV>
            <wp:extent cx="4436110" cy="1524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869">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322580</wp:posOffset>
            </wp:positionV>
            <wp:extent cx="5083810" cy="1524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870">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72" w:name="page473"/>
    <w:bookmarkEnd w:id="472"/>
    <w:p>
      <w:pPr>
        <w:jc w:val="both"/>
        <w:ind w:left="600" w:right="600"/>
        <w:spacing w:after="0" w:line="273" w:lineRule="auto"/>
        <w:rPr>
          <w:sz w:val="20"/>
          <w:szCs w:val="20"/>
          <w:color w:val="auto"/>
        </w:rPr>
      </w:pPr>
      <w:r>
        <w:rPr>
          <w:rFonts w:ascii="Times New Roman" w:cs="Times New Roman" w:eastAsia="Times New Roman" w:hAnsi="Times New Roman"/>
          <w:sz w:val="13"/>
          <w:szCs w:val="13"/>
          <w:color w:val="auto"/>
        </w:rPr>
        <w:t>redemption price; (iii) the number of shares of Series K Preferred Stock to be redeemed; (iv) the place or places where the certificates, if any, representing shares of Series K Preferred Stock are to be surrendered for payment of the redemption price; (v) procedures for surrendering noncertificated shares of Series K Preferred Stock for payment of the redemption price; (vi) that dividends on the shares of Series K Preferred Stock to be redeemed will cease to accumulate on the redemption date; (vii) that payment of the redemption price and any accumulated and unpaid dividends will be made upon presentation and surrender of such Series K Preferred Stock; (viii) that the shares of Series K Preferred Stock are being redeemed pursuant to the Special Optional Redemption Right in connection with the occurrence of a Change of Control and a brief description of the transaction or transactions constituting such Change of Control; and (ix) that holders of the shares of Series K Preferred Stock to which the notice relates will not be able to tender such shares of Series K Preferred Stock for conversion in connection with the Change of Control and each share of Series K Preferred Stock tendered for conversion that is selected, prior to the Change of Control Conversion Date, for redemption will be redeemed on the related redemption date instead of converted on the Change of Control Conversion Date. If fewer than all of the shares of Series K Preferred Stock held by any holder are to be redeemed, the notice mailed to such holder shall also specify the number of shares of Series K Preferred Stock held by such holder to be redeemed.</w:t>
      </w:r>
    </w:p>
    <w:p>
      <w:pPr>
        <w:spacing w:after="0" w:line="132" w:lineRule="exact"/>
        <w:rPr>
          <w:sz w:val="20"/>
          <w:szCs w:val="20"/>
          <w:color w:val="auto"/>
        </w:rPr>
      </w:pPr>
    </w:p>
    <w:p>
      <w:pPr>
        <w:jc w:val="both"/>
        <w:ind w:left="600" w:right="600" w:firstLine="720"/>
        <w:spacing w:after="0" w:line="274" w:lineRule="auto"/>
        <w:rPr>
          <w:sz w:val="20"/>
          <w:szCs w:val="20"/>
          <w:color w:val="auto"/>
        </w:rPr>
      </w:pPr>
      <w:r>
        <w:rPr>
          <w:rFonts w:ascii="Times New Roman" w:cs="Times New Roman" w:eastAsia="Times New Roman" w:hAnsi="Times New Roman"/>
          <w:sz w:val="13"/>
          <w:szCs w:val="13"/>
          <w:color w:val="auto"/>
        </w:rPr>
        <w:t>If fewer than all of the outstanding shares of Series K Preferred Stock are to be redeemed, the shares of Series K Preferred Stock to be redeemed shall be redeemed pro rata (as nearly as may be practicable without creating fractional shares) or by lot as determined by the Company. If such redemption pursuant to the Special Optional Redemption Right is to be by lot and, as a result, any holder of shares of Series K Preferred Stock would have actual ownership, Beneficial Ownership or Constructive Ownership (each as defined in Section 9(a) hereof) in excess of the Ownership Limit (as defined in Section 9(a) hereof), the Aggregate Stock Ownership Limit (as defined in Section 9(a) hereof), or such limit as permitted by the Board of Directors or a committee thereof pursuant to Section 9(i) hereof, because such holder’s shares of Series K Preferred Stock were not redeemed, or were only redeemed in part then, except as otherwise provided in the Charter, the Company shall redeem the requisite number of shares of Series K Preferred Stock of such holder such that no holder will hold an amount of Series K Preferred Stock in excess of the applicable ownership limit, subsequent to such redemption.</w:t>
      </w:r>
    </w:p>
    <w:p>
      <w:pPr>
        <w:spacing w:after="0" w:line="132" w:lineRule="exact"/>
        <w:rPr>
          <w:sz w:val="20"/>
          <w:szCs w:val="20"/>
          <w:color w:val="auto"/>
        </w:rPr>
      </w:pPr>
    </w:p>
    <w:p>
      <w:pPr>
        <w:ind w:left="600" w:right="600" w:firstLine="475"/>
        <w:spacing w:after="0" w:line="273" w:lineRule="auto"/>
        <w:tabs>
          <w:tab w:leader="none" w:pos="1260" w:val="left"/>
        </w:tabs>
        <w:numPr>
          <w:ilvl w:val="0"/>
          <w:numId w:val="4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Company has given a notice of redemption pursuant to the Special Optional Redemption Right and has set aside sufficient funds for the redemption in trust for the benefit of the holders of the Series K Preferred Stock called for redemption, then from and after the redemption date, those shares of Series K Preferred Stock will be treated as no longer being outstanding, no further dividends will accrue and all other rights of the holders of those shares of Series K Preferred Stock will terminate. The holders of those shares of Series K Preferred Stock will retain their right to receive the redemption price for their shares and any accrued and unpaid dividends to, but not including, the redemption date, without interest. So long as full cumulative dividends on the Series K Preferred Stock for all past Dividend Periods shall have been or contemporaneously are (i) declared and paid in cash, or (ii) declared and a sum sufficient for the payment thereof in cash is set apart for payment, nothing herein shall prevent or restrict the Company’s right or ability to purchase, from time to time, either at a public or a private sale, all or any part of the Series K Preferred Stock at such price or prices as the Company may determine, subject to the provisions of applicable law, including the repurchase of shares of Series K Preferred Stock in open-market transactions duly authorized by the Board of Directors.</w:t>
      </w:r>
    </w:p>
    <w:p>
      <w:pPr>
        <w:spacing w:after="0" w:line="136" w:lineRule="exact"/>
        <w:rPr>
          <w:rFonts w:ascii="Times New Roman" w:cs="Times New Roman" w:eastAsia="Times New Roman" w:hAnsi="Times New Roman"/>
          <w:sz w:val="13"/>
          <w:szCs w:val="13"/>
          <w:color w:val="auto"/>
        </w:rPr>
      </w:pPr>
    </w:p>
    <w:p>
      <w:pPr>
        <w:jc w:val="both"/>
        <w:ind w:left="600" w:right="600" w:firstLine="475"/>
        <w:spacing w:after="0" w:line="276" w:lineRule="auto"/>
        <w:tabs>
          <w:tab w:leader="none" w:pos="1260" w:val="left"/>
        </w:tabs>
        <w:numPr>
          <w:ilvl w:val="0"/>
          <w:numId w:val="4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holders of Series K Preferred Stock at the close of business on a Dividend Record Date will be entitled to receive the dividend payable with respect to the Series K Preferred Stock on the corresponding Dividend Payment Date notwithstanding the redemption of the Series K Preferred Stock pursuant to the Special Optional Redemption Right between such Dividend Record Date and the corresponding Dividend Payment Date or the Company’s default in the payment of the dividend due. Except as provided herein, the Company shall make no payment or allowance for unpaid dividends, whether or not in arrears, on Series K Preferred Stock for which a notice of redemption pursuant to the Special Optional Redemption Right has been given.</w:t>
      </w:r>
    </w:p>
    <w:p>
      <w:pPr>
        <w:spacing w:after="0" w:line="144" w:lineRule="exact"/>
        <w:rPr>
          <w:rFonts w:ascii="Times New Roman" w:cs="Times New Roman" w:eastAsia="Times New Roman" w:hAnsi="Times New Roman"/>
          <w:sz w:val="13"/>
          <w:szCs w:val="13"/>
          <w:color w:val="auto"/>
        </w:rPr>
      </w:pPr>
    </w:p>
    <w:p>
      <w:pPr>
        <w:jc w:val="both"/>
        <w:ind w:left="600" w:right="620" w:firstLine="475"/>
        <w:spacing w:after="0" w:line="287" w:lineRule="auto"/>
        <w:tabs>
          <w:tab w:leader="none" w:pos="1248" w:val="left"/>
        </w:tabs>
        <w:numPr>
          <w:ilvl w:val="0"/>
          <w:numId w:val="4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shares of the Series K Preferred Stock redeemed or repurchased pursuant to this Section 6, or otherwise acquired in any other manner by the Company, shall be retired and shall be restored to the status of authorized but unissued shares of Preferred Stock, without designation as to series or class.</w:t>
      </w:r>
    </w:p>
    <w:p>
      <w:pPr>
        <w:spacing w:after="0" w:line="13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 xml:space="preserve">Section 7. </w:t>
      </w:r>
      <w:r>
        <w:rPr>
          <w:rFonts w:ascii="Times New Roman" w:cs="Times New Roman" w:eastAsia="Times New Roman" w:hAnsi="Times New Roman"/>
          <w:sz w:val="13"/>
          <w:szCs w:val="13"/>
          <w:u w:val="single" w:color="auto"/>
          <w:color w:val="auto"/>
        </w:rPr>
        <w:t>Voting Rights</w:t>
      </w:r>
      <w:r>
        <w:rPr>
          <w:rFonts w:ascii="Times New Roman" w:cs="Times New Roman" w:eastAsia="Times New Roman" w:hAnsi="Times New Roman"/>
          <w:sz w:val="13"/>
          <w:szCs w:val="13"/>
          <w:color w:val="auto"/>
        </w:rPr>
        <w:t>.</w:t>
      </w:r>
    </w:p>
    <w:p>
      <w:pPr>
        <w:spacing w:after="0" w:line="18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(a) Holders of the Series K Preferred Stock shall not have any voting rights, except as set forth in this Section 7.</w:t>
      </w:r>
    </w:p>
    <w:p>
      <w:pPr>
        <w:spacing w:after="0" w:line="187" w:lineRule="exact"/>
        <w:rPr>
          <w:sz w:val="20"/>
          <w:szCs w:val="20"/>
          <w:color w:val="auto"/>
        </w:rPr>
      </w:pPr>
    </w:p>
    <w:p>
      <w:pPr>
        <w:ind w:left="600" w:right="620" w:firstLine="480"/>
        <w:spacing w:after="0" w:line="305" w:lineRule="auto"/>
        <w:rPr>
          <w:sz w:val="20"/>
          <w:szCs w:val="20"/>
          <w:color w:val="auto"/>
        </w:rPr>
      </w:pPr>
      <w:r>
        <w:rPr>
          <w:rFonts w:ascii="Times New Roman" w:cs="Times New Roman" w:eastAsia="Times New Roman" w:hAnsi="Times New Roman"/>
          <w:sz w:val="13"/>
          <w:szCs w:val="13"/>
          <w:color w:val="auto"/>
        </w:rPr>
        <w:t>(b) Whenever dividends on any shares of Series K Preferred Stock shall be in arrears for six or more consecutive or non- consecutive quarterly periods (a “</w:t>
      </w:r>
      <w:r>
        <w:rPr>
          <w:rFonts w:ascii="Times New Roman" w:cs="Times New Roman" w:eastAsia="Times New Roman" w:hAnsi="Times New Roman"/>
          <w:sz w:val="13"/>
          <w:szCs w:val="13"/>
          <w:u w:val="single" w:color="auto"/>
          <w:color w:val="auto"/>
        </w:rPr>
        <w:t>Preferred Dividend Default</w:t>
      </w:r>
      <w:r>
        <w:rPr>
          <w:rFonts w:ascii="Times New Roman" w:cs="Times New Roman" w:eastAsia="Times New Roman" w:hAnsi="Times New Roman"/>
          <w:sz w:val="13"/>
          <w:szCs w:val="13"/>
          <w:color w:val="auto"/>
        </w:rPr>
        <w:t>”), the holders of such Series 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490220</wp:posOffset>
            </wp:positionV>
            <wp:extent cx="4436110" cy="1524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871">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322580</wp:posOffset>
            </wp:positionV>
            <wp:extent cx="5083810" cy="1524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872">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73" w:name="page474"/>
    <w:bookmarkEnd w:id="473"/>
    <w:p>
      <w:pPr>
        <w:jc w:val="both"/>
        <w:ind w:left="600" w:right="600"/>
        <w:spacing w:after="0" w:line="274" w:lineRule="auto"/>
        <w:rPr>
          <w:sz w:val="20"/>
          <w:szCs w:val="20"/>
          <w:color w:val="auto"/>
        </w:rPr>
      </w:pPr>
      <w:r>
        <w:rPr>
          <w:rFonts w:ascii="Times New Roman" w:cs="Times New Roman" w:eastAsia="Times New Roman" w:hAnsi="Times New Roman"/>
          <w:sz w:val="13"/>
          <w:szCs w:val="13"/>
          <w:color w:val="auto"/>
        </w:rPr>
        <w:t>Preferred Stock (voting separately as a class together with holders of all other classes or series of preferred stock of the Company ranking on parity with the Series K Preferred Stock with respect to payment of dividends and the distribution of assets upon the Company’s liquidation, dissolution or winding up and upon which like voting rights have been conferred and are exercisable (“</w:t>
      </w:r>
      <w:r>
        <w:rPr>
          <w:rFonts w:ascii="Times New Roman" w:cs="Times New Roman" w:eastAsia="Times New Roman" w:hAnsi="Times New Roman"/>
          <w:sz w:val="13"/>
          <w:szCs w:val="13"/>
          <w:u w:val="single" w:color="auto"/>
          <w:color w:val="auto"/>
        </w:rPr>
        <w:t>Parity Preferred</w:t>
      </w:r>
      <w:r>
        <w:rPr>
          <w:rFonts w:ascii="Times New Roman" w:cs="Times New Roman" w:eastAsia="Times New Roman" w:hAnsi="Times New Roman"/>
          <w:sz w:val="13"/>
          <w:szCs w:val="13"/>
          <w:color w:val="auto"/>
        </w:rPr>
        <w:t>”), including the Series C Cumulative Redeemable Perpetual Preferred Stock, par value $0.01 per share, the Series G Cumulative Redeemable Preferred Stock, par value $0.01 per share, the Series H Cumulative Redeemable Preferred Stock, par value $0.01 per share, the Series I Cumulative Redeemable Preferred Stock, par value $0.01 per share and the Series J Cumulative Redeemable Preferred Stock, par value $0.01 per share, of the Company) shall be entitled to vote for the election of a total of two additional directors of the Company (the “</w:t>
      </w:r>
      <w:r>
        <w:rPr>
          <w:rFonts w:ascii="Times New Roman" w:cs="Times New Roman" w:eastAsia="Times New Roman" w:hAnsi="Times New Roman"/>
          <w:sz w:val="13"/>
          <w:szCs w:val="13"/>
          <w:u w:val="single" w:color="auto"/>
          <w:color w:val="auto"/>
        </w:rPr>
        <w:t>Preferred Directors</w:t>
      </w:r>
      <w:r>
        <w:rPr>
          <w:rFonts w:ascii="Times New Roman" w:cs="Times New Roman" w:eastAsia="Times New Roman" w:hAnsi="Times New Roman"/>
          <w:sz w:val="13"/>
          <w:szCs w:val="13"/>
          <w:color w:val="auto"/>
        </w:rPr>
        <w:t>”) until all dividends accumulated on such Series K Preferred Stock and Parity Preferred for the past Dividend Periods shall have been fully paid. In such case, the entire Board of Directors will be increased by two directors.</w:t>
      </w:r>
    </w:p>
    <w:p>
      <w:pPr>
        <w:spacing w:after="0" w:line="132" w:lineRule="exact"/>
        <w:rPr>
          <w:sz w:val="20"/>
          <w:szCs w:val="20"/>
          <w:color w:val="auto"/>
        </w:rPr>
      </w:pPr>
    </w:p>
    <w:p>
      <w:pPr>
        <w:jc w:val="both"/>
        <w:ind w:left="600" w:right="600" w:firstLine="480"/>
        <w:spacing w:after="0" w:line="271" w:lineRule="auto"/>
        <w:rPr>
          <w:sz w:val="20"/>
          <w:szCs w:val="20"/>
          <w:color w:val="auto"/>
        </w:rPr>
      </w:pPr>
      <w:r>
        <w:rPr>
          <w:rFonts w:ascii="Times New Roman" w:cs="Times New Roman" w:eastAsia="Times New Roman" w:hAnsi="Times New Roman"/>
          <w:sz w:val="13"/>
          <w:szCs w:val="13"/>
          <w:color w:val="auto"/>
        </w:rPr>
        <w:t>(c) The Preferred Directors will be elected by a plurality of the votes cast in the election for a one-year term and each Preferred Director will serve until his or her successor is duly elected and qualifies or until such Preferred Director’s right to hold the office terminates, whichever occurs earlier, subject to such Preferred Director’s earlier death, disqualification, resignation or removal. The election will take place at (i) either</w:t>
      </w:r>
    </w:p>
    <w:p>
      <w:pPr>
        <w:spacing w:after="0" w:line="1" w:lineRule="exact"/>
        <w:rPr>
          <w:sz w:val="20"/>
          <w:szCs w:val="20"/>
          <w:color w:val="auto"/>
        </w:rPr>
      </w:pPr>
    </w:p>
    <w:p>
      <w:pPr>
        <w:ind w:left="600" w:right="600" w:hanging="6"/>
        <w:spacing w:after="0" w:line="274" w:lineRule="auto"/>
        <w:tabs>
          <w:tab w:leader="none" w:pos="833" w:val="left"/>
        </w:tabs>
        <w:numPr>
          <w:ilvl w:val="0"/>
          <w:numId w:val="4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special meeting called in accordance with Section 7(d) below if the request is received more than 90 days before the date fixed for the Company’s next annual or special meeting of stockholders or (B) the next annual or special meeting of stockholders if the request is received within 90 days of the date fixed for the Company’s next annual or special meeting of stockholders, and (ii) at each subsequent annual meeting of stockholders, or special meeting held in place thereof, until all such dividends in arrears on the Series K Preferred Stock and each such class or series of outstanding Parity Preferred have been paid in full. A dividend in respect of Series K Preferred Stock shall be considered timely made if made within two Business Days after the applicable Dividend Payment Date if at the time of such late payment date there shall not be any prior quarterly Dividend Periods in respect of which full dividends were not timely made at the applicable Dividend Payment Date.</w:t>
      </w:r>
    </w:p>
    <w:p>
      <w:pPr>
        <w:spacing w:after="0" w:line="134" w:lineRule="exact"/>
        <w:rPr>
          <w:rFonts w:ascii="Times New Roman" w:cs="Times New Roman" w:eastAsia="Times New Roman" w:hAnsi="Times New Roman"/>
          <w:sz w:val="13"/>
          <w:szCs w:val="13"/>
          <w:color w:val="auto"/>
        </w:rPr>
      </w:pPr>
    </w:p>
    <w:p>
      <w:pPr>
        <w:ind w:left="600" w:right="600" w:firstLine="475"/>
        <w:spacing w:after="0" w:line="271" w:lineRule="auto"/>
        <w:tabs>
          <w:tab w:leader="none" w:pos="1260" w:val="left"/>
        </w:tabs>
        <w:numPr>
          <w:ilvl w:val="1"/>
          <w:numId w:val="4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any time when such voting rights shall have vested, a proper officer of the Company shall call or cause to be called, upon written request of holders of record of at least 10% of the outstanding shares of Series K Preferred Stock and Parity Preferred, a special meeting of the holders of Series K Preferred Stock and each class or series of Parity Preferred by mailing or causing to be mailed to such holders a notice of such special meeting to be held not fewer than ten or more than 45 days after the date such notice is given. The record date for determining holders of the Series K Preferred Stock and Parity Preferred entitled to notice of and to vote at such special meeting will be the close of business on the third Business Day preceding the day on which such notice is mailed. At any such annual or special meeting, all of the holders of the Series K Preferred Stock and Parity Preferred, by plurality vote, voting together as a single class without regard to class or series will be entitled to elect two directors on the basis of one vote per $25.00 of liquidation preference to which such Series K Preferred Stock and Parity Preferred are entitled by their terms (excluding amounts in respect of accumulated and unpaid dividends) and not cumulatively. The holder or holders of one-third of the Series K Preferred Stock and Parity Preferred voting as a single class then outstanding, present in person or by proxy, will constitute a quorum for the election of the Preferred Directors except as otherwise provided by law. Notice of all meetings at which holders of the Series K Preferred Stock and the Parity Preferred shall be entitled to vote will be given to such holders at their addresses as they appear in the transfer records. At any such meeting or adjournment thereof in the absence of a quorum, subject to the provisions of any applicable law, a majority of the holders of the Series K Preferred Stock and Parity Preferred voting as a single class present in person or by proxy shall have the power to adjourn the meeting for the election of the Preferred Directors, without notice other than an announcement at the meeting, until a quorum is present. If a Preferred Dividend Default shall terminate after the notice of a special meeting has been given but before such special meeting has been held, the Company shall, as soon as practicable after such termination, mail or cause to be mailed notice of such termination to holders of the Series K Preferred Stock and the Parity Preferred that would have been entitled to vote at such special meeting.</w:t>
      </w:r>
    </w:p>
    <w:p>
      <w:pPr>
        <w:spacing w:after="0" w:line="142" w:lineRule="exact"/>
        <w:rPr>
          <w:rFonts w:ascii="Times New Roman" w:cs="Times New Roman" w:eastAsia="Times New Roman" w:hAnsi="Times New Roman"/>
          <w:sz w:val="13"/>
          <w:szCs w:val="13"/>
          <w:color w:val="auto"/>
        </w:rPr>
      </w:pPr>
    </w:p>
    <w:p>
      <w:pPr>
        <w:jc w:val="both"/>
        <w:ind w:left="600" w:right="600" w:firstLine="475"/>
        <w:spacing w:after="0" w:line="275" w:lineRule="auto"/>
        <w:tabs>
          <w:tab w:leader="none" w:pos="1248" w:val="left"/>
        </w:tabs>
        <w:numPr>
          <w:ilvl w:val="1"/>
          <w:numId w:val="4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and when all accumulated dividends on such Series K Preferred Stock and all classes or series of Parity Preferred for the past Dividend Periods shall have been fully paid, the right of the holders of Series K Preferred Stock and the Parity Preferred to elect such additional two directors shall immediately cease (subject to revesting in the event of each and every Preferred Dividend Default), and the term of office of each Preferred Director so elected shall terminate and the entire Board of Directors shall be reduced accordingly. Any Preferred Director may be removed at any time with or without cause by the vote of, and shall not be removed otherwise than by the vote of, the holders of record of a majority of the outstanding Series K Preferred Stock and the Parity Preferred entitled to vote thereon when they have the voting rights set forth in Section 7(b) hereof (voting as a single class). So long as a Preferred Dividend Default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107315</wp:posOffset>
            </wp:positionV>
            <wp:extent cx="4436110" cy="1524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873">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549275</wp:posOffset>
            </wp:positionV>
            <wp:extent cx="5083810" cy="1524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874">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74" w:name="page475"/>
    <w:bookmarkEnd w:id="474"/>
    <w:p>
      <w:pPr>
        <w:jc w:val="both"/>
        <w:ind w:left="600" w:right="560"/>
        <w:spacing w:after="0" w:line="281" w:lineRule="auto"/>
        <w:rPr>
          <w:sz w:val="20"/>
          <w:szCs w:val="20"/>
          <w:color w:val="auto"/>
        </w:rPr>
      </w:pPr>
      <w:r>
        <w:rPr>
          <w:rFonts w:ascii="Times New Roman" w:cs="Times New Roman" w:eastAsia="Times New Roman" w:hAnsi="Times New Roman"/>
          <w:sz w:val="13"/>
          <w:szCs w:val="13"/>
          <w:color w:val="auto"/>
        </w:rPr>
        <w:t>continue, any vacancy in the office of a Preferred Director may be filled by written consent of the Preferred Director remaining in office, or if none remains in office, by a vote of the holders of record of a majority of the outstanding Series K Preferred Stock when they have the voting rights described above (voting as a single class with all other classes or series of Parity Preferred). Each of the Preferred Directors shall be entitled to one vote on any matter.</w:t>
      </w:r>
    </w:p>
    <w:p>
      <w:pPr>
        <w:spacing w:after="0" w:line="140" w:lineRule="exact"/>
        <w:rPr>
          <w:sz w:val="20"/>
          <w:szCs w:val="20"/>
          <w:color w:val="auto"/>
        </w:rPr>
      </w:pPr>
    </w:p>
    <w:p>
      <w:pPr>
        <w:jc w:val="both"/>
        <w:ind w:left="600" w:right="580" w:firstLine="480"/>
        <w:spacing w:after="0" w:line="271" w:lineRule="auto"/>
        <w:rPr>
          <w:sz w:val="20"/>
          <w:szCs w:val="20"/>
          <w:color w:val="auto"/>
        </w:rPr>
      </w:pPr>
      <w:r>
        <w:rPr>
          <w:rFonts w:ascii="Times New Roman" w:cs="Times New Roman" w:eastAsia="Times New Roman" w:hAnsi="Times New Roman"/>
          <w:sz w:val="13"/>
          <w:szCs w:val="13"/>
          <w:color w:val="auto"/>
        </w:rPr>
        <w:t>(f)So long as any shares of Series K Preferred Stock remain outstanding, the affirmative vote or consent of the holders of two-thirds of the shares of Series K Preferred Stock and each other class or series of Parity Preferred outstanding at the time, given in person or by proxy, either in writing or at a meeting (voting together as a single class) will be required to: (i) authorize, create or issue, or increase the number of authorized or issued shares of, any class or series of capital stock ranking senior to the Series K Preferred Stock with respect to payment of dividends or the distribution of assets upon liquidation, dissolution or winding up of the Company (collectively, “</w:t>
      </w:r>
      <w:r>
        <w:rPr>
          <w:rFonts w:ascii="Times New Roman" w:cs="Times New Roman" w:eastAsia="Times New Roman" w:hAnsi="Times New Roman"/>
          <w:sz w:val="13"/>
          <w:szCs w:val="13"/>
          <w:u w:val="single" w:color="auto"/>
          <w:color w:val="auto"/>
        </w:rPr>
        <w:t>Senior Capital Stock</w:t>
      </w:r>
      <w:r>
        <w:rPr>
          <w:rFonts w:ascii="Times New Roman" w:cs="Times New Roman" w:eastAsia="Times New Roman" w:hAnsi="Times New Roman"/>
          <w:sz w:val="13"/>
          <w:szCs w:val="13"/>
          <w:color w:val="auto"/>
        </w:rPr>
        <w:t>”) or reclassify any authorized shares of capital stock of the Company into such capital stock, or create, authorize or issue any obligation or security convertible into or evidencing the right to purchase any such Senior Capital Stock; or (ii) amend, alter or repeal the provisions of the Charter, including the terms of the Series K Preferred Stock, whether by merger, consolidation, transfer or conveyance of all or substantially all of its assets or otherwise (an “</w:t>
      </w:r>
      <w:r>
        <w:rPr>
          <w:rFonts w:ascii="Times New Roman" w:cs="Times New Roman" w:eastAsia="Times New Roman" w:hAnsi="Times New Roman"/>
          <w:sz w:val="13"/>
          <w:szCs w:val="13"/>
          <w:u w:val="single" w:color="auto"/>
          <w:color w:val="auto"/>
        </w:rPr>
        <w:t>Event</w:t>
      </w:r>
      <w:r>
        <w:rPr>
          <w:rFonts w:ascii="Times New Roman" w:cs="Times New Roman" w:eastAsia="Times New Roman" w:hAnsi="Times New Roman"/>
          <w:sz w:val="13"/>
          <w:szCs w:val="13"/>
          <w:color w:val="auto"/>
        </w:rPr>
        <w:t xml:space="preserve">”), so as to materially and adversely affect any right, preference, privilege or voting power of the Series K Preferred Stock;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with respect to the occurrence of any of the Events set forth in (ii) above, so long as the Series K Preferred Stock remains outstanding with the terms thereof materially unchanged, taking into account that, upon the occurrence of an Event set forth in (ii) above, the Company may not be the surviving entity, the occurrence of such Event shall not be deemed to materially and adversely affect such rights, preferences, privileges or voting power of Series K Preferred Stock, and in such case such holders shall not have any voting rights with respect to the occurrence of any of the Events set forth in (ii) above. In addition, if the holders of the Series K Preferred Stock receive the greater of the full trading price of the Series K Preferred Stock on the date of an Event set forth in (ii) above or the $25.00 liquidation preference per share of the Series K Preferred Stock pursuant to the occurrence of any of the Events set forth in (ii) above, then such holders shall not have any voting rights with respect to the Events set forth in (ii) above. If any Event set forth in (ii) above would materially and adversely affect the rights, preferences, privileges or voting powers of the Series K Preferred Stock disproportionately relative to other classes or series of Parity Preferred, the affirmative vote of the holders of at least two-thirds of the outstanding shares of the Series K Preferred Stock, voting separately as a class, will also be required. Holders of shares of Series K Preferred Stock shall not be entitled to vote with respect to (A) any increase in the total number of authorized shares of Common Stock or Preferred Stock of the Company, or (B) any increase in the number of authorized shares of Series K Preferred Stock or the creation or issuance of any other class or series of capital stock, or (C) any increase in the number of authorized shares of any other class or series of capital stock, in each case referred to in clause (A), (B) or (C) above ranking on parity with or junior to the Series K Preferred Stock with respect to the payment of dividends and the distribution of assets upon liquidation, dissolution or winding up of the Company. Except as set forth herein, holders of the Series K Preferred Stock shall not have any voting rights with respect to, and the consent of the holders of the Series K Preferred Stock shall not be required for, the taking of any corporate action, including an Event, regardless of the effect that such corporate action or Event may have upon the powers, preferences, voting power or other rights or privileges of the Series K Preferred Stock.</w:t>
      </w:r>
    </w:p>
    <w:p>
      <w:pPr>
        <w:spacing w:after="0" w:line="136" w:lineRule="exact"/>
        <w:rPr>
          <w:sz w:val="20"/>
          <w:szCs w:val="20"/>
          <w:color w:val="auto"/>
        </w:rPr>
      </w:pPr>
    </w:p>
    <w:p>
      <w:pPr>
        <w:jc w:val="both"/>
        <w:ind w:left="600" w:right="580" w:firstLine="480"/>
        <w:spacing w:after="0" w:line="281" w:lineRule="auto"/>
        <w:rPr>
          <w:sz w:val="20"/>
          <w:szCs w:val="20"/>
          <w:color w:val="auto"/>
        </w:rPr>
      </w:pPr>
      <w:r>
        <w:rPr>
          <w:rFonts w:ascii="Times New Roman" w:cs="Times New Roman" w:eastAsia="Times New Roman" w:hAnsi="Times New Roman"/>
          <w:sz w:val="13"/>
          <w:szCs w:val="13"/>
          <w:color w:val="auto"/>
        </w:rPr>
        <w:t>(g) The foregoing voting provisions of this Section 7 shall not apply if, at or prior to the time when the act with respect to which such vote would otherwise be required shall be effected, all outstanding shares of Series K Preferred Stock shall have been redeemed or called for redemption upon proper notice pursuant to these Articles Supplementary, and sufficient funds, in cash, shall have been deposited in trust to effect such redemption.</w:t>
      </w:r>
    </w:p>
    <w:p>
      <w:pPr>
        <w:spacing w:after="0" w:line="140" w:lineRule="exact"/>
        <w:rPr>
          <w:sz w:val="20"/>
          <w:szCs w:val="20"/>
          <w:color w:val="auto"/>
        </w:rPr>
      </w:pPr>
    </w:p>
    <w:p>
      <w:pPr>
        <w:ind w:left="600" w:right="620" w:firstLine="475"/>
        <w:spacing w:after="0" w:line="305" w:lineRule="auto"/>
        <w:tabs>
          <w:tab w:leader="none" w:pos="1260" w:val="left"/>
        </w:tabs>
        <w:numPr>
          <w:ilvl w:val="0"/>
          <w:numId w:val="4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any matter in which the Series K Preferred Stock may vote (as expressly provided herein), each share of Series K Preferred Stock shall be entitled to one vote per $25.00 of liquidation preference.</w:t>
      </w:r>
    </w:p>
    <w:p>
      <w:pPr>
        <w:spacing w:after="0" w:line="124" w:lineRule="exact"/>
        <w:rPr>
          <w:sz w:val="20"/>
          <w:szCs w:val="20"/>
          <w:color w:val="auto"/>
        </w:rPr>
      </w:pPr>
    </w:p>
    <w:p>
      <w:pPr>
        <w:ind w:left="600" w:right="580" w:firstLine="480"/>
        <w:spacing w:after="0" w:line="305" w:lineRule="auto"/>
        <w:rPr>
          <w:sz w:val="20"/>
          <w:szCs w:val="20"/>
          <w:color w:val="auto"/>
        </w:rPr>
      </w:pPr>
      <w:r>
        <w:rPr>
          <w:rFonts w:ascii="Times New Roman" w:cs="Times New Roman" w:eastAsia="Times New Roman" w:hAnsi="Times New Roman"/>
          <w:sz w:val="13"/>
          <w:szCs w:val="13"/>
          <w:color w:val="auto"/>
        </w:rPr>
        <w:t xml:space="preserve">Section 8. </w:t>
      </w:r>
      <w:r>
        <w:rPr>
          <w:rFonts w:ascii="Times New Roman" w:cs="Times New Roman" w:eastAsia="Times New Roman" w:hAnsi="Times New Roman"/>
          <w:sz w:val="13"/>
          <w:szCs w:val="13"/>
          <w:u w:val="single" w:color="auto"/>
          <w:color w:val="auto"/>
        </w:rPr>
        <w:t>Conversion</w:t>
      </w:r>
      <w:r>
        <w:rPr>
          <w:rFonts w:ascii="Times New Roman" w:cs="Times New Roman" w:eastAsia="Times New Roman" w:hAnsi="Times New Roman"/>
          <w:sz w:val="13"/>
          <w:szCs w:val="13"/>
          <w:color w:val="auto"/>
        </w:rPr>
        <w:t>. The shares of Series K Preferred Stock are not convertible into or exchangeable for any other property or securities of the Company, except as provided in this Section 8.</w:t>
      </w:r>
    </w:p>
    <w:p>
      <w:pPr>
        <w:spacing w:after="0" w:line="124" w:lineRule="exact"/>
        <w:rPr>
          <w:sz w:val="20"/>
          <w:szCs w:val="20"/>
          <w:color w:val="auto"/>
        </w:rPr>
      </w:pPr>
    </w:p>
    <w:p>
      <w:pPr>
        <w:jc w:val="both"/>
        <w:ind w:left="600" w:right="600" w:firstLine="475"/>
        <w:spacing w:after="0" w:line="275" w:lineRule="auto"/>
        <w:tabs>
          <w:tab w:leader="none" w:pos="1248" w:val="left"/>
        </w:tabs>
        <w:numPr>
          <w:ilvl w:val="0"/>
          <w:numId w:val="5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the occurrence of a Change of Control, each holder of shares of Series K Preferred Stock shall have the right, unless, prior to the Change of Control Conversion Date, the Company has provided or provides notice of its election to redeem the Series K Preferred Stock pursuant to the Redemption Right or Special Optional Redemption Right, to convert some or all of the Series K Preferred Stock held by such holder (the “</w:t>
      </w:r>
      <w:r>
        <w:rPr>
          <w:rFonts w:ascii="Times New Roman" w:cs="Times New Roman" w:eastAsia="Times New Roman" w:hAnsi="Times New Roman"/>
          <w:sz w:val="13"/>
          <w:szCs w:val="13"/>
          <w:u w:val="single" w:color="auto"/>
          <w:color w:val="auto"/>
        </w:rPr>
        <w:t>Change of Control Conversion Right</w:t>
      </w:r>
      <w:r>
        <w:rPr>
          <w:rFonts w:ascii="Times New Roman" w:cs="Times New Roman" w:eastAsia="Times New Roman" w:hAnsi="Times New Roman"/>
          <w:sz w:val="13"/>
          <w:szCs w:val="13"/>
          <w:color w:val="auto"/>
        </w:rPr>
        <w:t>”) on the Change of Control Conversion Date into a number of shares of Common Stock per share of Series K Preferred Stock to be converted (the “</w:t>
      </w:r>
      <w:r>
        <w:rPr>
          <w:rFonts w:ascii="Times New Roman" w:cs="Times New Roman" w:eastAsia="Times New Roman" w:hAnsi="Times New Roman"/>
          <w:sz w:val="13"/>
          <w:szCs w:val="13"/>
          <w:u w:val="single" w:color="auto"/>
          <w:color w:val="auto"/>
        </w:rPr>
        <w:t>Common Stock Conversion Consideration</w:t>
      </w:r>
      <w:r>
        <w:rPr>
          <w:rFonts w:ascii="Times New Roman" w:cs="Times New Roman" w:eastAsia="Times New Roman" w:hAnsi="Times New Roman"/>
          <w:sz w:val="13"/>
          <w:szCs w:val="13"/>
          <w:color w:val="auto"/>
        </w:rPr>
        <w:t>”) equal to the lesser of (A) the quotient obtained by dividing (i) the sum of (x) the $25.00 liquidation preference per share of Series K Preferred Stock to be converted plus (y) the amount of any accrued and unpaid dividends to, but not including, the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107315</wp:posOffset>
            </wp:positionV>
            <wp:extent cx="4436110" cy="1524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875">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549275</wp:posOffset>
            </wp:positionV>
            <wp:extent cx="5083810" cy="1524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876">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75" w:name="page476"/>
    <w:bookmarkEnd w:id="475"/>
    <w:p>
      <w:pPr>
        <w:jc w:val="both"/>
        <w:ind w:left="600" w:right="560"/>
        <w:spacing w:after="0" w:line="287" w:lineRule="auto"/>
        <w:rPr>
          <w:sz w:val="20"/>
          <w:szCs w:val="20"/>
          <w:color w:val="auto"/>
        </w:rPr>
      </w:pPr>
      <w:r>
        <w:rPr>
          <w:rFonts w:ascii="Times New Roman" w:cs="Times New Roman" w:eastAsia="Times New Roman" w:hAnsi="Times New Roman"/>
          <w:sz w:val="13"/>
          <w:szCs w:val="13"/>
          <w:color w:val="auto"/>
        </w:rPr>
        <w:t>Conversion Date (unless the Change of Control Conversion Date is after a Dividend Record Date and prior to the corresponding Dividend Payment Date, in which case no additional amount for such accrued and unpaid dividends will be included in such sum) by (ii) the Common Stock Price (as defined herein) and (B) 0.43611 (the “</w:t>
      </w:r>
      <w:r>
        <w:rPr>
          <w:rFonts w:ascii="Times New Roman" w:cs="Times New Roman" w:eastAsia="Times New Roman" w:hAnsi="Times New Roman"/>
          <w:sz w:val="13"/>
          <w:szCs w:val="13"/>
          <w:u w:val="single" w:color="auto"/>
          <w:color w:val="auto"/>
        </w:rPr>
        <w:t>Share Cap</w:t>
      </w:r>
      <w:r>
        <w:rPr>
          <w:rFonts w:ascii="Times New Roman" w:cs="Times New Roman" w:eastAsia="Times New Roman" w:hAnsi="Times New Roman"/>
          <w:sz w:val="13"/>
          <w:szCs w:val="13"/>
          <w:color w:val="auto"/>
        </w:rPr>
        <w:t>”), subject to the immediately succeeding paragraph.</w:t>
      </w:r>
    </w:p>
    <w:p>
      <w:pPr>
        <w:spacing w:after="0" w:line="136" w:lineRule="exact"/>
        <w:rPr>
          <w:sz w:val="20"/>
          <w:szCs w:val="20"/>
          <w:color w:val="auto"/>
        </w:rPr>
      </w:pPr>
    </w:p>
    <w:p>
      <w:pPr>
        <w:jc w:val="both"/>
        <w:ind w:left="600" w:right="600" w:firstLine="960"/>
        <w:spacing w:after="0" w:line="276" w:lineRule="auto"/>
        <w:rPr>
          <w:sz w:val="20"/>
          <w:szCs w:val="20"/>
          <w:color w:val="auto"/>
        </w:rPr>
      </w:pPr>
      <w:r>
        <w:rPr>
          <w:rFonts w:ascii="Times New Roman" w:cs="Times New Roman" w:eastAsia="Times New Roman" w:hAnsi="Times New Roman"/>
          <w:sz w:val="13"/>
          <w:szCs w:val="13"/>
          <w:color w:val="auto"/>
        </w:rPr>
        <w:t>The Share Cap is subject to pro rata adjustments for any share splits (including those effected pursuant to a distribution of the Common Stock), subdivisions or combinations (in each case, a “</w:t>
      </w:r>
      <w:r>
        <w:rPr>
          <w:rFonts w:ascii="Times New Roman" w:cs="Times New Roman" w:eastAsia="Times New Roman" w:hAnsi="Times New Roman"/>
          <w:sz w:val="13"/>
          <w:szCs w:val="13"/>
          <w:u w:val="single" w:color="auto"/>
          <w:color w:val="auto"/>
        </w:rPr>
        <w:t>Share Split</w:t>
      </w:r>
      <w:r>
        <w:rPr>
          <w:rFonts w:ascii="Times New Roman" w:cs="Times New Roman" w:eastAsia="Times New Roman" w:hAnsi="Times New Roman"/>
          <w:sz w:val="13"/>
          <w:szCs w:val="13"/>
          <w:color w:val="auto"/>
        </w:rPr>
        <w:t>”) with respect to the Common Stock as follows: the adjusted Share Cap as the result of a Share Split shall be the number of shares of Common Stock that is equivalent to the product obtained by multiplying (i) the Share Cap in effect immediately prior to such Share Split by (ii) a fraction, the numerator of which is the number of shares of Common Stock outstanding after giving effect to such Share Split and the denominator of which is the number of shares of Common Stock outstanding immediately prior to such Share Split.</w:t>
      </w:r>
    </w:p>
    <w:p>
      <w:pPr>
        <w:spacing w:after="0" w:line="145" w:lineRule="exact"/>
        <w:rPr>
          <w:sz w:val="20"/>
          <w:szCs w:val="20"/>
          <w:color w:val="auto"/>
        </w:rPr>
      </w:pPr>
    </w:p>
    <w:p>
      <w:pPr>
        <w:jc w:val="both"/>
        <w:ind w:left="600" w:right="600" w:firstLine="960"/>
        <w:spacing w:after="0" w:line="275" w:lineRule="auto"/>
        <w:rPr>
          <w:sz w:val="20"/>
          <w:szCs w:val="20"/>
          <w:color w:val="auto"/>
        </w:rPr>
      </w:pPr>
      <w:r>
        <w:rPr>
          <w:rFonts w:ascii="Times New Roman" w:cs="Times New Roman" w:eastAsia="Times New Roman" w:hAnsi="Times New Roman"/>
          <w:sz w:val="13"/>
          <w:szCs w:val="13"/>
          <w:color w:val="auto"/>
        </w:rPr>
        <w:t>For the avoidance of doubt, subject to the immediately succeeding sentence, the aggregate number of shares of Common Stock (or equivalent Alternative Conversion Consideration (as defined below), as applicable) issuable in connection with the exercise of the Change of Control Conversion Right shall not exceed 3,488,880 shares of Common Stock (or equivalent Alternative Conversion Consideration, as applicable), subject to increase to the extent the underwriters’ option to purchase additional shares of Series K Preferred Stock in the initial public offering of Series K Preferred Stock is exercised, not to exceed 4,012,212 shares of Common Stock in total (or equivalent Alternative Conversion Consideration, as applicable) (the “</w:t>
      </w:r>
      <w:r>
        <w:rPr>
          <w:rFonts w:ascii="Times New Roman" w:cs="Times New Roman" w:eastAsia="Times New Roman" w:hAnsi="Times New Roman"/>
          <w:sz w:val="13"/>
          <w:szCs w:val="13"/>
          <w:u w:val="single" w:color="auto"/>
          <w:color w:val="auto"/>
        </w:rPr>
        <w:t>Exchange Cap</w:t>
      </w:r>
      <w:r>
        <w:rPr>
          <w:rFonts w:ascii="Times New Roman" w:cs="Times New Roman" w:eastAsia="Times New Roman" w:hAnsi="Times New Roman"/>
          <w:sz w:val="13"/>
          <w:szCs w:val="13"/>
          <w:color w:val="auto"/>
        </w:rPr>
        <w:t>”). The Exchange Cap is subject to pro rata adjustments for any Share Splits on the same basis as the corresponding adjustment to the Share Cap.</w:t>
      </w:r>
    </w:p>
    <w:p>
      <w:pPr>
        <w:spacing w:after="0" w:line="145" w:lineRule="exact"/>
        <w:rPr>
          <w:sz w:val="20"/>
          <w:szCs w:val="20"/>
          <w:color w:val="auto"/>
        </w:rPr>
      </w:pPr>
    </w:p>
    <w:p>
      <w:pPr>
        <w:jc w:val="both"/>
        <w:ind w:left="600" w:right="600" w:firstLine="960"/>
        <w:spacing w:after="0" w:line="275" w:lineRule="auto"/>
        <w:rPr>
          <w:sz w:val="20"/>
          <w:szCs w:val="20"/>
          <w:color w:val="auto"/>
        </w:rPr>
      </w:pPr>
      <w:r>
        <w:rPr>
          <w:rFonts w:ascii="Times New Roman" w:cs="Times New Roman" w:eastAsia="Times New Roman" w:hAnsi="Times New Roman"/>
          <w:sz w:val="13"/>
          <w:szCs w:val="13"/>
          <w:color w:val="auto"/>
        </w:rPr>
        <w:t>In the case of a Change of Control pursuant to which shares of Common Stock shall be converted into cash, securities or other property or assets (including any combination thereof) (the “</w:t>
      </w:r>
      <w:r>
        <w:rPr>
          <w:rFonts w:ascii="Times New Roman" w:cs="Times New Roman" w:eastAsia="Times New Roman" w:hAnsi="Times New Roman"/>
          <w:sz w:val="13"/>
          <w:szCs w:val="13"/>
          <w:u w:val="single" w:color="auto"/>
          <w:color w:val="auto"/>
        </w:rPr>
        <w:t>Alternative Form Consideration</w:t>
      </w:r>
      <w:r>
        <w:rPr>
          <w:rFonts w:ascii="Times New Roman" w:cs="Times New Roman" w:eastAsia="Times New Roman" w:hAnsi="Times New Roman"/>
          <w:sz w:val="13"/>
          <w:szCs w:val="13"/>
          <w:color w:val="auto"/>
        </w:rPr>
        <w:t>”), a holder of shares of Series K Preferred Stock shall receive upon conversion of such shares of Series K Preferred Stock the kind and amount of Alternative Form Consideration which such holder would have owned or been entitled to receive upon the Change of Control had such holder held a number of shares of Common Stock equal to the Common Stock Conversion Consideration immediately prior to the effective time of the Change of Control (the “</w:t>
      </w:r>
      <w:r>
        <w:rPr>
          <w:rFonts w:ascii="Times New Roman" w:cs="Times New Roman" w:eastAsia="Times New Roman" w:hAnsi="Times New Roman"/>
          <w:sz w:val="13"/>
          <w:szCs w:val="13"/>
          <w:u w:val="single" w:color="auto"/>
          <w:color w:val="auto"/>
        </w:rPr>
        <w:t>Alternative Conversion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Consideration</w:t>
      </w:r>
      <w:r>
        <w:rPr>
          <w:rFonts w:ascii="Times New Roman" w:cs="Times New Roman" w:eastAsia="Times New Roman" w:hAnsi="Times New Roman"/>
          <w:sz w:val="13"/>
          <w:szCs w:val="13"/>
          <w:color w:val="auto"/>
        </w:rPr>
        <w:t>”; and the Common Stock Conversion Consideration or the Alternative Conversion Consideration, as may be applicable to a Change of Control, shall be referred to herein as the “</w:t>
      </w:r>
      <w:r>
        <w:rPr>
          <w:rFonts w:ascii="Times New Roman" w:cs="Times New Roman" w:eastAsia="Times New Roman" w:hAnsi="Times New Roman"/>
          <w:sz w:val="13"/>
          <w:szCs w:val="13"/>
          <w:u w:val="single" w:color="auto"/>
          <w:color w:val="auto"/>
        </w:rPr>
        <w:t>Conversion Consideration</w:t>
      </w:r>
      <w:r>
        <w:rPr>
          <w:rFonts w:ascii="Times New Roman" w:cs="Times New Roman" w:eastAsia="Times New Roman" w:hAnsi="Times New Roman"/>
          <w:sz w:val="13"/>
          <w:szCs w:val="13"/>
          <w:color w:val="auto"/>
        </w:rPr>
        <w:t>”).</w:t>
      </w:r>
    </w:p>
    <w:p>
      <w:pPr>
        <w:spacing w:after="0" w:line="145" w:lineRule="exact"/>
        <w:rPr>
          <w:sz w:val="20"/>
          <w:szCs w:val="20"/>
          <w:color w:val="auto"/>
        </w:rPr>
      </w:pPr>
    </w:p>
    <w:p>
      <w:pPr>
        <w:jc w:val="both"/>
        <w:ind w:left="600" w:right="620" w:firstLine="960"/>
        <w:spacing w:after="0" w:line="276" w:lineRule="auto"/>
        <w:rPr>
          <w:sz w:val="20"/>
          <w:szCs w:val="20"/>
          <w:color w:val="auto"/>
        </w:rPr>
      </w:pPr>
      <w:r>
        <w:rPr>
          <w:rFonts w:ascii="Times New Roman" w:cs="Times New Roman" w:eastAsia="Times New Roman" w:hAnsi="Times New Roman"/>
          <w:sz w:val="13"/>
          <w:szCs w:val="13"/>
          <w:color w:val="auto"/>
        </w:rPr>
        <w:t>In the event that holders of Common Stock have the opportunity to elect the form of consideration to be received in the Change of Control, the Conversion Consideration will be deemed to be the kind and amount of consideration actually received by holders of a majority of the Common Stock that voted for such an election (if electing between two types of consideration) or holders of a plurality of the Common Stock that voted for such an election (if electing between more than two types of consideration), as the case may be, and will be subject to any limitations to which all holders of Common Stock are subject, including, without limitation, pro rata reductions applicable to any portion of the consideration payable in the Change of Control.</w:t>
      </w:r>
    </w:p>
    <w:p>
      <w:pPr>
        <w:spacing w:after="0" w:line="145" w:lineRule="exact"/>
        <w:rPr>
          <w:sz w:val="20"/>
          <w:szCs w:val="20"/>
          <w:color w:val="auto"/>
        </w:rPr>
      </w:pPr>
    </w:p>
    <w:p>
      <w:pPr>
        <w:jc w:val="both"/>
        <w:ind w:left="600" w:right="600" w:firstLine="960"/>
        <w:spacing w:after="0" w:line="287" w:lineRule="auto"/>
        <w:rPr>
          <w:sz w:val="20"/>
          <w:szCs w:val="20"/>
          <w:color w:val="auto"/>
        </w:rPr>
      </w:pPr>
      <w:r>
        <w:rPr>
          <w:rFonts w:ascii="Times New Roman" w:cs="Times New Roman" w:eastAsia="Times New Roman" w:hAnsi="Times New Roman"/>
          <w:sz w:val="13"/>
          <w:szCs w:val="13"/>
          <w:color w:val="auto"/>
        </w:rPr>
        <w:t>The “</w:t>
      </w:r>
      <w:r>
        <w:rPr>
          <w:rFonts w:ascii="Times New Roman" w:cs="Times New Roman" w:eastAsia="Times New Roman" w:hAnsi="Times New Roman"/>
          <w:sz w:val="13"/>
          <w:szCs w:val="13"/>
          <w:u w:val="single" w:color="auto"/>
          <w:color w:val="auto"/>
        </w:rPr>
        <w:t>Change of Control Conversion Date</w:t>
      </w:r>
      <w:r>
        <w:rPr>
          <w:rFonts w:ascii="Times New Roman" w:cs="Times New Roman" w:eastAsia="Times New Roman" w:hAnsi="Times New Roman"/>
          <w:sz w:val="13"/>
          <w:szCs w:val="13"/>
          <w:color w:val="auto"/>
        </w:rPr>
        <w:t xml:space="preserve"> ” shall be a Business Day set forth in the notice of Change of Control provided in accordance with Section 8(c) below that is no less than 20 days nor more than 35 days after the date on which the Company provides such notice pursuant to Section 8(c).</w:t>
      </w:r>
    </w:p>
    <w:p>
      <w:pPr>
        <w:spacing w:after="0" w:line="136" w:lineRule="exact"/>
        <w:rPr>
          <w:sz w:val="20"/>
          <w:szCs w:val="20"/>
          <w:color w:val="auto"/>
        </w:rPr>
      </w:pPr>
    </w:p>
    <w:p>
      <w:pPr>
        <w:jc w:val="both"/>
        <w:ind w:left="600" w:right="600" w:firstLine="960"/>
        <w:spacing w:after="0" w:line="274" w:lineRule="auto"/>
        <w:rPr>
          <w:sz w:val="20"/>
          <w:szCs w:val="20"/>
          <w:color w:val="auto"/>
        </w:rPr>
      </w:pPr>
      <w:r>
        <w:rPr>
          <w:rFonts w:ascii="Times New Roman" w:cs="Times New Roman" w:eastAsia="Times New Roman" w:hAnsi="Times New Roman"/>
          <w:sz w:val="13"/>
          <w:szCs w:val="13"/>
          <w:color w:val="auto"/>
        </w:rPr>
        <w:t>The “</w:t>
      </w:r>
      <w:r>
        <w:rPr>
          <w:rFonts w:ascii="Times New Roman" w:cs="Times New Roman" w:eastAsia="Times New Roman" w:hAnsi="Times New Roman"/>
          <w:sz w:val="13"/>
          <w:szCs w:val="13"/>
          <w:u w:val="single" w:color="auto"/>
          <w:color w:val="auto"/>
        </w:rPr>
        <w:t>Common Stock Price</w:t>
      </w:r>
      <w:r>
        <w:rPr>
          <w:rFonts w:ascii="Times New Roman" w:cs="Times New Roman" w:eastAsia="Times New Roman" w:hAnsi="Times New Roman"/>
          <w:sz w:val="13"/>
          <w:szCs w:val="13"/>
          <w:color w:val="auto"/>
        </w:rPr>
        <w:t>” shall be (i) if the consideration to be received in the Change of Control by the holders of Common Stock is solely cash, the amount of cash consideration per share of Common Stock or (ii) if the consideration to be received in the Change of Control by holders of Common Stock is other than solely cash (x) the average of the closing sale prices per share of Common Stock (or, if no closing sale price is reported, the average of the closing bid and ask prices or, if more than one in either case, the average of the average closing bid and the average closing ask prices) for the ten consecutive trading days immediately preceding, but not including, the effective date of the Change of Control as reported on the principal U.S. securities exchange on which the Common Stock is then traded, or (y) the average of the last quoted bid prices for the Common Stock in the over-the-counter market as reported by Pink Sheets LLC or similar organization for the ten consecutive trading days immediately preceding, but not including, the effective date of the Change of Control, if the Common Stock is not then listed for trading on a U.S. securities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106680</wp:posOffset>
            </wp:positionV>
            <wp:extent cx="4436110" cy="762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877">
                      <a:extLst>
                        <a:ext uri="{28A0092B-C50C-407E-A947-70E740481C1C}"/>
                      </a:extLst>
                    </a:blip>
                    <a:srcRect/>
                    <a:stretch>
                      <a:fillRect/>
                    </a:stretch>
                  </pic:blipFill>
                  <pic:spPr bwMode="auto">
                    <a:xfrm>
                      <a:off x="0" y="0"/>
                      <a:ext cx="4436110"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541020</wp:posOffset>
            </wp:positionV>
            <wp:extent cx="5083810" cy="1524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878">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76" w:name="page477"/>
    <w:bookmarkEnd w:id="476"/>
    <w:p>
      <w:pPr>
        <w:ind w:left="600" w:right="600" w:firstLine="475"/>
        <w:spacing w:after="0" w:line="305" w:lineRule="auto"/>
        <w:tabs>
          <w:tab w:leader="none" w:pos="1260" w:val="left"/>
        </w:tabs>
        <w:numPr>
          <w:ilvl w:val="1"/>
          <w:numId w:val="5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fractional shares of Common Stock shall be issued upon the conversion of Series K Preferred Stock. In lieu of fractional shares, holders shall be entitled to receive the cash value of such fractional shares based on the Common Stock Price.</w:t>
      </w:r>
    </w:p>
    <w:p>
      <w:pPr>
        <w:spacing w:after="0" w:line="124" w:lineRule="exact"/>
        <w:rPr>
          <w:rFonts w:ascii="Times New Roman" w:cs="Times New Roman" w:eastAsia="Times New Roman" w:hAnsi="Times New Roman"/>
          <w:sz w:val="13"/>
          <w:szCs w:val="13"/>
          <w:color w:val="auto"/>
        </w:rPr>
      </w:pPr>
    </w:p>
    <w:p>
      <w:pPr>
        <w:jc w:val="both"/>
        <w:ind w:left="600" w:right="600" w:firstLine="475"/>
        <w:spacing w:after="0" w:line="272" w:lineRule="auto"/>
        <w:tabs>
          <w:tab w:leader="none" w:pos="1260" w:val="left"/>
        </w:tabs>
        <w:numPr>
          <w:ilvl w:val="1"/>
          <w:numId w:val="5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Within 15 days following the occurrence of a Change of Control, a notice of occurrence of the Change of Control, describing the resulting Change of Control Conversion Right, shall be delivered to the holders of record of the shares of Series K Preferred Stock at their addresses as they appear on the Company’s share transfer records and notice shall be provided to the Company’s transfer agent. No failure to give such notice or any defect thereto or in the mailing thereof shall affect the validity of the proceedings for the conversion of any share of Series K Preferred Stock except as to the holder to whom notice was defective or not given. Each notice shall state: (i) the events constituting the Change of Control; (ii) the date of the Change of Control; (iii) the last date on which the holders of Series K Preferred Stock may exercise their Change of Control Conversion Right; (iv) the method and period for calculating the Common Stock Price; (v) the Change of Control Conversion Date; (vi) that if, prior to the Change of Control Conversion Date, the Company has provided or provides notice of its election to redeem all or any portion of the Series K Preferred Stock, the holder will not be able to convert shares of Series K Preferred Stock designated for redemption and such shares of Series K Preferred Stock shall be redeemed on the related redemption date, even if they have already been tendered for conversion pursuant to the Change of Control Conversion Right; (vii) if applicable, the type and amount of Alternative Conversion Consideration entitled to be received per share of Series K Preferred Stock; (viii) the name and address of the paying agent and the conversion agent; and (ix) the procedures that the holders of Series K Preferred Stock must follow to exercise the Change of Control Conversion Right.</w:t>
      </w:r>
    </w:p>
    <w:p>
      <w:pPr>
        <w:spacing w:after="0" w:line="138" w:lineRule="exact"/>
        <w:rPr>
          <w:rFonts w:ascii="Times New Roman" w:cs="Times New Roman" w:eastAsia="Times New Roman" w:hAnsi="Times New Roman"/>
          <w:sz w:val="13"/>
          <w:szCs w:val="13"/>
          <w:color w:val="auto"/>
        </w:rPr>
      </w:pPr>
    </w:p>
    <w:p>
      <w:pPr>
        <w:jc w:val="both"/>
        <w:ind w:left="600" w:right="600" w:firstLine="475"/>
        <w:spacing w:after="0" w:line="278" w:lineRule="auto"/>
        <w:tabs>
          <w:tab w:leader="none" w:pos="1260" w:val="left"/>
        </w:tabs>
        <w:numPr>
          <w:ilvl w:val="1"/>
          <w:numId w:val="5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issue a press release for publication on the Dow Jones &amp; Company, Inc., Business Wire, PR Newswire or Bloomberg Business News (or, if such organizations are not in existence at the time of issuance of such press release, such other news or press organization as is reasonably calculated to broadly disseminate the relevant information to the public), or post notice on the Company’s website, in any event prior to the opening of business on the first Business Day following any date on which the Company provides notice pursuant to Section 8(c) above to the holders of Series K Preferred Stock.</w:t>
      </w:r>
    </w:p>
    <w:p>
      <w:pPr>
        <w:spacing w:after="0" w:line="142" w:lineRule="exact"/>
        <w:rPr>
          <w:rFonts w:ascii="Times New Roman" w:cs="Times New Roman" w:eastAsia="Times New Roman" w:hAnsi="Times New Roman"/>
          <w:sz w:val="13"/>
          <w:szCs w:val="13"/>
          <w:color w:val="auto"/>
        </w:rPr>
      </w:pPr>
    </w:p>
    <w:p>
      <w:pPr>
        <w:jc w:val="both"/>
        <w:ind w:left="600" w:right="620" w:firstLine="475"/>
        <w:spacing w:after="0" w:line="271" w:lineRule="auto"/>
        <w:tabs>
          <w:tab w:leader="none" w:pos="1248" w:val="left"/>
        </w:tabs>
        <w:numPr>
          <w:ilvl w:val="1"/>
          <w:numId w:val="5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order to exercise the Change of Control Conversion Right, a holder of shares of Series K Preferred Stock shall be required to deliver, on or before the close of business on the Change of Control Conversion Date, the certificates (if any) representing the shares of Series K Preferred Stock to be converted, duly endorsed for transfer, together with a written conversion notice completed, to the Company’s transfer agent. Such notice shall state: (i) the relevant Change of Control Conversion Date;</w:t>
      </w:r>
    </w:p>
    <w:p>
      <w:pPr>
        <w:jc w:val="both"/>
        <w:ind w:left="600" w:right="600" w:hanging="6"/>
        <w:spacing w:after="0" w:line="284" w:lineRule="auto"/>
        <w:tabs>
          <w:tab w:leader="none" w:pos="807" w:val="left"/>
        </w:tabs>
        <w:numPr>
          <w:ilvl w:val="0"/>
          <w:numId w:val="5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number of shares of Series K Preferred Stock to be converted; and (iii) that the shares of Series K Preferred Stock are to be converted pursuant to the applicable provisions of these Articles Supplementary. Notwithstanding the foregoing, if the shares of Series K Preferred Stock are held in global form, such notice shall comply with applicable procedures of The Depository Trust Company (“</w:t>
      </w:r>
      <w:r>
        <w:rPr>
          <w:rFonts w:ascii="Times New Roman" w:cs="Times New Roman" w:eastAsia="Times New Roman" w:hAnsi="Times New Roman"/>
          <w:sz w:val="13"/>
          <w:szCs w:val="13"/>
          <w:u w:val="single" w:color="auto"/>
          <w:color w:val="auto"/>
        </w:rPr>
        <w:t>DTC</w:t>
      </w:r>
      <w:r>
        <w:rPr>
          <w:rFonts w:ascii="Times New Roman" w:cs="Times New Roman" w:eastAsia="Times New Roman" w:hAnsi="Times New Roman"/>
          <w:sz w:val="13"/>
          <w:szCs w:val="13"/>
          <w:color w:val="auto"/>
        </w:rPr>
        <w:t>”).</w:t>
      </w:r>
    </w:p>
    <w:p>
      <w:pPr>
        <w:spacing w:after="0" w:line="138" w:lineRule="exact"/>
        <w:rPr>
          <w:sz w:val="20"/>
          <w:szCs w:val="20"/>
          <w:color w:val="auto"/>
        </w:rPr>
      </w:pPr>
    </w:p>
    <w:p>
      <w:pPr>
        <w:jc w:val="both"/>
        <w:ind w:left="600" w:right="620" w:firstLine="480"/>
        <w:spacing w:after="0" w:line="271" w:lineRule="auto"/>
        <w:rPr>
          <w:sz w:val="20"/>
          <w:szCs w:val="20"/>
          <w:color w:val="auto"/>
        </w:rPr>
      </w:pPr>
      <w:r>
        <w:rPr>
          <w:rFonts w:ascii="Times New Roman" w:cs="Times New Roman" w:eastAsia="Times New Roman" w:hAnsi="Times New Roman"/>
          <w:sz w:val="13"/>
          <w:szCs w:val="13"/>
          <w:color w:val="auto"/>
        </w:rPr>
        <w:t>(f)Holders of Series K Preferred Stock may withdraw any notice of exercise of a Change of Control Conversion Right (in whole or in part) by a written notice of withdrawal delivered to the Company’s transfer agent prior to the close of business on the Business Day prior to the Change of Control Conversion Date. The notice of withdrawal must state: (i) the number of withdrawn shares of Series K Preferred Stock; (ii) if certificated shares of Series K Preferred Stock have been issued, the certificate numbers of the shares of withdrawn Series K Preferred Stock; and</w:t>
      </w:r>
    </w:p>
    <w:p>
      <w:pPr>
        <w:spacing w:after="0" w:line="1" w:lineRule="exact"/>
        <w:rPr>
          <w:sz w:val="20"/>
          <w:szCs w:val="20"/>
          <w:color w:val="auto"/>
        </w:rPr>
      </w:pPr>
    </w:p>
    <w:p>
      <w:pPr>
        <w:ind w:left="600" w:right="600" w:hanging="6"/>
        <w:spacing w:after="0" w:line="299" w:lineRule="auto"/>
        <w:tabs>
          <w:tab w:leader="none" w:pos="834" w:val="left"/>
        </w:tabs>
        <w:numPr>
          <w:ilvl w:val="0"/>
          <w:numId w:val="5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number of shares of Series K Preferred Stock, if any, which remain subject to the conversion notice. Notwithstanding the foregoing, if the shares of Series K Preferred Stock are held in global form, the notice of withdrawal shall comply with applicable procedures of DTC.</w:t>
      </w:r>
    </w:p>
    <w:p>
      <w:pPr>
        <w:spacing w:after="0" w:line="128" w:lineRule="exact"/>
        <w:rPr>
          <w:rFonts w:ascii="Times New Roman" w:cs="Times New Roman" w:eastAsia="Times New Roman" w:hAnsi="Times New Roman"/>
          <w:sz w:val="13"/>
          <w:szCs w:val="13"/>
          <w:color w:val="auto"/>
        </w:rPr>
      </w:pPr>
    </w:p>
    <w:p>
      <w:pPr>
        <w:jc w:val="both"/>
        <w:ind w:left="600" w:right="600" w:firstLine="475"/>
        <w:spacing w:after="0" w:line="274" w:lineRule="auto"/>
        <w:tabs>
          <w:tab w:leader="none" w:pos="1260" w:val="left"/>
        </w:tabs>
        <w:numPr>
          <w:ilvl w:val="1"/>
          <w:numId w:val="5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Shares of Series K Preferred Stock as to which the Change of Control Conversion Right has been properly exercised and for which the conversion notice has not been properly withdrawn shall be converted into the applicable Conversion Consideration in accordance with the Change of Control Conversion Right on the Change of Control Conversion Date, unless, prior to the Change of Control Conversion Date, the Company has provided or provides notice of its election to redeem such shares of Series K Preferred Stock, whether pursuant to its Redemption Right or Special Optional Redemption Right. If the Company elects to redeem shares of Series K Preferred Stock that would otherwise be converted into the applicable Conversion Consideration on a Change of Control Conversion Date, such shares of Series K Preferred Stock shall not be so converted and the holders of such shares shall be entitled to receive on the applicable redemption date $25.00 per share, plus any accrued and unpaid dividends thereon to, but not including, the redemption date.</w:t>
      </w:r>
    </w:p>
    <w:p>
      <w:pPr>
        <w:spacing w:after="0" w:line="135" w:lineRule="exact"/>
        <w:rPr>
          <w:rFonts w:ascii="Times New Roman" w:cs="Times New Roman" w:eastAsia="Times New Roman" w:hAnsi="Times New Roman"/>
          <w:sz w:val="13"/>
          <w:szCs w:val="13"/>
          <w:color w:val="auto"/>
        </w:rPr>
      </w:pPr>
    </w:p>
    <w:p>
      <w:pPr>
        <w:ind w:left="600" w:right="620" w:firstLine="475"/>
        <w:spacing w:after="0" w:line="305" w:lineRule="auto"/>
        <w:tabs>
          <w:tab w:leader="none" w:pos="1260" w:val="left"/>
        </w:tabs>
        <w:numPr>
          <w:ilvl w:val="1"/>
          <w:numId w:val="5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deliver the applicable Conversion Consideration no later than the third Business Day following the Change of Control Conversion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93980</wp:posOffset>
            </wp:positionV>
            <wp:extent cx="4436110" cy="1524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879">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535940</wp:posOffset>
            </wp:positionV>
            <wp:extent cx="5083810" cy="1524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880">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77" w:name="page478"/>
    <w:bookmarkEnd w:id="477"/>
    <w:p>
      <w:pPr>
        <w:jc w:val="both"/>
        <w:ind w:left="600" w:right="600" w:firstLine="475"/>
        <w:spacing w:after="0" w:line="278" w:lineRule="auto"/>
        <w:tabs>
          <w:tab w:leader="none" w:pos="1224" w:val="left"/>
        </w:tabs>
        <w:numPr>
          <w:ilvl w:val="0"/>
          <w:numId w:val="5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anything to the contrary contained herein, no holder of shares of Series K Preferred Stock will be entitled to convert such shares of Series K Preferred Stock into shares of Common Stock to the extent that receipt of such shares of Common Stock would cause the holder of such shares of Common Stock (or any other person) to have actual ownership, Beneficial Ownership or Constructive Ownership (each as defined in Section 9(a) hereof) in excess of the Ownership Limit (as defined in Section 9(a) hereof), the Aggregate Stock Ownership Limit (as defined in Section 9(a) hereof), or such other limit as permitted by the Board of Directors or a committee thereof pursuant to Section 9(i) hereof.</w:t>
      </w:r>
    </w:p>
    <w:p>
      <w:pPr>
        <w:spacing w:after="0" w:line="14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 xml:space="preserve">Section 9. </w:t>
      </w:r>
      <w:r>
        <w:rPr>
          <w:rFonts w:ascii="Times New Roman" w:cs="Times New Roman" w:eastAsia="Times New Roman" w:hAnsi="Times New Roman"/>
          <w:sz w:val="13"/>
          <w:szCs w:val="13"/>
          <w:u w:val="single" w:color="auto"/>
          <w:color w:val="auto"/>
        </w:rPr>
        <w:t>Restrictions on Ownership and Transfer to Preserve Tax Benefit</w:t>
      </w:r>
      <w:r>
        <w:rPr>
          <w:rFonts w:ascii="Times New Roman" w:cs="Times New Roman" w:eastAsia="Times New Roman" w:hAnsi="Times New Roman"/>
          <w:sz w:val="13"/>
          <w:szCs w:val="13"/>
          <w:color w:val="auto"/>
        </w:rPr>
        <w:t>.</w:t>
      </w:r>
    </w:p>
    <w:p>
      <w:pPr>
        <w:spacing w:after="0" w:line="187" w:lineRule="exact"/>
        <w:rPr>
          <w:sz w:val="20"/>
          <w:szCs w:val="20"/>
          <w:color w:val="auto"/>
        </w:rPr>
      </w:pPr>
    </w:p>
    <w:p>
      <w:pPr>
        <w:ind w:left="600" w:right="600" w:firstLine="475"/>
        <w:spacing w:after="0" w:line="305" w:lineRule="auto"/>
        <w:tabs>
          <w:tab w:leader="none" w:pos="1260" w:val="left"/>
        </w:tabs>
        <w:numPr>
          <w:ilvl w:val="0"/>
          <w:numId w:val="5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Definitions</w:t>
      </w:r>
      <w:r>
        <w:rPr>
          <w:rFonts w:ascii="Times New Roman" w:cs="Times New Roman" w:eastAsia="Times New Roman" w:hAnsi="Times New Roman"/>
          <w:sz w:val="13"/>
          <w:szCs w:val="13"/>
          <w:color w:val="auto"/>
        </w:rPr>
        <w:t>. For the purposes of Section 5 and this Section 9 of these Articles Supplementary, the following terms shall have the following meanings:</w:t>
      </w:r>
    </w:p>
    <w:p>
      <w:pPr>
        <w:spacing w:after="0" w:line="124"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Aggregate Stock Ownership Limit</w:t>
      </w:r>
      <w:r>
        <w:rPr>
          <w:rFonts w:ascii="Times New Roman" w:cs="Times New Roman" w:eastAsia="Times New Roman" w:hAnsi="Times New Roman"/>
          <w:sz w:val="13"/>
          <w:szCs w:val="13"/>
          <w:color w:val="auto"/>
        </w:rPr>
        <w:t>” has the meaning set forth in Article VI of the Charter.</w:t>
      </w:r>
    </w:p>
    <w:p>
      <w:pPr>
        <w:spacing w:after="0" w:line="187" w:lineRule="exact"/>
        <w:rPr>
          <w:sz w:val="20"/>
          <w:szCs w:val="20"/>
          <w:color w:val="auto"/>
        </w:rPr>
      </w:pPr>
    </w:p>
    <w:p>
      <w:pPr>
        <w:jc w:val="both"/>
        <w:ind w:left="1200" w:right="600" w:firstLine="360"/>
        <w:spacing w:after="0" w:line="28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Beneficial Ownership</w:t>
      </w:r>
      <w:r>
        <w:rPr>
          <w:rFonts w:ascii="Times New Roman" w:cs="Times New Roman" w:eastAsia="Times New Roman" w:hAnsi="Times New Roman"/>
          <w:sz w:val="13"/>
          <w:szCs w:val="13"/>
          <w:color w:val="auto"/>
        </w:rPr>
        <w:t>” shall mean ownership of Series K Preferred Stock by a Person who is or would be treated as an owner of such Series K Preferred Stock either actually or constructively through the application of Section 544 of the Code, as modified by Sections 856(h)(1)(B) and 856(h)(3) of the Code. The terms “</w:t>
      </w:r>
      <w:r>
        <w:rPr>
          <w:rFonts w:ascii="Times New Roman" w:cs="Times New Roman" w:eastAsia="Times New Roman" w:hAnsi="Times New Roman"/>
          <w:sz w:val="13"/>
          <w:szCs w:val="13"/>
          <w:u w:val="single" w:color="auto"/>
          <w:color w:val="auto"/>
        </w:rPr>
        <w:t>Beneficial Owner</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u w:val="single" w:color="auto"/>
          <w:color w:val="auto"/>
        </w:rPr>
        <w:t>Beneficially Owns</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u w:val="single" w:color="auto"/>
          <w:color w:val="auto"/>
        </w:rPr>
        <w:t>Beneficially Owned</w:t>
      </w:r>
      <w:r>
        <w:rPr>
          <w:rFonts w:ascii="Times New Roman" w:cs="Times New Roman" w:eastAsia="Times New Roman" w:hAnsi="Times New Roman"/>
          <w:sz w:val="13"/>
          <w:szCs w:val="13"/>
          <w:color w:val="auto"/>
        </w:rPr>
        <w:t>” shall have the correlative meanings.</w:t>
      </w:r>
    </w:p>
    <w:p>
      <w:pPr>
        <w:spacing w:after="0" w:line="14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Capital Stock</w:t>
      </w:r>
      <w:r>
        <w:rPr>
          <w:rFonts w:ascii="Times New Roman" w:cs="Times New Roman" w:eastAsia="Times New Roman" w:hAnsi="Times New Roman"/>
          <w:sz w:val="13"/>
          <w:szCs w:val="13"/>
          <w:color w:val="auto"/>
        </w:rPr>
        <w:t>” has the meaning set forth in Article VI of the Charter.</w:t>
      </w:r>
    </w:p>
    <w:p>
      <w:pPr>
        <w:spacing w:after="0" w:line="1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Charitable Beneficiary</w:t>
      </w:r>
      <w:r>
        <w:rPr>
          <w:rFonts w:ascii="Times New Roman" w:cs="Times New Roman" w:eastAsia="Times New Roman" w:hAnsi="Times New Roman"/>
          <w:sz w:val="13"/>
          <w:szCs w:val="13"/>
          <w:color w:val="auto"/>
        </w:rPr>
        <w:t>” shall mean one or more beneficiaries of a Trust, as determined pursuant to Section 9(c)</w:t>
      </w:r>
    </w:p>
    <w:p>
      <w:pPr>
        <w:spacing w:after="0" w:line="22" w:lineRule="exact"/>
        <w:rPr>
          <w:sz w:val="20"/>
          <w:szCs w:val="20"/>
          <w:color w:val="auto"/>
        </w:rPr>
      </w:pPr>
    </w:p>
    <w:p>
      <w:pPr>
        <w:ind w:left="1440" w:hanging="233"/>
        <w:spacing w:after="0"/>
        <w:tabs>
          <w:tab w:leader="none" w:pos="1440" w:val="left"/>
        </w:tabs>
        <w:numPr>
          <w:ilvl w:val="0"/>
          <w:numId w:val="5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of these Articles Supplementary, each of which shall be an organization described in Sections 170(b)(1)(A), 170(c)</w:t>
      </w:r>
    </w:p>
    <w:p>
      <w:pPr>
        <w:spacing w:after="0" w:line="18" w:lineRule="exact"/>
        <w:rPr>
          <w:rFonts w:ascii="Times New Roman" w:cs="Times New Roman" w:eastAsia="Times New Roman" w:hAnsi="Times New Roman"/>
          <w:sz w:val="13"/>
          <w:szCs w:val="13"/>
          <w:color w:val="auto"/>
        </w:rPr>
      </w:pPr>
    </w:p>
    <w:p>
      <w:pPr>
        <w:ind w:left="120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 and 501(c)(3) of the Code.</w:t>
      </w:r>
    </w:p>
    <w:p>
      <w:pPr>
        <w:spacing w:after="0" w:line="183" w:lineRule="exact"/>
        <w:rPr>
          <w:sz w:val="20"/>
          <w:szCs w:val="20"/>
          <w:color w:val="auto"/>
        </w:rPr>
      </w:pPr>
    </w:p>
    <w:p>
      <w:pPr>
        <w:jc w:val="both"/>
        <w:ind w:left="1200" w:right="620" w:firstLine="360"/>
        <w:spacing w:after="0" w:line="30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Code</w:t>
      </w:r>
      <w:r>
        <w:rPr>
          <w:rFonts w:ascii="Times New Roman" w:cs="Times New Roman" w:eastAsia="Times New Roman" w:hAnsi="Times New Roman"/>
          <w:sz w:val="13"/>
          <w:szCs w:val="13"/>
          <w:color w:val="auto"/>
        </w:rPr>
        <w:t>” shall mean the Internal Revenue Code of 1986, as amended. All section references to the Code shall include any successor provisions thereof as may be adopted from time to time.</w:t>
      </w:r>
    </w:p>
    <w:p>
      <w:pPr>
        <w:spacing w:after="0" w:line="124" w:lineRule="exact"/>
        <w:rPr>
          <w:sz w:val="20"/>
          <w:szCs w:val="20"/>
          <w:color w:val="auto"/>
        </w:rPr>
      </w:pPr>
    </w:p>
    <w:p>
      <w:pPr>
        <w:jc w:val="both"/>
        <w:ind w:left="1200" w:right="600" w:firstLine="360"/>
        <w:spacing w:after="0" w:line="28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Constructive Ownership</w:t>
      </w:r>
      <w:r>
        <w:rPr>
          <w:rFonts w:ascii="Times New Roman" w:cs="Times New Roman" w:eastAsia="Times New Roman" w:hAnsi="Times New Roman"/>
          <w:sz w:val="13"/>
          <w:szCs w:val="13"/>
          <w:color w:val="auto"/>
        </w:rPr>
        <w:t>” shall mean ownership of Series K Preferred Stock by a Person who is or would be treated as an owner of such Series K Preferred Stock either actually or constructively through the application of Section 318 of the Code, as modified by Section 856(d)(5) of the Code. The terms “</w:t>
      </w:r>
      <w:r>
        <w:rPr>
          <w:rFonts w:ascii="Times New Roman" w:cs="Times New Roman" w:eastAsia="Times New Roman" w:hAnsi="Times New Roman"/>
          <w:sz w:val="13"/>
          <w:szCs w:val="13"/>
          <w:u w:val="single" w:color="auto"/>
          <w:color w:val="auto"/>
        </w:rPr>
        <w:t>Constructive Owner</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u w:val="single" w:color="auto"/>
          <w:color w:val="auto"/>
        </w:rPr>
        <w:t>Constructively Owns</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u w:val="single" w:color="auto"/>
          <w:color w:val="auto"/>
        </w:rPr>
        <w:t>Constructively Owned</w:t>
      </w:r>
      <w:r>
        <w:rPr>
          <w:rFonts w:ascii="Times New Roman" w:cs="Times New Roman" w:eastAsia="Times New Roman" w:hAnsi="Times New Roman"/>
          <w:sz w:val="13"/>
          <w:szCs w:val="13"/>
          <w:color w:val="auto"/>
        </w:rPr>
        <w:t>” shall have the correlative meanings.</w:t>
      </w:r>
    </w:p>
    <w:p>
      <w:pPr>
        <w:spacing w:after="0" w:line="140" w:lineRule="exact"/>
        <w:rPr>
          <w:sz w:val="20"/>
          <w:szCs w:val="20"/>
          <w:color w:val="auto"/>
        </w:rPr>
      </w:pPr>
    </w:p>
    <w:p>
      <w:pPr>
        <w:jc w:val="both"/>
        <w:ind w:left="1200" w:right="600" w:firstLine="360"/>
        <w:spacing w:after="0" w:line="28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Individual</w:t>
      </w:r>
      <w:r>
        <w:rPr>
          <w:rFonts w:ascii="Times New Roman" w:cs="Times New Roman" w:eastAsia="Times New Roman" w:hAnsi="Times New Roman"/>
          <w:sz w:val="13"/>
          <w:szCs w:val="13"/>
          <w:color w:val="auto"/>
        </w:rPr>
        <w:t>” means an individual, a trust qualified under Section 401(a) or 501(c)(17) of the Code, a portion of a trust permanently set aside for or to be used exclusively for the purposes described in Section 642(c) of the Code, or a private foundation within the meaning of Section 509(a) of the Code, provided that a trust described in Section 401(a) of the Code and exempt from tax under Section 501(a) of the Code shall be excluded from this definition.</w:t>
      </w:r>
    </w:p>
    <w:p>
      <w:pPr>
        <w:spacing w:after="0" w:line="14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IRS</w:t>
      </w:r>
      <w:r>
        <w:rPr>
          <w:rFonts w:ascii="Times New Roman" w:cs="Times New Roman" w:eastAsia="Times New Roman" w:hAnsi="Times New Roman"/>
          <w:sz w:val="13"/>
          <w:szCs w:val="13"/>
          <w:color w:val="auto"/>
        </w:rPr>
        <w:t>” means the United States Internal Revenue Service.</w:t>
      </w:r>
    </w:p>
    <w:p>
      <w:pPr>
        <w:spacing w:after="0" w:line="187" w:lineRule="exact"/>
        <w:rPr>
          <w:sz w:val="20"/>
          <w:szCs w:val="20"/>
          <w:color w:val="auto"/>
        </w:rPr>
      </w:pPr>
    </w:p>
    <w:p>
      <w:pPr>
        <w:jc w:val="both"/>
        <w:ind w:left="1200" w:right="600" w:firstLine="360"/>
        <w:spacing w:after="0" w:line="27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Market Price</w:t>
      </w:r>
      <w:r>
        <w:rPr>
          <w:rFonts w:ascii="Times New Roman" w:cs="Times New Roman" w:eastAsia="Times New Roman" w:hAnsi="Times New Roman"/>
          <w:sz w:val="13"/>
          <w:szCs w:val="13"/>
          <w:color w:val="auto"/>
        </w:rPr>
        <w:t>” shall mean the last reported sales price reported on the NYSE of the Series K Preferred Stock on the Trading Day immediately preceding the relevant date, or if the Series K Preferred Stock is not then traded on the NYSE, the last reported sales price of the Series K Preferred Stock on the Trading Day immediately preceding the relevant date as reported on any exchange or quotation system over which the Series K Preferred Stock may be traded, or if the Series K Preferred Stock is not then traded over any exchange or quotation system, the market price of the Series K Preferred Stock on the relevant date as determined in good faith by the Board of Directors of the Company.</w:t>
      </w:r>
    </w:p>
    <w:p>
      <w:pPr>
        <w:spacing w:after="0" w:line="145" w:lineRule="exact"/>
        <w:rPr>
          <w:sz w:val="20"/>
          <w:szCs w:val="20"/>
          <w:color w:val="auto"/>
        </w:rPr>
      </w:pPr>
    </w:p>
    <w:p>
      <w:pPr>
        <w:jc w:val="both"/>
        <w:ind w:left="1200" w:right="600" w:firstLine="360"/>
        <w:spacing w:after="0" w:line="28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Ownership Limit</w:t>
      </w:r>
      <w:r>
        <w:rPr>
          <w:rFonts w:ascii="Times New Roman" w:cs="Times New Roman" w:eastAsia="Times New Roman" w:hAnsi="Times New Roman"/>
          <w:sz w:val="13"/>
          <w:szCs w:val="13"/>
          <w:color w:val="auto"/>
        </w:rPr>
        <w:t>” shall mean 9.8% (by value or number of shares, whichever is more restrictive) of the outstanding shares of Series K Preferred Stock of the Company. The number and value of shares of outstanding Series K Preferred Stock of the Company shall be determined by the Board of Directors in good faith, which determination shall be conclusive for all purposes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101600</wp:posOffset>
            </wp:positionV>
            <wp:extent cx="4436110" cy="1524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881">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543560</wp:posOffset>
            </wp:positionV>
            <wp:extent cx="5083810" cy="1524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882">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78" w:name="page479"/>
    <w:bookmarkEnd w:id="478"/>
    <w:p>
      <w:pPr>
        <w:jc w:val="both"/>
        <w:ind w:left="1200" w:right="600" w:firstLine="360"/>
        <w:spacing w:after="0" w:line="27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Person</w:t>
      </w:r>
      <w:r>
        <w:rPr>
          <w:rFonts w:ascii="Times New Roman" w:cs="Times New Roman" w:eastAsia="Times New Roman" w:hAnsi="Times New Roman"/>
          <w:sz w:val="13"/>
          <w:szCs w:val="13"/>
          <w:color w:val="auto"/>
        </w:rPr>
        <w:t>” shall mean an Individual, corporation, partnership, limited liability company, estate, trust (including a trust qualified under Section 401(a) or 501(c)(17) of the Code), association, joint stock company or other entity; but does not include an underwriter acting in a capacity as such in a public offering of shares of Series K Preferred Stock provided that the ownership of such shares of Series K Preferred Stock by such underwriter would not result in the Company being “closely held” within the meaning of Section 856(h) of the Code, or otherwise result in the Company failing to qualify as a REIT.</w:t>
      </w:r>
    </w:p>
    <w:p>
      <w:pPr>
        <w:spacing w:after="0" w:line="143" w:lineRule="exact"/>
        <w:rPr>
          <w:sz w:val="20"/>
          <w:szCs w:val="20"/>
          <w:color w:val="auto"/>
        </w:rPr>
      </w:pPr>
    </w:p>
    <w:p>
      <w:pPr>
        <w:jc w:val="both"/>
        <w:ind w:left="1200" w:right="600" w:firstLine="360"/>
        <w:spacing w:after="0" w:line="28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Purported Beneficial Transferee</w:t>
      </w:r>
      <w:r>
        <w:rPr>
          <w:rFonts w:ascii="Times New Roman" w:cs="Times New Roman" w:eastAsia="Times New Roman" w:hAnsi="Times New Roman"/>
          <w:sz w:val="13"/>
          <w:szCs w:val="13"/>
          <w:color w:val="auto"/>
        </w:rPr>
        <w:t>” shall mean, with respect to any purported Transfer (or other event) which results in a transfer to a Trust, as provided in Section 9(b)(ii) of these Articles Supplementary, the Purported Record Transferee, unless the Purported Record Transferee would have acquired or owned shares of Series K Preferred Stock for another Person who is the beneficial transferee or beneficial owner of such shares, in which case the Purported Beneficial Transferee shall be such Person.</w:t>
      </w:r>
    </w:p>
    <w:p>
      <w:pPr>
        <w:spacing w:after="0" w:line="140" w:lineRule="exact"/>
        <w:rPr>
          <w:sz w:val="20"/>
          <w:szCs w:val="20"/>
          <w:color w:val="auto"/>
        </w:rPr>
      </w:pPr>
    </w:p>
    <w:p>
      <w:pPr>
        <w:jc w:val="both"/>
        <w:ind w:left="1200" w:right="620" w:firstLine="360"/>
        <w:spacing w:after="0" w:line="28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Purported Record Transferee</w:t>
      </w:r>
      <w:r>
        <w:rPr>
          <w:rFonts w:ascii="Times New Roman" w:cs="Times New Roman" w:eastAsia="Times New Roman" w:hAnsi="Times New Roman"/>
          <w:sz w:val="13"/>
          <w:szCs w:val="13"/>
          <w:color w:val="auto"/>
        </w:rPr>
        <w:t>” shall mean, with respect to any purported Transfer (or other event) which results in a transfer to a Trust, as provided in Section 9(b)(ii) of these Articles Supplementary, the record holder of the Series K Preferred Stock if such Transfer had been valid under Section 9(b)(i) of these Articles Supplementary.</w:t>
      </w:r>
    </w:p>
    <w:p>
      <w:pPr>
        <w:spacing w:after="0" w:line="13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REIT</w:t>
      </w:r>
      <w:r>
        <w:rPr>
          <w:rFonts w:ascii="Times New Roman" w:cs="Times New Roman" w:eastAsia="Times New Roman" w:hAnsi="Times New Roman"/>
          <w:sz w:val="13"/>
          <w:szCs w:val="13"/>
          <w:color w:val="auto"/>
        </w:rPr>
        <w:t>” shall mean a real estate investment trust under Sections 856 through 860 of the Code.</w:t>
      </w:r>
    </w:p>
    <w:p>
      <w:pPr>
        <w:spacing w:after="0" w:line="187" w:lineRule="exact"/>
        <w:rPr>
          <w:sz w:val="20"/>
          <w:szCs w:val="20"/>
          <w:color w:val="auto"/>
        </w:rPr>
      </w:pPr>
    </w:p>
    <w:p>
      <w:pPr>
        <w:jc w:val="both"/>
        <w:ind w:left="1200" w:right="620" w:firstLine="360"/>
        <w:spacing w:after="0" w:line="30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Restriction Termination Date</w:t>
      </w:r>
      <w:r>
        <w:rPr>
          <w:rFonts w:ascii="Times New Roman" w:cs="Times New Roman" w:eastAsia="Times New Roman" w:hAnsi="Times New Roman"/>
          <w:sz w:val="13"/>
          <w:szCs w:val="13"/>
          <w:color w:val="auto"/>
        </w:rPr>
        <w:t>” shall mean the first day after the date hereof on which the Board of Directors of the Company determines that it is no longer in the best interests of the Company to attempt to, or continue to, qualify as a REIT.</w:t>
      </w:r>
    </w:p>
    <w:p>
      <w:pPr>
        <w:spacing w:after="0" w:line="124" w:lineRule="exact"/>
        <w:rPr>
          <w:sz w:val="20"/>
          <w:szCs w:val="20"/>
          <w:color w:val="auto"/>
        </w:rPr>
      </w:pPr>
    </w:p>
    <w:p>
      <w:pPr>
        <w:jc w:val="both"/>
        <w:ind w:left="1200" w:right="600" w:firstLine="360"/>
        <w:spacing w:after="0" w:line="28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Trading Day</w:t>
      </w:r>
      <w:r>
        <w:rPr>
          <w:rFonts w:ascii="Times New Roman" w:cs="Times New Roman" w:eastAsia="Times New Roman" w:hAnsi="Times New Roman"/>
          <w:sz w:val="13"/>
          <w:szCs w:val="13"/>
          <w:color w:val="auto"/>
        </w:rPr>
        <w:t>” means a day during which trading in securities generally occurs on the NYSE or, if the Common Stock is not quoted on the NYSE, then a day during which trading in securities generally occurs on the principal U.S. securities exchange on which the Common Stock is listed or, if the Common Stock is not listed on a U.S. national or regional securities exchange, then on the principal other market on which the Common Stock is then traded or quoted.</w:t>
      </w:r>
    </w:p>
    <w:p>
      <w:pPr>
        <w:spacing w:after="0" w:line="140" w:lineRule="exact"/>
        <w:rPr>
          <w:sz w:val="20"/>
          <w:szCs w:val="20"/>
          <w:color w:val="auto"/>
        </w:rPr>
      </w:pPr>
    </w:p>
    <w:p>
      <w:pPr>
        <w:jc w:val="both"/>
        <w:ind w:left="1200" w:right="600" w:firstLine="360"/>
        <w:spacing w:after="0" w:line="27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Transfer</w:t>
      </w:r>
      <w:r>
        <w:rPr>
          <w:rFonts w:ascii="Times New Roman" w:cs="Times New Roman" w:eastAsia="Times New Roman" w:hAnsi="Times New Roman"/>
          <w:sz w:val="13"/>
          <w:szCs w:val="13"/>
          <w:color w:val="auto"/>
        </w:rPr>
        <w:t>” shall mean any sale, issuance, transfer, gift, assignment, devise or other disposition of Series K Preferred Stock as well as any other event that causes any Person to Beneficially Own or Constructively Own Series K Preferred Stock, including (i) the granting of any option or entering into any agreement for the sale, transfer or other disposition of Series K Preferred Stock or (ii) the sale, transfer, assignment or other disposition of any securities (or rights convertible into or exchangeable for Series K Preferred Stock), whether voluntary or involuntary, whether such transfer has occurred of record or beneficially or Beneficially or Constructively (including but not limited to transfers of interests in other entities which result in changes in Beneficial or Constructive Ownership of Series K Preferred Stock), and whether such transfer has occurred by operation of law or otherwise.</w:t>
      </w:r>
    </w:p>
    <w:p>
      <w:pPr>
        <w:spacing w:after="0" w:line="14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Trust</w:t>
      </w:r>
      <w:r>
        <w:rPr>
          <w:rFonts w:ascii="Times New Roman" w:cs="Times New Roman" w:eastAsia="Times New Roman" w:hAnsi="Times New Roman"/>
          <w:sz w:val="13"/>
          <w:szCs w:val="13"/>
          <w:color w:val="auto"/>
        </w:rPr>
        <w:t>” shall mean each of the trusts provided for in Section 9(c) of these Articles Supplementary.</w:t>
      </w:r>
    </w:p>
    <w:p>
      <w:pPr>
        <w:spacing w:after="0" w:line="187" w:lineRule="exact"/>
        <w:rPr>
          <w:sz w:val="20"/>
          <w:szCs w:val="20"/>
          <w:color w:val="auto"/>
        </w:rPr>
      </w:pPr>
    </w:p>
    <w:p>
      <w:pPr>
        <w:jc w:val="both"/>
        <w:ind w:left="1200" w:right="620" w:firstLine="360"/>
        <w:spacing w:after="0" w:line="30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Trustee</w:t>
      </w:r>
      <w:r>
        <w:rPr>
          <w:rFonts w:ascii="Times New Roman" w:cs="Times New Roman" w:eastAsia="Times New Roman" w:hAnsi="Times New Roman"/>
          <w:sz w:val="13"/>
          <w:szCs w:val="13"/>
          <w:color w:val="auto"/>
        </w:rPr>
        <w:t>” shall mean any Person unaffiliated with the Company, or a Purported Beneficial Transferee, or a Purported Record Transferee, that is appointed by the Company to serve as trustee of a Trust.</w:t>
      </w:r>
    </w:p>
    <w:p>
      <w:pPr>
        <w:spacing w:after="0" w:line="124" w:lineRule="exact"/>
        <w:rPr>
          <w:sz w:val="20"/>
          <w:szCs w:val="20"/>
          <w:color w:val="auto"/>
        </w:rPr>
      </w:pPr>
    </w:p>
    <w:p>
      <w:pPr>
        <w:ind w:left="1740" w:hanging="173"/>
        <w:spacing w:after="0"/>
        <w:tabs>
          <w:tab w:leader="none" w:pos="1740" w:val="left"/>
        </w:tabs>
        <w:numPr>
          <w:ilvl w:val="0"/>
          <w:numId w:val="5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Restriction on Ownership and Transfers</w:t>
      </w:r>
      <w:r>
        <w:rPr>
          <w:rFonts w:ascii="Times New Roman" w:cs="Times New Roman" w:eastAsia="Times New Roman" w:hAnsi="Times New Roman"/>
          <w:sz w:val="13"/>
          <w:szCs w:val="13"/>
          <w:color w:val="auto"/>
        </w:rPr>
        <w:t>.</w:t>
      </w:r>
    </w:p>
    <w:p>
      <w:pPr>
        <w:spacing w:after="0" w:line="18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3"/>
          <w:szCs w:val="13"/>
          <w:color w:val="auto"/>
        </w:rPr>
        <w:t>(i)Prior to the Restriction Termination Date, but subject to Section 9(l):</w:t>
      </w:r>
    </w:p>
    <w:p>
      <w:pPr>
        <w:spacing w:after="0" w:line="187" w:lineRule="exact"/>
        <w:rPr>
          <w:sz w:val="20"/>
          <w:szCs w:val="20"/>
          <w:color w:val="auto"/>
        </w:rPr>
      </w:pPr>
    </w:p>
    <w:p>
      <w:pPr>
        <w:jc w:val="both"/>
        <w:ind w:left="1560" w:right="600" w:firstLine="480"/>
        <w:spacing w:after="0" w:line="281" w:lineRule="auto"/>
        <w:rPr>
          <w:sz w:val="20"/>
          <w:szCs w:val="20"/>
          <w:color w:val="auto"/>
        </w:rPr>
      </w:pPr>
      <w:r>
        <w:rPr>
          <w:rFonts w:ascii="Times New Roman" w:cs="Times New Roman" w:eastAsia="Times New Roman" w:hAnsi="Times New Roman"/>
          <w:sz w:val="13"/>
          <w:szCs w:val="13"/>
          <w:color w:val="auto"/>
        </w:rPr>
        <w:t>(A) except as provided in Section 9(i) of these Articles Supplementary, (1) no Person shall Beneficially Own shares of Series K Preferred Stock in excess of the Ownership Limit and (2) no Person shall Beneficially Own shares of Series K Preferred Stock that, taking into account any other Capital Stock Beneficially Owned by such Person, would result in such Person Beneficially Owning Capital Stock in excess of the Aggregate Stock Ownership Limit;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104140</wp:posOffset>
            </wp:positionV>
            <wp:extent cx="4436110" cy="762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883">
                      <a:extLst>
                        <a:ext uri="{28A0092B-C50C-407E-A947-70E740481C1C}"/>
                      </a:extLst>
                    </a:blip>
                    <a:srcRect/>
                    <a:stretch>
                      <a:fillRect/>
                    </a:stretch>
                  </pic:blipFill>
                  <pic:spPr bwMode="auto">
                    <a:xfrm>
                      <a:off x="0" y="0"/>
                      <a:ext cx="4436110"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538480</wp:posOffset>
            </wp:positionV>
            <wp:extent cx="5083810" cy="1524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884">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79" w:name="page480"/>
    <w:bookmarkEnd w:id="479"/>
    <w:p>
      <w:pPr>
        <w:jc w:val="both"/>
        <w:ind w:left="1560" w:right="600" w:firstLine="480"/>
        <w:spacing w:after="0" w:line="281" w:lineRule="auto"/>
        <w:rPr>
          <w:sz w:val="20"/>
          <w:szCs w:val="20"/>
          <w:color w:val="auto"/>
        </w:rPr>
      </w:pPr>
      <w:r>
        <w:rPr>
          <w:rFonts w:ascii="Times New Roman" w:cs="Times New Roman" w:eastAsia="Times New Roman" w:hAnsi="Times New Roman"/>
          <w:sz w:val="13"/>
          <w:szCs w:val="13"/>
          <w:color w:val="auto"/>
        </w:rPr>
        <w:t>(B) except as provided in Section 9(i) of these Articles Supplementary, (1) no Person shall Constructively Own shares of Series K Preferred Stock in excess of the Ownership Limit and (2) no Person shall Constructively Own shares of Series K Preferred Stock that, taking into account any other Capital Stock Constructively Owned by such Person, would result in such Person Constructively Owning Capital Stock in excess of the Aggregate Stock Ownership Limit;</w:t>
      </w:r>
    </w:p>
    <w:p>
      <w:pPr>
        <w:spacing w:after="0" w:line="140" w:lineRule="exact"/>
        <w:rPr>
          <w:sz w:val="20"/>
          <w:szCs w:val="20"/>
          <w:color w:val="auto"/>
        </w:rPr>
      </w:pPr>
    </w:p>
    <w:p>
      <w:pPr>
        <w:jc w:val="both"/>
        <w:ind w:left="1560" w:right="600" w:firstLine="480"/>
        <w:spacing w:after="0" w:line="270" w:lineRule="auto"/>
        <w:rPr>
          <w:sz w:val="20"/>
          <w:szCs w:val="20"/>
          <w:color w:val="auto"/>
        </w:rPr>
      </w:pPr>
      <w:r>
        <w:rPr>
          <w:rFonts w:ascii="Times New Roman" w:cs="Times New Roman" w:eastAsia="Times New Roman" w:hAnsi="Times New Roman"/>
          <w:sz w:val="13"/>
          <w:szCs w:val="13"/>
          <w:color w:val="auto"/>
        </w:rPr>
        <w:t>(C)no Person shall Beneficially Own or Constructively Own Series K Preferred Stock which, taking into account any other Capital Stock of the Company Beneficially or Constructively Owned by such Person, would result in the Company being “closely held” within the meaning of Section 856(h) of the Code, or otherwise failing to qualify as a REIT (including but not limited to Beneficial or Constructive Ownership that would result in the Company owning (actually or Constructively) an interest in a tenant that is described in Section 856(d)(2)</w:t>
      </w:r>
    </w:p>
    <w:p>
      <w:pPr>
        <w:spacing w:after="0" w:line="3" w:lineRule="exact"/>
        <w:rPr>
          <w:sz w:val="20"/>
          <w:szCs w:val="20"/>
          <w:color w:val="auto"/>
        </w:rPr>
      </w:pPr>
    </w:p>
    <w:p>
      <w:pPr>
        <w:ind w:left="1560" w:right="620" w:firstLine="7"/>
        <w:spacing w:after="0" w:line="299" w:lineRule="auto"/>
        <w:tabs>
          <w:tab w:leader="none" w:pos="1769" w:val="left"/>
        </w:tabs>
        <w:numPr>
          <w:ilvl w:val="0"/>
          <w:numId w:val="5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of the Code if the income derived by the Company (either directly or indirectly through one or more subsidiaries) from such tenant would cause the Company to fail to satisfy any of the gross income requirements of Section 856(c) of the Code).</w:t>
      </w:r>
    </w:p>
    <w:p>
      <w:pPr>
        <w:spacing w:after="0" w:line="128" w:lineRule="exact"/>
        <w:rPr>
          <w:sz w:val="20"/>
          <w:szCs w:val="20"/>
          <w:color w:val="auto"/>
        </w:rPr>
      </w:pPr>
    </w:p>
    <w:p>
      <w:pPr>
        <w:jc w:val="both"/>
        <w:ind w:left="600" w:right="600" w:firstLine="960"/>
        <w:spacing w:after="0" w:line="274" w:lineRule="auto"/>
        <w:rPr>
          <w:sz w:val="20"/>
          <w:szCs w:val="20"/>
          <w:color w:val="auto"/>
        </w:rPr>
      </w:pPr>
      <w:r>
        <w:rPr>
          <w:rFonts w:ascii="Times New Roman" w:cs="Times New Roman" w:eastAsia="Times New Roman" w:hAnsi="Times New Roman"/>
          <w:sz w:val="13"/>
          <w:szCs w:val="13"/>
          <w:color w:val="auto"/>
        </w:rPr>
        <w:t xml:space="preserve">(ii)If, prior to the Restriction Termination Date, any Transfer or other event occurs that, if effective, would result in any Person Beneficially or Constructively Owning Series K Preferred Stock in violation of Section 9(b)(i) of these Articles Supplementary, (A) then that number of shares of Series K Preferred Stock that otherwise would cause such Person to violate Section 9(b)(i) of these Articles Supplementary (rounded up to the nearest whole share) shall be automatically transferred to a Trust for the benefit of a Charitable Beneficiary, as described in Section 9(c), effective as of the close of business on the Business Day prior to the date of such Transfer or other event, and such Purported Beneficial Transferee shall thereafter have no rights in such shares or (B) if, for any reason, the transfer to the Trust described in clause (A) of this sentence is not automatically effective as provided therein to prevent any Person from Beneficially or Constructively Owning Series K Preferred Stock in violation of Section 9(b)(i) of these Articles Supplementary, then the Transfer of that number of shares of Series K Preferred Stock that otherwise would cause any Person to violate Section 9(b)(i) shall be void </w:t>
      </w:r>
      <w:r>
        <w:rPr>
          <w:rFonts w:ascii="Times New Roman" w:cs="Times New Roman" w:eastAsia="Times New Roman" w:hAnsi="Times New Roman"/>
          <w:sz w:val="13"/>
          <w:szCs w:val="13"/>
          <w:i w:val="1"/>
          <w:iCs w:val="1"/>
          <w:color w:val="auto"/>
        </w:rPr>
        <w:t>ab initio</w:t>
      </w:r>
      <w:r>
        <w:rPr>
          <w:rFonts w:ascii="Times New Roman" w:cs="Times New Roman" w:eastAsia="Times New Roman" w:hAnsi="Times New Roman"/>
          <w:sz w:val="13"/>
          <w:szCs w:val="13"/>
          <w:color w:val="auto"/>
        </w:rPr>
        <w:t>, and the Purported Beneficial Transferee shall have no rights in such shares.</w:t>
      </w:r>
    </w:p>
    <w:p>
      <w:pPr>
        <w:spacing w:after="0" w:line="301" w:lineRule="exact"/>
        <w:rPr>
          <w:sz w:val="20"/>
          <w:szCs w:val="20"/>
          <w:color w:val="auto"/>
        </w:rPr>
      </w:pPr>
    </w:p>
    <w:p>
      <w:pPr>
        <w:jc w:val="both"/>
        <w:ind w:left="600" w:right="620" w:firstLine="960"/>
        <w:spacing w:after="0" w:line="287" w:lineRule="auto"/>
        <w:rPr>
          <w:sz w:val="20"/>
          <w:szCs w:val="20"/>
          <w:color w:val="auto"/>
        </w:rPr>
      </w:pPr>
      <w:r>
        <w:rPr>
          <w:rFonts w:ascii="Times New Roman" w:cs="Times New Roman" w:eastAsia="Times New Roman" w:hAnsi="Times New Roman"/>
          <w:sz w:val="13"/>
          <w:szCs w:val="13"/>
          <w:color w:val="auto"/>
        </w:rPr>
        <w:t xml:space="preserve">(iii)Subject to Section 9(l) and prior to the Restriction Termination Date, any Transfer of Series K Preferred Stock that, if effective, would result in the capital stock of the Company being beneficially owned by fewer than 100 Persons (determined without reference to any rules of attribution) shall be void </w:t>
      </w:r>
      <w:r>
        <w:rPr>
          <w:rFonts w:ascii="Times New Roman" w:cs="Times New Roman" w:eastAsia="Times New Roman" w:hAnsi="Times New Roman"/>
          <w:sz w:val="13"/>
          <w:szCs w:val="13"/>
          <w:i w:val="1"/>
          <w:iCs w:val="1"/>
          <w:color w:val="auto"/>
        </w:rPr>
        <w:t>ab initio</w:t>
      </w:r>
      <w:r>
        <w:rPr>
          <w:rFonts w:ascii="Times New Roman" w:cs="Times New Roman" w:eastAsia="Times New Roman" w:hAnsi="Times New Roman"/>
          <w:sz w:val="13"/>
          <w:szCs w:val="13"/>
          <w:color w:val="auto"/>
        </w:rPr>
        <w:t>, and the intended transferee shall acquire no rights in such Series K Preferred Stock.</w:t>
      </w:r>
    </w:p>
    <w:p>
      <w:pPr>
        <w:spacing w:after="0" w:line="136" w:lineRule="exact"/>
        <w:rPr>
          <w:sz w:val="20"/>
          <w:szCs w:val="20"/>
          <w:color w:val="auto"/>
        </w:rPr>
      </w:pPr>
    </w:p>
    <w:p>
      <w:pPr>
        <w:ind w:left="1260" w:hanging="173"/>
        <w:spacing w:after="0"/>
        <w:tabs>
          <w:tab w:leader="none" w:pos="1260" w:val="left"/>
        </w:tabs>
        <w:numPr>
          <w:ilvl w:val="0"/>
          <w:numId w:val="5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Transfers of Series K Preferred Stock in Trust</w:t>
      </w:r>
      <w:r>
        <w:rPr>
          <w:rFonts w:ascii="Times New Roman" w:cs="Times New Roman" w:eastAsia="Times New Roman" w:hAnsi="Times New Roman"/>
          <w:sz w:val="13"/>
          <w:szCs w:val="13"/>
          <w:color w:val="auto"/>
        </w:rPr>
        <w:t>.</w:t>
      </w:r>
    </w:p>
    <w:p>
      <w:pPr>
        <w:spacing w:after="0" w:line="186" w:lineRule="exact"/>
        <w:rPr>
          <w:rFonts w:ascii="Times New Roman" w:cs="Times New Roman" w:eastAsia="Times New Roman" w:hAnsi="Times New Roman"/>
          <w:sz w:val="13"/>
          <w:szCs w:val="13"/>
          <w:color w:val="auto"/>
        </w:rPr>
      </w:pPr>
    </w:p>
    <w:p>
      <w:pPr>
        <w:jc w:val="both"/>
        <w:ind w:left="600" w:right="600" w:firstLine="955"/>
        <w:spacing w:after="0" w:line="276" w:lineRule="auto"/>
        <w:tabs>
          <w:tab w:leader="none" w:pos="1704" w:val="left"/>
        </w:tabs>
        <w:numPr>
          <w:ilvl w:val="1"/>
          <w:numId w:val="5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any purported Transfer or other event described in Section 9(b)(ii) of these Articles Supplementary, such Series K Preferred Stock shall be deemed to have been transferred to the Trustee in his capacity as trustee of a Trust for the exclusive benefit of one or more Charitable Beneficiaries. Such transfer to the Trustee shall be deemed to be effective as of the close of business on the Business Day prior to the purported Transfer or other event that results in a transfer to the Trust pursuant to Section 9(b)(ii). The Trustee shall be appointed by the Company and shall be a Person unaffiliated with the Company, any Purported Beneficial Transferee or any Purported Record Transferee. Each Charitable Beneficiary shall be designated by the Company as provided in Section 9(c)(vi) of these Articles Supplementary.</w:t>
      </w:r>
    </w:p>
    <w:p>
      <w:pPr>
        <w:spacing w:after="0" w:line="145" w:lineRule="exact"/>
        <w:rPr>
          <w:sz w:val="20"/>
          <w:szCs w:val="20"/>
          <w:color w:val="auto"/>
        </w:rPr>
      </w:pPr>
    </w:p>
    <w:p>
      <w:pPr>
        <w:jc w:val="both"/>
        <w:ind w:left="600" w:right="600" w:firstLine="960"/>
        <w:spacing w:after="0" w:line="278" w:lineRule="auto"/>
        <w:rPr>
          <w:sz w:val="20"/>
          <w:szCs w:val="20"/>
          <w:color w:val="auto"/>
        </w:rPr>
      </w:pPr>
      <w:r>
        <w:rPr>
          <w:rFonts w:ascii="Times New Roman" w:cs="Times New Roman" w:eastAsia="Times New Roman" w:hAnsi="Times New Roman"/>
          <w:sz w:val="13"/>
          <w:szCs w:val="13"/>
          <w:color w:val="auto"/>
        </w:rPr>
        <w:t>(ii)Series K Preferred Stock held by the Trustee shall be issued and outstanding Series K Preferred Stock of the Company. The Purported Beneficial Transferee or Purported Record Transferee shall have no rights in the shares of the Series K Preferred Stock held by the Trustee. The Purported Beneficial Transferee or Purported Record Transferee shall not benefit economically from ownership of any shares held in trust by the Trustee, shall have no rights to dividends and shall not possess any rights to vote or other rights attributable to the shares of Series K Preferred Stock held in the Trust.</w:t>
      </w:r>
    </w:p>
    <w:p>
      <w:pPr>
        <w:spacing w:after="0" w:line="143" w:lineRule="exact"/>
        <w:rPr>
          <w:sz w:val="20"/>
          <w:szCs w:val="20"/>
          <w:color w:val="auto"/>
        </w:rPr>
      </w:pPr>
    </w:p>
    <w:p>
      <w:pPr>
        <w:jc w:val="both"/>
        <w:ind w:left="600" w:right="600" w:firstLine="960"/>
        <w:spacing w:after="0" w:line="274" w:lineRule="auto"/>
        <w:rPr>
          <w:sz w:val="20"/>
          <w:szCs w:val="20"/>
          <w:color w:val="auto"/>
        </w:rPr>
      </w:pPr>
      <w:r>
        <w:rPr>
          <w:rFonts w:ascii="Times New Roman" w:cs="Times New Roman" w:eastAsia="Times New Roman" w:hAnsi="Times New Roman"/>
          <w:sz w:val="13"/>
          <w:szCs w:val="13"/>
          <w:color w:val="auto"/>
        </w:rPr>
        <w:t>(iii)The Trustee shall have all voting rights and rights to dividends with respect to Series K Preferred Stock held in the Trust, which rights shall be exercised for the exclusive benefit of the Charitable Beneficiary. Any dividend or distribution paid to or on behalf of the Purported Record Transferee or Purported Beneficial Transferee prior to the discovery by the Company that shares of Series K Preferred Stock have been transferred to the Trustee shall be paid to the Trustee upon demand, and any dividend or distribution declared but unpaid shall be paid when due to the Trustee with respect to such Series K Preferred Stock. Any dividends or distributions so paid over to the Trustee shall be held in trust for the Charitable Beneficiary. The Purported Record Transferee and Purported Beneficial Transferee shall have no voting rights with respect to the Series K Preferred Stock held in the Trust and, subject to Maryland law, effective as of the date the Series K Preferred Stock has been transferred to the Trustee, the Trustee shall have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108585</wp:posOffset>
            </wp:positionV>
            <wp:extent cx="4436110" cy="1524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885">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550545</wp:posOffset>
            </wp:positionV>
            <wp:extent cx="5083810" cy="1524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886">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80" w:name="page481"/>
    <w:bookmarkEnd w:id="480"/>
    <w:p>
      <w:pPr>
        <w:jc w:val="both"/>
        <w:ind w:left="600" w:right="600"/>
        <w:spacing w:after="0" w:line="275" w:lineRule="auto"/>
        <w:rPr>
          <w:sz w:val="20"/>
          <w:szCs w:val="20"/>
          <w:color w:val="auto"/>
        </w:rPr>
      </w:pPr>
      <w:r>
        <w:rPr>
          <w:rFonts w:ascii="Times New Roman" w:cs="Times New Roman" w:eastAsia="Times New Roman" w:hAnsi="Times New Roman"/>
          <w:sz w:val="13"/>
          <w:szCs w:val="13"/>
          <w:color w:val="auto"/>
        </w:rPr>
        <w:t xml:space="preserve">authority (at the Trustee’s sole discretion) (A) to rescind as void any vote cast by a Purported Record Transferee with respect to such Series K Preferred Stock prior to the discovery by the Company that the Series K Preferred Stock has been transferred to the Trustee and (B) to recast such vote in accordance with the desires of the Trustee acting for the benefit of the Charitable Beneficiary;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if the Company has already taken irreversible corporate action, then the Trustee shall not have the authority to rescind and recast such vote. Notwithstanding any other provision of these Articles Supplementary to the contrary, until the Company has received notification that the Series K Preferred Stock has been transferred into a Trust, the Company shall be entitled to rely on its share transfer and other stockholder records for purposes of preparing lists of stockholders entitled to vote at meetings, determining the validity and authority of proxies and otherwise conducting votes of stockholders.</w:t>
      </w:r>
    </w:p>
    <w:p>
      <w:pPr>
        <w:spacing w:after="0" w:line="133" w:lineRule="exact"/>
        <w:rPr>
          <w:sz w:val="20"/>
          <w:szCs w:val="20"/>
          <w:color w:val="auto"/>
        </w:rPr>
      </w:pPr>
    </w:p>
    <w:p>
      <w:pPr>
        <w:jc w:val="both"/>
        <w:ind w:left="600" w:right="580" w:firstLine="955"/>
        <w:spacing w:after="0" w:line="272" w:lineRule="auto"/>
        <w:tabs>
          <w:tab w:leader="none" w:pos="1776" w:val="left"/>
        </w:tabs>
        <w:numPr>
          <w:ilvl w:val="0"/>
          <w:numId w:val="5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Within 20 days of receiving notice from the Company that shares of Series K Preferred Stock have been transferred to the Trust, the Trustee of the Trust shall sell the shares of Series K Preferred Stock held in the Trust to a Person, designated by the Trustee, whose ownership of the shares of Series K Preferred Stock will not violate the ownership limitations set forth in Section 9(b)(i). Upon such sale, the interest of the Charitable Beneficiary in the shares of Series K Preferred Stock sold shall terminate and the Trustee shall distribute the net proceeds of the sale to the Purported Record Transferee and to the Charitable Beneficiary as provided in this Section 9(c)(iv). The Purported Record Transferee shall receive the lesser of (A) the price paid by the Purported Record Transferee for the shares of Series K Preferred Stock in the transaction that resulted in such transfer to the Trust (or, if the event which resulted in the transfer to the Trust did not involve a purchase of such shares of Series K Preferred Stock at Market Price, the Market Price of such shares of Series K Preferred Stock on the day of the event which resulted in the transfer of such shares of Series K Preferred Stock to the Trust) and (B) the price per share received by the Trustee (net of any commissions and other expenses of sale) from the sale or other disposition of the shares of Series K Preferred Stock held in the Trust. The Trustee may reduce the amount payable to the Purported Record Transferee by the amount of dividends and distributions which have been paid to the Purported Record Transferee and are owed by the Purported Record Transferee to the Trustee pursuant to Section 9(c)(iii). Any net sales proceeds in excess of the amount payable to the Purported Record Transferee shall be immediately paid to the Charitable Beneficiary together with any dividends or other distributions thereon. If, prior to the discovery by the Company that shares of such Series K Preferred Stock have been transferred to the Trustee, such shares of Series K Preferred Stock are sold by a Purported Record Transferee then (1) such shares of Series K Preferred Stock shall be deemed to have been sold on behalf of the Trust and (2) to the extent that the Purported Record Transferee received an amount for such shares of Series K Preferred Stock that exceeds the amount that such Purported Record Transferee was entitled to receive pursuant to this Section 9(c)(iv), such excess shall be paid to the Trustee upon demand.</w:t>
      </w:r>
    </w:p>
    <w:p>
      <w:pPr>
        <w:spacing w:after="0" w:line="301" w:lineRule="exact"/>
        <w:rPr>
          <w:sz w:val="20"/>
          <w:szCs w:val="20"/>
          <w:color w:val="auto"/>
        </w:rPr>
      </w:pPr>
    </w:p>
    <w:p>
      <w:pPr>
        <w:jc w:val="both"/>
        <w:ind w:left="600" w:right="600" w:firstLine="960"/>
        <w:spacing w:after="0" w:line="275" w:lineRule="auto"/>
        <w:rPr>
          <w:sz w:val="20"/>
          <w:szCs w:val="20"/>
          <w:color w:val="auto"/>
        </w:rPr>
      </w:pPr>
      <w:r>
        <w:rPr>
          <w:rFonts w:ascii="Times New Roman" w:cs="Times New Roman" w:eastAsia="Times New Roman" w:hAnsi="Times New Roman"/>
          <w:sz w:val="13"/>
          <w:szCs w:val="13"/>
          <w:color w:val="auto"/>
        </w:rPr>
        <w:t>(v) Series K Preferred Stock transferred to the Trustee shall be deemed to have been offered for sale to the Company, or its designee, at a price per share equal to the lesser of (A) the price paid by the Purported Record Transferee for the shares of Series K Preferred Stock in the transaction that resulted in such transfer to the Trust (or, if the event which resulted in the transfer to the Trust did not involve a purchase of such shares of Series K Preferred Stock at Market Price, the Market Price of such shares of Series K Preferred Stock on the day of the event which resulted in the transfer of such shares of Series K Preferred Stock to the Trust) and (B) the Market Price on the date the Company, or its designee, accepts such offer. The Company may reduce the amount payable to the Purported Record Transferee by the amount of dividends and distributions which have been paid to the Purported Record Transferee and are owed by the Purported Record Transferee to the Trustee pursuant to Section 9(c)</w:t>
      </w:r>
    </w:p>
    <w:p>
      <w:pPr>
        <w:spacing w:after="0" w:line="149" w:lineRule="exact"/>
        <w:rPr>
          <w:sz w:val="20"/>
          <w:szCs w:val="20"/>
          <w:color w:val="auto"/>
        </w:rPr>
      </w:pPr>
    </w:p>
    <w:p>
      <w:pPr>
        <w:jc w:val="both"/>
        <w:ind w:left="600" w:right="600"/>
        <w:spacing w:after="0" w:line="279" w:lineRule="auto"/>
        <w:rPr>
          <w:sz w:val="20"/>
          <w:szCs w:val="20"/>
          <w:color w:val="auto"/>
        </w:rPr>
      </w:pPr>
      <w:r>
        <w:rPr>
          <w:rFonts w:ascii="Times New Roman" w:cs="Times New Roman" w:eastAsia="Times New Roman" w:hAnsi="Times New Roman"/>
          <w:sz w:val="13"/>
          <w:szCs w:val="13"/>
          <w:color w:val="auto"/>
        </w:rPr>
        <w:t>(iii). The Company shall have the right to accept such offer until the Trustee has sold the shares of Series K Preferred Stock held in the Trust pursuant to Section 9(c)(iv). Upon such a sale to the Company, the interest of the Charitable Beneficiary in the shares of Series K Preferred Stock sold shall terminate and the Trustee shall distribute the net proceeds of the sale to the Purported Record Transferee and any dividends or other distributions held by the Trustee with respect to such Series K Preferred Stock shall thereupon be paid to the Charitable Beneficiary.</w:t>
      </w:r>
    </w:p>
    <w:p>
      <w:pPr>
        <w:spacing w:after="0" w:line="130" w:lineRule="exact"/>
        <w:rPr>
          <w:sz w:val="20"/>
          <w:szCs w:val="20"/>
          <w:color w:val="auto"/>
        </w:rPr>
      </w:pPr>
    </w:p>
    <w:p>
      <w:pPr>
        <w:jc w:val="both"/>
        <w:ind w:left="600" w:right="620" w:firstLine="960"/>
        <w:spacing w:after="0" w:line="287" w:lineRule="auto"/>
        <w:rPr>
          <w:sz w:val="20"/>
          <w:szCs w:val="20"/>
          <w:color w:val="auto"/>
        </w:rPr>
      </w:pPr>
      <w:r>
        <w:rPr>
          <w:rFonts w:ascii="Times New Roman" w:cs="Times New Roman" w:eastAsia="Times New Roman" w:hAnsi="Times New Roman"/>
          <w:sz w:val="13"/>
          <w:szCs w:val="13"/>
          <w:color w:val="auto"/>
        </w:rPr>
        <w:t>(vi)By written notice to the Trustee, the Company shall designate one or more nonprofit organizations to be the Charitable Beneficiary of the interest in the Trust such that the Series K Preferred Stock held in the Trust would not violate the restrictions set forth in Section 9(b)(i) in the hands of such Charitable Beneficiary.</w:t>
      </w:r>
    </w:p>
    <w:p>
      <w:pPr>
        <w:spacing w:after="0" w:line="136" w:lineRule="exact"/>
        <w:rPr>
          <w:sz w:val="20"/>
          <w:szCs w:val="20"/>
          <w:color w:val="auto"/>
        </w:rPr>
      </w:pPr>
    </w:p>
    <w:p>
      <w:pPr>
        <w:jc w:val="both"/>
        <w:ind w:left="600" w:right="600" w:firstLine="475"/>
        <w:spacing w:after="0" w:line="278" w:lineRule="auto"/>
        <w:tabs>
          <w:tab w:leader="none" w:pos="1260" w:val="left"/>
        </w:tabs>
        <w:numPr>
          <w:ilvl w:val="0"/>
          <w:numId w:val="5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Remedies For Breach</w:t>
      </w:r>
      <w:r>
        <w:rPr>
          <w:rFonts w:ascii="Times New Roman" w:cs="Times New Roman" w:eastAsia="Times New Roman" w:hAnsi="Times New Roman"/>
          <w:sz w:val="13"/>
          <w:szCs w:val="13"/>
          <w:color w:val="auto"/>
        </w:rPr>
        <w:t>. If the Board of Directors or a committee thereof or other designees if permitted by the MGCL shall at any time determine in good faith that a Transfer or other event has taken place in violation of Section 9(b) of these Articles Supplementary or that a Person intends to acquire, has attempted to acquire or may acquire beneficial ownership (determined without reference to any rules of attribution), Beneficial Ownership or Constructive Ownership of any shares of Series K Preferred Stock of the Company in violation of Section 9(b) of these Articles Supplementary, the Board of Directors or a committee thereof or other designees if permitted by the MGCL shall take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105410</wp:posOffset>
            </wp:positionV>
            <wp:extent cx="4436110" cy="762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887">
                      <a:extLst>
                        <a:ext uri="{28A0092B-C50C-407E-A947-70E740481C1C}"/>
                      </a:extLst>
                    </a:blip>
                    <a:srcRect/>
                    <a:stretch>
                      <a:fillRect/>
                    </a:stretch>
                  </pic:blipFill>
                  <pic:spPr bwMode="auto">
                    <a:xfrm>
                      <a:off x="0" y="0"/>
                      <a:ext cx="4436110"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539750</wp:posOffset>
            </wp:positionV>
            <wp:extent cx="5083810" cy="1524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888">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81" w:name="page482"/>
    <w:bookmarkEnd w:id="481"/>
    <w:p>
      <w:pPr>
        <w:jc w:val="both"/>
        <w:ind w:left="600" w:right="600"/>
        <w:spacing w:after="0" w:line="276" w:lineRule="auto"/>
        <w:rPr>
          <w:sz w:val="20"/>
          <w:szCs w:val="20"/>
          <w:color w:val="auto"/>
        </w:rPr>
      </w:pPr>
      <w:r>
        <w:rPr>
          <w:rFonts w:ascii="Times New Roman" w:cs="Times New Roman" w:eastAsia="Times New Roman" w:hAnsi="Times New Roman"/>
          <w:sz w:val="13"/>
          <w:szCs w:val="13"/>
          <w:color w:val="auto"/>
        </w:rPr>
        <w:t xml:space="preserve">such action as it deems advisable to refuse to give effect or to prevent such Transfer, including, but not limited to, causing the Company to redeem shares of Series K Preferred Stock, refusing to give effect to such Transfer on the books of the Company or instituting proceedings to enjoin such Transfer;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that any Transfers (or, in the case of events other than a Transfer, ownership or Constructive Ownership or Beneficial Ownership) in violation of Section 9(b)(i) of these Articles Supplementary, shall automatically result in the transfer to a Trust as described in Section 9(b)(ii) and any Transfer in violation of Section 9(b)(iii) shall automatically be void </w:t>
      </w:r>
      <w:r>
        <w:rPr>
          <w:rFonts w:ascii="Times New Roman" w:cs="Times New Roman" w:eastAsia="Times New Roman" w:hAnsi="Times New Roman"/>
          <w:sz w:val="13"/>
          <w:szCs w:val="13"/>
          <w:i w:val="1"/>
          <w:iCs w:val="1"/>
          <w:color w:val="auto"/>
        </w:rPr>
        <w:t>ab initio</w:t>
      </w:r>
      <w:r>
        <w:rPr>
          <w:rFonts w:ascii="Times New Roman" w:cs="Times New Roman" w:eastAsia="Times New Roman" w:hAnsi="Times New Roman"/>
          <w:sz w:val="13"/>
          <w:szCs w:val="13"/>
          <w:color w:val="auto"/>
        </w:rPr>
        <w:t xml:space="preserve"> irrespective of any action (or non-action) by the Board of Directors.</w:t>
      </w:r>
    </w:p>
    <w:p>
      <w:pPr>
        <w:spacing w:after="0" w:line="145" w:lineRule="exact"/>
        <w:rPr>
          <w:sz w:val="20"/>
          <w:szCs w:val="20"/>
          <w:color w:val="auto"/>
        </w:rPr>
      </w:pPr>
    </w:p>
    <w:p>
      <w:pPr>
        <w:jc w:val="both"/>
        <w:ind w:left="600" w:right="600" w:firstLine="475"/>
        <w:spacing w:after="0" w:line="278" w:lineRule="auto"/>
        <w:tabs>
          <w:tab w:leader="none" w:pos="1248" w:val="left"/>
        </w:tabs>
        <w:numPr>
          <w:ilvl w:val="0"/>
          <w:numId w:val="5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Notice of Restricted Transfer</w:t>
      </w:r>
      <w:r>
        <w:rPr>
          <w:rFonts w:ascii="Times New Roman" w:cs="Times New Roman" w:eastAsia="Times New Roman" w:hAnsi="Times New Roman"/>
          <w:sz w:val="13"/>
          <w:szCs w:val="13"/>
          <w:color w:val="auto"/>
        </w:rPr>
        <w:t>. Any Person who acquires or attempts to acquire shares of Series K Preferred Stock in violation of Section 9(b) of these Articles Supplementary, or any Person who is a Purported Beneficial Transferee such that an automatic transfer to a Trust results under Section 9(b)(ii) of these Articles Supplementary, shall immediately give written notice to the Company of such event and shall provide to the Company such other information as the Company may request in order to determine the effect, if any, of such Transfer or attempted Transfer on the Company’s status as a REIT.</w:t>
      </w:r>
    </w:p>
    <w:p>
      <w:pPr>
        <w:spacing w:after="0" w:line="142" w:lineRule="exact"/>
        <w:rPr>
          <w:rFonts w:ascii="Times New Roman" w:cs="Times New Roman" w:eastAsia="Times New Roman" w:hAnsi="Times New Roman"/>
          <w:sz w:val="13"/>
          <w:szCs w:val="13"/>
          <w:color w:val="auto"/>
        </w:rPr>
      </w:pPr>
    </w:p>
    <w:p>
      <w:pPr>
        <w:jc w:val="both"/>
        <w:ind w:left="600" w:right="600" w:firstLine="475"/>
        <w:spacing w:after="0" w:line="281" w:lineRule="auto"/>
        <w:tabs>
          <w:tab w:leader="none" w:pos="1236" w:val="left"/>
        </w:tabs>
        <w:numPr>
          <w:ilvl w:val="0"/>
          <w:numId w:val="5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Owners Required To Provide Information</w:t>
      </w:r>
      <w:r>
        <w:rPr>
          <w:rFonts w:ascii="Times New Roman" w:cs="Times New Roman" w:eastAsia="Times New Roman" w:hAnsi="Times New Roman"/>
          <w:sz w:val="13"/>
          <w:szCs w:val="13"/>
          <w:color w:val="auto"/>
        </w:rPr>
        <w:t>. Prior to the Restriction Termination Date each Person who is a beneficial owner or Beneficial Owner or Constructive Owner of Series K Preferred Stock and each Person (including the stockholder of record) who is holding Series K Preferred Stock for a beneficial owner or Beneficial Owner or Constructive Owner shall provide to the Company such information that the Company may request, in good faith, in order to determine the Company’s status as a REIT.</w:t>
      </w:r>
    </w:p>
    <w:p>
      <w:pPr>
        <w:spacing w:after="0" w:line="140" w:lineRule="exact"/>
        <w:rPr>
          <w:rFonts w:ascii="Times New Roman" w:cs="Times New Roman" w:eastAsia="Times New Roman" w:hAnsi="Times New Roman"/>
          <w:sz w:val="13"/>
          <w:szCs w:val="13"/>
          <w:color w:val="auto"/>
        </w:rPr>
      </w:pPr>
    </w:p>
    <w:p>
      <w:pPr>
        <w:jc w:val="both"/>
        <w:ind w:left="600" w:right="600" w:firstLine="475"/>
        <w:spacing w:after="0" w:line="287" w:lineRule="auto"/>
        <w:tabs>
          <w:tab w:leader="none" w:pos="1272" w:val="left"/>
        </w:tabs>
        <w:numPr>
          <w:ilvl w:val="0"/>
          <w:numId w:val="5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Remedies Not Limited</w:t>
      </w:r>
      <w:r>
        <w:rPr>
          <w:rFonts w:ascii="Times New Roman" w:cs="Times New Roman" w:eastAsia="Times New Roman" w:hAnsi="Times New Roman"/>
          <w:sz w:val="13"/>
          <w:szCs w:val="13"/>
          <w:color w:val="auto"/>
        </w:rPr>
        <w:t>. Nothing contained in these Articles Supplementary (but subject to Section 9(l) of these Articles Supplementary) shall limit the authority of the Board of Directors to take such other action as it deems necessary or advisable to protect the Company and the interests of its stockholders by preservation of the Company’s status as a REIT.</w:t>
      </w:r>
    </w:p>
    <w:p>
      <w:pPr>
        <w:spacing w:after="0" w:line="136" w:lineRule="exact"/>
        <w:rPr>
          <w:sz w:val="20"/>
          <w:szCs w:val="20"/>
          <w:color w:val="auto"/>
        </w:rPr>
      </w:pPr>
    </w:p>
    <w:p>
      <w:pPr>
        <w:jc w:val="both"/>
        <w:ind w:left="600" w:right="600" w:firstLine="480"/>
        <w:spacing w:after="0" w:line="273" w:lineRule="auto"/>
        <w:rPr>
          <w:sz w:val="20"/>
          <w:szCs w:val="20"/>
          <w:color w:val="auto"/>
        </w:rPr>
      </w:pPr>
      <w:r>
        <w:rPr>
          <w:rFonts w:ascii="Times New Roman" w:cs="Times New Roman" w:eastAsia="Times New Roman" w:hAnsi="Times New Roman"/>
          <w:sz w:val="13"/>
          <w:szCs w:val="13"/>
          <w:color w:val="auto"/>
        </w:rPr>
        <w:t xml:space="preserve">(h) </w:t>
      </w:r>
      <w:r>
        <w:rPr>
          <w:rFonts w:ascii="Times New Roman" w:cs="Times New Roman" w:eastAsia="Times New Roman" w:hAnsi="Times New Roman"/>
          <w:sz w:val="13"/>
          <w:szCs w:val="13"/>
          <w:u w:val="single" w:color="auto"/>
          <w:color w:val="auto"/>
        </w:rPr>
        <w:t>Ambiguity</w:t>
      </w:r>
      <w:r>
        <w:rPr>
          <w:rFonts w:ascii="Times New Roman" w:cs="Times New Roman" w:eastAsia="Times New Roman" w:hAnsi="Times New Roman"/>
          <w:sz w:val="13"/>
          <w:szCs w:val="13"/>
          <w:color w:val="auto"/>
        </w:rPr>
        <w:t>. In the case of an ambiguity in the application of any of the provisions of this Section 9 of these Articles Supplementary, including any definition contained in Section 9(a), the Board of Directors shall have the power to determine the application of the provisions of this Section 9 with respect to any situation based on the facts known to it (subject, however, to the provisions of Section 9(l) of these Articles Supplementary). In the event Section 9 requires an action by the Board of Directors and these Articles Supplementary fail to provide specific guidance with respect to such action, the Board of Directors shall have the power to determine the action to be taken so long as such action is not contrary to the provisions of Section 9. Absent a decision to the contrary by the Board of Directors (which the Board of Directors may make in its sole and absolute discretion), if a Person would have (but for the remedies set forth in Section 9(b)) acquired Beneficial or Constructive Ownership of Series K Preferred Stock in violation of Section 9(b)(i), such remedies (as applicable) shall apply first to the shares of Series K Preferred Stock which, but for such remedies, would have been actually owned by such Person, and second to shares of Series K Preferred Stock, which, but for such remedies, would have been Beneficially Owned or Constructively Owned (but not actually owned) by such Person, pro rata among the Persons who actually own such shares of Series K Preferred Stock based upon the relative number of the shares of Series K Preferred Stock held by each such Person.</w:t>
      </w:r>
    </w:p>
    <w:p>
      <w:pPr>
        <w:spacing w:after="0" w:line="132" w:lineRule="exact"/>
        <w:rPr>
          <w:sz w:val="20"/>
          <w:szCs w:val="20"/>
          <w:color w:val="auto"/>
        </w:rPr>
      </w:pPr>
    </w:p>
    <w:p>
      <w:pPr>
        <w:ind w:left="1220" w:hanging="133"/>
        <w:spacing w:after="0"/>
        <w:tabs>
          <w:tab w:leader="none" w:pos="1220" w:val="left"/>
        </w:tabs>
        <w:numPr>
          <w:ilvl w:val="0"/>
          <w:numId w:val="5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Exceptions</w:t>
      </w:r>
      <w:r>
        <w:rPr>
          <w:rFonts w:ascii="Times New Roman" w:cs="Times New Roman" w:eastAsia="Times New Roman" w:hAnsi="Times New Roman"/>
          <w:sz w:val="13"/>
          <w:szCs w:val="13"/>
          <w:color w:val="auto"/>
        </w:rPr>
        <w:t>.</w:t>
      </w:r>
    </w:p>
    <w:p>
      <w:pPr>
        <w:spacing w:after="0" w:line="186" w:lineRule="exact"/>
        <w:rPr>
          <w:rFonts w:ascii="Times New Roman" w:cs="Times New Roman" w:eastAsia="Times New Roman" w:hAnsi="Times New Roman"/>
          <w:sz w:val="13"/>
          <w:szCs w:val="13"/>
          <w:color w:val="auto"/>
        </w:rPr>
      </w:pPr>
    </w:p>
    <w:p>
      <w:pPr>
        <w:jc w:val="both"/>
        <w:ind w:left="600" w:right="620" w:firstLine="955"/>
        <w:spacing w:after="0" w:line="281" w:lineRule="auto"/>
        <w:tabs>
          <w:tab w:leader="none" w:pos="1716" w:val="left"/>
        </w:tabs>
        <w:numPr>
          <w:ilvl w:val="1"/>
          <w:numId w:val="5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Section 9(b)(i)(C), the Board of Directors, in its sole discretion, may exempt (prospectively or retroactively) a Person from the limitation on a Person Beneficially Owning shares of Series K Preferred Stock in violation of Section 9(b)(i)(A) if the Board of Directors determines that such exemption will not cause any Individual’s Beneficial Ownership of shares of Capital Stock to violate the Aggregate Stock Ownership Limit and that such exemption will not cause the Company to fail to qualify as a REIT under the Code.</w:t>
      </w:r>
    </w:p>
    <w:p>
      <w:pPr>
        <w:spacing w:after="0" w:line="140" w:lineRule="exact"/>
        <w:rPr>
          <w:rFonts w:ascii="Times New Roman" w:cs="Times New Roman" w:eastAsia="Times New Roman" w:hAnsi="Times New Roman"/>
          <w:sz w:val="13"/>
          <w:szCs w:val="13"/>
          <w:color w:val="auto"/>
        </w:rPr>
      </w:pPr>
    </w:p>
    <w:p>
      <w:pPr>
        <w:jc w:val="both"/>
        <w:ind w:left="600" w:right="600" w:firstLine="955"/>
        <w:spacing w:after="0" w:line="287" w:lineRule="auto"/>
        <w:tabs>
          <w:tab w:leader="none" w:pos="1740" w:val="left"/>
        </w:tabs>
        <w:numPr>
          <w:ilvl w:val="1"/>
          <w:numId w:val="5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Section 9(b)(i)(C), the Board of Directors in its sole discretion, may exempt (prospectively or retroactively) a Person from the limitation on a Person Constructively Owning shares of Series K Preferred Stock in violation of Section 9(b)(i)(B), if the Board of Directors determines that such ownership would not cause the Company to fail to qualify as a REIT under the Code.</w:t>
      </w:r>
    </w:p>
    <w:p>
      <w:pPr>
        <w:spacing w:after="0" w:line="136" w:lineRule="exact"/>
        <w:rPr>
          <w:sz w:val="20"/>
          <w:szCs w:val="20"/>
          <w:color w:val="auto"/>
        </w:rPr>
      </w:pPr>
    </w:p>
    <w:p>
      <w:pPr>
        <w:jc w:val="both"/>
        <w:ind w:left="600" w:right="600" w:firstLine="960"/>
        <w:spacing w:after="0" w:line="276" w:lineRule="auto"/>
        <w:rPr>
          <w:sz w:val="20"/>
          <w:szCs w:val="20"/>
          <w:color w:val="auto"/>
        </w:rPr>
      </w:pPr>
      <w:r>
        <w:rPr>
          <w:rFonts w:ascii="Times New Roman" w:cs="Times New Roman" w:eastAsia="Times New Roman" w:hAnsi="Times New Roman"/>
          <w:sz w:val="13"/>
          <w:szCs w:val="13"/>
          <w:color w:val="auto"/>
        </w:rPr>
        <w:t xml:space="preserve">(iii)Subject to Section 9(b)(i)(C) and the remainder of this Section 9(i)(iii), the Board of Directors may from time to time increase or decrease the Ownership Limit;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the decreased Ownership Limit will not be effective for any Person whose percentage ownership of Series K Preferred Stock is in excess of such decreased Ownership Limit until such time as such Person's percentage of Series K Preferred Stock equals or falls below the decreased Ownership Limit, but any further acquisition of Series K Preferred Stock in excess of such percentage ownership of Series K Preferred Stock will be in violation of the Ownership Limit, and, provided further, that the new Ownership Limit would not allow five or fewer Persons to Beneficially Own more than 49% in value of the outstanding capital stock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106680</wp:posOffset>
            </wp:positionV>
            <wp:extent cx="4436110" cy="1524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889">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549275</wp:posOffset>
            </wp:positionV>
            <wp:extent cx="5083810" cy="1524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890">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82" w:name="page483"/>
    <w:bookmarkEnd w:id="482"/>
    <w:p>
      <w:pPr>
        <w:jc w:val="both"/>
        <w:ind w:left="600" w:right="600" w:firstLine="960"/>
        <w:spacing w:after="0" w:line="271" w:lineRule="auto"/>
        <w:rPr>
          <w:sz w:val="20"/>
          <w:szCs w:val="20"/>
          <w:color w:val="auto"/>
        </w:rPr>
      </w:pPr>
      <w:r>
        <w:rPr>
          <w:rFonts w:ascii="Times New Roman" w:cs="Times New Roman" w:eastAsia="Times New Roman" w:hAnsi="Times New Roman"/>
          <w:sz w:val="13"/>
          <w:szCs w:val="13"/>
          <w:color w:val="auto"/>
        </w:rPr>
        <w:t>(iv)In granting a Person an exemption under Section 9(i)(i) or (ii) above, the Board of Directors may require such Person to make certain representations or undertakings or to agree that any violation or attempted violation of such representations or undertakings (or other action which is contrary to the restrictions contained in Section 9(b) of these Articles Supplementary) will result in such Series K Preferred Stock being transferred to a Trust in accordance with Section 9(b)(ii) of these Articles Supplementary. In granting any exception pursuant to Section 9(i)</w:t>
      </w:r>
    </w:p>
    <w:p>
      <w:pPr>
        <w:spacing w:after="0" w:line="1" w:lineRule="exact"/>
        <w:rPr>
          <w:sz w:val="20"/>
          <w:szCs w:val="20"/>
          <w:color w:val="auto"/>
        </w:rPr>
      </w:pPr>
    </w:p>
    <w:p>
      <w:pPr>
        <w:jc w:val="both"/>
        <w:ind w:left="600" w:right="600" w:hanging="6"/>
        <w:spacing w:after="0" w:line="284" w:lineRule="auto"/>
        <w:tabs>
          <w:tab w:leader="none" w:pos="767" w:val="left"/>
        </w:tabs>
        <w:numPr>
          <w:ilvl w:val="0"/>
          <w:numId w:val="5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or (ii) of these Articles Supplementary, the Board of Directors may require a ruling from the IRS, or an opinion of counsel, in either case in form and substance satisfactory to the Board of Directors in its sole discretion, as it may deem necessary or advisable in order to determine or ensure the Company's status as a REIT.</w:t>
      </w:r>
    </w:p>
    <w:p>
      <w:pPr>
        <w:spacing w:after="0" w:line="137" w:lineRule="exact"/>
        <w:rPr>
          <w:rFonts w:ascii="Times New Roman" w:cs="Times New Roman" w:eastAsia="Times New Roman" w:hAnsi="Times New Roman"/>
          <w:sz w:val="13"/>
          <w:szCs w:val="13"/>
          <w:color w:val="auto"/>
        </w:rPr>
      </w:pPr>
    </w:p>
    <w:p>
      <w:pPr>
        <w:ind w:left="600" w:right="1040" w:firstLine="475"/>
        <w:spacing w:after="0" w:line="305" w:lineRule="auto"/>
        <w:tabs>
          <w:tab w:leader="none" w:pos="1212" w:val="left"/>
        </w:tabs>
        <w:numPr>
          <w:ilvl w:val="1"/>
          <w:numId w:val="5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Legends</w:t>
      </w:r>
      <w:r>
        <w:rPr>
          <w:rFonts w:ascii="Times New Roman" w:cs="Times New Roman" w:eastAsia="Times New Roman" w:hAnsi="Times New Roman"/>
          <w:sz w:val="13"/>
          <w:szCs w:val="13"/>
          <w:color w:val="auto"/>
        </w:rPr>
        <w:t>. Each certificate for Series K Preferred Stock shall bear substantially the following legends in addition to any legends required to comply with federal and state securities laws:</w:t>
      </w:r>
    </w:p>
    <w:p>
      <w:pPr>
        <w:spacing w:after="0" w:line="12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3"/>
          <w:szCs w:val="13"/>
          <w:b w:val="1"/>
          <w:bCs w:val="1"/>
          <w:color w:val="auto"/>
        </w:rPr>
        <w:t>Classes of Stock</w:t>
      </w:r>
    </w:p>
    <w:p>
      <w:pPr>
        <w:spacing w:after="0" w:line="189" w:lineRule="exact"/>
        <w:rPr>
          <w:sz w:val="20"/>
          <w:szCs w:val="20"/>
          <w:color w:val="auto"/>
        </w:rPr>
      </w:pPr>
    </w:p>
    <w:p>
      <w:pPr>
        <w:ind w:left="1200" w:right="580"/>
        <w:spacing w:after="0" w:line="272" w:lineRule="auto"/>
        <w:rPr>
          <w:sz w:val="20"/>
          <w:szCs w:val="20"/>
          <w:color w:val="auto"/>
        </w:rPr>
      </w:pPr>
      <w:r>
        <w:rPr>
          <w:rFonts w:ascii="Times New Roman" w:cs="Times New Roman" w:eastAsia="Times New Roman" w:hAnsi="Times New Roman"/>
          <w:sz w:val="13"/>
          <w:szCs w:val="13"/>
          <w:color w:val="auto"/>
        </w:rPr>
        <w:t>“THE COMPANY IS AUTHORIZED TO ISSUE CAPITAL STOCK OF MORE THAN ONE CLASS, CONSISTING OF COMMON STOCK AND ONE OR MORE CLASSES OF PREFERRED STOCK. THE BOARD OF DIRECTORS IS AUTHORIZED TO DETERMINE THE PREFERENCES, LIMITATIONS AND RELATIVE RIGHTS OF ANY CLASS OF THE PREFERRED STOCK BEFORE THE ISSUANCE OF SHARES OF SUCH CLASS OF PREFERRED STOCK. THE COMPANY WILL FURNISH, WITHOUT CHARGE, TO ANY STOCKHOLDER MAKING A WRITTEN REQUEST THEREFOR, A COPY OF THE COMPANY’S CHARTER AND A WRITTEN STATEMENT OF THE DESIGNATIONS, RELATIVE RIGHTS, PREFERENCES, CONVERSION OR OTHER RIGHTS, VOTING POWERS, RESTRICTIONS, LIMITATIONS AS TO DIVIDENDS AND OTHER DISTRIBUTIONS, QUALIFICATIONS AND TERMS AND CONDITIONS OF REDEMPTION OF THE STOCK OF EACH CLASS WHICH THE COMPANY HAS THE AUTHORITY TO ISSUE AND, IF THE COMPANY IS AUTHORIZED TO ISSUE ANY PREFERRED OR SPECIAL CLASS IN SERIES, (i) THE DIFFERENCES IN THE RELATIVE RIGHTS AND PREFERENCES BETWEEN THE SHARES OF EACH SERIES TO THE EXTENT SET, AND (ii) THE AUTHORITY OF THE BOARD OF DIRECTORS TO SET SUCH RIGHTS AND PREFERENCES OF SUBSEQUENT SERIES. REQUESTS FOR SUCH WRITTEN STATEMENT MAY BE DIRECTED TO THE SECRETARY OF THE COMPANY AT ITS PRINCIPAL OFFICE.”</w:t>
      </w:r>
    </w:p>
    <w:p>
      <w:pPr>
        <w:spacing w:after="0" w:line="13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3"/>
          <w:szCs w:val="13"/>
          <w:b w:val="1"/>
          <w:bCs w:val="1"/>
          <w:color w:val="auto"/>
        </w:rPr>
        <w:t>Restriction on Ownership and Transfer</w:t>
      </w:r>
    </w:p>
    <w:p>
      <w:pPr>
        <w:spacing w:after="0" w:line="189" w:lineRule="exact"/>
        <w:rPr>
          <w:sz w:val="20"/>
          <w:szCs w:val="20"/>
          <w:color w:val="auto"/>
        </w:rPr>
      </w:pPr>
    </w:p>
    <w:p>
      <w:pPr>
        <w:jc w:val="both"/>
        <w:ind w:left="1200" w:right="600"/>
        <w:spacing w:after="0" w:line="272" w:lineRule="auto"/>
        <w:rPr>
          <w:sz w:val="20"/>
          <w:szCs w:val="20"/>
          <w:color w:val="auto"/>
        </w:rPr>
      </w:pPr>
      <w:r>
        <w:rPr>
          <w:rFonts w:ascii="Times New Roman" w:cs="Times New Roman" w:eastAsia="Times New Roman" w:hAnsi="Times New Roman"/>
          <w:sz w:val="13"/>
          <w:szCs w:val="13"/>
          <w:color w:val="auto"/>
        </w:rPr>
        <w:t>“THE SHARES OF THE COMPANY’S 5.850% SERIES K CUMULATIVE REDEEMABLE PREFERRED STOCK (“SERIES K PREFERRED STOCK”) REPRESENTED BY THIS CERTIFICATE ARE SUBJECT TO RESTRICTIONS ON BENEFICIAL AND CONSTRUCTIVE OWNERSHIP AND TRANSFER FOR THE PURPOSE OF THE COMPANY’S MAINTENANCE OF ITS STATUS AS A REAL ESTATE INVESTMENT TRUST UNDER THE INTERNAL REVENUE CODE OF 1986, AS AMENDED (THE “CODE”). SUBJECT TO CERTAIN FURTHER RESTRICTIONS AND EXCEPT AS EXPRESSLY PROVIDED IN THE ARTICLES SUPPLEMENTARY FOR THE SERIES K PREFERRED STOCK, (i) NO PERSON MAY BENEFICIALLY OR CONSTRUCTIVELY OWN SHARES OF SERIES K PREFERRED STOCK IN EXCESS OF 9.8% (BY VALUE OR BY NUMBER OF SHARES, WHICHEVER IS MORE RESTRICTIVE) OF THE OUTSTANDING SERIES K PREFERRED STOCK OF THE COMPANY; (ii) NO PERSON MAY BENEFICIALLY OR CONSTRUCTIVELY OWN SHARES OF SERIES K PREFERRED STOCK THAT, TAKING INTO ACCOUNT ANY OTHER CAPITAL STOCK OF THE COMPANY BENEFICIALLY OR CONSTRUCTIVELY OWNED BY SUCH PERSON, WOULD RESULT IN SUCH PERSON BENEFICIALLY OR CONSTRUCTIVELY OWNING CAPITAL STOCK WITH A VALUE IN EXCESS OF 9.8% OF THE VALUE OF THE COMPANY’S OUTSTANDING CAPITAL STOCK; (iii) NO PERSON MAY BENEFICIALLY OR CONSTRUCTIVELY OWN SHARES OF SERIES K PREFERRED STOCK THAT, TAKING INTO ACCOUNT ANY OTHER CAPITAL STOCK OF THE COMPANY BENEFICIALLY OR CONSTRUCTIVELY OWNED BY SUCH PERSON, WOULD RESULT IN THE COMPANY BEING “CLOSELY HELD” UNDER SECTION 856(h) OF THE CODE OR OTHERWISE CAUSE THE COMPANY TO FAIL TO QUALIFY AS A REIT; AND (iv) ANY TRANSFER OF SHARES OF SERIES K PREFERRED STOCK THAT, IF EFFECTIVE, WOULD RESULT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213360</wp:posOffset>
            </wp:positionV>
            <wp:extent cx="4436110" cy="1524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91">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648335</wp:posOffset>
            </wp:positionV>
            <wp:extent cx="5083810" cy="1524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92">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83" w:name="page484"/>
    <w:bookmarkEnd w:id="483"/>
    <w:p>
      <w:pPr>
        <w:jc w:val="both"/>
        <w:ind w:left="1200" w:right="600"/>
        <w:spacing w:after="0" w:line="271" w:lineRule="auto"/>
        <w:rPr>
          <w:sz w:val="20"/>
          <w:szCs w:val="20"/>
          <w:color w:val="auto"/>
        </w:rPr>
      </w:pPr>
      <w:r>
        <w:rPr>
          <w:rFonts w:ascii="Times New Roman" w:cs="Times New Roman" w:eastAsia="Times New Roman" w:hAnsi="Times New Roman"/>
          <w:sz w:val="13"/>
          <w:szCs w:val="13"/>
          <w:color w:val="auto"/>
        </w:rPr>
        <w:t xml:space="preserve">CAPITAL STOCK OF THE COMPANY BEING BENEFICIALLY OWNED BY FEWER THAN 100 PERSONS WILL BE VOID </w:t>
      </w:r>
      <w:r>
        <w:rPr>
          <w:rFonts w:ascii="Times New Roman" w:cs="Times New Roman" w:eastAsia="Times New Roman" w:hAnsi="Times New Roman"/>
          <w:sz w:val="13"/>
          <w:szCs w:val="13"/>
          <w:i w:val="1"/>
          <w:iCs w:val="1"/>
          <w:color w:val="auto"/>
        </w:rPr>
        <w:t xml:space="preserve">AB INITIO </w:t>
      </w:r>
      <w:r>
        <w:rPr>
          <w:rFonts w:ascii="Times New Roman" w:cs="Times New Roman" w:eastAsia="Times New Roman" w:hAnsi="Times New Roman"/>
          <w:sz w:val="13"/>
          <w:szCs w:val="13"/>
          <w:color w:val="auto"/>
        </w:rPr>
        <w:t>AND THE INTENDED TRANSFEREE WILL ACQUIRE NO RIGHTS IN SUCH SHARES OF SERIES K PREFERRED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STOCK. ANY PERSON WHO BENEFICIALLY OR CONSTRUCTIVELY OWNS OR ATTEMPTS TO BENEFICIALLY OR CONSTRUCTIVELY OWN SERIES K PREFERRED STOCK WHICH CAUSES OR WILL CAUSE A PERSON TO BENEFICIALLY OR CONSTRUCTIVELY OWN SERIES K PREFERRED STOCK IN EXCESS OF THE ABOVE LIMITATIONS MUST IMMEDIATELY NOTIFY THE COMPANY. IF ANY OF THE RESTRICTIONS ON TRANSFER OR OWNERSHIP IN (i) THROUGH (iii) ABOVE ARE VIOLATED, THE SERIES K PREFERRED STOCK REPRESENTED HEREBY IN EXCESS OF SUCH RESTRICTIONS WILL BE AUTOMATICALLY TRANSFERRED TO THE TRUSTEE OF A TRUST FOR THE BENEFIT OF ONE OR MORE CHARITABLE BENEFICIARIES. IN ADDITION, THE COMPANY MAY REDEEM SHARES UPON THE TERMS AND CONDITIONS SPECIFIED BY THE BOARD OF DIRECTORS IN ITS SOLE DISCRETION IF THE BOARD OF DIRECTORS DETERMINES THAT OWNERSHIP OR A TRANSFER OR OTHER EVENT MAY VIOLATE THE RESTRICTIONS DESCRIBED ABOVE. FURTHERMORE, UPON THE OCCURRENCE OF CERTAIN EVENTS, ATTEMPTED TRANSFERS IN VIOLATION OF THE RESTRICTIONS DESCRIBED ABOVE MAY BE VOID </w:t>
      </w:r>
      <w:r>
        <w:rPr>
          <w:rFonts w:ascii="Times New Roman" w:cs="Times New Roman" w:eastAsia="Times New Roman" w:hAnsi="Times New Roman"/>
          <w:sz w:val="13"/>
          <w:szCs w:val="13"/>
          <w:i w:val="1"/>
          <w:iCs w:val="1"/>
          <w:color w:val="auto"/>
        </w:rPr>
        <w:t>AB INITIO</w:t>
      </w:r>
      <w:r>
        <w:rPr>
          <w:rFonts w:ascii="Times New Roman" w:cs="Times New Roman" w:eastAsia="Times New Roman" w:hAnsi="Times New Roman"/>
          <w:sz w:val="13"/>
          <w:szCs w:val="13"/>
          <w:color w:val="auto"/>
        </w:rPr>
        <w:t>. ALL TERMS IN THIS LEGEND WHICH ARE DEFINED IN THE ARTICLES SUPPLEMENTARY FOR THE SERIES K PREFERRED STOCK SHALL HAVE THE MEANINGS ASCRIBED TO THEM IN SUCH ARTICLES SUPPLEMENTARY, AS THE SAME MAY BE AMENDED FROM TIME TO TIME, A COPY OF WHICH, INCLUDING THE RESTRICTIONS ON TRANSFER AND OWNERSHIP, WILL BE FURNISHED TO EACH HOLDER OF SERIES K PREFERRED STOCK ON REQUEST AND WITHOUT CHARGE. REQUESTS FOR SUCH A COPY MAY BE DIRECTED TO THE SECRETARY OF THE COMPANY AT ITS PRINCIPAL OFFICE.”</w:t>
      </w:r>
    </w:p>
    <w:p>
      <w:pPr>
        <w:spacing w:after="0" w:line="311" w:lineRule="exact"/>
        <w:rPr>
          <w:sz w:val="20"/>
          <w:szCs w:val="20"/>
          <w:color w:val="auto"/>
        </w:rPr>
      </w:pPr>
    </w:p>
    <w:p>
      <w:pPr>
        <w:jc w:val="both"/>
        <w:ind w:left="1080" w:right="600" w:firstLine="487"/>
        <w:spacing w:after="0" w:line="287" w:lineRule="auto"/>
        <w:tabs>
          <w:tab w:leader="none" w:pos="1728" w:val="left"/>
        </w:tabs>
        <w:numPr>
          <w:ilvl w:val="0"/>
          <w:numId w:val="5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Severability</w:t>
      </w:r>
      <w:r>
        <w:rPr>
          <w:rFonts w:ascii="Times New Roman" w:cs="Times New Roman" w:eastAsia="Times New Roman" w:hAnsi="Times New Roman"/>
          <w:sz w:val="13"/>
          <w:szCs w:val="13"/>
          <w:color w:val="auto"/>
        </w:rPr>
        <w:t>. If any provision of this Section 9 or any application of any such provision is determined to be invalid by any federal or state court having jurisdiction over the issues, the validity of the remaining provisions shall not be affected and other applications of such provision shall be affected only to the extent necessary to comply with the determination of such court.</w:t>
      </w:r>
    </w:p>
    <w:p>
      <w:pPr>
        <w:spacing w:after="0" w:line="136" w:lineRule="exact"/>
        <w:rPr>
          <w:sz w:val="20"/>
          <w:szCs w:val="20"/>
          <w:color w:val="auto"/>
        </w:rPr>
      </w:pPr>
    </w:p>
    <w:p>
      <w:pPr>
        <w:jc w:val="both"/>
        <w:ind w:left="600" w:right="620" w:firstLine="480"/>
        <w:spacing w:after="0" w:line="287" w:lineRule="auto"/>
        <w:rPr>
          <w:sz w:val="20"/>
          <w:szCs w:val="20"/>
          <w:color w:val="auto"/>
        </w:rPr>
      </w:pPr>
      <w:r>
        <w:rPr>
          <w:rFonts w:ascii="Times New Roman" w:cs="Times New Roman" w:eastAsia="Times New Roman" w:hAnsi="Times New Roman"/>
          <w:sz w:val="13"/>
          <w:szCs w:val="13"/>
          <w:color w:val="auto"/>
        </w:rPr>
        <w:t>(l)</w:t>
      </w:r>
      <w:r>
        <w:rPr>
          <w:rFonts w:ascii="Times New Roman" w:cs="Times New Roman" w:eastAsia="Times New Roman" w:hAnsi="Times New Roman"/>
          <w:sz w:val="13"/>
          <w:szCs w:val="13"/>
          <w:u w:val="single" w:color="auto"/>
          <w:color w:val="auto"/>
        </w:rPr>
        <w:t>NYSE</w:t>
      </w:r>
      <w:r>
        <w:rPr>
          <w:rFonts w:ascii="Times New Roman" w:cs="Times New Roman" w:eastAsia="Times New Roman" w:hAnsi="Times New Roman"/>
          <w:sz w:val="13"/>
          <w:szCs w:val="13"/>
          <w:color w:val="auto"/>
        </w:rPr>
        <w:t>. Nothing in this Section 9 shall preclude the settlement of any transaction entered into through the facilities of the NYSE. The shares of Series K Preferred Stock that are the subject of such transaction shall continue to be subject to the provisions of this Section 9 after such settlement.</w:t>
      </w:r>
    </w:p>
    <w:p>
      <w:pPr>
        <w:spacing w:after="0" w:line="136" w:lineRule="exact"/>
        <w:rPr>
          <w:sz w:val="20"/>
          <w:szCs w:val="20"/>
          <w:color w:val="auto"/>
        </w:rPr>
      </w:pPr>
    </w:p>
    <w:p>
      <w:pPr>
        <w:jc w:val="both"/>
        <w:ind w:left="600" w:right="620" w:firstLine="480"/>
        <w:spacing w:after="0" w:line="305" w:lineRule="auto"/>
        <w:rPr>
          <w:sz w:val="20"/>
          <w:szCs w:val="20"/>
          <w:color w:val="auto"/>
        </w:rPr>
      </w:pPr>
      <w:r>
        <w:rPr>
          <w:rFonts w:ascii="Times New Roman" w:cs="Times New Roman" w:eastAsia="Times New Roman" w:hAnsi="Times New Roman"/>
          <w:sz w:val="13"/>
          <w:szCs w:val="13"/>
          <w:color w:val="auto"/>
        </w:rPr>
        <w:t xml:space="preserve">(m) </w:t>
      </w:r>
      <w:r>
        <w:rPr>
          <w:rFonts w:ascii="Times New Roman" w:cs="Times New Roman" w:eastAsia="Times New Roman" w:hAnsi="Times New Roman"/>
          <w:sz w:val="13"/>
          <w:szCs w:val="13"/>
          <w:u w:val="single" w:color="auto"/>
          <w:color w:val="auto"/>
        </w:rPr>
        <w:t>Applicability of Section 9</w:t>
      </w:r>
      <w:r>
        <w:rPr>
          <w:rFonts w:ascii="Times New Roman" w:cs="Times New Roman" w:eastAsia="Times New Roman" w:hAnsi="Times New Roman"/>
          <w:sz w:val="13"/>
          <w:szCs w:val="13"/>
          <w:color w:val="auto"/>
        </w:rPr>
        <w:t xml:space="preserve"> . The provisions set forth in this Section 9 shall apply to the Series K Preferred Stock notwithstanding any contrary provisions of the Series K Preferred Stock provided for elsewhere in these Articles Supplementary.</w:t>
      </w:r>
    </w:p>
    <w:p>
      <w:pPr>
        <w:spacing w:after="0" w:line="124" w:lineRule="exact"/>
        <w:rPr>
          <w:sz w:val="20"/>
          <w:szCs w:val="20"/>
          <w:color w:val="auto"/>
        </w:rPr>
      </w:pPr>
    </w:p>
    <w:p>
      <w:pPr>
        <w:jc w:val="both"/>
        <w:ind w:left="600" w:right="620" w:firstLine="480"/>
        <w:spacing w:after="0" w:line="305" w:lineRule="auto"/>
        <w:rPr>
          <w:sz w:val="20"/>
          <w:szCs w:val="20"/>
          <w:color w:val="auto"/>
        </w:rPr>
      </w:pPr>
      <w:r>
        <w:rPr>
          <w:rFonts w:ascii="Times New Roman" w:cs="Times New Roman" w:eastAsia="Times New Roman" w:hAnsi="Times New Roman"/>
          <w:sz w:val="13"/>
          <w:szCs w:val="13"/>
          <w:color w:val="auto"/>
        </w:rPr>
        <w:t xml:space="preserve">Section 10. </w:t>
      </w:r>
      <w:r>
        <w:rPr>
          <w:rFonts w:ascii="Times New Roman" w:cs="Times New Roman" w:eastAsia="Times New Roman" w:hAnsi="Times New Roman"/>
          <w:sz w:val="13"/>
          <w:szCs w:val="13"/>
          <w:u w:val="single" w:color="auto"/>
          <w:color w:val="auto"/>
        </w:rPr>
        <w:t>No Conversion Rights</w:t>
      </w:r>
      <w:r>
        <w:rPr>
          <w:rFonts w:ascii="Times New Roman" w:cs="Times New Roman" w:eastAsia="Times New Roman" w:hAnsi="Times New Roman"/>
          <w:sz w:val="13"/>
          <w:szCs w:val="13"/>
          <w:color w:val="auto"/>
        </w:rPr>
        <w:t>. The shares of Series K Preferred Stock shall not be convertible into or exchangeable for any other property or securities of the Company or any other entity, except as otherwise provided herein.</w:t>
      </w:r>
    </w:p>
    <w:p>
      <w:pPr>
        <w:spacing w:after="0" w:line="124" w:lineRule="exact"/>
        <w:rPr>
          <w:sz w:val="20"/>
          <w:szCs w:val="20"/>
          <w:color w:val="auto"/>
        </w:rPr>
      </w:pPr>
    </w:p>
    <w:p>
      <w:pPr>
        <w:ind w:left="600" w:right="580" w:firstLine="480"/>
        <w:spacing w:after="0" w:line="305" w:lineRule="auto"/>
        <w:rPr>
          <w:sz w:val="20"/>
          <w:szCs w:val="20"/>
          <w:color w:val="auto"/>
        </w:rPr>
      </w:pPr>
      <w:r>
        <w:rPr>
          <w:rFonts w:ascii="Times New Roman" w:cs="Times New Roman" w:eastAsia="Times New Roman" w:hAnsi="Times New Roman"/>
          <w:sz w:val="13"/>
          <w:szCs w:val="13"/>
          <w:color w:val="auto"/>
        </w:rPr>
        <w:t xml:space="preserve">Section 11. </w:t>
      </w:r>
      <w:r>
        <w:rPr>
          <w:rFonts w:ascii="Times New Roman" w:cs="Times New Roman" w:eastAsia="Times New Roman" w:hAnsi="Times New Roman"/>
          <w:sz w:val="13"/>
          <w:szCs w:val="13"/>
          <w:u w:val="single" w:color="auto"/>
          <w:color w:val="auto"/>
        </w:rPr>
        <w:t>Record Holders</w:t>
      </w:r>
      <w:r>
        <w:rPr>
          <w:rFonts w:ascii="Times New Roman" w:cs="Times New Roman" w:eastAsia="Times New Roman" w:hAnsi="Times New Roman"/>
          <w:sz w:val="13"/>
          <w:szCs w:val="13"/>
          <w:color w:val="auto"/>
        </w:rPr>
        <w:t>. The Company and its transfer agent may deem and treat the record holder of any Series K Preferred Stock as the true and lawful owner thereof for all purposes, and neither the Company nor its transfer agent shall be affected by any notice to the contrary.</w:t>
      </w:r>
    </w:p>
    <w:p>
      <w:pPr>
        <w:spacing w:after="0" w:line="124" w:lineRule="exact"/>
        <w:rPr>
          <w:sz w:val="20"/>
          <w:szCs w:val="20"/>
          <w:color w:val="auto"/>
        </w:rPr>
      </w:pPr>
    </w:p>
    <w:p>
      <w:pPr>
        <w:jc w:val="both"/>
        <w:ind w:left="600" w:right="600" w:firstLine="480"/>
        <w:spacing w:after="0" w:line="281" w:lineRule="auto"/>
        <w:rPr>
          <w:sz w:val="20"/>
          <w:szCs w:val="20"/>
          <w:color w:val="auto"/>
        </w:rPr>
      </w:pPr>
      <w:r>
        <w:rPr>
          <w:rFonts w:ascii="Times New Roman" w:cs="Times New Roman" w:eastAsia="Times New Roman" w:hAnsi="Times New Roman"/>
          <w:sz w:val="13"/>
          <w:szCs w:val="13"/>
          <w:color w:val="auto"/>
        </w:rPr>
        <w:t xml:space="preserve">Section 12. </w:t>
      </w:r>
      <w:r>
        <w:rPr>
          <w:rFonts w:ascii="Times New Roman" w:cs="Times New Roman" w:eastAsia="Times New Roman" w:hAnsi="Times New Roman"/>
          <w:sz w:val="13"/>
          <w:szCs w:val="13"/>
          <w:u w:val="single" w:color="auto"/>
          <w:color w:val="auto"/>
        </w:rPr>
        <w:t>No Maturity or Sinking Fund</w:t>
      </w:r>
      <w:r>
        <w:rPr>
          <w:rFonts w:ascii="Times New Roman" w:cs="Times New Roman" w:eastAsia="Times New Roman" w:hAnsi="Times New Roman"/>
          <w:sz w:val="13"/>
          <w:szCs w:val="13"/>
          <w:color w:val="auto"/>
        </w:rPr>
        <w:t xml:space="preserve">. The Series K Preferred Stock has no maturity date, and no sinking fund has been established for the retirement or redemption of Series K Preferred Stock;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the Series K Preferred Stock owned by a stockholder in excess of the Ownership Limit or Aggregate Stock Ownership Limit shall be subject to the provisions of Section 5 and Section 9 of these Articles Supplementary.</w:t>
      </w:r>
    </w:p>
    <w:p>
      <w:pPr>
        <w:spacing w:after="0" w:line="140" w:lineRule="exact"/>
        <w:rPr>
          <w:sz w:val="20"/>
          <w:szCs w:val="20"/>
          <w:color w:val="auto"/>
        </w:rPr>
      </w:pPr>
    </w:p>
    <w:p>
      <w:pPr>
        <w:jc w:val="both"/>
        <w:ind w:left="600" w:right="600" w:firstLine="480"/>
        <w:spacing w:after="0" w:line="287" w:lineRule="auto"/>
        <w:rPr>
          <w:sz w:val="20"/>
          <w:szCs w:val="20"/>
          <w:color w:val="auto"/>
        </w:rPr>
      </w:pPr>
      <w:r>
        <w:rPr>
          <w:rFonts w:ascii="Times New Roman" w:cs="Times New Roman" w:eastAsia="Times New Roman" w:hAnsi="Times New Roman"/>
          <w:sz w:val="13"/>
          <w:szCs w:val="13"/>
          <w:color w:val="auto"/>
        </w:rPr>
        <w:t xml:space="preserve">Section 13. </w:t>
      </w:r>
      <w:r>
        <w:rPr>
          <w:rFonts w:ascii="Times New Roman" w:cs="Times New Roman" w:eastAsia="Times New Roman" w:hAnsi="Times New Roman"/>
          <w:sz w:val="13"/>
          <w:szCs w:val="13"/>
          <w:u w:val="single" w:color="auto"/>
          <w:color w:val="auto"/>
        </w:rPr>
        <w:t>Exclusion of Other Rights</w:t>
      </w:r>
      <w:r>
        <w:rPr>
          <w:rFonts w:ascii="Times New Roman" w:cs="Times New Roman" w:eastAsia="Times New Roman" w:hAnsi="Times New Roman"/>
          <w:sz w:val="13"/>
          <w:szCs w:val="13"/>
          <w:color w:val="auto"/>
        </w:rPr>
        <w:t>. The Series K Preferred Stock shall not have any preferences or other rights, voting powers, restrictions, limitations as to dividends or other distributions, qualifications or terms or conditions of redemption other than expressly set forth in the Charter and these Articles Supplementary.</w:t>
      </w:r>
    </w:p>
    <w:p>
      <w:pPr>
        <w:spacing w:after="0" w:line="136" w:lineRule="exact"/>
        <w:rPr>
          <w:sz w:val="20"/>
          <w:szCs w:val="20"/>
          <w:color w:val="auto"/>
        </w:rPr>
      </w:pPr>
    </w:p>
    <w:p>
      <w:pPr>
        <w:jc w:val="both"/>
        <w:ind w:left="600" w:right="620" w:firstLine="480"/>
        <w:spacing w:after="0" w:line="305" w:lineRule="auto"/>
        <w:rPr>
          <w:sz w:val="20"/>
          <w:szCs w:val="20"/>
          <w:color w:val="auto"/>
        </w:rPr>
      </w:pPr>
      <w:r>
        <w:rPr>
          <w:rFonts w:ascii="Times New Roman" w:cs="Times New Roman" w:eastAsia="Times New Roman" w:hAnsi="Times New Roman"/>
          <w:sz w:val="13"/>
          <w:szCs w:val="13"/>
          <w:color w:val="auto"/>
        </w:rPr>
        <w:t xml:space="preserve">Section 14. </w:t>
      </w:r>
      <w:r>
        <w:rPr>
          <w:rFonts w:ascii="Times New Roman" w:cs="Times New Roman" w:eastAsia="Times New Roman" w:hAnsi="Times New Roman"/>
          <w:sz w:val="13"/>
          <w:szCs w:val="13"/>
          <w:u w:val="single" w:color="auto"/>
          <w:color w:val="auto"/>
        </w:rPr>
        <w:t>Headings of Subdivisions</w:t>
      </w:r>
      <w:r>
        <w:rPr>
          <w:rFonts w:ascii="Times New Roman" w:cs="Times New Roman" w:eastAsia="Times New Roman" w:hAnsi="Times New Roman"/>
          <w:sz w:val="13"/>
          <w:szCs w:val="13"/>
          <w:color w:val="auto"/>
        </w:rPr>
        <w:t>. The headings of the various subdivisions hereof are for convenience of reference only and shall not affect the interpretation of any of the provisions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93980</wp:posOffset>
            </wp:positionV>
            <wp:extent cx="4436110" cy="762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93">
                      <a:extLst>
                        <a:ext uri="{28A0092B-C50C-407E-A947-70E740481C1C}"/>
                      </a:extLst>
                    </a:blip>
                    <a:srcRect/>
                    <a:stretch>
                      <a:fillRect/>
                    </a:stretch>
                  </pic:blipFill>
                  <pic:spPr bwMode="auto">
                    <a:xfrm>
                      <a:off x="0" y="0"/>
                      <a:ext cx="4436110"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528320</wp:posOffset>
            </wp:positionV>
            <wp:extent cx="5083810" cy="1524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94">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84" w:name="page485"/>
    <w:bookmarkEnd w:id="484"/>
    <w:p>
      <w:pPr>
        <w:jc w:val="both"/>
        <w:ind w:left="600" w:right="600" w:firstLine="480"/>
        <w:spacing w:after="0" w:line="274" w:lineRule="auto"/>
        <w:rPr>
          <w:sz w:val="20"/>
          <w:szCs w:val="20"/>
          <w:color w:val="auto"/>
        </w:rPr>
      </w:pPr>
      <w:r>
        <w:rPr>
          <w:rFonts w:ascii="Times New Roman" w:cs="Times New Roman" w:eastAsia="Times New Roman" w:hAnsi="Times New Roman"/>
          <w:sz w:val="13"/>
          <w:szCs w:val="13"/>
          <w:color w:val="auto"/>
        </w:rPr>
        <w:t xml:space="preserve">Section 15. </w:t>
      </w:r>
      <w:r>
        <w:rPr>
          <w:rFonts w:ascii="Times New Roman" w:cs="Times New Roman" w:eastAsia="Times New Roman" w:hAnsi="Times New Roman"/>
          <w:sz w:val="13"/>
          <w:szCs w:val="13"/>
          <w:u w:val="single" w:color="auto"/>
          <w:color w:val="auto"/>
        </w:rPr>
        <w:t>Severability of Provisions</w:t>
      </w:r>
      <w:r>
        <w:rPr>
          <w:rFonts w:ascii="Times New Roman" w:cs="Times New Roman" w:eastAsia="Times New Roman" w:hAnsi="Times New Roman"/>
          <w:sz w:val="13"/>
          <w:szCs w:val="13"/>
          <w:color w:val="auto"/>
        </w:rPr>
        <w:t>. If any preferences or other rights, voting powers, restrictions, limitations as to dividends or other distributions, qualifications or terms or conditions of redemption of the Series K Preferred Stock set forth in the Charter and these Articles Supplementary are invalid, unlawful or incapable of being enforced by reason of any rule of law or public policy, all other preferences or other rights, voting powers, restrictions, limitations as to dividends or other distributions, qualifications or terms or conditions of redemption of Series K Preferred Stock set forth in the Charter which can be given effect without the invalid, unlawful or unenforceable provision thereof shall, nevertheless, remain in full force and effect and no preferences or other rights, voting powers, restrictions, limitations as to dividends or other distributions, qualifications or terms or conditions of redemption of the Series K Preferred Stock herein set forth shall be deemed dependent upon any other provision thereof unless so expressed therein.</w:t>
      </w:r>
    </w:p>
    <w:p>
      <w:pPr>
        <w:spacing w:after="0" w:line="135" w:lineRule="exact"/>
        <w:rPr>
          <w:sz w:val="20"/>
          <w:szCs w:val="20"/>
          <w:color w:val="auto"/>
        </w:rPr>
      </w:pPr>
    </w:p>
    <w:p>
      <w:pPr>
        <w:jc w:val="both"/>
        <w:ind w:left="600" w:right="600" w:firstLine="480"/>
        <w:spacing w:after="0" w:line="287" w:lineRule="auto"/>
        <w:rPr>
          <w:sz w:val="20"/>
          <w:szCs w:val="20"/>
          <w:color w:val="auto"/>
        </w:rPr>
      </w:pPr>
      <w:r>
        <w:rPr>
          <w:rFonts w:ascii="Times New Roman" w:cs="Times New Roman" w:eastAsia="Times New Roman" w:hAnsi="Times New Roman"/>
          <w:sz w:val="13"/>
          <w:szCs w:val="13"/>
          <w:color w:val="auto"/>
        </w:rPr>
        <w:t xml:space="preserve">Section 16. </w:t>
      </w:r>
      <w:r>
        <w:rPr>
          <w:rFonts w:ascii="Times New Roman" w:cs="Times New Roman" w:eastAsia="Times New Roman" w:hAnsi="Times New Roman"/>
          <w:sz w:val="13"/>
          <w:szCs w:val="13"/>
          <w:u w:val="single" w:color="auto"/>
          <w:color w:val="auto"/>
        </w:rPr>
        <w:t>No Preemptive Rights</w:t>
      </w:r>
      <w:r>
        <w:rPr>
          <w:rFonts w:ascii="Times New Roman" w:cs="Times New Roman" w:eastAsia="Times New Roman" w:hAnsi="Times New Roman"/>
          <w:sz w:val="13"/>
          <w:szCs w:val="13"/>
          <w:color w:val="auto"/>
        </w:rPr>
        <w:t>. No holder of Series K Preferred Stock shall be entitled to any preemptive rights to subscribe for or acquire any unissued shares of capital stock of the Company (whether now or hereafter authorized) or securities of the Company convertible into or carrying a right to subscribe to or acquire shares of capital stock of the Company.</w:t>
      </w:r>
    </w:p>
    <w:p>
      <w:pPr>
        <w:spacing w:after="0" w:line="136" w:lineRule="exact"/>
        <w:rPr>
          <w:sz w:val="20"/>
          <w:szCs w:val="20"/>
          <w:color w:val="auto"/>
        </w:rPr>
      </w:pPr>
    </w:p>
    <w:p>
      <w:pPr>
        <w:jc w:val="both"/>
        <w:ind w:left="600" w:right="600" w:firstLine="480"/>
        <w:spacing w:after="0" w:line="305" w:lineRule="auto"/>
        <w:rPr>
          <w:sz w:val="20"/>
          <w:szCs w:val="20"/>
          <w:color w:val="auto"/>
        </w:rPr>
      </w:pPr>
      <w:r>
        <w:rPr>
          <w:rFonts w:ascii="Times New Roman" w:cs="Times New Roman" w:eastAsia="Times New Roman" w:hAnsi="Times New Roman"/>
          <w:sz w:val="13"/>
          <w:szCs w:val="13"/>
          <w:u w:val="single" w:color="auto"/>
          <w:color w:val="auto"/>
        </w:rPr>
        <w:t>FOURTH</w:t>
      </w:r>
      <w:r>
        <w:rPr>
          <w:rFonts w:ascii="Times New Roman" w:cs="Times New Roman" w:eastAsia="Times New Roman" w:hAnsi="Times New Roman"/>
          <w:sz w:val="13"/>
          <w:szCs w:val="13"/>
          <w:color w:val="auto"/>
        </w:rPr>
        <w:t>: The Series K Preferred Stock have been classified and designated by the Board of Directors under the authority contained in the Charter.</w:t>
      </w:r>
    </w:p>
    <w:p>
      <w:pPr>
        <w:spacing w:after="0" w:line="12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u w:val="single" w:color="auto"/>
          <w:color w:val="auto"/>
        </w:rPr>
        <w:t>FIFTH</w:t>
      </w:r>
      <w:r>
        <w:rPr>
          <w:rFonts w:ascii="Times New Roman" w:cs="Times New Roman" w:eastAsia="Times New Roman" w:hAnsi="Times New Roman"/>
          <w:sz w:val="13"/>
          <w:szCs w:val="13"/>
          <w:color w:val="auto"/>
        </w:rPr>
        <w:t>: These Articles Supplementary have been approved by the Board of Directors in the manner and by the vote required by law.</w:t>
      </w:r>
    </w:p>
    <w:p>
      <w:pPr>
        <w:spacing w:after="0" w:line="18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u w:val="single" w:color="auto"/>
          <w:color w:val="auto"/>
        </w:rPr>
        <w:t>SIXTH</w:t>
      </w:r>
      <w:r>
        <w:rPr>
          <w:rFonts w:ascii="Times New Roman" w:cs="Times New Roman" w:eastAsia="Times New Roman" w:hAnsi="Times New Roman"/>
          <w:sz w:val="13"/>
          <w:szCs w:val="13"/>
          <w:color w:val="auto"/>
        </w:rPr>
        <w:t>: These Articles Supplementary shall be effective at the time the Department accepts these Articles Supplementary for record.</w:t>
      </w:r>
    </w:p>
    <w:p>
      <w:pPr>
        <w:spacing w:after="0" w:line="187" w:lineRule="exact"/>
        <w:rPr>
          <w:sz w:val="20"/>
          <w:szCs w:val="20"/>
          <w:color w:val="auto"/>
        </w:rPr>
      </w:pPr>
    </w:p>
    <w:p>
      <w:pPr>
        <w:jc w:val="both"/>
        <w:ind w:left="600" w:right="600" w:firstLine="480"/>
        <w:spacing w:after="0" w:line="281" w:lineRule="auto"/>
        <w:rPr>
          <w:sz w:val="20"/>
          <w:szCs w:val="20"/>
          <w:color w:val="auto"/>
        </w:rPr>
      </w:pPr>
      <w:r>
        <w:rPr>
          <w:rFonts w:ascii="Times New Roman" w:cs="Times New Roman" w:eastAsia="Times New Roman" w:hAnsi="Times New Roman"/>
          <w:sz w:val="13"/>
          <w:szCs w:val="13"/>
          <w:u w:val="single" w:color="auto"/>
          <w:color w:val="auto"/>
        </w:rPr>
        <w:t>SEVENTH</w:t>
      </w:r>
      <w:r>
        <w:rPr>
          <w:rFonts w:ascii="Times New Roman" w:cs="Times New Roman" w:eastAsia="Times New Roman" w:hAnsi="Times New Roman"/>
          <w:sz w:val="13"/>
          <w:szCs w:val="13"/>
          <w:color w:val="auto"/>
        </w:rPr>
        <w:t>: The undersigned Chief Executive Officer acknowledges these Articles Supplementary to be the corporate act of the Company and, as to all matters or facts required to be verified under oath, the undersigned Chief Executive Officer acknowledges that to the best of his knowledge, information and belief, these matters and facts are true in all material respects and that this statement is made under the penalties for perjury.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104140</wp:posOffset>
            </wp:positionV>
            <wp:extent cx="4436110" cy="1524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95">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546100</wp:posOffset>
            </wp:positionV>
            <wp:extent cx="5083810" cy="1524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96">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85" w:name="page486"/>
    <w:bookmarkEnd w:id="485"/>
    <w:p>
      <w:pPr>
        <w:ind w:left="600" w:right="940" w:firstLine="480"/>
        <w:spacing w:after="0" w:line="305" w:lineRule="auto"/>
        <w:rPr>
          <w:sz w:val="20"/>
          <w:szCs w:val="20"/>
          <w:color w:val="auto"/>
        </w:rPr>
      </w:pPr>
      <w:r>
        <w:rPr>
          <w:rFonts w:ascii="Times New Roman" w:cs="Times New Roman" w:eastAsia="Times New Roman" w:hAnsi="Times New Roman"/>
          <w:sz w:val="13"/>
          <w:szCs w:val="13"/>
          <w:color w:val="auto"/>
        </w:rPr>
        <w:t>In witness whereof, the Company has caused these Articles Supplementary to be executed in its name and on its behalf by its Chief Executive Officer as of the date first written above.</w:t>
      </w:r>
    </w:p>
    <w:p>
      <w:pPr>
        <w:spacing w:after="0" w:line="12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3"/>
          <w:szCs w:val="13"/>
          <w:color w:val="auto"/>
        </w:rPr>
        <w:t>DIGITAL REALTY TRUST, INC.</w:t>
      </w:r>
    </w:p>
    <w:p>
      <w:pPr>
        <w:spacing w:after="0" w:line="31" w:lineRule="exact"/>
        <w:rPr>
          <w:sz w:val="20"/>
          <w:szCs w:val="20"/>
          <w:color w:val="auto"/>
        </w:rPr>
      </w:pPr>
    </w:p>
    <w:p>
      <w:pPr>
        <w:ind w:left="4280"/>
        <w:spacing w:after="0"/>
        <w:tabs>
          <w:tab w:leader="none" w:pos="4700" w:val="left"/>
        </w:tabs>
        <w:rPr>
          <w:sz w:val="20"/>
          <w:szCs w:val="20"/>
          <w:color w:val="auto"/>
        </w:rPr>
      </w:pP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3"/>
          <w:szCs w:val="13"/>
          <w:color w:val="auto"/>
        </w:rPr>
        <w:t>/s/ A. William Stein Name: A.</w:t>
      </w:r>
    </w:p>
    <w:p>
      <w:pPr>
        <w:spacing w:after="0" w:line="3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3"/>
          <w:szCs w:val="13"/>
          <w:color w:val="auto"/>
        </w:rPr>
        <w:t>William Stein</w:t>
      </w:r>
    </w:p>
    <w:p>
      <w:pPr>
        <w:spacing w:after="0" w:line="21" w:lineRule="exact"/>
        <w:rPr>
          <w:sz w:val="20"/>
          <w:szCs w:val="20"/>
          <w:color w:val="auto"/>
        </w:rPr>
      </w:pPr>
    </w:p>
    <w:p>
      <w:pPr>
        <w:ind w:left="4280"/>
        <w:spacing w:after="0"/>
        <w:tabs>
          <w:tab w:leader="none" w:pos="4700" w:val="left"/>
        </w:tabs>
        <w:rPr>
          <w:sz w:val="20"/>
          <w:szCs w:val="20"/>
          <w:color w:val="auto"/>
        </w:rPr>
      </w:pPr>
      <w:r>
        <w:rPr>
          <w:rFonts w:ascii="Times New Roman" w:cs="Times New Roman" w:eastAsia="Times New Roman" w:hAnsi="Times New Roman"/>
          <w:sz w:val="13"/>
          <w:szCs w:val="13"/>
          <w:color w:val="auto"/>
        </w:rPr>
        <w:t>Title:</w:t>
        <w:tab/>
        <w:t>Chief Executive Officer</w:t>
      </w:r>
    </w:p>
    <w:p>
      <w:pPr>
        <w:spacing w:after="0" w:line="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ATTEST:</w:t>
      </w:r>
    </w:p>
    <w:p>
      <w:pPr>
        <w:spacing w:after="0" w:line="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DIGITAL REALTY TRUST, INC.</w:t>
      </w:r>
    </w:p>
    <w:p>
      <w:pPr>
        <w:spacing w:after="0" w:line="27" w:lineRule="exact"/>
        <w:rPr>
          <w:sz w:val="20"/>
          <w:szCs w:val="20"/>
          <w:color w:val="auto"/>
        </w:rPr>
      </w:pPr>
    </w:p>
    <w:p>
      <w:pPr>
        <w:ind w:left="600"/>
        <w:spacing w:after="0"/>
        <w:tabs>
          <w:tab w:leader="none" w:pos="940" w:val="left"/>
        </w:tabs>
        <w:rPr>
          <w:sz w:val="20"/>
          <w:szCs w:val="20"/>
          <w:color w:val="auto"/>
        </w:rPr>
      </w:pPr>
      <w:r>
        <w:rPr>
          <w:rFonts w:ascii="Times New Roman" w:cs="Times New Roman" w:eastAsia="Times New Roman" w:hAnsi="Times New Roman"/>
          <w:sz w:val="13"/>
          <w:szCs w:val="13"/>
          <w:color w:val="auto"/>
        </w:rPr>
        <w:t>By:</w:t>
        <w:tab/>
        <w:t>/s/ Joshua A. Mills Name: Joshua</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A. Mills</w:t>
      </w:r>
    </w:p>
    <w:p>
      <w:pPr>
        <w:spacing w:after="0" w:line="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Title: Senior Vice President, General Counsel and Secretary</w:t>
      </w:r>
    </w:p>
    <w:p>
      <w:pPr>
        <w:spacing w:after="0" w:line="1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[Signature Page to Articles Supplementary]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125730</wp:posOffset>
            </wp:positionV>
            <wp:extent cx="4436110" cy="1524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97">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575310</wp:posOffset>
            </wp:positionV>
            <wp:extent cx="5083810" cy="1524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98">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86" w:name="page487"/>
    <w:bookmarkEnd w:id="486"/>
    <w:p>
      <w:pPr>
        <w:ind w:left="3160"/>
        <w:spacing w:after="0"/>
        <w:rPr>
          <w:sz w:val="20"/>
          <w:szCs w:val="20"/>
          <w:color w:val="auto"/>
        </w:rPr>
      </w:pPr>
      <w:r>
        <w:rPr>
          <w:rFonts w:ascii="Times New Roman" w:cs="Times New Roman" w:eastAsia="Times New Roman" w:hAnsi="Times New Roman"/>
          <w:sz w:val="13"/>
          <w:szCs w:val="13"/>
          <w:b w:val="1"/>
          <w:bCs w:val="1"/>
          <w:color w:val="auto"/>
        </w:rPr>
        <w:t>DIGITAL REALTY TRUST, INC. ARTICLES</w:t>
      </w:r>
    </w:p>
    <w:p>
      <w:pPr>
        <w:spacing w:after="0" w:line="1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SUPPLEMENTARY 13,800,000 SHARES OF</w:t>
      </w:r>
    </w:p>
    <w:p>
      <w:pPr>
        <w:spacing w:after="0" w:line="1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5.200% SERIES L CUMULATIVE REDEEMABLE PREFERRED STOCK OCTOBER</w:t>
      </w:r>
    </w:p>
    <w:p>
      <w:pPr>
        <w:spacing w:after="0" w:line="1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9, 2019</w:t>
      </w:r>
    </w:p>
    <w:p>
      <w:pPr>
        <w:spacing w:after="0" w:line="9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Digital Realty Trust, Inc., a Maryland corporation (the “</w:t>
      </w:r>
      <w:r>
        <w:rPr>
          <w:rFonts w:ascii="Times New Roman" w:cs="Times New Roman" w:eastAsia="Times New Roman" w:hAnsi="Times New Roman"/>
          <w:sz w:val="13"/>
          <w:szCs w:val="13"/>
          <w:u w:val="single" w:color="auto"/>
          <w:color w:val="auto"/>
        </w:rPr>
        <w:t>Company</w:t>
      </w:r>
      <w:r>
        <w:rPr>
          <w:rFonts w:ascii="Times New Roman" w:cs="Times New Roman" w:eastAsia="Times New Roman" w:hAnsi="Times New Roman"/>
          <w:sz w:val="13"/>
          <w:szCs w:val="13"/>
          <w:color w:val="auto"/>
        </w:rPr>
        <w:t>”), hereby certifies to the State Department of Assessments and</w:t>
      </w:r>
    </w:p>
    <w:p>
      <w:pPr>
        <w:spacing w:after="0" w:line="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Taxation of Maryland (the “</w:t>
      </w:r>
      <w:r>
        <w:rPr>
          <w:rFonts w:ascii="Times New Roman" w:cs="Times New Roman" w:eastAsia="Times New Roman" w:hAnsi="Times New Roman"/>
          <w:sz w:val="13"/>
          <w:szCs w:val="13"/>
          <w:u w:val="single" w:color="auto"/>
          <w:color w:val="auto"/>
        </w:rPr>
        <w:t>Department</w:t>
      </w:r>
      <w:r>
        <w:rPr>
          <w:rFonts w:ascii="Times New Roman" w:cs="Times New Roman" w:eastAsia="Times New Roman" w:hAnsi="Times New Roman"/>
          <w:sz w:val="13"/>
          <w:szCs w:val="13"/>
          <w:color w:val="auto"/>
        </w:rPr>
        <w:t>”) that:</w:t>
      </w:r>
    </w:p>
    <w:p>
      <w:pPr>
        <w:spacing w:after="0" w:line="171" w:lineRule="exact"/>
        <w:rPr>
          <w:sz w:val="20"/>
          <w:szCs w:val="20"/>
          <w:color w:val="auto"/>
        </w:rPr>
      </w:pPr>
    </w:p>
    <w:p>
      <w:pPr>
        <w:ind w:left="600" w:right="540" w:firstLine="480"/>
        <w:spacing w:after="0" w:line="272" w:lineRule="auto"/>
        <w:rPr>
          <w:sz w:val="20"/>
          <w:szCs w:val="20"/>
          <w:color w:val="auto"/>
        </w:rPr>
      </w:pPr>
      <w:r>
        <w:rPr>
          <w:rFonts w:ascii="Times New Roman" w:cs="Times New Roman" w:eastAsia="Times New Roman" w:hAnsi="Times New Roman"/>
          <w:sz w:val="13"/>
          <w:szCs w:val="13"/>
          <w:u w:val="single" w:color="auto"/>
          <w:color w:val="auto"/>
        </w:rPr>
        <w:t>FIRST</w:t>
      </w:r>
      <w:r>
        <w:rPr>
          <w:rFonts w:ascii="Times New Roman" w:cs="Times New Roman" w:eastAsia="Times New Roman" w:hAnsi="Times New Roman"/>
          <w:sz w:val="13"/>
          <w:szCs w:val="13"/>
          <w:color w:val="auto"/>
        </w:rPr>
        <w:t>: Pursuant to the authority expressly vested in the Board of Directors of the Company (the “</w:t>
      </w:r>
      <w:r>
        <w:rPr>
          <w:rFonts w:ascii="Times New Roman" w:cs="Times New Roman" w:eastAsia="Times New Roman" w:hAnsi="Times New Roman"/>
          <w:sz w:val="13"/>
          <w:szCs w:val="13"/>
          <w:u w:val="single" w:color="auto"/>
          <w:color w:val="auto"/>
        </w:rPr>
        <w:t>Board of Directors</w:t>
      </w:r>
      <w:r>
        <w:rPr>
          <w:rFonts w:ascii="Times New Roman" w:cs="Times New Roman" w:eastAsia="Times New Roman" w:hAnsi="Times New Roman"/>
          <w:sz w:val="13"/>
          <w:szCs w:val="13"/>
          <w:color w:val="auto"/>
        </w:rPr>
        <w:t>”) by Article V of the Articles of Amendment and Restatement of the Company filed with the Department on October 26, 2004 (as amended and supplemented to date and as may be amended and supplemented from time to time, the “</w:t>
      </w:r>
      <w:r>
        <w:rPr>
          <w:rFonts w:ascii="Times New Roman" w:cs="Times New Roman" w:eastAsia="Times New Roman" w:hAnsi="Times New Roman"/>
          <w:sz w:val="13"/>
          <w:szCs w:val="13"/>
          <w:u w:val="single" w:color="auto"/>
          <w:color w:val="auto"/>
        </w:rPr>
        <w:t>Charter</w:t>
      </w:r>
      <w:r>
        <w:rPr>
          <w:rFonts w:ascii="Times New Roman" w:cs="Times New Roman" w:eastAsia="Times New Roman" w:hAnsi="Times New Roman"/>
          <w:sz w:val="13"/>
          <w:szCs w:val="13"/>
          <w:color w:val="auto"/>
        </w:rPr>
        <w:t>”) and Section 2-105 of the Maryland General Corporation Law (the “</w:t>
      </w:r>
      <w:r>
        <w:rPr>
          <w:rFonts w:ascii="Times New Roman" w:cs="Times New Roman" w:eastAsia="Times New Roman" w:hAnsi="Times New Roman"/>
          <w:sz w:val="13"/>
          <w:szCs w:val="13"/>
          <w:u w:val="single" w:color="auto"/>
          <w:color w:val="auto"/>
        </w:rPr>
        <w:t>MGCL</w:t>
      </w:r>
      <w:r>
        <w:rPr>
          <w:rFonts w:ascii="Times New Roman" w:cs="Times New Roman" w:eastAsia="Times New Roman" w:hAnsi="Times New Roman"/>
          <w:sz w:val="13"/>
          <w:szCs w:val="13"/>
          <w:color w:val="auto"/>
        </w:rPr>
        <w:t>”), the Board of Directors, by resolutions duly adopted on February 21-22, 2019, as amended by resolutions duly adopted on September 13, 2019, has authorized the issuance, classification and designation of a number of shares of the authorized but unissued preferred stock of the Company, par value $0.01 per share (“</w:t>
      </w:r>
      <w:r>
        <w:rPr>
          <w:rFonts w:ascii="Times New Roman" w:cs="Times New Roman" w:eastAsia="Times New Roman" w:hAnsi="Times New Roman"/>
          <w:sz w:val="13"/>
          <w:szCs w:val="13"/>
          <w:u w:val="single" w:color="auto"/>
          <w:color w:val="auto"/>
        </w:rPr>
        <w:t>Preferred Stock</w:t>
      </w:r>
      <w:r>
        <w:rPr>
          <w:rFonts w:ascii="Times New Roman" w:cs="Times New Roman" w:eastAsia="Times New Roman" w:hAnsi="Times New Roman"/>
          <w:sz w:val="13"/>
          <w:szCs w:val="13"/>
          <w:color w:val="auto"/>
        </w:rPr>
        <w:t>”), as a separate class of Preferred Stock, that, on the date of issue, has a liquidation value or aggregate offering price of up to $710,000,000 (plus up to an additional 15% to cover any underwriter over-allotment option), and, pursuant to the powers contained in the Eighth Amended and Restated Bylaws (as may be amended from time to time, the “</w:t>
      </w:r>
      <w:r>
        <w:rPr>
          <w:rFonts w:ascii="Times New Roman" w:cs="Times New Roman" w:eastAsia="Times New Roman" w:hAnsi="Times New Roman"/>
          <w:sz w:val="13"/>
          <w:szCs w:val="13"/>
          <w:u w:val="single" w:color="auto"/>
          <w:color w:val="auto"/>
        </w:rPr>
        <w:t>Bylaws</w:t>
      </w:r>
      <w:r>
        <w:rPr>
          <w:rFonts w:ascii="Times New Roman" w:cs="Times New Roman" w:eastAsia="Times New Roman" w:hAnsi="Times New Roman"/>
          <w:sz w:val="13"/>
          <w:szCs w:val="13"/>
          <w:color w:val="auto"/>
        </w:rPr>
        <w:t xml:space="preserve">”) of the Company and the MGCL, delegated to the Pricing Committee of the Board of Directors (the “ </w:t>
      </w:r>
      <w:r>
        <w:rPr>
          <w:rFonts w:ascii="Times New Roman" w:cs="Times New Roman" w:eastAsia="Times New Roman" w:hAnsi="Times New Roman"/>
          <w:sz w:val="13"/>
          <w:szCs w:val="13"/>
          <w:u w:val="single" w:color="auto"/>
          <w:color w:val="auto"/>
        </w:rPr>
        <w:t>Committee</w:t>
      </w:r>
      <w:r>
        <w:rPr>
          <w:rFonts w:ascii="Times New Roman" w:cs="Times New Roman" w:eastAsia="Times New Roman" w:hAnsi="Times New Roman"/>
          <w:sz w:val="13"/>
          <w:szCs w:val="13"/>
          <w:color w:val="auto"/>
        </w:rPr>
        <w:t>”), to the fullest extent permitted by the MGCL and the Charter and Bylaws of the Company, among other things, all powers of the Board of Directors with respect to (i) setting the number of shares of the Preferred Stock to be classified and designated, provided that in no event shall the liquidation value or aggregate offering price of such shares exceed $710,000,000 (plus up to an additional 15% to cover any underwriter over- allotment option), (ii) choosing the cumulative dividend percentage for the Preferred Stock, (iii) selecting the dates on which dividends will be paid on the Preferred Stock, (iv) establishing the price per share for the Preferred Stock, (v) authorizing, approving and filing these Articles Supplementary with the Department and (vi) authorizing and approving all such other actions as the Committee may deem necessary or desirable in connection with the classification, authorization, issuance, offer, and sale of the Preferred Stock.</w:t>
      </w:r>
    </w:p>
    <w:p>
      <w:pPr>
        <w:spacing w:after="0" w:line="280" w:lineRule="exact"/>
        <w:rPr>
          <w:sz w:val="20"/>
          <w:szCs w:val="20"/>
          <w:color w:val="auto"/>
        </w:rPr>
      </w:pPr>
    </w:p>
    <w:p>
      <w:pPr>
        <w:jc w:val="both"/>
        <w:ind w:left="600" w:right="600" w:firstLine="480"/>
        <w:spacing w:after="0" w:line="278" w:lineRule="auto"/>
        <w:rPr>
          <w:sz w:val="20"/>
          <w:szCs w:val="20"/>
          <w:color w:val="auto"/>
        </w:rPr>
      </w:pPr>
      <w:r>
        <w:rPr>
          <w:rFonts w:ascii="Times New Roman" w:cs="Times New Roman" w:eastAsia="Times New Roman" w:hAnsi="Times New Roman"/>
          <w:sz w:val="13"/>
          <w:szCs w:val="13"/>
          <w:u w:val="single" w:color="auto"/>
          <w:color w:val="auto"/>
        </w:rPr>
        <w:t>SECOND</w:t>
      </w:r>
      <w:r>
        <w:rPr>
          <w:rFonts w:ascii="Times New Roman" w:cs="Times New Roman" w:eastAsia="Times New Roman" w:hAnsi="Times New Roman"/>
          <w:sz w:val="13"/>
          <w:szCs w:val="13"/>
          <w:color w:val="auto"/>
        </w:rPr>
        <w:t>: The Committee has unanimously adopted resolutions classifying and designating the Preferred Stock as a separate class of Preferred Stock to be known as the “5.200% Series L Cumulative Redeemable Preferred Stock,” setting the preferences, conversion and other rights, voting powers, restrictions, limitations as to dividends and other distributions, transfers, qualifications, terms and conditions of redemption and other terms and conditions of such 5.200% Series L Cumulative Redeemable Preferred Stock, and authorizing the issuance of up to 12,000,000 (plus up to an additional 15% to cover any underwriter over-allotment option) shares of 5.200% Series L Cumulative Redeemable Preferred Stock.</w:t>
      </w:r>
    </w:p>
    <w:p>
      <w:pPr>
        <w:spacing w:after="0" w:line="131" w:lineRule="exact"/>
        <w:rPr>
          <w:sz w:val="20"/>
          <w:szCs w:val="20"/>
          <w:color w:val="auto"/>
        </w:rPr>
      </w:pPr>
    </w:p>
    <w:p>
      <w:pPr>
        <w:jc w:val="both"/>
        <w:ind w:left="600" w:right="600" w:firstLine="480"/>
        <w:spacing w:after="0" w:line="278" w:lineRule="auto"/>
        <w:rPr>
          <w:sz w:val="20"/>
          <w:szCs w:val="20"/>
          <w:color w:val="auto"/>
        </w:rPr>
      </w:pPr>
      <w:r>
        <w:rPr>
          <w:rFonts w:ascii="Times New Roman" w:cs="Times New Roman" w:eastAsia="Times New Roman" w:hAnsi="Times New Roman"/>
          <w:sz w:val="13"/>
          <w:szCs w:val="13"/>
          <w:u w:val="single" w:color="auto"/>
          <w:color w:val="auto"/>
        </w:rPr>
        <w:t>THIRD</w:t>
      </w:r>
      <w:r>
        <w:rPr>
          <w:rFonts w:ascii="Times New Roman" w:cs="Times New Roman" w:eastAsia="Times New Roman" w:hAnsi="Times New Roman"/>
          <w:sz w:val="13"/>
          <w:szCs w:val="13"/>
          <w:color w:val="auto"/>
        </w:rPr>
        <w:t>: The designation, number of shares, preferences, conversion and other rights, voting powers, restrictions, limitations as to dividends and other distributions, transfers, qualifications, terms and conditions of redemption and other terms and conditions of the separate class of Preferred Stock of the Company designated as the 5.200% Series L Cumulative Redeemable Preferred Stock are as follows, which upon any restatement of the Charter shall be made a part of or incorporated by reference into the Charter with any necessary or appropriate changes to the enumeration or lettering of Sections or subsections thereof:</w:t>
      </w:r>
    </w:p>
    <w:p>
      <w:pPr>
        <w:spacing w:after="0" w:line="131" w:lineRule="exact"/>
        <w:rPr>
          <w:sz w:val="20"/>
          <w:szCs w:val="20"/>
          <w:color w:val="auto"/>
        </w:rPr>
      </w:pPr>
    </w:p>
    <w:p>
      <w:pPr>
        <w:jc w:val="both"/>
        <w:ind w:left="600" w:right="620" w:firstLine="480"/>
        <w:spacing w:after="0" w:line="305" w:lineRule="auto"/>
        <w:rPr>
          <w:sz w:val="20"/>
          <w:szCs w:val="20"/>
          <w:color w:val="auto"/>
        </w:rPr>
      </w:pPr>
      <w:r>
        <w:rPr>
          <w:rFonts w:ascii="Times New Roman" w:cs="Times New Roman" w:eastAsia="Times New Roman" w:hAnsi="Times New Roman"/>
          <w:sz w:val="13"/>
          <w:szCs w:val="13"/>
          <w:color w:val="auto"/>
        </w:rPr>
        <w:t xml:space="preserve">Section 1. </w:t>
      </w:r>
      <w:r>
        <w:rPr>
          <w:rFonts w:ascii="Times New Roman" w:cs="Times New Roman" w:eastAsia="Times New Roman" w:hAnsi="Times New Roman"/>
          <w:sz w:val="13"/>
          <w:szCs w:val="13"/>
          <w:u w:val="single" w:color="auto"/>
          <w:color w:val="auto"/>
        </w:rPr>
        <w:t>Designation and Number</w:t>
      </w:r>
      <w:r>
        <w:rPr>
          <w:rFonts w:ascii="Times New Roman" w:cs="Times New Roman" w:eastAsia="Times New Roman" w:hAnsi="Times New Roman"/>
          <w:sz w:val="13"/>
          <w:szCs w:val="13"/>
          <w:color w:val="auto"/>
        </w:rPr>
        <w:t>. A series of Preferred Stock, designated the “5.200% Series L Cumulative Redeemable Preferred Stock” (the “</w:t>
      </w:r>
      <w:r>
        <w:rPr>
          <w:rFonts w:ascii="Times New Roman" w:cs="Times New Roman" w:eastAsia="Times New Roman" w:hAnsi="Times New Roman"/>
          <w:sz w:val="13"/>
          <w:szCs w:val="13"/>
          <w:u w:val="single" w:color="auto"/>
          <w:color w:val="auto"/>
        </w:rPr>
        <w:t>Series L Preferred Stock</w:t>
      </w:r>
      <w:r>
        <w:rPr>
          <w:rFonts w:ascii="Times New Roman" w:cs="Times New Roman" w:eastAsia="Times New Roman" w:hAnsi="Times New Roman"/>
          <w:sz w:val="13"/>
          <w:szCs w:val="13"/>
          <w:color w:val="auto"/>
        </w:rPr>
        <w:t xml:space="preserve"> ”), is hereby established. The number of shares of Series L Preferred Stock shall be 13,800,000.</w:t>
      </w:r>
    </w:p>
    <w:p>
      <w:pPr>
        <w:spacing w:after="0" w:line="88" w:lineRule="exact"/>
        <w:rPr>
          <w:sz w:val="20"/>
          <w:szCs w:val="20"/>
          <w:color w:val="auto"/>
        </w:rPr>
      </w:pPr>
    </w:p>
    <w:p>
      <w:pPr>
        <w:jc w:val="both"/>
        <w:ind w:left="600" w:right="600" w:firstLine="480"/>
        <w:spacing w:after="0" w:line="274" w:lineRule="auto"/>
        <w:rPr>
          <w:sz w:val="20"/>
          <w:szCs w:val="20"/>
          <w:color w:val="auto"/>
        </w:rPr>
      </w:pPr>
      <w:r>
        <w:rPr>
          <w:rFonts w:ascii="Times New Roman" w:cs="Times New Roman" w:eastAsia="Times New Roman" w:hAnsi="Times New Roman"/>
          <w:sz w:val="13"/>
          <w:szCs w:val="13"/>
          <w:color w:val="auto"/>
        </w:rPr>
        <w:t xml:space="preserve">Section 2. </w:t>
      </w:r>
      <w:r>
        <w:rPr>
          <w:rFonts w:ascii="Times New Roman" w:cs="Times New Roman" w:eastAsia="Times New Roman" w:hAnsi="Times New Roman"/>
          <w:sz w:val="13"/>
          <w:szCs w:val="13"/>
          <w:u w:val="single" w:color="auto"/>
          <w:color w:val="auto"/>
        </w:rPr>
        <w:t>Rank</w:t>
      </w:r>
      <w:r>
        <w:rPr>
          <w:rFonts w:ascii="Times New Roman" w:cs="Times New Roman" w:eastAsia="Times New Roman" w:hAnsi="Times New Roman"/>
          <w:sz w:val="13"/>
          <w:szCs w:val="13"/>
          <w:color w:val="auto"/>
        </w:rPr>
        <w:t>. The Series L Preferred Stock will, with respect to dividend rights and rights upon voluntary or involuntary liquidation, dissolution or winding up of the Company, rank: (a) senior to all classes or series of the Company’s common stock, par value $0.01 per share (the “</w:t>
      </w:r>
      <w:r>
        <w:rPr>
          <w:rFonts w:ascii="Times New Roman" w:cs="Times New Roman" w:eastAsia="Times New Roman" w:hAnsi="Times New Roman"/>
          <w:sz w:val="13"/>
          <w:szCs w:val="13"/>
          <w:u w:val="single" w:color="auto"/>
          <w:color w:val="auto"/>
        </w:rPr>
        <w:t>Common Stock</w:t>
      </w:r>
      <w:r>
        <w:rPr>
          <w:rFonts w:ascii="Times New Roman" w:cs="Times New Roman" w:eastAsia="Times New Roman" w:hAnsi="Times New Roman"/>
          <w:sz w:val="13"/>
          <w:szCs w:val="13"/>
          <w:color w:val="auto"/>
        </w:rPr>
        <w:t>”), and all classes or series of capital stock of the Company now or hereafter authorized, issued or outstanding expressly designated as ranking junior to the Series L Preferred Stock as to dividend rights and rights upon voluntary or involuntary liquidation, dissolution or winding up of the Company; (b) on parity with the Series C Cumulative Redeemable Perpetual Preferred Stock, par value $0.01 per share, the Series G Cumulative Redeemable Preferred Stock, par value $0.01 per share, the Series I Cumulative Redeemable Preferred Stock, par value $0.01 per share, the Series J Cumulative Redeemable Preferred Stock, par value $0.01 per share, and the Series K Cumulative Redeemable Preferred Stock, par value $0.01 per share, of the Company, and with any class or series of capital stock of the Company expressly designated as ranking on parity with the Series L Preferred Stock as to dividend rights and rights upon voluntary or involuntary liquidation, dissolution or winding up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914400</wp:posOffset>
            </wp:positionV>
            <wp:extent cx="4436110" cy="1524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99">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441960</wp:posOffset>
            </wp:positionV>
            <wp:extent cx="5083810" cy="1524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900">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640" w:right="1440" w:bottom="1440" w:gutter="0" w:footer="0" w:header="0"/>
        </w:sectPr>
      </w:pPr>
    </w:p>
    <w:bookmarkStart w:id="487" w:name="page488"/>
    <w:bookmarkEnd w:id="487"/>
    <w:p>
      <w:pPr>
        <w:jc w:val="both"/>
        <w:ind w:left="600" w:right="600"/>
        <w:spacing w:after="0" w:line="281" w:lineRule="auto"/>
        <w:rPr>
          <w:sz w:val="20"/>
          <w:szCs w:val="20"/>
          <w:color w:val="auto"/>
        </w:rPr>
      </w:pPr>
      <w:r>
        <w:rPr>
          <w:rFonts w:ascii="Times New Roman" w:cs="Times New Roman" w:eastAsia="Times New Roman" w:hAnsi="Times New Roman"/>
          <w:sz w:val="13"/>
          <w:szCs w:val="13"/>
          <w:color w:val="auto"/>
        </w:rPr>
        <w:t xml:space="preserve">the Company; and (c) junior to any class or series of capital stock of the Company expressly designated as ranking senior to the Series L Preferred Stock as to dividend rights and rights upon voluntary or involuntary liquidation, dissolution or winding up of the Company. The term “ </w:t>
      </w:r>
      <w:r>
        <w:rPr>
          <w:rFonts w:ascii="Times New Roman" w:cs="Times New Roman" w:eastAsia="Times New Roman" w:hAnsi="Times New Roman"/>
          <w:sz w:val="13"/>
          <w:szCs w:val="13"/>
          <w:u w:val="single" w:color="auto"/>
          <w:color w:val="auto"/>
        </w:rPr>
        <w:t>capital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stock</w:t>
      </w:r>
      <w:r>
        <w:rPr>
          <w:rFonts w:ascii="Times New Roman" w:cs="Times New Roman" w:eastAsia="Times New Roman" w:hAnsi="Times New Roman"/>
          <w:sz w:val="13"/>
          <w:szCs w:val="13"/>
          <w:color w:val="auto"/>
        </w:rPr>
        <w:t>” does not include convertible or exchangeable debt securities, which will rank senior to the Series L Preferred Stock prior to conversion or exchange. The Series L Preferred Stock will also rank junior in right of payment to the Company’s existing and future debt obligations.</w:t>
      </w:r>
    </w:p>
    <w:p>
      <w:pPr>
        <w:spacing w:after="0" w:line="14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 xml:space="preserve">Section 3. </w:t>
      </w:r>
      <w:r>
        <w:rPr>
          <w:rFonts w:ascii="Times New Roman" w:cs="Times New Roman" w:eastAsia="Times New Roman" w:hAnsi="Times New Roman"/>
          <w:sz w:val="13"/>
          <w:szCs w:val="13"/>
          <w:u w:val="single" w:color="auto"/>
          <w:color w:val="auto"/>
        </w:rPr>
        <w:t>Dividends</w:t>
      </w:r>
      <w:r>
        <w:rPr>
          <w:rFonts w:ascii="Times New Roman" w:cs="Times New Roman" w:eastAsia="Times New Roman" w:hAnsi="Times New Roman"/>
          <w:sz w:val="13"/>
          <w:szCs w:val="13"/>
          <w:color w:val="auto"/>
        </w:rPr>
        <w:t>.</w:t>
      </w:r>
    </w:p>
    <w:p>
      <w:pPr>
        <w:spacing w:after="0" w:line="187" w:lineRule="exact"/>
        <w:rPr>
          <w:sz w:val="20"/>
          <w:szCs w:val="20"/>
          <w:color w:val="auto"/>
        </w:rPr>
      </w:pPr>
    </w:p>
    <w:p>
      <w:pPr>
        <w:jc w:val="both"/>
        <w:ind w:left="600" w:right="600" w:firstLine="475"/>
        <w:spacing w:after="0" w:line="271" w:lineRule="auto"/>
        <w:tabs>
          <w:tab w:leader="none" w:pos="1248" w:val="left"/>
        </w:tabs>
        <w:numPr>
          <w:ilvl w:val="0"/>
          <w:numId w:val="5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the preferential rights of the holders of any class or series of capital stock of the Company ranking senior to the Series L Preferred Stock as to dividends, the holders of shares of the Series L Preferred Stock shall be entitled to receive, when, as and if authorized by the Board of Directors and declared by the Company, out of funds legally available for the payment of dividends, cumulative cash dividends at the rate of 5.200% per annum of the $25.00 liquidation preference per share of the Series L Preferred Stock (equivalent to a fixed annual amount of $1.30 per share of the Series L Preferred Stock). Such dividends shall accrue and be cumulative from and including the first date on which any shares of Series L Preferred Stock are issued (the “</w:t>
      </w:r>
      <w:r>
        <w:rPr>
          <w:rFonts w:ascii="Times New Roman" w:cs="Times New Roman" w:eastAsia="Times New Roman" w:hAnsi="Times New Roman"/>
          <w:sz w:val="13"/>
          <w:szCs w:val="13"/>
          <w:u w:val="single" w:color="auto"/>
          <w:color w:val="auto"/>
        </w:rPr>
        <w:t>Original Issue Date</w:t>
      </w:r>
      <w:r>
        <w:rPr>
          <w:rFonts w:ascii="Times New Roman" w:cs="Times New Roman" w:eastAsia="Times New Roman" w:hAnsi="Times New Roman"/>
          <w:sz w:val="13"/>
          <w:szCs w:val="13"/>
          <w:color w:val="auto"/>
        </w:rPr>
        <w:t xml:space="preserve"> ”) and shall be payable quarterly in arrears on each Dividend Payment Date (as defined below), commencing December 31, 2019;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if any Dividend Payment Date is not a Business Day (as defined below), then the dividend which would otherwise have been payable on such Dividend Payment Date may be paid, at the Company’s option, on either the immediately preceding Business Day or the next succeeding Business Day, except that, if such Business Day is in the next succeeding calendar year, such payment shall be made on the immediately preceding Business Day, in each case with the same force and effect as if paid on such Dividend Payment Date, and no interest or additional dividends or other sums shall accrue on the amount so payable from such Dividend Payment Date to such next succeeding Business Day. The amount of any dividend payable on the Series L Preferred Stock for any partial Dividend Period (as defined below) shall be prorated and computed on the basis of a 360-day year consisting of twelve 30-day months. Dividends will be payable to holders of record as they appear in the stockholder records of the Company at the close of business on the applicable Dividend Record Date (as defined below). Notwithstanding any provision to the contrary contained herein, each outstanding share of Series L Preferred Stock shall be entitled to receive a dividend with respect to any Dividend Record Date equal to the dividend paid with respect to each other share of Series L Preferred Stock that is outstanding on such date. “</w:t>
      </w:r>
      <w:r>
        <w:rPr>
          <w:rFonts w:ascii="Times New Roman" w:cs="Times New Roman" w:eastAsia="Times New Roman" w:hAnsi="Times New Roman"/>
          <w:sz w:val="13"/>
          <w:szCs w:val="13"/>
          <w:u w:val="single" w:color="auto"/>
          <w:color w:val="auto"/>
        </w:rPr>
        <w:t>Dividend Record Date</w:t>
      </w:r>
      <w:r>
        <w:rPr>
          <w:rFonts w:ascii="Times New Roman" w:cs="Times New Roman" w:eastAsia="Times New Roman" w:hAnsi="Times New Roman"/>
          <w:sz w:val="13"/>
          <w:szCs w:val="13"/>
          <w:color w:val="auto"/>
        </w:rPr>
        <w:t>” shall mean the date designated by the Board of Directors for the payment of dividends that is not more than 35 or fewer than 10 days prior to the applicable Dividend Payment Date. “</w:t>
      </w:r>
      <w:r>
        <w:rPr>
          <w:rFonts w:ascii="Times New Roman" w:cs="Times New Roman" w:eastAsia="Times New Roman" w:hAnsi="Times New Roman"/>
          <w:sz w:val="13"/>
          <w:szCs w:val="13"/>
          <w:u w:val="single" w:color="auto"/>
          <w:color w:val="auto"/>
        </w:rPr>
        <w:t>Dividend Payment Date</w:t>
      </w:r>
      <w:r>
        <w:rPr>
          <w:rFonts w:ascii="Times New Roman" w:cs="Times New Roman" w:eastAsia="Times New Roman" w:hAnsi="Times New Roman"/>
          <w:sz w:val="13"/>
          <w:szCs w:val="13"/>
          <w:color w:val="auto"/>
        </w:rPr>
        <w:t xml:space="preserve">” shall mean the last calendar day of each March, June, September and December, commencing on December 31, 2019. “ </w:t>
      </w:r>
      <w:r>
        <w:rPr>
          <w:rFonts w:ascii="Times New Roman" w:cs="Times New Roman" w:eastAsia="Times New Roman" w:hAnsi="Times New Roman"/>
          <w:sz w:val="13"/>
          <w:szCs w:val="13"/>
          <w:u w:val="single" w:color="auto"/>
          <w:color w:val="auto"/>
        </w:rPr>
        <w:t>Dividend Period</w:t>
      </w:r>
      <w:r>
        <w:rPr>
          <w:rFonts w:ascii="Times New Roman" w:cs="Times New Roman" w:eastAsia="Times New Roman" w:hAnsi="Times New Roman"/>
          <w:sz w:val="13"/>
          <w:szCs w:val="13"/>
          <w:color w:val="auto"/>
        </w:rPr>
        <w:t>” shall mean the respective periods commencing on and including the first day of January, April, July and October of each year and ending on and including the day preceding the first day of the next succeeding Dividend Period (other than the initial Dividend Period, which shall commence on the Original Issue Date and end on and include December 31, 2019, and other than the Dividend Period during which any shares of Series L Preferred Stock shall be redeemed pursuant to Section 5 or Section 6 hereof, which shall end on and include the day preceding the redemption date with respect to the shares of Series L Preferred Stock being redeemed).</w:t>
      </w:r>
    </w:p>
    <w:p>
      <w:pPr>
        <w:spacing w:after="0" w:line="138" w:lineRule="exact"/>
        <w:rPr>
          <w:sz w:val="20"/>
          <w:szCs w:val="20"/>
          <w:color w:val="auto"/>
        </w:rPr>
      </w:pPr>
    </w:p>
    <w:p>
      <w:pPr>
        <w:ind w:left="600" w:right="520" w:firstLine="480"/>
        <w:spacing w:after="0" w:line="305" w:lineRule="auto"/>
        <w:rPr>
          <w:sz w:val="20"/>
          <w:szCs w:val="20"/>
          <w:color w:val="auto"/>
        </w:rPr>
      </w:pPr>
      <w:r>
        <w:rPr>
          <w:rFonts w:ascii="Times New Roman" w:cs="Times New Roman" w:eastAsia="Times New Roman" w:hAnsi="Times New Roman"/>
          <w:sz w:val="13"/>
          <w:szCs w:val="13"/>
          <w:color w:val="auto"/>
        </w:rPr>
        <w:t>The term “</w:t>
      </w:r>
      <w:r>
        <w:rPr>
          <w:rFonts w:ascii="Times New Roman" w:cs="Times New Roman" w:eastAsia="Times New Roman" w:hAnsi="Times New Roman"/>
          <w:sz w:val="13"/>
          <w:szCs w:val="13"/>
          <w:u w:val="single" w:color="auto"/>
          <w:color w:val="auto"/>
        </w:rPr>
        <w:t>Business Day</w:t>
      </w:r>
      <w:r>
        <w:rPr>
          <w:rFonts w:ascii="Times New Roman" w:cs="Times New Roman" w:eastAsia="Times New Roman" w:hAnsi="Times New Roman"/>
          <w:sz w:val="13"/>
          <w:szCs w:val="13"/>
          <w:color w:val="auto"/>
        </w:rPr>
        <w:t>” shall mean each day, other than a Saturday or a Sunday, which is not a day on which banking institutions in New York, New York are authorized or required by law, regulation or executive order to close.</w:t>
      </w:r>
    </w:p>
    <w:p>
      <w:pPr>
        <w:spacing w:after="0" w:line="124" w:lineRule="exact"/>
        <w:rPr>
          <w:sz w:val="20"/>
          <w:szCs w:val="20"/>
          <w:color w:val="auto"/>
        </w:rPr>
      </w:pPr>
    </w:p>
    <w:p>
      <w:pPr>
        <w:jc w:val="both"/>
        <w:ind w:left="600" w:right="600" w:firstLine="475"/>
        <w:spacing w:after="0" w:line="287" w:lineRule="auto"/>
        <w:tabs>
          <w:tab w:leader="none" w:pos="1260" w:val="left"/>
        </w:tabs>
        <w:numPr>
          <w:ilvl w:val="1"/>
          <w:numId w:val="5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anything contained herein to the contrary, dividends on the Series L Preferred Stock shall accrue whether or not the Company has earnings, whether or not there are funds legally available for the payment of such dividends, and whether or not such dividends are authorized or declared.</w:t>
      </w:r>
    </w:p>
    <w:p>
      <w:pPr>
        <w:spacing w:after="0" w:line="135" w:lineRule="exact"/>
        <w:rPr>
          <w:rFonts w:ascii="Times New Roman" w:cs="Times New Roman" w:eastAsia="Times New Roman" w:hAnsi="Times New Roman"/>
          <w:sz w:val="13"/>
          <w:szCs w:val="13"/>
          <w:color w:val="auto"/>
        </w:rPr>
      </w:pPr>
    </w:p>
    <w:p>
      <w:pPr>
        <w:jc w:val="both"/>
        <w:ind w:left="600" w:right="600" w:firstLine="475"/>
        <w:spacing w:after="0" w:line="270" w:lineRule="auto"/>
        <w:tabs>
          <w:tab w:leader="none" w:pos="1260" w:val="left"/>
        </w:tabs>
        <w:numPr>
          <w:ilvl w:val="1"/>
          <w:numId w:val="5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provided in Section 3(d) below, no dividends shall be declared and paid or declared and set apart for payment, and no other distribution of cash or other property may be declared and made, directly or indirectly, on or with respect to, any shares of Common Stock or shares of any other class or series of capital stock of the Company ranking, as to dividends, on parity with or junior to the Series L Preferred Stock (other than a dividend paid in shares of Common Stock or in shares of any other class or series of capital stock ranking junior to the Series L Preferred Stock as to payment of dividends and the distribution of assets upon the Company’s liquidation, dissolution or winding up) for any period, nor shall any shares of Common Stock or any other shares of any other class or series of capital stock of the Company ranking, as to payment of dividends and the distribution of assets upon the Company’s liquidation, dissolution or winding up, on parity with or junior to the Series L Preferred Stock be redeemed, purchased or otherwise acquired for any consideration, nor shall any funds be paid or made available for a sinking fund for the redemption of such shares, and no other distribution of cash or other property may be made, directly or indirectly, on or with respect thereto by the Company (except by conversion into or exchange for other shares of any class or series of capital stock of the Company ranking junior to the Series L Preferred Stock as to payment of dividends and the distribution of assets upon the Company’s liquidation, dissolution or winding up, and except for the acquisition of shares made pursuant to the provisions of Article VI of the Charter or Section 9 hereof), unless full cumulative dividends on the Series L Preferred Stock for all past Dividend Periods shall have been or contemporaneously are</w:t>
      </w:r>
    </w:p>
    <w:p>
      <w:pPr>
        <w:spacing w:after="0" w:line="1" w:lineRule="exact"/>
        <w:rPr>
          <w:rFonts w:ascii="Times New Roman" w:cs="Times New Roman" w:eastAsia="Times New Roman" w:hAnsi="Times New Roman"/>
          <w:sz w:val="13"/>
          <w:szCs w:val="13"/>
          <w:color w:val="auto"/>
        </w:rPr>
      </w:pPr>
    </w:p>
    <w:p>
      <w:pPr>
        <w:ind w:left="760" w:hanging="166"/>
        <w:spacing w:after="0"/>
        <w:tabs>
          <w:tab w:leader="none" w:pos="760" w:val="left"/>
        </w:tabs>
        <w:numPr>
          <w:ilvl w:val="0"/>
          <w:numId w:val="5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declared and paid in cash or (ii) declared and a sum sufficient for the payment thereof in cash is set apart for such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725805</wp:posOffset>
            </wp:positionV>
            <wp:extent cx="4436110" cy="1524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901">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360045</wp:posOffset>
            </wp:positionV>
            <wp:extent cx="5083810" cy="1524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902">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88" w:name="page489"/>
    <w:bookmarkEnd w:id="4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1215390</wp:posOffset>
            </wp:positionH>
            <wp:positionV relativeFrom="page">
              <wp:posOffset>674370</wp:posOffset>
            </wp:positionV>
            <wp:extent cx="5083810" cy="1524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903">
                      <a:extLst>
                        <a:ext uri="{28A0092B-C50C-407E-A947-70E740481C1C}"/>
                      </a:extLst>
                    </a:blip>
                    <a:srcRect/>
                    <a:stretch>
                      <a:fillRect/>
                    </a:stretch>
                  </pic:blipFill>
                  <pic:spPr bwMode="auto">
                    <a:xfrm>
                      <a:off x="0" y="0"/>
                      <a:ext cx="5083810" cy="15240"/>
                    </a:xfrm>
                    <a:prstGeom prst="rect">
                      <a:avLst/>
                    </a:prstGeom>
                    <a:noFill/>
                  </pic:spPr>
                </pic:pic>
              </a:graphicData>
            </a:graphic>
          </wp:anchor>
        </w:drawing>
        <w:drawing>
          <wp:anchor simplePos="0" relativeHeight="251657728" behindDoc="1" locked="0" layoutInCell="0" allowOverlap="1">
            <wp:simplePos x="0" y="0"/>
            <wp:positionH relativeFrom="page">
              <wp:posOffset>1291590</wp:posOffset>
            </wp:positionH>
            <wp:positionV relativeFrom="page">
              <wp:posOffset>361950</wp:posOffset>
            </wp:positionV>
            <wp:extent cx="4436110" cy="762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904">
                      <a:extLst>
                        <a:ext uri="{28A0092B-C50C-407E-A947-70E740481C1C}"/>
                      </a:extLst>
                    </a:blip>
                    <a:srcRect/>
                    <a:stretch>
                      <a:fillRect/>
                    </a:stretch>
                  </pic:blipFill>
                  <pic:spPr bwMode="auto">
                    <a:xfrm>
                      <a:off x="0" y="0"/>
                      <a:ext cx="4436110" cy="76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489" w:name="page490"/>
    <w:bookmarkEnd w:id="489"/>
    <w:p>
      <w:pPr>
        <w:jc w:val="both"/>
        <w:ind w:left="600" w:right="600" w:firstLine="480"/>
        <w:spacing w:after="0" w:line="274" w:lineRule="auto"/>
        <w:rPr>
          <w:sz w:val="20"/>
          <w:szCs w:val="20"/>
          <w:color w:val="auto"/>
        </w:rPr>
      </w:pPr>
      <w:r>
        <w:rPr>
          <w:rFonts w:ascii="Times New Roman" w:cs="Times New Roman" w:eastAsia="Times New Roman" w:hAnsi="Times New Roman"/>
          <w:sz w:val="13"/>
          <w:szCs w:val="13"/>
          <w:color w:val="auto"/>
        </w:rPr>
        <w:t>(d) When dividends are not paid in full (and a sum sufficient for such full payment is not so set apart) on the Series L Preferred Stock and the shares of any other class or series of capital stock ranking, as to dividends, on parity with the Series L Preferred Stock, all dividends declared upon the Series L Preferred Stock and each such other class or series of capital stock ranking, as to dividends, on parity with the Series L Preferred Stock shall be declared pro rata so that the amount of dividends declared per share of Series L Preferred Stock and such other class or series of capital stock shall in all cases bear to each other the same ratio that accrued dividends per share on the Series L Preferred Stock and such other class or series of capital stock (which shall not include any accrual in respect of unpaid dividends on such other class or series of capital stock for prior Dividend Periods if such other class or series of capital stock does not have a cumulative dividend) bear to each other. No interest, or sum of money in lieu of interest, shall be payable in respect of any dividend payment or payments on the Series L Preferred Stock which may be in arrears.</w:t>
      </w:r>
    </w:p>
    <w:p>
      <w:pPr>
        <w:spacing w:after="0" w:line="303" w:lineRule="exact"/>
        <w:rPr>
          <w:sz w:val="20"/>
          <w:szCs w:val="20"/>
          <w:color w:val="auto"/>
        </w:rPr>
      </w:pPr>
    </w:p>
    <w:p>
      <w:pPr>
        <w:jc w:val="both"/>
        <w:ind w:left="600" w:right="600" w:firstLine="475"/>
        <w:spacing w:after="0" w:line="281" w:lineRule="auto"/>
        <w:tabs>
          <w:tab w:leader="none" w:pos="1248" w:val="left"/>
        </w:tabs>
        <w:numPr>
          <w:ilvl w:val="0"/>
          <w:numId w:val="5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Holders of shares of Series L Preferred Stock shall not be entitled to any dividend, whether payable in cash, property or shares of capital stock, in excess of full cumulative dividends on the Series L Preferred Stock as provided herein. Any dividend payment made on the Series L Preferred Stock shall first be credited against the earliest accrued but unpaid dividends due with respect to such shares which remain payable. Accrued but unpaid dividends on the Series L Preferred Stock will accumulate as of the Dividend Payment Date on which they first become payable.</w:t>
      </w:r>
    </w:p>
    <w:p>
      <w:pPr>
        <w:spacing w:after="0" w:line="30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 xml:space="preserve">Section 4. </w:t>
      </w:r>
      <w:r>
        <w:rPr>
          <w:rFonts w:ascii="Times New Roman" w:cs="Times New Roman" w:eastAsia="Times New Roman" w:hAnsi="Times New Roman"/>
          <w:sz w:val="13"/>
          <w:szCs w:val="13"/>
          <w:u w:val="single" w:color="auto"/>
          <w:color w:val="auto"/>
        </w:rPr>
        <w:t>Liquidation Preference</w:t>
      </w:r>
      <w:r>
        <w:rPr>
          <w:rFonts w:ascii="Times New Roman" w:cs="Times New Roman" w:eastAsia="Times New Roman" w:hAnsi="Times New Roman"/>
          <w:sz w:val="13"/>
          <w:szCs w:val="13"/>
          <w:color w:val="auto"/>
        </w:rPr>
        <w:t>.</w:t>
      </w:r>
    </w:p>
    <w:p>
      <w:pPr>
        <w:spacing w:after="0" w:line="187" w:lineRule="exact"/>
        <w:rPr>
          <w:sz w:val="20"/>
          <w:szCs w:val="20"/>
          <w:color w:val="auto"/>
        </w:rPr>
      </w:pPr>
    </w:p>
    <w:p>
      <w:pPr>
        <w:jc w:val="both"/>
        <w:ind w:left="600" w:right="600" w:firstLine="475"/>
        <w:spacing w:after="0" w:line="271" w:lineRule="auto"/>
        <w:tabs>
          <w:tab w:leader="none" w:pos="1248" w:val="left"/>
        </w:tabs>
        <w:numPr>
          <w:ilvl w:val="0"/>
          <w:numId w:val="5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any voluntary or involuntary liquidation, dissolution or winding up of the Company, before any distribution or payment shall be made to holders of shares of Common Stock or any other class or series of capital stock of the Company ranking, as to rights upon any voluntary or involuntary liquidation, dissolution or winding up of the Company, junior to the Series L Preferred Stock, the holders of shares of Series L Preferred Stock shall be entitled to be paid out of the assets of the Company legally available for distribution to its stockholders, after payment of or provision for the debts and other liabilities of the Company and, subject to compliance with section 7(f)(i) of these Articles Supplementary, any class or series of capital stock of the Company ranking, as to rights upon any voluntary or involuntary liquidation, dissolution or winding up of the Company, senior to the Series L Preferred Stock, a liquidation preference of $25.00 per share, plus an amount equal to any accrued and unpaid dividends (whether or not authorized or declared) up to but excluding the date of payment. In the event that, upon such voluntary or involuntary liquidation, dissolution or winding up, the available assets of the Company are insufficient to pay the full amount of the liquidating distributions on all outstanding shares of Series L Preferred Stock and the corresponding amounts payable on all shares of other classes or series of capital stock of the Company ranking, as to rights upon the Company’s liquidation, dissolution or winding up, on parity with the Series L Preferred Stock in the distribution of assets, then the holders of the Series L Preferred Stock and each such other class or series of capital stock ranking, as to rights upon any voluntary or involuntary liquidation, dissolution or winding up, on parity with the Series L Preferred Stock shall share ratably in any such distribution of assets in proportion to the full liquidating distributions to which they would otherwise be respectively entitled. Written notice of any such voluntary or involuntary liquidation, dissolution or winding up of the Company, stating the payment date or dates when, and the place or places where, the amounts distributable in such circumstances shall be payable, shall be given by first class mail, postage pre-paid, not fewer than 30 or more than 60 days prior to the payment date stated therein, to each record holder of shares of Series L Preferred Stock at the respective addresses of such holders as the same shall appear on the stock transfer records of the Company. After payment of the full amount of the liquidating distributions to which they are entitled, the holders of Series L Preferred Stock will have no right or claim to any of the remaining assets of the Company. The consolidation or merger of the Company with or into any other corporation, trust or entity, or the voluntary sale, lease, transfer or conveyance of all or substantially all of the property or business of the Company, shall not be deemed to constitute a liquidation, dissolution or winding up of the Company.</w:t>
      </w:r>
    </w:p>
    <w:p>
      <w:pPr>
        <w:spacing w:after="0" w:line="308" w:lineRule="exact"/>
        <w:rPr>
          <w:rFonts w:ascii="Times New Roman" w:cs="Times New Roman" w:eastAsia="Times New Roman" w:hAnsi="Times New Roman"/>
          <w:sz w:val="13"/>
          <w:szCs w:val="13"/>
          <w:color w:val="auto"/>
        </w:rPr>
      </w:pPr>
    </w:p>
    <w:p>
      <w:pPr>
        <w:jc w:val="both"/>
        <w:ind w:left="600" w:right="600" w:firstLine="475"/>
        <w:spacing w:after="0" w:line="281" w:lineRule="auto"/>
        <w:tabs>
          <w:tab w:leader="none" w:pos="1260" w:val="left"/>
        </w:tabs>
        <w:numPr>
          <w:ilvl w:val="0"/>
          <w:numId w:val="5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determining whether a distribution (other than upon voluntary or involuntary liquidation), by dividend, redemption or other acquisition of shares of capital stock of the Company or otherwise, is permitted under the MGCL, amounts that would be needed, if the Company were to be dissolved at the time of the distribution, to satisfy the preferential rights upon dissolution of holders of shares of Series L Preferred Stock shall not be added to the Company’s total liabilities.</w:t>
      </w:r>
    </w:p>
    <w:p>
      <w:pPr>
        <w:spacing w:after="0" w:line="14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 xml:space="preserve">Section 5. </w:t>
      </w:r>
      <w:r>
        <w:rPr>
          <w:rFonts w:ascii="Times New Roman" w:cs="Times New Roman" w:eastAsia="Times New Roman" w:hAnsi="Times New Roman"/>
          <w:sz w:val="13"/>
          <w:szCs w:val="13"/>
          <w:u w:val="single" w:color="auto"/>
          <w:color w:val="auto"/>
        </w:rPr>
        <w:t>Redemption</w:t>
      </w:r>
      <w:r>
        <w:rPr>
          <w:rFonts w:ascii="Times New Roman" w:cs="Times New Roman" w:eastAsia="Times New Roman" w:hAnsi="Times New Roman"/>
          <w:sz w:val="13"/>
          <w:szCs w:val="13"/>
          <w:color w:val="auto"/>
        </w:rPr>
        <w:t>.</w:t>
      </w:r>
    </w:p>
    <w:p>
      <w:pPr>
        <w:spacing w:after="0" w:line="187" w:lineRule="exact"/>
        <w:rPr>
          <w:sz w:val="20"/>
          <w:szCs w:val="20"/>
          <w:color w:val="auto"/>
        </w:rPr>
      </w:pPr>
    </w:p>
    <w:p>
      <w:pPr>
        <w:jc w:val="both"/>
        <w:ind w:left="600" w:right="600" w:firstLine="475"/>
        <w:spacing w:after="0" w:line="278" w:lineRule="auto"/>
        <w:tabs>
          <w:tab w:leader="none" w:pos="1260" w:val="left"/>
        </w:tabs>
        <w:numPr>
          <w:ilvl w:val="0"/>
          <w:numId w:val="5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Shares of Series L Preferred Stock shall not be redeemable prior to October 10, 2024 except as set forth in Section 6 hereof or to preserve the status of the Company as a REIT (as defined in Section 9(a) hereof) for United States federal income tax purposes. In addition, the Series L Preferred Stock shall be subject to the provisions of Section 9 hereof pursuant to which Series L Preferred Stock owned by a stockholder in excess of the Ownership Limit (as defined in Section 9(a) hereof) shall automatically be transferred to a Trust (as defined in Section 9(a) hereof) for the exclusive benefit of a Charitable Beneficiary (as defined in Section 9(a)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105410</wp:posOffset>
            </wp:positionV>
            <wp:extent cx="4436110" cy="1524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905">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547370</wp:posOffset>
            </wp:positionV>
            <wp:extent cx="5083810" cy="1524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906">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90" w:name="page491"/>
    <w:bookmarkEnd w:id="490"/>
    <w:p>
      <w:pPr>
        <w:jc w:val="both"/>
        <w:ind w:left="600" w:right="600" w:firstLine="475"/>
        <w:spacing w:after="0" w:line="270" w:lineRule="auto"/>
        <w:tabs>
          <w:tab w:leader="none" w:pos="1260" w:val="left"/>
        </w:tabs>
        <w:numPr>
          <w:ilvl w:val="0"/>
          <w:numId w:val="5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On and after October 10, 2024, the Company, at its option, upon not fewer than 30 or more than 60 days’ written notice, may redeem the Series L Preferred Stock, in whole or in part, at any time or from time to time, for cash at a redemption price of $25.00 per share, plus all accrued and unpaid dividends (whether or not authorized or declared) thereon up to but not including the date fixed for redemption, without interest, to the extent the Company has funds legally available therefor (the “ </w:t>
      </w:r>
      <w:r>
        <w:rPr>
          <w:rFonts w:ascii="Times New Roman" w:cs="Times New Roman" w:eastAsia="Times New Roman" w:hAnsi="Times New Roman"/>
          <w:sz w:val="13"/>
          <w:szCs w:val="13"/>
          <w:u w:val="single" w:color="auto"/>
          <w:color w:val="auto"/>
        </w:rPr>
        <w:t>Redemption Right</w:t>
      </w:r>
      <w:r>
        <w:rPr>
          <w:rFonts w:ascii="Times New Roman" w:cs="Times New Roman" w:eastAsia="Times New Roman" w:hAnsi="Times New Roman"/>
          <w:sz w:val="13"/>
          <w:szCs w:val="13"/>
          <w:color w:val="auto"/>
        </w:rPr>
        <w:t>”). If fewer than all of the outstanding shares of Series L Preferred Stock are to be redeemed, the shares of Series L Preferred Stock to be redeemed shall be redeemed pro rata (as nearly as may be practicable without creating fractional shares) or by lot as determined by the Company. If redemption is to be by lot and, as a result, any holder of shares of Series L Preferred Stock would have actual ownership, Beneficial Ownership or Constructive Ownership (each as defined in Section 9(a) hereof) in excess of the Ownership Limit (as defined in Section 9(a) hereof), the Aggregate Stock Ownership Limit (as defined in Section 9(a) hereof), or such other limit as permitted by the Board of Directors or a committee thereof pursuant to Section 9(i) hereof, because such holder’s shares of Series L Preferred Stock were not redeemed, or were only redeemed in part, then, except as otherwise provided in the Charter, the Company shall redeem the requisite number of shares of Series L Preferred Stock of such holder such that no holder will hold an amount of Series L Preferred Stock in excess of the applicable ownership limit, subsequent to such redemption. Holders of Series L Preferred Stock to be redeemed shall surrender such Series L Preferred Stock at the place, or in accordance with the book-entry procedures, designated in such notice and shall be entitled to the redemption price of $25.00 per share and any accrued and unpaid dividends payable upon such redemption following such surrender. If (i) notice of redemption of any shares of Series L Preferred Stock has been given (in the case of a redemption of the Series L Preferred Stock other than to preserve the status of the Company as a REIT), (ii) the funds necessary for such redemption have been set aside by the Company in trust for the benefit of the holders of any shares of Series L Preferred Stock so called for redemption, and (iii) irrevocable instructions have been given to pay the redemption price and all accrued and unpaid dividends, then from and after the redemption date, dividends</w:t>
      </w:r>
    </w:p>
    <w:p>
      <w:pPr>
        <w:spacing w:after="0" w:line="1" w:lineRule="exact"/>
        <w:rPr>
          <w:sz w:val="20"/>
          <w:szCs w:val="20"/>
          <w:color w:val="auto"/>
        </w:rPr>
      </w:pPr>
    </w:p>
    <w:p>
      <w:pPr>
        <w:jc w:val="both"/>
        <w:ind w:left="600" w:right="600"/>
        <w:spacing w:after="0" w:line="274" w:lineRule="auto"/>
        <w:rPr>
          <w:sz w:val="20"/>
          <w:szCs w:val="20"/>
          <w:color w:val="auto"/>
        </w:rPr>
      </w:pPr>
      <w:r>
        <w:rPr>
          <w:rFonts w:ascii="Times New Roman" w:cs="Times New Roman" w:eastAsia="Times New Roman" w:hAnsi="Times New Roman"/>
          <w:sz w:val="13"/>
          <w:szCs w:val="13"/>
          <w:color w:val="auto"/>
        </w:rPr>
        <w:t>shall cease to accrue on such shares of Series L Preferred Stock, such shares of Series L Preferred Stock shall no longer be deemed outstanding, and all rights of the holders of such shares shall terminate, except the right to receive the redemption price plus any accrued and unpaid dividends payable upon such redemption, without interest. So long as full cumulative dividends on the Series L Preferred Stock for all past Dividend Periods shall have been or contemporaneously are (i) declared and paid in cash, or (ii) declared and a sum sufficient for the payment thereof in cash is set apart for payment, nothing herein shall prevent or restrict the Company’s right or ability to purchase, from time to time, either at a public or a private sale, all or any part of the Series L Preferred Stock at such price or prices as the Company may determine, subject to the provisions of applicable law, including the repurchase of shares of Series L Preferred Stock in open-market transactions duly authorized by the Board of Directors.</w:t>
      </w:r>
    </w:p>
    <w:p>
      <w:pPr>
        <w:spacing w:after="0" w:line="302" w:lineRule="exact"/>
        <w:rPr>
          <w:sz w:val="20"/>
          <w:szCs w:val="20"/>
          <w:color w:val="auto"/>
        </w:rPr>
      </w:pPr>
    </w:p>
    <w:p>
      <w:pPr>
        <w:jc w:val="both"/>
        <w:ind w:left="600" w:right="600" w:firstLine="475"/>
        <w:spacing w:after="0" w:line="278" w:lineRule="auto"/>
        <w:tabs>
          <w:tab w:leader="none" w:pos="1260" w:val="left"/>
        </w:tabs>
        <w:numPr>
          <w:ilvl w:val="0"/>
          <w:numId w:val="5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event of any redemption of the Series L Preferred Stock in order to preserve the status of the Company as a REIT for United States federal income tax purposes, such redemption shall be made in accordance with the terms and conditions set forth in this Section 5 of these Articles Supplementary. If the Company calls for redemption of any shares of Series L Preferred Stock pursuant to and in accordance with this Section 5(c), then the redemption price for such shares will be an amount in cash equal to $25.00 per share together with all accrued and unpaid dividends to but excluding the dated fixed for redemption.</w:t>
      </w:r>
    </w:p>
    <w:p>
      <w:pPr>
        <w:spacing w:after="0" w:line="143" w:lineRule="exact"/>
        <w:rPr>
          <w:sz w:val="20"/>
          <w:szCs w:val="20"/>
          <w:color w:val="auto"/>
        </w:rPr>
      </w:pPr>
    </w:p>
    <w:p>
      <w:pPr>
        <w:jc w:val="both"/>
        <w:ind w:left="600" w:right="600" w:firstLine="480"/>
        <w:spacing w:after="0" w:line="272" w:lineRule="auto"/>
        <w:rPr>
          <w:sz w:val="20"/>
          <w:szCs w:val="20"/>
          <w:color w:val="auto"/>
        </w:rPr>
      </w:pPr>
      <w:r>
        <w:rPr>
          <w:rFonts w:ascii="Times New Roman" w:cs="Times New Roman" w:eastAsia="Times New Roman" w:hAnsi="Times New Roman"/>
          <w:sz w:val="13"/>
          <w:szCs w:val="13"/>
          <w:color w:val="auto"/>
        </w:rPr>
        <w:t xml:space="preserve">(d) Unless full cumulative dividends on the Series L Preferred Stock for all past Dividend Periods shall have been or contemporaneously are (i) declared and paid in cash, or (ii) declared and a sum sufficient for the payment thereof in cash is set apart for payment, no shares of Series L Preferred Stock shall be redeemed pursuant to the Redemption Right or Special Optional Redemption Right (defined below) unless all outstanding shares of Series L Preferred Stock are simultaneously redeemed, and the Company shall not purchase or otherwise acquire directly or indirectly any shares of Series L Preferred Stock or any class or series of capital stock of the Company ranking, as to payment of dividends and the distribution of assets upon liquidation, dissolution or winding up of the Company, on parity with or junior to the Series L Preferred Stock (except by conversion into or exchange for shares of capital stock of the Company ranking, as to payment of dividends and the distribution of assets upon liquidation, dissolution or winding up of the Company, junior to the Series L Preferred Stock);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the foregoing shall not prevent the purchase of Series L Preferred Stock, or any other class or series of capital stock of the Company ranking, as to payment of dividends and the distribution of assets upon liquidation, dissolution or winding up of the Company, on parity with or junior to the Series L Preferred Stock, by the Company in accordance with the terms of Sections 5(c) and 9 of these Articles Supplementary or otherwise, in order to ensure that the Company remains qualified as a REIT for United States federal income tax purposes, or the purchase or acquisition of Series L Preferred Stock pursuant to a purchase or exchange offer made on the same terms to holders of all outstanding shares of Series L Preferred Stock.</w:t>
      </w:r>
    </w:p>
    <w:p>
      <w:pPr>
        <w:spacing w:after="0" w:line="138" w:lineRule="exact"/>
        <w:rPr>
          <w:sz w:val="20"/>
          <w:szCs w:val="20"/>
          <w:color w:val="auto"/>
        </w:rPr>
      </w:pPr>
    </w:p>
    <w:p>
      <w:pPr>
        <w:jc w:val="both"/>
        <w:ind w:left="600" w:right="600" w:firstLine="475"/>
        <w:spacing w:after="0" w:line="275" w:lineRule="auto"/>
        <w:tabs>
          <w:tab w:leader="none" w:pos="1248" w:val="left"/>
        </w:tabs>
        <w:numPr>
          <w:ilvl w:val="0"/>
          <w:numId w:val="5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Notice of redemption pursuant to the Redemption Right will be mailed by the Company, postage prepaid, not fewer than 30 or more than 60 days prior to the redemption date, addressed to the respective holders of record of the Series L Preferred Stock to be redeemed at their respective addresses as they appear on the transfer records of the Company. No failure to give or defect in such notice shall affect the validity of the proceedings for the redemption of any Series L Preferred Stock except as to the holder to whom such notice was defective or not given. In addition to any information required by law or by the applicable rules of any exchange upon which the Series L Preferred Stock may be listed or admitted to trading, each such notice shall state: (i) the redemption date; (ii) the redemption price; (iii) the number of shares of Series L Preferred Stock to be redeemed; (iv) the place or places where the certificates,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107315</wp:posOffset>
            </wp:positionV>
            <wp:extent cx="4436110" cy="1524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907">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549275</wp:posOffset>
            </wp:positionV>
            <wp:extent cx="5083810" cy="1524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908">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91" w:name="page492"/>
    <w:bookmarkEnd w:id="491"/>
    <w:p>
      <w:pPr>
        <w:jc w:val="both"/>
        <w:ind w:left="600" w:right="600"/>
        <w:spacing w:after="0" w:line="274" w:lineRule="auto"/>
        <w:rPr>
          <w:sz w:val="20"/>
          <w:szCs w:val="20"/>
          <w:color w:val="auto"/>
        </w:rPr>
      </w:pPr>
      <w:r>
        <w:rPr>
          <w:rFonts w:ascii="Times New Roman" w:cs="Times New Roman" w:eastAsia="Times New Roman" w:hAnsi="Times New Roman"/>
          <w:sz w:val="13"/>
          <w:szCs w:val="13"/>
          <w:color w:val="auto"/>
        </w:rPr>
        <w:t>representing shares of Series L Preferred Stock are to be surrendered for payment of the redemption price; (v) procedures for surrendering noncertificated shares of Series L Preferred Stock for payment of the redemption price; (vi) that dividends on the shares of Series L Preferred Stock to be redeemed will cease to accumulate on such redemption date; and (vii) that payment of the redemption price and any accumulated and unpaid dividends will be made upon presentation and surrender of such Series L Preferred Stock. If fewer than all of the shares of Series L Preferred Stock held by any holder are to be redeemed, the notice mailed to such holder shall also specify the number of shares of Series L Preferred Stock held by such holder to be redeemed. Notwithstanding anything else to the contrary in these Articles Supplementary, the Company shall not be required to provide notice to the holder of Series L Preferred Stock in the event such holder’s Series L Preferred Stock is redeemed in accordance with Sections 5(c) and 9 of these Articles Supplementary to preserve the Company’s status as a REIT.</w:t>
      </w:r>
    </w:p>
    <w:p>
      <w:pPr>
        <w:spacing w:after="0" w:line="135" w:lineRule="exact"/>
        <w:rPr>
          <w:sz w:val="20"/>
          <w:szCs w:val="20"/>
          <w:color w:val="auto"/>
        </w:rPr>
      </w:pPr>
    </w:p>
    <w:p>
      <w:pPr>
        <w:jc w:val="both"/>
        <w:ind w:left="600" w:right="600" w:firstLine="480"/>
        <w:spacing w:after="0" w:line="276" w:lineRule="auto"/>
        <w:rPr>
          <w:sz w:val="20"/>
          <w:szCs w:val="20"/>
          <w:color w:val="auto"/>
        </w:rPr>
      </w:pPr>
      <w:r>
        <w:rPr>
          <w:rFonts w:ascii="Times New Roman" w:cs="Times New Roman" w:eastAsia="Times New Roman" w:hAnsi="Times New Roman"/>
          <w:sz w:val="13"/>
          <w:szCs w:val="13"/>
          <w:color w:val="auto"/>
        </w:rPr>
        <w:t>(f)If a redemption date falls after a Dividend Record Date and on or prior to the corresponding Dividend Payment Date, each holder of Series L Preferred Stock at the close of business of such Dividend Record Date shall be entitled to the dividend payable on such shares on the corresponding Dividend Payment Date notwithstanding the redemption of such shares on or prior to such Dividend Payment Date, and each holder of Series L Preferred Stock that surrenders its shares on such redemption date will be entitled to the dividends accruing after the end of the Dividend Period to which such Dividend Payment Date relates up to but excluding the redemption date. Except as provided herein, the Company shall make no payment or allowance for unpaid dividends, whether or not in arrears, on Series L Preferred Stock for which a notice of redemption has been given.</w:t>
      </w:r>
    </w:p>
    <w:p>
      <w:pPr>
        <w:spacing w:after="0" w:line="313" w:lineRule="exact"/>
        <w:rPr>
          <w:sz w:val="20"/>
          <w:szCs w:val="20"/>
          <w:color w:val="auto"/>
        </w:rPr>
      </w:pPr>
    </w:p>
    <w:p>
      <w:pPr>
        <w:jc w:val="both"/>
        <w:ind w:left="600" w:right="620" w:firstLine="475"/>
        <w:spacing w:after="0" w:line="287" w:lineRule="auto"/>
        <w:tabs>
          <w:tab w:leader="none" w:pos="1260" w:val="left"/>
        </w:tabs>
        <w:numPr>
          <w:ilvl w:val="0"/>
          <w:numId w:val="5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shares of the Series L Preferred Stock redeemed or repurchased pursuant to this Section 5, or otherwise acquired in any other manner by the Company, shall be retired and shall be restored to the status of authorized but unissued shares of Preferred Stock, without designation as to series or class.</w:t>
      </w:r>
    </w:p>
    <w:p>
      <w:pPr>
        <w:spacing w:after="0" w:line="136" w:lineRule="exact"/>
        <w:rPr>
          <w:sz w:val="20"/>
          <w:szCs w:val="20"/>
          <w:color w:val="auto"/>
        </w:rPr>
      </w:pPr>
    </w:p>
    <w:p>
      <w:pPr>
        <w:jc w:val="both"/>
        <w:ind w:left="600" w:right="600" w:firstLine="480"/>
        <w:spacing w:after="0" w:line="287" w:lineRule="auto"/>
        <w:rPr>
          <w:sz w:val="20"/>
          <w:szCs w:val="20"/>
          <w:color w:val="auto"/>
        </w:rPr>
      </w:pPr>
      <w:r>
        <w:rPr>
          <w:rFonts w:ascii="Times New Roman" w:cs="Times New Roman" w:eastAsia="Times New Roman" w:hAnsi="Times New Roman"/>
          <w:sz w:val="13"/>
          <w:szCs w:val="13"/>
          <w:color w:val="auto"/>
        </w:rPr>
        <w:t xml:space="preserve">(h) The Series L Preferred Stock shall have no stated maturity and shall not be subject to any sinking fund or mandatory redemption;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the Series L Preferred Stock owned by a stockholder in excess of the applicable ownership limit shall be subject to the provisions of this Section 5 and Section 9 of these Articles Supplementary.</w:t>
      </w:r>
    </w:p>
    <w:p>
      <w:pPr>
        <w:spacing w:after="0" w:line="13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 xml:space="preserve">Section 6. </w:t>
      </w:r>
      <w:r>
        <w:rPr>
          <w:rFonts w:ascii="Times New Roman" w:cs="Times New Roman" w:eastAsia="Times New Roman" w:hAnsi="Times New Roman"/>
          <w:sz w:val="13"/>
          <w:szCs w:val="13"/>
          <w:u w:val="single" w:color="auto"/>
          <w:color w:val="auto"/>
        </w:rPr>
        <w:t>Special Optional Redemption by the Company</w:t>
      </w:r>
      <w:r>
        <w:rPr>
          <w:rFonts w:ascii="Times New Roman" w:cs="Times New Roman" w:eastAsia="Times New Roman" w:hAnsi="Times New Roman"/>
          <w:sz w:val="13"/>
          <w:szCs w:val="13"/>
          <w:color w:val="auto"/>
        </w:rPr>
        <w:t>.</w:t>
      </w:r>
    </w:p>
    <w:p>
      <w:pPr>
        <w:spacing w:after="0" w:line="187" w:lineRule="exact"/>
        <w:rPr>
          <w:sz w:val="20"/>
          <w:szCs w:val="20"/>
          <w:color w:val="auto"/>
        </w:rPr>
      </w:pPr>
    </w:p>
    <w:p>
      <w:pPr>
        <w:jc w:val="both"/>
        <w:ind w:left="600" w:right="580" w:firstLine="475"/>
        <w:spacing w:after="0" w:line="270" w:lineRule="auto"/>
        <w:tabs>
          <w:tab w:leader="none" w:pos="1260" w:val="left"/>
        </w:tabs>
        <w:numPr>
          <w:ilvl w:val="0"/>
          <w:numId w:val="5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the occurrence of a Change of Control (as defined below), the Company will have the option upon written notice mailed by the Company, postage pre-paid, no fewer than 30 nor more than 60 days prior to the redemption date and addressed to the holders of record of shares of the Series L Preferred Stock to be redeemed at their respective addresses as they appear on the share transfer records of the Company, to redeem shares of the Series L Preferred Stock, in whole or in part within 120 days after the first date on which such Change of Control occurred, for cash at $25.00 per share plus accrued and unpaid dividends, if any, to, but not including, the redemption date (“</w:t>
      </w:r>
      <w:r>
        <w:rPr>
          <w:rFonts w:ascii="Times New Roman" w:cs="Times New Roman" w:eastAsia="Times New Roman" w:hAnsi="Times New Roman"/>
          <w:sz w:val="13"/>
          <w:szCs w:val="13"/>
          <w:u w:val="single" w:color="auto"/>
          <w:color w:val="auto"/>
        </w:rPr>
        <w:t>Special Optional Redemption Right</w:t>
      </w:r>
      <w:r>
        <w:rPr>
          <w:rFonts w:ascii="Times New Roman" w:cs="Times New Roman" w:eastAsia="Times New Roman" w:hAnsi="Times New Roman"/>
          <w:sz w:val="13"/>
          <w:szCs w:val="13"/>
          <w:color w:val="auto"/>
        </w:rPr>
        <w:t>”). No failure to give such notice or any defect thereto or in the mailing thereof shall affect the validity of the proceedings for the redemption of any</w:t>
      </w:r>
    </w:p>
    <w:p>
      <w:pPr>
        <w:spacing w:after="0" w:line="3" w:lineRule="exact"/>
        <w:rPr>
          <w:sz w:val="20"/>
          <w:szCs w:val="20"/>
          <w:color w:val="auto"/>
        </w:rPr>
      </w:pPr>
    </w:p>
    <w:p>
      <w:pPr>
        <w:jc w:val="both"/>
        <w:ind w:left="600" w:right="600"/>
        <w:spacing w:after="0" w:line="279" w:lineRule="auto"/>
        <w:rPr>
          <w:sz w:val="20"/>
          <w:szCs w:val="20"/>
          <w:color w:val="auto"/>
        </w:rPr>
      </w:pPr>
      <w:r>
        <w:rPr>
          <w:rFonts w:ascii="Times New Roman" w:cs="Times New Roman" w:eastAsia="Times New Roman" w:hAnsi="Times New Roman"/>
          <w:sz w:val="13"/>
          <w:szCs w:val="13"/>
          <w:color w:val="auto"/>
        </w:rPr>
        <w:t>shares of Series L Preferred Stock except as to the holder to whom notice was defective or not given. If, prior to the Change of Control Conversion Date (as defined below), the Company has provided or provides notice of redemption with respect to the Series L Preferred Stock (whether pursuant to the Redemption Right or the Special Optional Redemption Right), the holders of shares of Series L Preferred Stock will not have the conversion right described below in Section 8 of these Articles Supplementary.</w:t>
      </w:r>
    </w:p>
    <w:p>
      <w:pPr>
        <w:spacing w:after="0" w:line="13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3"/>
          <w:szCs w:val="13"/>
          <w:color w:val="auto"/>
        </w:rPr>
        <w:t>A “</w:t>
      </w:r>
      <w:r>
        <w:rPr>
          <w:rFonts w:ascii="Times New Roman" w:cs="Times New Roman" w:eastAsia="Times New Roman" w:hAnsi="Times New Roman"/>
          <w:sz w:val="13"/>
          <w:szCs w:val="13"/>
          <w:u w:val="single" w:color="auto"/>
          <w:color w:val="auto"/>
        </w:rPr>
        <w:t>Change of Control</w:t>
      </w:r>
      <w:r>
        <w:rPr>
          <w:rFonts w:ascii="Times New Roman" w:cs="Times New Roman" w:eastAsia="Times New Roman" w:hAnsi="Times New Roman"/>
          <w:sz w:val="13"/>
          <w:szCs w:val="13"/>
          <w:color w:val="auto"/>
        </w:rPr>
        <w:t>” is when, after the original issuance of the Series L Preferred Stock, the following have occurred and are</w:t>
      </w:r>
    </w:p>
    <w:p>
      <w:pPr>
        <w:spacing w:after="0" w:line="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continuing:</w:t>
      </w:r>
    </w:p>
    <w:p>
      <w:pPr>
        <w:spacing w:after="0" w:line="183" w:lineRule="exact"/>
        <w:rPr>
          <w:sz w:val="20"/>
          <w:szCs w:val="20"/>
          <w:color w:val="auto"/>
        </w:rPr>
      </w:pPr>
    </w:p>
    <w:p>
      <w:pPr>
        <w:jc w:val="both"/>
        <w:ind w:left="600" w:right="600" w:firstLine="955"/>
        <w:spacing w:after="0" w:line="276" w:lineRule="auto"/>
        <w:tabs>
          <w:tab w:leader="none" w:pos="1704" w:val="left"/>
        </w:tabs>
        <w:numPr>
          <w:ilvl w:val="0"/>
          <w:numId w:val="5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acquisition by any person, including any syndicate or group deemed to be a “person” under Section 13(d)(3) of the Securities Exchange Act of 1934, as amended (the “</w:t>
      </w:r>
      <w:r>
        <w:rPr>
          <w:rFonts w:ascii="Times New Roman" w:cs="Times New Roman" w:eastAsia="Times New Roman" w:hAnsi="Times New Roman"/>
          <w:sz w:val="13"/>
          <w:szCs w:val="13"/>
          <w:u w:val="single" w:color="auto"/>
          <w:color w:val="auto"/>
        </w:rPr>
        <w:t>Exchange Act</w:t>
      </w:r>
      <w:r>
        <w:rPr>
          <w:rFonts w:ascii="Times New Roman" w:cs="Times New Roman" w:eastAsia="Times New Roman" w:hAnsi="Times New Roman"/>
          <w:sz w:val="13"/>
          <w:szCs w:val="13"/>
          <w:color w:val="auto"/>
        </w:rPr>
        <w:t>”), of beneficial ownership, directly or indirectly, through a purchase, merger or other acquisition transaction or series of purchases, mergers or other acquisition transactions of stock of the Company entitling that person to exercise more than 50% of the total voting power of all stock of the Company entitled to vote generally in the election of the Company’s directors (except that such person will be deemed to have beneficial ownership of all securities that such person has the right to acquire, whether such right is currently exercisable or is exercisable only upon the occurrence of a subsequent condition); and</w:t>
      </w:r>
    </w:p>
    <w:p>
      <w:pPr>
        <w:spacing w:after="0" w:line="145" w:lineRule="exact"/>
        <w:rPr>
          <w:sz w:val="20"/>
          <w:szCs w:val="20"/>
          <w:color w:val="auto"/>
        </w:rPr>
      </w:pPr>
    </w:p>
    <w:p>
      <w:pPr>
        <w:ind w:left="600" w:right="560" w:firstLine="960"/>
        <w:spacing w:after="0" w:line="281" w:lineRule="auto"/>
        <w:rPr>
          <w:sz w:val="20"/>
          <w:szCs w:val="20"/>
          <w:color w:val="auto"/>
        </w:rPr>
      </w:pPr>
      <w:r>
        <w:rPr>
          <w:rFonts w:ascii="Times New Roman" w:cs="Times New Roman" w:eastAsia="Times New Roman" w:hAnsi="Times New Roman"/>
          <w:sz w:val="13"/>
          <w:szCs w:val="13"/>
          <w:color w:val="auto"/>
        </w:rPr>
        <w:t>(ii) following the closing of any transaction referred to in (i) above, neither the Company nor the acquiring or surviving entity has a class of common securities (or American Depositary Receipts representing such securities) listed on the New York Stock Exchange (the “</w:t>
      </w:r>
      <w:r>
        <w:rPr>
          <w:rFonts w:ascii="Times New Roman" w:cs="Times New Roman" w:eastAsia="Times New Roman" w:hAnsi="Times New Roman"/>
          <w:sz w:val="13"/>
          <w:szCs w:val="13"/>
          <w:u w:val="single" w:color="auto"/>
          <w:color w:val="auto"/>
        </w:rPr>
        <w:t>NYSE</w:t>
      </w:r>
      <w:r>
        <w:rPr>
          <w:rFonts w:ascii="Times New Roman" w:cs="Times New Roman" w:eastAsia="Times New Roman" w:hAnsi="Times New Roman"/>
          <w:sz w:val="13"/>
          <w:szCs w:val="13"/>
          <w:color w:val="auto"/>
        </w:rPr>
        <w:t>”), the NYSE MKT LLC (the “</w:t>
      </w:r>
      <w:r>
        <w:rPr>
          <w:rFonts w:ascii="Times New Roman" w:cs="Times New Roman" w:eastAsia="Times New Roman" w:hAnsi="Times New Roman"/>
          <w:sz w:val="13"/>
          <w:szCs w:val="13"/>
          <w:u w:val="single" w:color="auto"/>
          <w:color w:val="auto"/>
        </w:rPr>
        <w:t>NYSE MKT</w:t>
      </w:r>
      <w:r>
        <w:rPr>
          <w:rFonts w:ascii="Times New Roman" w:cs="Times New Roman" w:eastAsia="Times New Roman" w:hAnsi="Times New Roman"/>
          <w:sz w:val="13"/>
          <w:szCs w:val="13"/>
          <w:color w:val="auto"/>
        </w:rPr>
        <w:t>”), or the NASDAQ Stock Market (“</w:t>
      </w:r>
      <w:r>
        <w:rPr>
          <w:rFonts w:ascii="Times New Roman" w:cs="Times New Roman" w:eastAsia="Times New Roman" w:hAnsi="Times New Roman"/>
          <w:sz w:val="13"/>
          <w:szCs w:val="13"/>
          <w:u w:val="single" w:color="auto"/>
          <w:color w:val="auto"/>
        </w:rPr>
        <w:t>NASDAQ</w:t>
      </w:r>
      <w:r>
        <w:rPr>
          <w:rFonts w:ascii="Times New Roman" w:cs="Times New Roman" w:eastAsia="Times New Roman" w:hAnsi="Times New Roman"/>
          <w:sz w:val="13"/>
          <w:szCs w:val="13"/>
          <w:color w:val="auto"/>
        </w:rPr>
        <w:t>”), or listed or quoted on an exchange or quotation system that is a successor to the NYSE, the NYSE MKT or NASDAQ.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104140</wp:posOffset>
            </wp:positionV>
            <wp:extent cx="4436110" cy="762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909">
                      <a:extLst>
                        <a:ext uri="{28A0092B-C50C-407E-A947-70E740481C1C}"/>
                      </a:extLst>
                    </a:blip>
                    <a:srcRect/>
                    <a:stretch>
                      <a:fillRect/>
                    </a:stretch>
                  </pic:blipFill>
                  <pic:spPr bwMode="auto">
                    <a:xfrm>
                      <a:off x="0" y="0"/>
                      <a:ext cx="4436110"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538480</wp:posOffset>
            </wp:positionV>
            <wp:extent cx="5083810" cy="1524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910">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92" w:name="page493"/>
    <w:bookmarkEnd w:id="492"/>
    <w:p>
      <w:pPr>
        <w:jc w:val="both"/>
        <w:ind w:left="600" w:right="600" w:firstLine="475"/>
        <w:spacing w:after="0" w:line="270" w:lineRule="auto"/>
        <w:tabs>
          <w:tab w:leader="none" w:pos="1260" w:val="left"/>
        </w:tabs>
        <w:numPr>
          <w:ilvl w:val="1"/>
          <w:numId w:val="5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addition to any information required by law or by the applicable rules of any exchange upon which the Series L Preferred Stock may be listed or admitted to trading, such notice shall state: (i) the redemption date; (ii) the redemption price; (iii) the number of shares of Series L Preferred Stock to be redeemed; (iv) the place or places where the certificates, if any, representing shares of Series L Preferred Stock are to be surrendered for payment of the redemption price; (v) procedures for surrendering noncertificated shares of Series L Preferred Stock for payment of the redemption price; (vi) that dividends on the shares of Series L Preferred Stock to be redeemed will cease to accumulate on the redemption date;</w:t>
      </w:r>
    </w:p>
    <w:p>
      <w:pPr>
        <w:spacing w:after="0" w:line="2" w:lineRule="exact"/>
        <w:rPr>
          <w:rFonts w:ascii="Times New Roman" w:cs="Times New Roman" w:eastAsia="Times New Roman" w:hAnsi="Times New Roman"/>
          <w:sz w:val="13"/>
          <w:szCs w:val="13"/>
          <w:color w:val="auto"/>
        </w:rPr>
      </w:pPr>
    </w:p>
    <w:p>
      <w:pPr>
        <w:jc w:val="both"/>
        <w:ind w:left="600" w:right="580" w:hanging="6"/>
        <w:spacing w:after="0" w:line="274" w:lineRule="auto"/>
        <w:tabs>
          <w:tab w:leader="none" w:pos="864" w:val="left"/>
        </w:tabs>
        <w:numPr>
          <w:ilvl w:val="0"/>
          <w:numId w:val="5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payment of the redemption price and any accumulated and unpaid dividends will be made upon presentation and surrender of such Series L Preferred Stock; (viii) that the shares of Series L Preferred Stock are being redeemed pursuant to the Special Optional Redemption Right in connection with the occurrence of a Change of Control and a brief description of the transaction or transactions constituting such Change of Control; and (ix) that holders of the shares of Series L Preferred Stock to which the notice relates will not be able to tender such shares of Series L Preferred Stock for conversion in connection with the Change of Control and each share of Series L Preferred Stock tendered for conversion that is selected, prior to the Change of Control Conversion Date, for redemption will be redeemed on the related redemption date instead of converted on the Change of Control Conversion Date. If fewer than all of the shares of Series L Preferred Stock held by any holder are to be redeemed, the notice mailed to such holder shall also specify the number of shares of Series L Preferred Stock held by such holder to be redeemed.</w:t>
      </w:r>
    </w:p>
    <w:p>
      <w:pPr>
        <w:spacing w:after="0" w:line="132" w:lineRule="exact"/>
        <w:rPr>
          <w:sz w:val="20"/>
          <w:szCs w:val="20"/>
          <w:color w:val="auto"/>
        </w:rPr>
      </w:pPr>
    </w:p>
    <w:p>
      <w:pPr>
        <w:jc w:val="both"/>
        <w:ind w:left="600" w:right="600" w:firstLine="720"/>
        <w:spacing w:after="0" w:line="274" w:lineRule="auto"/>
        <w:rPr>
          <w:sz w:val="20"/>
          <w:szCs w:val="20"/>
          <w:color w:val="auto"/>
        </w:rPr>
      </w:pPr>
      <w:r>
        <w:rPr>
          <w:rFonts w:ascii="Times New Roman" w:cs="Times New Roman" w:eastAsia="Times New Roman" w:hAnsi="Times New Roman"/>
          <w:sz w:val="13"/>
          <w:szCs w:val="13"/>
          <w:color w:val="auto"/>
        </w:rPr>
        <w:t>If fewer than all of the outstanding shares of Series L Preferred Stock are to be redeemed, the shares of Series L Preferred Stock to be redeemed shall be redeemed pro rata (as nearly as may be practicable without creating fractional shares) or by lot as determined by the Company. If such redemption pursuant to the Special Optional Redemption Right is to be by lot and, as a result, any holder of shares of Series L Preferred Stock would have actual ownership, Beneficial Ownership or Constructive Ownership (each as defined in Section 9(a) hereof) in excess of the Ownership Limit (as defined in Section 9(a) hereof), the Aggregate Stock Ownership Limit (as defined in Section 9(a) hereof), or such limit as permitted by the Board of Directors or a committee thereof pursuant to Section 9(i) hereof, because such holder’s shares of Series L Preferred Stock were not redeemed, or were only redeemed in part then, except as otherwise provided in the Charter, the Company shall redeem the requisite number of shares of Series L Preferred Stock of such holder such that no holder will hold an amount of Series L Preferred Stock in excess of the applicable ownership limit, subsequent to such redemption.</w:t>
      </w:r>
    </w:p>
    <w:p>
      <w:pPr>
        <w:spacing w:after="0" w:line="132" w:lineRule="exact"/>
        <w:rPr>
          <w:sz w:val="20"/>
          <w:szCs w:val="20"/>
          <w:color w:val="auto"/>
        </w:rPr>
      </w:pPr>
    </w:p>
    <w:p>
      <w:pPr>
        <w:jc w:val="both"/>
        <w:ind w:left="600" w:right="600" w:firstLine="475"/>
        <w:spacing w:after="0" w:line="270" w:lineRule="auto"/>
        <w:tabs>
          <w:tab w:leader="none" w:pos="1260" w:val="left"/>
        </w:tabs>
        <w:numPr>
          <w:ilvl w:val="0"/>
          <w:numId w:val="5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Company has given a notice of redemption pursuant to the Special Optional Redemption Right and has set aside sufficient funds for the redemption in trust for the benefit of the holders of the Series L Preferred Stock called for redemption, then from and after the redemption date, those shares of Series L Preferred Stock will be treated as no longer being outstanding, no further dividends will accrue and all other rights of the holders of those shares of Series L Preferred Stock will terminate. The holders of those shares of Series L Preferred Stock will retain their right to receive the redemption price for their shares and any accrued and unpaid dividends to, but not including, the redemption date, without interest. So long as full cumulative dividends on the Series L Preferred Stock, and any other class or series of capital stock of the Company ranking, as to</w:t>
      </w:r>
    </w:p>
    <w:p>
      <w:pPr>
        <w:spacing w:after="0" w:line="3" w:lineRule="exact"/>
        <w:rPr>
          <w:sz w:val="20"/>
          <w:szCs w:val="20"/>
          <w:color w:val="auto"/>
        </w:rPr>
      </w:pPr>
    </w:p>
    <w:p>
      <w:pPr>
        <w:jc w:val="both"/>
        <w:ind w:left="600" w:right="560"/>
        <w:spacing w:after="0" w:line="277" w:lineRule="auto"/>
        <w:rPr>
          <w:sz w:val="20"/>
          <w:szCs w:val="20"/>
          <w:color w:val="auto"/>
        </w:rPr>
      </w:pPr>
      <w:r>
        <w:rPr>
          <w:rFonts w:ascii="Times New Roman" w:cs="Times New Roman" w:eastAsia="Times New Roman" w:hAnsi="Times New Roman"/>
          <w:sz w:val="13"/>
          <w:szCs w:val="13"/>
          <w:color w:val="auto"/>
        </w:rPr>
        <w:t>dividends, on parity with the Series L Preferred Stock, for all past Dividend Periods shall have been or contemporaneously are (i) declared and paid in cash, or (ii) declared and a sum sufficient for the payment thereof in cash is set apart for payment, nothing herein shall prevent or restrict the Company’s right or ability to purchase, from time to time, either at a public or a private sale, all or any part of the Series L Preferred Stock at such price or prices as the Company may determine, subject to the provisions of applicable law, including the repurchase of shares of Series L Preferred Stock in open-market transactions duly authorized by the Board of Directors.</w:t>
      </w:r>
    </w:p>
    <w:p>
      <w:pPr>
        <w:spacing w:after="0" w:line="130" w:lineRule="exact"/>
        <w:rPr>
          <w:sz w:val="20"/>
          <w:szCs w:val="20"/>
          <w:color w:val="auto"/>
        </w:rPr>
      </w:pPr>
    </w:p>
    <w:p>
      <w:pPr>
        <w:jc w:val="both"/>
        <w:ind w:left="600" w:right="600" w:firstLine="475"/>
        <w:spacing w:after="0" w:line="276" w:lineRule="auto"/>
        <w:tabs>
          <w:tab w:leader="none" w:pos="1260" w:val="left"/>
        </w:tabs>
        <w:numPr>
          <w:ilvl w:val="0"/>
          <w:numId w:val="5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holders of Series L Preferred Stock at the close of business on a Dividend Record Date will be entitled to receive the dividend payable with respect to the Series L Preferred Stock on the corresponding Dividend Payment Date notwithstanding the redemption of the Series L Preferred Stock pursuant to the Special Optional Redemption Right between such Dividend Record Date and the corresponding Dividend Payment Date or the Company’s default in the payment of the dividend due. Except as provided herein, the Company shall make no payment or allowance for unpaid dividends, whether or not in arrears, on Series L Preferred Stock for which a notice of redemption pursuant to the Special Optional Redemption Right has been given.</w:t>
      </w:r>
    </w:p>
    <w:p>
      <w:pPr>
        <w:spacing w:after="0" w:line="144" w:lineRule="exact"/>
        <w:rPr>
          <w:rFonts w:ascii="Times New Roman" w:cs="Times New Roman" w:eastAsia="Times New Roman" w:hAnsi="Times New Roman"/>
          <w:sz w:val="13"/>
          <w:szCs w:val="13"/>
          <w:color w:val="auto"/>
        </w:rPr>
      </w:pPr>
    </w:p>
    <w:p>
      <w:pPr>
        <w:jc w:val="both"/>
        <w:ind w:left="600" w:right="620" w:firstLine="475"/>
        <w:spacing w:after="0" w:line="287" w:lineRule="auto"/>
        <w:tabs>
          <w:tab w:leader="none" w:pos="1248" w:val="left"/>
        </w:tabs>
        <w:numPr>
          <w:ilvl w:val="0"/>
          <w:numId w:val="5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shares of the Series L Preferred Stock redeemed or repurchased pursuant to this Section 6, or otherwise acquired in any other manner by the Company, shall be retired and shall be restored to the status of authorized but unissued shares of Preferred Stock, without designation as to series or class.</w:t>
      </w:r>
    </w:p>
    <w:p>
      <w:pPr>
        <w:spacing w:after="0" w:line="13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 xml:space="preserve">Section 7. </w:t>
      </w:r>
      <w:r>
        <w:rPr>
          <w:rFonts w:ascii="Times New Roman" w:cs="Times New Roman" w:eastAsia="Times New Roman" w:hAnsi="Times New Roman"/>
          <w:sz w:val="13"/>
          <w:szCs w:val="13"/>
          <w:u w:val="single" w:color="auto"/>
          <w:color w:val="auto"/>
        </w:rPr>
        <w:t>Voting Rights</w:t>
      </w:r>
      <w:r>
        <w:rPr>
          <w:rFonts w:ascii="Times New Roman" w:cs="Times New Roman" w:eastAsia="Times New Roman" w:hAnsi="Times New Roman"/>
          <w:sz w:val="13"/>
          <w:szCs w:val="13"/>
          <w:color w:val="auto"/>
        </w:rPr>
        <w:t>.</w:t>
      </w:r>
    </w:p>
    <w:p>
      <w:pPr>
        <w:spacing w:after="0" w:line="18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(a) Holders of the Series L Preferred Stock shall not have any voting rights, except as set forth in this Section 7.</w:t>
      </w:r>
    </w:p>
    <w:p>
      <w:pPr>
        <w:spacing w:after="0" w:line="187" w:lineRule="exact"/>
        <w:rPr>
          <w:sz w:val="20"/>
          <w:szCs w:val="20"/>
          <w:color w:val="auto"/>
        </w:rPr>
      </w:pPr>
    </w:p>
    <w:p>
      <w:pPr>
        <w:jc w:val="both"/>
        <w:ind w:left="600" w:right="600" w:firstLine="480"/>
        <w:spacing w:after="0" w:line="287" w:lineRule="auto"/>
        <w:rPr>
          <w:sz w:val="20"/>
          <w:szCs w:val="20"/>
          <w:color w:val="auto"/>
        </w:rPr>
      </w:pPr>
      <w:r>
        <w:rPr>
          <w:rFonts w:ascii="Times New Roman" w:cs="Times New Roman" w:eastAsia="Times New Roman" w:hAnsi="Times New Roman"/>
          <w:sz w:val="13"/>
          <w:szCs w:val="13"/>
          <w:color w:val="auto"/>
        </w:rPr>
        <w:t>(b) Whenever dividends on any shares of Series L Preferred Stock shall be in arrears for six or more consecutive or non- consecutive quarterly periods (a “</w:t>
      </w:r>
      <w:r>
        <w:rPr>
          <w:rFonts w:ascii="Times New Roman" w:cs="Times New Roman" w:eastAsia="Times New Roman" w:hAnsi="Times New Roman"/>
          <w:sz w:val="13"/>
          <w:szCs w:val="13"/>
          <w:u w:val="single" w:color="auto"/>
          <w:color w:val="auto"/>
        </w:rPr>
        <w:t>Preferred Dividend Default</w:t>
      </w:r>
      <w:r>
        <w:rPr>
          <w:rFonts w:ascii="Times New Roman" w:cs="Times New Roman" w:eastAsia="Times New Roman" w:hAnsi="Times New Roman"/>
          <w:sz w:val="13"/>
          <w:szCs w:val="13"/>
          <w:color w:val="auto"/>
        </w:rPr>
        <w:t>”), the holders of such Series L Preferred Stock (voting separately as a class together with holders of all other classes or series of preferred stock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101600</wp:posOffset>
            </wp:positionV>
            <wp:extent cx="4436110" cy="1524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911">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543560</wp:posOffset>
            </wp:positionV>
            <wp:extent cx="5083810" cy="1524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912">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93" w:name="page494"/>
    <w:bookmarkEnd w:id="4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1215390</wp:posOffset>
            </wp:positionH>
            <wp:positionV relativeFrom="page">
              <wp:posOffset>681990</wp:posOffset>
            </wp:positionV>
            <wp:extent cx="5083810" cy="1524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913">
                      <a:extLst>
                        <a:ext uri="{28A0092B-C50C-407E-A947-70E740481C1C}"/>
                      </a:extLst>
                    </a:blip>
                    <a:srcRect/>
                    <a:stretch>
                      <a:fillRect/>
                    </a:stretch>
                  </pic:blipFill>
                  <pic:spPr bwMode="auto">
                    <a:xfrm>
                      <a:off x="0" y="0"/>
                      <a:ext cx="5083810" cy="15240"/>
                    </a:xfrm>
                    <a:prstGeom prst="rect">
                      <a:avLst/>
                    </a:prstGeom>
                    <a:noFill/>
                  </pic:spPr>
                </pic:pic>
              </a:graphicData>
            </a:graphic>
          </wp:anchor>
        </w:drawing>
        <w:drawing>
          <wp:anchor simplePos="0" relativeHeight="251657728" behindDoc="1" locked="0" layoutInCell="0" allowOverlap="1">
            <wp:simplePos x="0" y="0"/>
            <wp:positionH relativeFrom="page">
              <wp:posOffset>1291590</wp:posOffset>
            </wp:positionH>
            <wp:positionV relativeFrom="page">
              <wp:posOffset>361950</wp:posOffset>
            </wp:positionV>
            <wp:extent cx="4436110" cy="1524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914">
                      <a:extLst>
                        <a:ext uri="{28A0092B-C50C-407E-A947-70E740481C1C}"/>
                      </a:extLst>
                    </a:blip>
                    <a:srcRect/>
                    <a:stretch>
                      <a:fillRect/>
                    </a:stretch>
                  </pic:blipFill>
                  <pic:spPr bwMode="auto">
                    <a:xfrm>
                      <a:off x="0" y="0"/>
                      <a:ext cx="4436110" cy="1524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494" w:name="page495"/>
    <w:bookmarkEnd w:id="494"/>
    <w:p>
      <w:pPr>
        <w:jc w:val="both"/>
        <w:ind w:left="600" w:right="600"/>
        <w:spacing w:after="0" w:line="274" w:lineRule="auto"/>
        <w:rPr>
          <w:sz w:val="20"/>
          <w:szCs w:val="20"/>
          <w:color w:val="auto"/>
        </w:rPr>
      </w:pPr>
      <w:r>
        <w:rPr>
          <w:rFonts w:ascii="Times New Roman" w:cs="Times New Roman" w:eastAsia="Times New Roman" w:hAnsi="Times New Roman"/>
          <w:sz w:val="13"/>
          <w:szCs w:val="13"/>
          <w:color w:val="auto"/>
        </w:rPr>
        <w:t>Company ranking on parity with the Series L Preferred Stock with respect to payment of dividends and the distribution of assets upon the Company’s liquidation, dissolution or winding up and upon which like voting rights have been conferred and are exercisable (“</w:t>
      </w:r>
      <w:r>
        <w:rPr>
          <w:rFonts w:ascii="Times New Roman" w:cs="Times New Roman" w:eastAsia="Times New Roman" w:hAnsi="Times New Roman"/>
          <w:sz w:val="13"/>
          <w:szCs w:val="13"/>
          <w:u w:val="single" w:color="auto"/>
          <w:color w:val="auto"/>
        </w:rPr>
        <w:t>Parity Preferred</w:t>
      </w:r>
      <w:r>
        <w:rPr>
          <w:rFonts w:ascii="Times New Roman" w:cs="Times New Roman" w:eastAsia="Times New Roman" w:hAnsi="Times New Roman"/>
          <w:sz w:val="13"/>
          <w:szCs w:val="13"/>
          <w:color w:val="auto"/>
        </w:rPr>
        <w:t>”), including the Series C Cumulative Redeemable Perpetual Preferred Stock, par value $0.01 per share, the Series G Cumulative Redeemable Preferred Stock, par value $0.01 per share, the Series I Cumulative Redeemable Preferred Stock, par value $0.01 per share, the Series J Cumulative Redeemable Preferred Stock, par value $0.01 per share, and the Series K Cumulative Redeemable Preferred Stock, par value $0.01 per share, of the Company) shall be entitled to vote for the election of a total of two additional directors of the Company (the “</w:t>
      </w:r>
      <w:r>
        <w:rPr>
          <w:rFonts w:ascii="Times New Roman" w:cs="Times New Roman" w:eastAsia="Times New Roman" w:hAnsi="Times New Roman"/>
          <w:sz w:val="13"/>
          <w:szCs w:val="13"/>
          <w:u w:val="single" w:color="auto"/>
          <w:color w:val="auto"/>
        </w:rPr>
        <w:t>Preferred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Directors</w:t>
      </w:r>
      <w:r>
        <w:rPr>
          <w:rFonts w:ascii="Times New Roman" w:cs="Times New Roman" w:eastAsia="Times New Roman" w:hAnsi="Times New Roman"/>
          <w:sz w:val="13"/>
          <w:szCs w:val="13"/>
          <w:color w:val="auto"/>
        </w:rPr>
        <w:t>”) until all dividends accumulated on such Series L Preferred Stock and Parity Preferred for the past Dividend Periods shall have been fully paid. In such case, the entire Board of Directors will be increased by two directors.</w:t>
      </w:r>
    </w:p>
    <w:p>
      <w:pPr>
        <w:spacing w:after="0" w:line="99" w:lineRule="exact"/>
        <w:rPr>
          <w:sz w:val="20"/>
          <w:szCs w:val="20"/>
          <w:color w:val="auto"/>
        </w:rPr>
      </w:pPr>
    </w:p>
    <w:p>
      <w:pPr>
        <w:jc w:val="both"/>
        <w:ind w:left="600" w:right="600" w:firstLine="475"/>
        <w:spacing w:after="0" w:line="271" w:lineRule="auto"/>
        <w:tabs>
          <w:tab w:leader="none" w:pos="1260" w:val="left"/>
        </w:tabs>
        <w:numPr>
          <w:ilvl w:val="1"/>
          <w:numId w:val="5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Preferred Directors will be elected by a plurality of the votes cast in the election for a one-year term and each Preferred Director will serve until his or her successor is duly elected and qualifies or until such Preferred Director’s right to hold the office terminates, whichever occurs earlier, subject to such Preferred Director’s earlier death, disqualification, resignation or removal. The election will take place at (i) either</w:t>
      </w:r>
    </w:p>
    <w:p>
      <w:pPr>
        <w:spacing w:after="0" w:line="1" w:lineRule="exact"/>
        <w:rPr>
          <w:rFonts w:ascii="Times New Roman" w:cs="Times New Roman" w:eastAsia="Times New Roman" w:hAnsi="Times New Roman"/>
          <w:sz w:val="13"/>
          <w:szCs w:val="13"/>
          <w:color w:val="auto"/>
        </w:rPr>
      </w:pPr>
    </w:p>
    <w:p>
      <w:pPr>
        <w:ind w:left="600" w:right="600" w:hanging="6"/>
        <w:spacing w:after="0" w:line="274" w:lineRule="auto"/>
        <w:tabs>
          <w:tab w:leader="none" w:pos="833" w:val="left"/>
        </w:tabs>
        <w:numPr>
          <w:ilvl w:val="0"/>
          <w:numId w:val="5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special meeting called in accordance with Section 7(d) below if the request is received more than 90 days before the date fixed for the Company’s next annual or special meeting of stockholders or (B) the next annual or special meeting of stockholders if the request is received within 90 days of the date fixed for the Company’s next annual or special meeting of stockholders, and (ii) at each subsequent annual meeting of stockholders, or special meeting held in place thereof, until all such dividends in arrears on the Series L Preferred Stock and each such class or series of outstanding Parity Preferred have been paid in full. A dividend in respect of Series L Preferred Stock shall be considered timely made if made within two Business Days after the applicable Dividend Payment Date if at the time of such late payment date there shall not be any prior quarterly Dividend Periods in respect of which full dividends were not timely made at the applicable Dividend Payment Date.</w:t>
      </w:r>
    </w:p>
    <w:p>
      <w:pPr>
        <w:spacing w:after="0" w:line="98" w:lineRule="exact"/>
        <w:rPr>
          <w:rFonts w:ascii="Times New Roman" w:cs="Times New Roman" w:eastAsia="Times New Roman" w:hAnsi="Times New Roman"/>
          <w:sz w:val="13"/>
          <w:szCs w:val="13"/>
          <w:color w:val="auto"/>
        </w:rPr>
      </w:pPr>
    </w:p>
    <w:p>
      <w:pPr>
        <w:jc w:val="both"/>
        <w:ind w:left="600" w:right="600" w:firstLine="475"/>
        <w:spacing w:after="0" w:line="271" w:lineRule="auto"/>
        <w:tabs>
          <w:tab w:leader="none" w:pos="1260" w:val="left"/>
        </w:tabs>
        <w:numPr>
          <w:ilvl w:val="1"/>
          <w:numId w:val="5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any time when such voting rights shall have vested, a proper officer of the Company shall call or cause to be called, upon written request of holders of record of at least 10% of the outstanding shares of Series L Preferred Stock and Parity Preferred, a special meeting of the holders of Series L Preferred Stock and each class or series of Parity Preferred by mailing or causing to be mailed to such holders a notice of such special meeting to be held not fewer than ten or more than 45 days after the date such notice is given. The record date for determining holders of the Series L Preferred Stock and Parity Preferred entitled to notice of and to vote at such special meeting will be the close of business on the third Business Day preceding the day on which such notice is mailed. At any such annual or special meeting, all of the holders of the Series L Preferred Stock and Parity Preferred, by plurality vote, voting together as a single class without regard to class or series will be entitled to elect two directors on the basis of one vote per $25.00 of liquidation preference to which such Series L Preferred Stock and Parity Preferred are entitled by their terms (excluding amounts in respect of accumulated and unpaid dividends) and not cumulatively. The holder or holders of one-third of the Series L Preferred Stock and Parity Preferred voting as a single class then outstanding, present in person or by proxy, will constitute a quorum for the election of the Preferred Directors except as otherwise provided by law. Notice of all meetings at which holders of the Series L Preferred Stock and the Parity Preferred shall be entitled to vote will be given to such holders at their addresses as they appear in the transfer records. At any such meeting or adjournment thereof in the absence of a quorum, subject to the provisions of any applicable law, a majority of the holders of the Series L Preferred Stock and Parity Preferred voting as a single class present in person or by proxy shall have the power to adjourn the meeting for the election of the Preferred Directors, without notice other than an announcement at the meeting, until a quorum is present. If a Preferred Dividend Default shall terminate after the notice of a special meeting has been given but before such special meeting has been held, the Company shall, as soon as practicable after such termination, mail or cause to be mailed notice of such termination to holders of the Series L Preferred Stock and the Parity Preferred that would have been entitled to vote at such special meeting.</w:t>
      </w:r>
    </w:p>
    <w:p>
      <w:pPr>
        <w:spacing w:after="0" w:line="118" w:lineRule="exact"/>
        <w:rPr>
          <w:rFonts w:ascii="Times New Roman" w:cs="Times New Roman" w:eastAsia="Times New Roman" w:hAnsi="Times New Roman"/>
          <w:sz w:val="13"/>
          <w:szCs w:val="13"/>
          <w:color w:val="auto"/>
        </w:rPr>
      </w:pPr>
    </w:p>
    <w:p>
      <w:pPr>
        <w:jc w:val="both"/>
        <w:ind w:left="600" w:right="600" w:firstLine="475"/>
        <w:spacing w:after="0" w:line="273" w:lineRule="auto"/>
        <w:tabs>
          <w:tab w:leader="none" w:pos="1248" w:val="left"/>
        </w:tabs>
        <w:numPr>
          <w:ilvl w:val="1"/>
          <w:numId w:val="5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and when all accumulated dividends on such Series L Preferred Stock and all classes or series of Parity Preferred for the past Dividend Periods shall have been fully paid, the right of the holders of Series L Preferred Stock and the Parity Preferred to elect such additional two directors shall immediately cease (subject to revesting in the event of each and every Preferred Dividend Default), and the term of office of each Preferred Director so elected shall terminate and the entire Board of Directors shall be reduced accordingly. Any Preferred Director may be removed at any time with or without cause by the vote of, and shall not be removed otherwise than by the vote of, the holders of record of a majority of the outstanding Series L Preferred Stock and the Parity Preferred entitled to vote thereon when they have the voting rights set forth in Section 7(b) hereof (voting as a single class). So long as a Preferred Dividend Default shall continue, any vacancy in the office of a Preferred Director may be filled by written consent of the Preferred Director remaining in office, or if none remains in office, by a vote of the holders of record of a majority of the outstanding Series L Preferred Stock when they have the voting rights described above (voting as a single class with all other classes or series of Parity Preferred). Each of the Preferred Directors shall be entitled to one vote on any matter.</w:t>
      </w:r>
    </w:p>
    <w:p>
      <w:pPr>
        <w:spacing w:after="0" w:line="100" w:lineRule="exact"/>
        <w:rPr>
          <w:sz w:val="20"/>
          <w:szCs w:val="20"/>
          <w:color w:val="auto"/>
        </w:rPr>
      </w:pPr>
    </w:p>
    <w:p>
      <w:pPr>
        <w:jc w:val="both"/>
        <w:ind w:left="600" w:right="580" w:firstLine="480"/>
        <w:spacing w:after="0" w:line="287" w:lineRule="auto"/>
        <w:rPr>
          <w:sz w:val="20"/>
          <w:szCs w:val="20"/>
          <w:color w:val="auto"/>
        </w:rPr>
      </w:pPr>
      <w:r>
        <w:rPr>
          <w:rFonts w:ascii="Times New Roman" w:cs="Times New Roman" w:eastAsia="Times New Roman" w:hAnsi="Times New Roman"/>
          <w:sz w:val="13"/>
          <w:szCs w:val="13"/>
          <w:color w:val="auto"/>
        </w:rPr>
        <w:t>(f)So long as any shares of Series L Preferred Stock remain outstanding, the affirmative vote or consent of the holders of two-thirds of the shares of Series L Preferred Stock and each other class or series of Parity Preferred outstanding at the time, given in person or by proxy, either in writing or at a meeting (voting together as a single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101600</wp:posOffset>
            </wp:positionV>
            <wp:extent cx="4436110" cy="1524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915">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543560</wp:posOffset>
            </wp:positionV>
            <wp:extent cx="5083810" cy="1524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916">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95" w:name="page496"/>
    <w:bookmarkEnd w:id="495"/>
    <w:p>
      <w:pPr>
        <w:jc w:val="both"/>
        <w:ind w:left="600" w:right="600"/>
        <w:spacing w:after="0" w:line="270" w:lineRule="auto"/>
        <w:rPr>
          <w:sz w:val="20"/>
          <w:szCs w:val="20"/>
          <w:color w:val="auto"/>
        </w:rPr>
      </w:pPr>
      <w:r>
        <w:rPr>
          <w:rFonts w:ascii="Times New Roman" w:cs="Times New Roman" w:eastAsia="Times New Roman" w:hAnsi="Times New Roman"/>
          <w:sz w:val="13"/>
          <w:szCs w:val="13"/>
          <w:color w:val="auto"/>
        </w:rPr>
        <w:t>will be required to: (i) authorize, create or issue, or increase the number of authorized or issued shares of, any class or series of capital stock ranking senior to the Series L Preferred Stock with respect to payment of dividends or the distribution of assets upon liquidation, dissolution or winding up of the Company (collectively, “</w:t>
      </w:r>
      <w:r>
        <w:rPr>
          <w:rFonts w:ascii="Times New Roman" w:cs="Times New Roman" w:eastAsia="Times New Roman" w:hAnsi="Times New Roman"/>
          <w:sz w:val="13"/>
          <w:szCs w:val="13"/>
          <w:u w:val="single" w:color="auto"/>
          <w:color w:val="auto"/>
        </w:rPr>
        <w:t>Senior Capital Stock</w:t>
      </w:r>
      <w:r>
        <w:rPr>
          <w:rFonts w:ascii="Times New Roman" w:cs="Times New Roman" w:eastAsia="Times New Roman" w:hAnsi="Times New Roman"/>
          <w:sz w:val="13"/>
          <w:szCs w:val="13"/>
          <w:color w:val="auto"/>
        </w:rPr>
        <w:t>”) or reclassify any authorized shares of capital stock of the Company into such capital stock, or create, authorize or issue any obligation or security convertible into or evidencing the right to purchase any such Senior Capital Stock; or (ii) amend, alter or repeal the provisions of the Charter, including the terms of the Series L Preferred Stock, whether by merger, consolidation, transfer or conveyance of all or substantially all of its assets or otherwise (an “</w:t>
      </w:r>
      <w:r>
        <w:rPr>
          <w:rFonts w:ascii="Times New Roman" w:cs="Times New Roman" w:eastAsia="Times New Roman" w:hAnsi="Times New Roman"/>
          <w:sz w:val="13"/>
          <w:szCs w:val="13"/>
          <w:u w:val="single" w:color="auto"/>
          <w:color w:val="auto"/>
        </w:rPr>
        <w:t>Event</w:t>
      </w:r>
      <w:r>
        <w:rPr>
          <w:rFonts w:ascii="Times New Roman" w:cs="Times New Roman" w:eastAsia="Times New Roman" w:hAnsi="Times New Roman"/>
          <w:sz w:val="13"/>
          <w:szCs w:val="13"/>
          <w:color w:val="auto"/>
        </w:rPr>
        <w:t xml:space="preserve">”), so as to materially and adversely affect any right, preference, privilege or voting power of the Series L Preferred Stock; </w:t>
      </w:r>
      <w:r>
        <w:rPr>
          <w:rFonts w:ascii="Times New Roman" w:cs="Times New Roman" w:eastAsia="Times New Roman" w:hAnsi="Times New Roman"/>
          <w:sz w:val="13"/>
          <w:szCs w:val="13"/>
          <w:u w:val="single" w:color="auto"/>
          <w:color w:val="auto"/>
        </w:rPr>
        <w:t>provided however</w:t>
      </w:r>
      <w:r>
        <w:rPr>
          <w:rFonts w:ascii="Times New Roman" w:cs="Times New Roman" w:eastAsia="Times New Roman" w:hAnsi="Times New Roman"/>
          <w:sz w:val="13"/>
          <w:szCs w:val="13"/>
          <w:color w:val="auto"/>
        </w:rPr>
        <w:t>, with respect to the occurrence of any of the Events set forth in (ii) above, so long as the Series L Preferred Stock remains outstanding with the terms thereof materially unchanged, taking into account that, upon the occurrence of an Event set forth in (ii) above, the Company may not be the surviving entity, the occurrence of such Event shall not be deemed to materially and adversely affect such rights, preferences, privileges or voting power of Series L Preferred Stock, and in such case such holders shall not have any voting rights with respect to the occurrence of any of the Events set forth in (ii) above. In addition, if the holders of the Series L Preferred Stock receive the greater of the full trading price of the Series L Preferred Stock on the date of an Event set forth in (ii) above or the $25.00 liquidation preference per share of the Series L Preferred Stock pursuant to the occurrence of any of the Events set forth in (ii) above, then such holders shall not have any voting rights with respect to the Events set forth in (ii) above. If any Event set forth in (ii) above would materially and adversely affect the rights, preferences, privileges or voting powers of the Series L Preferred Stock disproportionately relative to other classes or series of Parity Preferred, the affirmative vote of the holders of at least two-thirds of the outstanding shares of the Series L Preferred Stock, voting separately as a class, will also be required. Holders of shares of Series L Preferred Stock shall not be entitled to vote with respect to (A) any increase in the total number of authorized shares of Common Stock or Preferred Stock of the Company, or (B) any increase in the number of authorized shares of Series L Preferred Stock or the creation or issuance of any other class or series of capital stock, or</w:t>
      </w:r>
    </w:p>
    <w:p>
      <w:pPr>
        <w:spacing w:after="0" w:line="1" w:lineRule="exact"/>
        <w:rPr>
          <w:sz w:val="20"/>
          <w:szCs w:val="20"/>
          <w:color w:val="auto"/>
        </w:rPr>
      </w:pPr>
    </w:p>
    <w:p>
      <w:pPr>
        <w:jc w:val="both"/>
        <w:ind w:left="600" w:right="600" w:hanging="6"/>
        <w:spacing w:after="0" w:line="275" w:lineRule="auto"/>
        <w:tabs>
          <w:tab w:leader="none" w:pos="816" w:val="left"/>
        </w:tabs>
        <w:numPr>
          <w:ilvl w:val="0"/>
          <w:numId w:val="5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increase in the number of authorized shares of any other class or series of capital stock, in each case referred to in clause (A), (B) or (C) above ranking on parity with or junior to the Series L Preferred Stock with respect to the payment of dividends and the distribution of assets upon liquidation, dissolution or winding up of the Company. Except as set forth herein, holders of the Series L Preferred Stock shall not have any voting rights with respect to, and the consent of the holders of the Series L Preferred Stock shall not be required for, the taking of any corporate action, including an Event, regardless of the effect that such corporate action or Event may have upon the powers, preferences, voting power or other rights or privileges of the Series L Preferred Stock.</w:t>
      </w:r>
    </w:p>
    <w:p>
      <w:pPr>
        <w:spacing w:after="0" w:line="133" w:lineRule="exact"/>
        <w:rPr>
          <w:rFonts w:ascii="Times New Roman" w:cs="Times New Roman" w:eastAsia="Times New Roman" w:hAnsi="Times New Roman"/>
          <w:sz w:val="13"/>
          <w:szCs w:val="13"/>
          <w:color w:val="auto"/>
        </w:rPr>
      </w:pPr>
    </w:p>
    <w:p>
      <w:pPr>
        <w:jc w:val="both"/>
        <w:ind w:left="600" w:right="580" w:firstLine="475"/>
        <w:spacing w:after="0" w:line="281" w:lineRule="auto"/>
        <w:tabs>
          <w:tab w:leader="none" w:pos="1260" w:val="left"/>
        </w:tabs>
        <w:numPr>
          <w:ilvl w:val="1"/>
          <w:numId w:val="5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foregoing voting provisions of this Section 7 shall not apply if, at or prior to the time when the act with respect to which such vote would otherwise be required shall be effected, all outstanding shares of Series L Preferred Stock shall have been redeemed or called for redemption upon proper notice pursuant to these Articles Supplementary, and sufficient funds, in cash, shall have been deposited in trust to effect such redemption.</w:t>
      </w:r>
    </w:p>
    <w:p>
      <w:pPr>
        <w:spacing w:after="0" w:line="140" w:lineRule="exact"/>
        <w:rPr>
          <w:sz w:val="20"/>
          <w:szCs w:val="20"/>
          <w:color w:val="auto"/>
        </w:rPr>
      </w:pPr>
    </w:p>
    <w:p>
      <w:pPr>
        <w:ind w:left="600" w:right="620" w:firstLine="480"/>
        <w:spacing w:after="0" w:line="305" w:lineRule="auto"/>
        <w:rPr>
          <w:sz w:val="20"/>
          <w:szCs w:val="20"/>
          <w:color w:val="auto"/>
        </w:rPr>
      </w:pPr>
      <w:r>
        <w:rPr>
          <w:rFonts w:ascii="Times New Roman" w:cs="Times New Roman" w:eastAsia="Times New Roman" w:hAnsi="Times New Roman"/>
          <w:sz w:val="13"/>
          <w:szCs w:val="13"/>
          <w:color w:val="auto"/>
        </w:rPr>
        <w:t>(h) In any matter in which the Series L Preferred Stock may vote (as expressly provided herein), each share of Series L Preferred Stock shall be entitled to one vote per $25.00 of liquidation preference.</w:t>
      </w:r>
    </w:p>
    <w:p>
      <w:pPr>
        <w:spacing w:after="0" w:line="124" w:lineRule="exact"/>
        <w:rPr>
          <w:sz w:val="20"/>
          <w:szCs w:val="20"/>
          <w:color w:val="auto"/>
        </w:rPr>
      </w:pPr>
    </w:p>
    <w:p>
      <w:pPr>
        <w:ind w:left="600" w:right="600" w:firstLine="480"/>
        <w:spacing w:after="0" w:line="305" w:lineRule="auto"/>
        <w:rPr>
          <w:sz w:val="20"/>
          <w:szCs w:val="20"/>
          <w:color w:val="auto"/>
        </w:rPr>
      </w:pPr>
      <w:r>
        <w:rPr>
          <w:rFonts w:ascii="Times New Roman" w:cs="Times New Roman" w:eastAsia="Times New Roman" w:hAnsi="Times New Roman"/>
          <w:sz w:val="13"/>
          <w:szCs w:val="13"/>
          <w:color w:val="auto"/>
        </w:rPr>
        <w:t xml:space="preserve">Section 8. </w:t>
      </w:r>
      <w:r>
        <w:rPr>
          <w:rFonts w:ascii="Times New Roman" w:cs="Times New Roman" w:eastAsia="Times New Roman" w:hAnsi="Times New Roman"/>
          <w:sz w:val="13"/>
          <w:szCs w:val="13"/>
          <w:u w:val="single" w:color="auto"/>
          <w:color w:val="auto"/>
        </w:rPr>
        <w:t>Conversion</w:t>
      </w:r>
      <w:r>
        <w:rPr>
          <w:rFonts w:ascii="Times New Roman" w:cs="Times New Roman" w:eastAsia="Times New Roman" w:hAnsi="Times New Roman"/>
          <w:sz w:val="13"/>
          <w:szCs w:val="13"/>
          <w:color w:val="auto"/>
        </w:rPr>
        <w:t>. The shares of Series L Preferred Stock are not convertible into or exchangeable for any other property or securities of the Company, except as provided in this Section 8.</w:t>
      </w:r>
    </w:p>
    <w:p>
      <w:pPr>
        <w:spacing w:after="0" w:line="124" w:lineRule="exact"/>
        <w:rPr>
          <w:sz w:val="20"/>
          <w:szCs w:val="20"/>
          <w:color w:val="auto"/>
        </w:rPr>
      </w:pPr>
    </w:p>
    <w:p>
      <w:pPr>
        <w:ind w:left="600" w:right="640" w:firstLine="475"/>
        <w:spacing w:after="0" w:line="270" w:lineRule="auto"/>
        <w:tabs>
          <w:tab w:leader="none" w:pos="1248" w:val="left"/>
        </w:tabs>
        <w:numPr>
          <w:ilvl w:val="1"/>
          <w:numId w:val="5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the occurrence of a Change of Control, each holder of shares of Series L Preferred Stock shall have the right, unless, prior to the Change of Control Conversion Date, the Company has provided or provides notice of its election to redeem the Series L Preferred Stock pursuant to the Redemption Right or Special Optional Redemption Right, to convert some or all of the Series L Preferred Stock held by such holder (the “</w:t>
      </w:r>
      <w:r>
        <w:rPr>
          <w:rFonts w:ascii="Times New Roman" w:cs="Times New Roman" w:eastAsia="Times New Roman" w:hAnsi="Times New Roman"/>
          <w:sz w:val="13"/>
          <w:szCs w:val="13"/>
          <w:u w:val="single" w:color="auto"/>
          <w:color w:val="auto"/>
        </w:rPr>
        <w:t>Change of Control Conversion Right</w:t>
      </w:r>
      <w:r>
        <w:rPr>
          <w:rFonts w:ascii="Times New Roman" w:cs="Times New Roman" w:eastAsia="Times New Roman" w:hAnsi="Times New Roman"/>
          <w:sz w:val="13"/>
          <w:szCs w:val="13"/>
          <w:color w:val="auto"/>
        </w:rPr>
        <w:t>”) on the Change of Control Conversion Date into a number of shares of Common Stock per share of Series L Preferred Stock to be converted (the “</w:t>
      </w:r>
      <w:r>
        <w:rPr>
          <w:rFonts w:ascii="Times New Roman" w:cs="Times New Roman" w:eastAsia="Times New Roman" w:hAnsi="Times New Roman"/>
          <w:sz w:val="13"/>
          <w:szCs w:val="13"/>
          <w:u w:val="single" w:color="auto"/>
          <w:color w:val="auto"/>
        </w:rPr>
        <w:t>Common Stock Conversion Consideration</w:t>
      </w:r>
      <w:r>
        <w:rPr>
          <w:rFonts w:ascii="Times New Roman" w:cs="Times New Roman" w:eastAsia="Times New Roman" w:hAnsi="Times New Roman"/>
          <w:sz w:val="13"/>
          <w:szCs w:val="13"/>
          <w:color w:val="auto"/>
        </w:rPr>
        <w:t>”) equal to the lesser of (A) the quotient obtained by dividing</w:t>
      </w:r>
    </w:p>
    <w:p>
      <w:pPr>
        <w:spacing w:after="0" w:line="2" w:lineRule="exact"/>
        <w:rPr>
          <w:rFonts w:ascii="Times New Roman" w:cs="Times New Roman" w:eastAsia="Times New Roman" w:hAnsi="Times New Roman"/>
          <w:sz w:val="13"/>
          <w:szCs w:val="13"/>
          <w:color w:val="auto"/>
        </w:rPr>
      </w:pPr>
    </w:p>
    <w:p>
      <w:pPr>
        <w:ind w:left="600" w:right="760" w:hanging="6"/>
        <w:spacing w:after="0" w:line="277" w:lineRule="auto"/>
        <w:tabs>
          <w:tab w:leader="none" w:pos="757" w:val="left"/>
        </w:tabs>
        <w:numPr>
          <w:ilvl w:val="0"/>
          <w:numId w:val="5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sum of (x) the $25.00 liquidation preference per share of Series L Preferred Stock to be converted plus (y) the amount of any accrued and unpaid dividends to, but not including, the Change of Control Conversion Date (unless the Change of Control Conversion Date is after a Dividend Record Date and prior to the corresponding Dividend Payment Date, in which case no additional amount for such accrued and unpaid dividends will be included in such sum) by (ii) the Common Stock Price (as defined herein) and (B) 0.38518 (the “ </w:t>
      </w:r>
      <w:r>
        <w:rPr>
          <w:rFonts w:ascii="Times New Roman" w:cs="Times New Roman" w:eastAsia="Times New Roman" w:hAnsi="Times New Roman"/>
          <w:sz w:val="13"/>
          <w:szCs w:val="13"/>
          <w:u w:val="single" w:color="auto"/>
          <w:color w:val="auto"/>
        </w:rPr>
        <w:t>Share Cap</w:t>
      </w:r>
      <w:r>
        <w:rPr>
          <w:rFonts w:ascii="Times New Roman" w:cs="Times New Roman" w:eastAsia="Times New Roman" w:hAnsi="Times New Roman"/>
          <w:sz w:val="13"/>
          <w:szCs w:val="13"/>
          <w:color w:val="auto"/>
        </w:rPr>
        <w:t>”), subject to the immediately succeeding paragraph.</w:t>
      </w:r>
    </w:p>
    <w:p>
      <w:pPr>
        <w:spacing w:after="0" w:line="130" w:lineRule="exact"/>
        <w:rPr>
          <w:sz w:val="20"/>
          <w:szCs w:val="20"/>
          <w:color w:val="auto"/>
        </w:rPr>
      </w:pPr>
    </w:p>
    <w:p>
      <w:pPr>
        <w:jc w:val="both"/>
        <w:ind w:left="600" w:right="600" w:firstLine="960"/>
        <w:spacing w:after="0" w:line="276" w:lineRule="auto"/>
        <w:rPr>
          <w:sz w:val="20"/>
          <w:szCs w:val="20"/>
          <w:color w:val="auto"/>
        </w:rPr>
      </w:pPr>
      <w:r>
        <w:rPr>
          <w:rFonts w:ascii="Times New Roman" w:cs="Times New Roman" w:eastAsia="Times New Roman" w:hAnsi="Times New Roman"/>
          <w:sz w:val="13"/>
          <w:szCs w:val="13"/>
          <w:color w:val="auto"/>
        </w:rPr>
        <w:t>The Share Cap is subject to pro rata adjustments for any share splits (including those effected pursuant to a distribution of the Common Stock), subdivisions or combinations (in each case, a “</w:t>
      </w:r>
      <w:r>
        <w:rPr>
          <w:rFonts w:ascii="Times New Roman" w:cs="Times New Roman" w:eastAsia="Times New Roman" w:hAnsi="Times New Roman"/>
          <w:sz w:val="13"/>
          <w:szCs w:val="13"/>
          <w:u w:val="single" w:color="auto"/>
          <w:color w:val="auto"/>
        </w:rPr>
        <w:t>Share Split</w:t>
      </w:r>
      <w:r>
        <w:rPr>
          <w:rFonts w:ascii="Times New Roman" w:cs="Times New Roman" w:eastAsia="Times New Roman" w:hAnsi="Times New Roman"/>
          <w:sz w:val="13"/>
          <w:szCs w:val="13"/>
          <w:color w:val="auto"/>
        </w:rPr>
        <w:t>”) with respect to the Common Stock as follows: the adjusted Share Cap as the result of a Share Split shall be the number of shares of Common Stock that is equivalent to the product obtained by multiplying (i) the Share Cap in effect immediately prior to such Share Split by (ii) a fraction, the numerator of which is the number of shares of Common Stock outstanding after giving effect to such Share Split and the denominator of which is the number of shares of Common Stock outstanding immediately prior to such Share Split.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106680</wp:posOffset>
            </wp:positionV>
            <wp:extent cx="4436110" cy="762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917">
                      <a:extLst>
                        <a:ext uri="{28A0092B-C50C-407E-A947-70E740481C1C}"/>
                      </a:extLst>
                    </a:blip>
                    <a:srcRect/>
                    <a:stretch>
                      <a:fillRect/>
                    </a:stretch>
                  </pic:blipFill>
                  <pic:spPr bwMode="auto">
                    <a:xfrm>
                      <a:off x="0" y="0"/>
                      <a:ext cx="4436110"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541655</wp:posOffset>
            </wp:positionV>
            <wp:extent cx="5083810" cy="1524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918">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96" w:name="page497"/>
    <w:bookmarkEnd w:id="4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1215390</wp:posOffset>
            </wp:positionH>
            <wp:positionV relativeFrom="page">
              <wp:posOffset>681990</wp:posOffset>
            </wp:positionV>
            <wp:extent cx="5083810" cy="1524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919">
                      <a:extLst>
                        <a:ext uri="{28A0092B-C50C-407E-A947-70E740481C1C}"/>
                      </a:extLst>
                    </a:blip>
                    <a:srcRect/>
                    <a:stretch>
                      <a:fillRect/>
                    </a:stretch>
                  </pic:blipFill>
                  <pic:spPr bwMode="auto">
                    <a:xfrm>
                      <a:off x="0" y="0"/>
                      <a:ext cx="5083810" cy="15240"/>
                    </a:xfrm>
                    <a:prstGeom prst="rect">
                      <a:avLst/>
                    </a:prstGeom>
                    <a:noFill/>
                  </pic:spPr>
                </pic:pic>
              </a:graphicData>
            </a:graphic>
          </wp:anchor>
        </w:drawing>
        <w:drawing>
          <wp:anchor simplePos="0" relativeHeight="251657728" behindDoc="1" locked="0" layoutInCell="0" allowOverlap="1">
            <wp:simplePos x="0" y="0"/>
            <wp:positionH relativeFrom="page">
              <wp:posOffset>1291590</wp:posOffset>
            </wp:positionH>
            <wp:positionV relativeFrom="page">
              <wp:posOffset>361950</wp:posOffset>
            </wp:positionV>
            <wp:extent cx="4436110" cy="1524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920">
                      <a:extLst>
                        <a:ext uri="{28A0092B-C50C-407E-A947-70E740481C1C}"/>
                      </a:extLst>
                    </a:blip>
                    <a:srcRect/>
                    <a:stretch>
                      <a:fillRect/>
                    </a:stretch>
                  </pic:blipFill>
                  <pic:spPr bwMode="auto">
                    <a:xfrm>
                      <a:off x="0" y="0"/>
                      <a:ext cx="4436110" cy="1524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497" w:name="page498"/>
    <w:bookmarkEnd w:id="497"/>
    <w:p>
      <w:pPr>
        <w:jc w:val="both"/>
        <w:ind w:left="600" w:right="600" w:firstLine="960"/>
        <w:spacing w:after="0" w:line="275" w:lineRule="auto"/>
        <w:rPr>
          <w:sz w:val="20"/>
          <w:szCs w:val="20"/>
          <w:color w:val="auto"/>
        </w:rPr>
      </w:pPr>
      <w:r>
        <w:rPr>
          <w:rFonts w:ascii="Times New Roman" w:cs="Times New Roman" w:eastAsia="Times New Roman" w:hAnsi="Times New Roman"/>
          <w:sz w:val="13"/>
          <w:szCs w:val="13"/>
          <w:color w:val="auto"/>
        </w:rPr>
        <w:t>For the avoidance of doubt, subject to the immediately succeeding sentence, the aggregate number of shares of Common Stock (or equivalent Alternative Conversion Consideration (as defined below), as applicable) issuable in connection with the exercise of the Change of Control Conversion Right shall not exceed 4,622,160 shares of Common Stock (or equivalent Alternative Conversion Consideration, as applicable), subject to increase to the extent the underwriters’ option to purchase additional shares of Series L Preferred Stock in the initial public offering of Series L Preferred Stock is exercised, not to exceed 5,315,484 shares of Common Stock in total (or equivalent Alternative Conversion Consideration, as applicable) (the “</w:t>
      </w:r>
      <w:r>
        <w:rPr>
          <w:rFonts w:ascii="Times New Roman" w:cs="Times New Roman" w:eastAsia="Times New Roman" w:hAnsi="Times New Roman"/>
          <w:sz w:val="13"/>
          <w:szCs w:val="13"/>
          <w:u w:val="single" w:color="auto"/>
          <w:color w:val="auto"/>
        </w:rPr>
        <w:t>Exchange Cap</w:t>
      </w:r>
      <w:r>
        <w:rPr>
          <w:rFonts w:ascii="Times New Roman" w:cs="Times New Roman" w:eastAsia="Times New Roman" w:hAnsi="Times New Roman"/>
          <w:sz w:val="13"/>
          <w:szCs w:val="13"/>
          <w:color w:val="auto"/>
        </w:rPr>
        <w:t>”). The Exchange Cap is subject to pro rata adjustments for any Share Splits on the same basis as the corresponding adjustment to the Share Cap.</w:t>
      </w:r>
    </w:p>
    <w:p>
      <w:pPr>
        <w:spacing w:after="0" w:line="145" w:lineRule="exact"/>
        <w:rPr>
          <w:sz w:val="20"/>
          <w:szCs w:val="20"/>
          <w:color w:val="auto"/>
        </w:rPr>
      </w:pPr>
    </w:p>
    <w:p>
      <w:pPr>
        <w:jc w:val="both"/>
        <w:ind w:left="600" w:right="600" w:firstLine="960"/>
        <w:spacing w:after="0" w:line="275" w:lineRule="auto"/>
        <w:rPr>
          <w:sz w:val="20"/>
          <w:szCs w:val="20"/>
          <w:color w:val="auto"/>
        </w:rPr>
      </w:pPr>
      <w:r>
        <w:rPr>
          <w:rFonts w:ascii="Times New Roman" w:cs="Times New Roman" w:eastAsia="Times New Roman" w:hAnsi="Times New Roman"/>
          <w:sz w:val="13"/>
          <w:szCs w:val="13"/>
          <w:color w:val="auto"/>
        </w:rPr>
        <w:t>In the case of a Change of Control pursuant to which shares of Common Stock shall be converted into cash, securities or other property or assets (including any combination thereof) (the “</w:t>
      </w:r>
      <w:r>
        <w:rPr>
          <w:rFonts w:ascii="Times New Roman" w:cs="Times New Roman" w:eastAsia="Times New Roman" w:hAnsi="Times New Roman"/>
          <w:sz w:val="13"/>
          <w:szCs w:val="13"/>
          <w:u w:val="single" w:color="auto"/>
          <w:color w:val="auto"/>
        </w:rPr>
        <w:t>Alternative Form Consideration</w:t>
      </w:r>
      <w:r>
        <w:rPr>
          <w:rFonts w:ascii="Times New Roman" w:cs="Times New Roman" w:eastAsia="Times New Roman" w:hAnsi="Times New Roman"/>
          <w:sz w:val="13"/>
          <w:szCs w:val="13"/>
          <w:color w:val="auto"/>
        </w:rPr>
        <w:t xml:space="preserve">”), a holder of shares of Series L Preferred Stock shall receive upon conversion of such shares of Series L Preferred Stock the kind and amount of Alternative Form Consideration which such holder would have owned or been entitled to receive upon the Change of Control had such holder held a number of shares of Common Stock equal to the Common Stock Conversion Consideration immediately prior to the effective time of the Change of Control (the “ </w:t>
      </w:r>
      <w:r>
        <w:rPr>
          <w:rFonts w:ascii="Times New Roman" w:cs="Times New Roman" w:eastAsia="Times New Roman" w:hAnsi="Times New Roman"/>
          <w:sz w:val="13"/>
          <w:szCs w:val="13"/>
          <w:u w:val="single" w:color="auto"/>
          <w:color w:val="auto"/>
        </w:rPr>
        <w:t>Alternative Conversion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Consideration</w:t>
      </w:r>
      <w:r>
        <w:rPr>
          <w:rFonts w:ascii="Times New Roman" w:cs="Times New Roman" w:eastAsia="Times New Roman" w:hAnsi="Times New Roman"/>
          <w:sz w:val="13"/>
          <w:szCs w:val="13"/>
          <w:color w:val="auto"/>
        </w:rPr>
        <w:t>”; and the Common Stock Conversion Consideration or the Alternative Conversion Consideration, as may be applicable to a Change of Control, shall be referred to herein as the “</w:t>
      </w:r>
      <w:r>
        <w:rPr>
          <w:rFonts w:ascii="Times New Roman" w:cs="Times New Roman" w:eastAsia="Times New Roman" w:hAnsi="Times New Roman"/>
          <w:sz w:val="13"/>
          <w:szCs w:val="13"/>
          <w:u w:val="single" w:color="auto"/>
          <w:color w:val="auto"/>
        </w:rPr>
        <w:t>Conversion Consideration</w:t>
      </w:r>
      <w:r>
        <w:rPr>
          <w:rFonts w:ascii="Times New Roman" w:cs="Times New Roman" w:eastAsia="Times New Roman" w:hAnsi="Times New Roman"/>
          <w:sz w:val="13"/>
          <w:szCs w:val="13"/>
          <w:color w:val="auto"/>
        </w:rPr>
        <w:t>”).</w:t>
      </w:r>
    </w:p>
    <w:p>
      <w:pPr>
        <w:spacing w:after="0" w:line="145" w:lineRule="exact"/>
        <w:rPr>
          <w:sz w:val="20"/>
          <w:szCs w:val="20"/>
          <w:color w:val="auto"/>
        </w:rPr>
      </w:pPr>
    </w:p>
    <w:p>
      <w:pPr>
        <w:jc w:val="both"/>
        <w:ind w:left="600" w:right="620" w:firstLine="960"/>
        <w:spacing w:after="0" w:line="276" w:lineRule="auto"/>
        <w:rPr>
          <w:sz w:val="20"/>
          <w:szCs w:val="20"/>
          <w:color w:val="auto"/>
        </w:rPr>
      </w:pPr>
      <w:r>
        <w:rPr>
          <w:rFonts w:ascii="Times New Roman" w:cs="Times New Roman" w:eastAsia="Times New Roman" w:hAnsi="Times New Roman"/>
          <w:sz w:val="13"/>
          <w:szCs w:val="13"/>
          <w:color w:val="auto"/>
        </w:rPr>
        <w:t>In the event that holders of Common Stock have the opportunity to elect the form of consideration to be received in the Change of Control, the Conversion Consideration will be deemed to be the kind and amount of consideration actually received by holders of a majority of the Common Stock that voted for such an election (if electing between two types of consideration) or holders of a plurality of the Common Stock that voted for such an election (if electing between more than two types of consideration), as the case may be, and will be subject to any limitations to which all holders of Common Stock are subject, including, without limitation, pro rata reductions applicable to any portion of the consideration payable in the Change of Control.</w:t>
      </w:r>
    </w:p>
    <w:p>
      <w:pPr>
        <w:spacing w:after="0" w:line="145" w:lineRule="exact"/>
        <w:rPr>
          <w:sz w:val="20"/>
          <w:szCs w:val="20"/>
          <w:color w:val="auto"/>
        </w:rPr>
      </w:pPr>
    </w:p>
    <w:p>
      <w:pPr>
        <w:jc w:val="both"/>
        <w:ind w:left="600" w:right="600" w:firstLine="960"/>
        <w:spacing w:after="0" w:line="287" w:lineRule="auto"/>
        <w:rPr>
          <w:sz w:val="20"/>
          <w:szCs w:val="20"/>
          <w:color w:val="auto"/>
        </w:rPr>
      </w:pPr>
      <w:r>
        <w:rPr>
          <w:rFonts w:ascii="Times New Roman" w:cs="Times New Roman" w:eastAsia="Times New Roman" w:hAnsi="Times New Roman"/>
          <w:sz w:val="13"/>
          <w:szCs w:val="13"/>
          <w:color w:val="auto"/>
        </w:rPr>
        <w:t>The “</w:t>
      </w:r>
      <w:r>
        <w:rPr>
          <w:rFonts w:ascii="Times New Roman" w:cs="Times New Roman" w:eastAsia="Times New Roman" w:hAnsi="Times New Roman"/>
          <w:sz w:val="13"/>
          <w:szCs w:val="13"/>
          <w:u w:val="single" w:color="auto"/>
          <w:color w:val="auto"/>
        </w:rPr>
        <w:t>Change of Control Conversion Date</w:t>
      </w:r>
      <w:r>
        <w:rPr>
          <w:rFonts w:ascii="Times New Roman" w:cs="Times New Roman" w:eastAsia="Times New Roman" w:hAnsi="Times New Roman"/>
          <w:sz w:val="13"/>
          <w:szCs w:val="13"/>
          <w:color w:val="auto"/>
        </w:rPr>
        <w:t xml:space="preserve"> ” shall be a Business Day set forth in the notice of Change of Control provided in accordance with Section 8(c) below that is no less than 20 days nor more than 35 days after the date on which the Company provides such notice pursuant to Section 8(c).</w:t>
      </w:r>
    </w:p>
    <w:p>
      <w:pPr>
        <w:spacing w:after="0" w:line="136" w:lineRule="exact"/>
        <w:rPr>
          <w:sz w:val="20"/>
          <w:szCs w:val="20"/>
          <w:color w:val="auto"/>
        </w:rPr>
      </w:pPr>
    </w:p>
    <w:p>
      <w:pPr>
        <w:jc w:val="both"/>
        <w:ind w:left="600" w:right="600" w:firstLine="960"/>
        <w:spacing w:after="0" w:line="274" w:lineRule="auto"/>
        <w:rPr>
          <w:sz w:val="20"/>
          <w:szCs w:val="20"/>
          <w:color w:val="auto"/>
        </w:rPr>
      </w:pPr>
      <w:r>
        <w:rPr>
          <w:rFonts w:ascii="Times New Roman" w:cs="Times New Roman" w:eastAsia="Times New Roman" w:hAnsi="Times New Roman"/>
          <w:sz w:val="13"/>
          <w:szCs w:val="13"/>
          <w:color w:val="auto"/>
        </w:rPr>
        <w:t>The “</w:t>
      </w:r>
      <w:r>
        <w:rPr>
          <w:rFonts w:ascii="Times New Roman" w:cs="Times New Roman" w:eastAsia="Times New Roman" w:hAnsi="Times New Roman"/>
          <w:sz w:val="13"/>
          <w:szCs w:val="13"/>
          <w:u w:val="single" w:color="auto"/>
          <w:color w:val="auto"/>
        </w:rPr>
        <w:t>Common Stock Price</w:t>
      </w:r>
      <w:r>
        <w:rPr>
          <w:rFonts w:ascii="Times New Roman" w:cs="Times New Roman" w:eastAsia="Times New Roman" w:hAnsi="Times New Roman"/>
          <w:sz w:val="13"/>
          <w:szCs w:val="13"/>
          <w:color w:val="auto"/>
        </w:rPr>
        <w:t>” shall be (i) if the consideration to be received in the Change of Control by the holders of Common Stock is solely cash, the amount of cash consideration per share of Common Stock or (ii) if the consideration to be received in the Change of Control by holders of Common Stock is other than solely cash (x) the average of the closing sale prices per share of Common Stock (or, if no closing sale price is reported, the average of the closing bid and ask prices or, if more than one in either case, the average of the average closing bid and the average closing ask prices) for the ten consecutive trading days immediately preceding, but not including, the effective date of the Change of Control as reported on the principal U.S. securities exchange on which the Common Stock is then traded, or (y) the average of the last quoted bid prices for the Common Stock in the over-the-counter market as reported by OTC Markets Group Inc. or similar organization for the ten consecutive trading days immediately preceding, but not including, the effective date of the Change of Control, if the Common Stock is not then listed for trading on a U.S. securities exchange.</w:t>
      </w:r>
    </w:p>
    <w:p>
      <w:pPr>
        <w:spacing w:after="0" w:line="132" w:lineRule="exact"/>
        <w:rPr>
          <w:sz w:val="20"/>
          <w:szCs w:val="20"/>
          <w:color w:val="auto"/>
        </w:rPr>
      </w:pPr>
    </w:p>
    <w:p>
      <w:pPr>
        <w:ind w:left="600" w:right="600" w:firstLine="475"/>
        <w:spacing w:after="0" w:line="305" w:lineRule="auto"/>
        <w:tabs>
          <w:tab w:leader="none" w:pos="1260" w:val="left"/>
        </w:tabs>
        <w:numPr>
          <w:ilvl w:val="0"/>
          <w:numId w:val="5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fractional shares of Common Stock shall be issued upon the conversion of Series L Preferred Stock. In lieu of fractional shares, holders shall be entitled to receive the cash value of such fractional shares based on the Common Stock Price.</w:t>
      </w:r>
    </w:p>
    <w:p>
      <w:pPr>
        <w:spacing w:after="0" w:line="124" w:lineRule="exact"/>
        <w:rPr>
          <w:rFonts w:ascii="Times New Roman" w:cs="Times New Roman" w:eastAsia="Times New Roman" w:hAnsi="Times New Roman"/>
          <w:sz w:val="13"/>
          <w:szCs w:val="13"/>
          <w:color w:val="auto"/>
        </w:rPr>
      </w:pPr>
    </w:p>
    <w:p>
      <w:pPr>
        <w:jc w:val="both"/>
        <w:ind w:left="600" w:right="600" w:firstLine="475"/>
        <w:spacing w:after="0" w:line="272" w:lineRule="auto"/>
        <w:tabs>
          <w:tab w:leader="none" w:pos="1260" w:val="left"/>
        </w:tabs>
        <w:numPr>
          <w:ilvl w:val="0"/>
          <w:numId w:val="5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Within 15 days following the occurrence of a Change of Control, a notice of occurrence of the Change of Control, describing the resulting Change of Control Conversion Right, shall be delivered to the holders of record of the shares of Series L Preferred Stock at their addresses as they appear on the Company’s share transfer records and notice shall be provided to the Company’s transfer agent. No failure to give such notice or any defect thereto or in the mailing thereof shall affect the validity of the proceedings for the conversion of any share of Series L Preferred Stock except as to the holder to whom notice was defective or not given. Each notice shall state: (i) the events constituting the Change of Control; (ii) the date of the Change of Control; (iii) the last date on which the holders of Series L Preferred Stock may exercise their Change of Control Conversion Right; (iv) the method and period for calculating the Common Stock Price; (v) the Change of Control Conversion Date; (vi) that if, prior to the Change of Control Conversion Date, the Company has provided or provides notice of its election to redeem all or any portion of the Series L Preferred Stock, the holder will not be able to convert shares of Series L Preferred Stock designated for redemption and such shares of Series L Preferred Stock shall be redeemed on the related redemption date, even if they have already been tendered for conversion pursuant to the Change of Control Conversion Right; (vii) if applicable, the type and amount of Alternative Conversion Consideration entitled to be received per share of Series L Preferred Stock; (viii) the name and address of the paying agent and the conversion agent; and (ix) the procedures that the holders of Series L Preferred Stock must follow to exercise the Change of Control Conversion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110490</wp:posOffset>
            </wp:positionV>
            <wp:extent cx="4436110" cy="1524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921">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544830</wp:posOffset>
            </wp:positionV>
            <wp:extent cx="5083810" cy="1524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922">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98" w:name="page499"/>
    <w:bookmarkEnd w:id="498"/>
    <w:p>
      <w:pPr>
        <w:jc w:val="both"/>
        <w:ind w:left="600" w:right="600" w:firstLine="475"/>
        <w:spacing w:after="0" w:line="278" w:lineRule="auto"/>
        <w:tabs>
          <w:tab w:leader="none" w:pos="1260" w:val="left"/>
        </w:tabs>
        <w:numPr>
          <w:ilvl w:val="1"/>
          <w:numId w:val="5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issue a press release for publication on the Dow Jones &amp; Company, Inc., Business Wire, PR Newswire or Bloomberg Business News (or, if such organizations are not in existence at the time of issuance of such press release, such other news or press organization as is reasonably calculated to broadly disseminate the relevant information to the public), or post notice on the Company’s website, in any event prior to the opening of business on the first Business Day following any date on which the Company provides notice pursuant to Section 8(c) above to the holders of Series L Preferred Stock.</w:t>
      </w:r>
    </w:p>
    <w:p>
      <w:pPr>
        <w:spacing w:after="0" w:line="142" w:lineRule="exact"/>
        <w:rPr>
          <w:rFonts w:ascii="Times New Roman" w:cs="Times New Roman" w:eastAsia="Times New Roman" w:hAnsi="Times New Roman"/>
          <w:sz w:val="13"/>
          <w:szCs w:val="13"/>
          <w:color w:val="auto"/>
        </w:rPr>
      </w:pPr>
    </w:p>
    <w:p>
      <w:pPr>
        <w:ind w:left="600" w:right="540" w:firstLine="475"/>
        <w:spacing w:after="0" w:line="271" w:lineRule="auto"/>
        <w:tabs>
          <w:tab w:leader="none" w:pos="1248" w:val="left"/>
        </w:tabs>
        <w:numPr>
          <w:ilvl w:val="1"/>
          <w:numId w:val="5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order to exercise the Change of Control Conversion Right, a holder of shares of Series L Preferred Stock shall be required to deliver, on or before the close of business on the Change of Control Conversion Date, the certificates (if any) representing the shares of Series L Preferred Stock to be converted, duly endorsed for transfer, together with a written conversion notice completed, to the Company’s transfer agent. Such notice shall state: (i) the relevant Change of Control Conversion Date;</w:t>
      </w:r>
    </w:p>
    <w:p>
      <w:pPr>
        <w:jc w:val="both"/>
        <w:ind w:left="600" w:right="600" w:hanging="6"/>
        <w:spacing w:after="0" w:line="284" w:lineRule="auto"/>
        <w:tabs>
          <w:tab w:leader="none" w:pos="808" w:val="left"/>
        </w:tabs>
        <w:numPr>
          <w:ilvl w:val="0"/>
          <w:numId w:val="5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number of shares of Series L Preferred Stock to be converted; and (iii) that the shares of Series L Preferred Stock are to be converted pursuant to the applicable provisions of these Articles Supplementary. Notwithstanding the foregoing, if the shares of Series L Preferred Stock are held in global form, such notice shall comply with applicable procedures of The Depository Trust Company (“</w:t>
      </w:r>
      <w:r>
        <w:rPr>
          <w:rFonts w:ascii="Times New Roman" w:cs="Times New Roman" w:eastAsia="Times New Roman" w:hAnsi="Times New Roman"/>
          <w:sz w:val="13"/>
          <w:szCs w:val="13"/>
          <w:u w:val="single" w:color="auto"/>
          <w:color w:val="auto"/>
        </w:rPr>
        <w:t>DTC</w:t>
      </w:r>
      <w:r>
        <w:rPr>
          <w:rFonts w:ascii="Times New Roman" w:cs="Times New Roman" w:eastAsia="Times New Roman" w:hAnsi="Times New Roman"/>
          <w:sz w:val="13"/>
          <w:szCs w:val="13"/>
          <w:color w:val="auto"/>
        </w:rPr>
        <w:t>”).</w:t>
      </w:r>
    </w:p>
    <w:p>
      <w:pPr>
        <w:spacing w:after="0" w:line="138" w:lineRule="exact"/>
        <w:rPr>
          <w:sz w:val="20"/>
          <w:szCs w:val="20"/>
          <w:color w:val="auto"/>
        </w:rPr>
      </w:pPr>
    </w:p>
    <w:p>
      <w:pPr>
        <w:ind w:left="600" w:right="540" w:firstLine="480"/>
        <w:spacing w:after="0" w:line="276" w:lineRule="auto"/>
        <w:rPr>
          <w:sz w:val="20"/>
          <w:szCs w:val="20"/>
          <w:color w:val="auto"/>
        </w:rPr>
      </w:pPr>
      <w:r>
        <w:rPr>
          <w:rFonts w:ascii="Times New Roman" w:cs="Times New Roman" w:eastAsia="Times New Roman" w:hAnsi="Times New Roman"/>
          <w:sz w:val="13"/>
          <w:szCs w:val="13"/>
          <w:color w:val="auto"/>
        </w:rPr>
        <w:t>(f)Holders of Series L Preferred Stock may withdraw any notice of exercise of a Change of Control Conversion Right (in whole or in part) by a written notice of withdrawal delivered to the Company’s transfer agent prior to the close of business on the Business Day prior to the Change of Control Conversion Date. The notice of withdrawal must state: (i) the number of withdrawn shares of Series L Preferred Stock; (ii) if certificated shares of Series L Preferred Stock have been issued, the certificate numbers of the shares of withdrawn Series L Preferred Stock; and (iii) the number of shares of Series L Preferred Stock, if any, which remain subject to the conversion notice. Notwithstanding the foregoing, if the shares of Series L Preferred Stock are held in global form, the notice of withdrawal shall comply with applicable procedures of DTC.</w:t>
      </w:r>
    </w:p>
    <w:p>
      <w:pPr>
        <w:spacing w:after="0" w:line="145" w:lineRule="exact"/>
        <w:rPr>
          <w:sz w:val="20"/>
          <w:szCs w:val="20"/>
          <w:color w:val="auto"/>
        </w:rPr>
      </w:pPr>
    </w:p>
    <w:p>
      <w:pPr>
        <w:jc w:val="both"/>
        <w:ind w:left="600" w:right="600" w:firstLine="475"/>
        <w:spacing w:after="0" w:line="274" w:lineRule="auto"/>
        <w:tabs>
          <w:tab w:leader="none" w:pos="1260" w:val="left"/>
        </w:tabs>
        <w:numPr>
          <w:ilvl w:val="0"/>
          <w:numId w:val="5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Shares of Series L Preferred Stock as to which the Change of Control Conversion Right has been properly exercised and for which the conversion notice has not been properly withdrawn shall be converted into the applicable Conversion Consideration in accordance with the Change of Control Conversion Right on the Change of Control Conversion Date, unless, prior to the Change of Control Conversion Date, the Company has provided or provides notice of its election to redeem such shares of Series L Preferred Stock, whether pursuant to its Redemption Right or Special Optional Redemption Right. If the Company elects to redeem shares of Series L Preferred Stock that would otherwise be converted into the applicable Conversion Consideration on a Change of Control Conversion Date, such shares of Series L Preferred Stock shall not be so converted and the holders of such shares shall be entitled to receive on the applicable redemption date $25.00 per share, plus any accrued and unpaid dividends thereon to, but not including, the redemption date.</w:t>
      </w:r>
    </w:p>
    <w:p>
      <w:pPr>
        <w:spacing w:after="0" w:line="147" w:lineRule="exact"/>
        <w:rPr>
          <w:rFonts w:ascii="Times New Roman" w:cs="Times New Roman" w:eastAsia="Times New Roman" w:hAnsi="Times New Roman"/>
          <w:sz w:val="13"/>
          <w:szCs w:val="13"/>
          <w:color w:val="auto"/>
        </w:rPr>
      </w:pPr>
    </w:p>
    <w:p>
      <w:pPr>
        <w:ind w:left="600" w:right="620" w:firstLine="475"/>
        <w:spacing w:after="0" w:line="305" w:lineRule="auto"/>
        <w:tabs>
          <w:tab w:leader="none" w:pos="1260" w:val="left"/>
        </w:tabs>
        <w:numPr>
          <w:ilvl w:val="0"/>
          <w:numId w:val="5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deliver the applicable Conversion Consideration no later than the third Business Day following the Change of Control Conversion Date.</w:t>
      </w:r>
    </w:p>
    <w:p>
      <w:pPr>
        <w:spacing w:after="0" w:line="124" w:lineRule="exact"/>
        <w:rPr>
          <w:rFonts w:ascii="Times New Roman" w:cs="Times New Roman" w:eastAsia="Times New Roman" w:hAnsi="Times New Roman"/>
          <w:sz w:val="13"/>
          <w:szCs w:val="13"/>
          <w:color w:val="auto"/>
        </w:rPr>
      </w:pPr>
    </w:p>
    <w:p>
      <w:pPr>
        <w:jc w:val="both"/>
        <w:ind w:left="600" w:right="600" w:firstLine="475"/>
        <w:spacing w:after="0" w:line="278" w:lineRule="auto"/>
        <w:tabs>
          <w:tab w:leader="none" w:pos="1224" w:val="left"/>
        </w:tabs>
        <w:numPr>
          <w:ilvl w:val="0"/>
          <w:numId w:val="5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anything to the contrary contained herein, no holder of shares of Series L Preferred Stock will be entitled to convert such shares of Series L Preferred Stock into shares of Common Stock to the extent that receipt of such shares of Common Stock would cause the holder of such shares of Common Stock (or any other person) to have actual ownership, Beneficial Ownership or Constructive Ownership (each as defined in Section 9(a) hereof) in excess of the Ownership Limit (as defined in Section 9(a) hereof), the Aggregate Stock Ownership Limit (as defined in Section 9(a) hereof), or such other limit as permitted by the Board of Directors or a committee thereof pursuant to Section 9(i) hereof.</w:t>
      </w:r>
    </w:p>
    <w:p>
      <w:pPr>
        <w:spacing w:after="0" w:line="14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 xml:space="preserve">Section 9. </w:t>
      </w:r>
      <w:r>
        <w:rPr>
          <w:rFonts w:ascii="Times New Roman" w:cs="Times New Roman" w:eastAsia="Times New Roman" w:hAnsi="Times New Roman"/>
          <w:sz w:val="13"/>
          <w:szCs w:val="13"/>
          <w:u w:val="single" w:color="auto"/>
          <w:color w:val="auto"/>
        </w:rPr>
        <w:t>Restrictions on Ownership and Transfer to Preserve Tax Benefit</w:t>
      </w:r>
      <w:r>
        <w:rPr>
          <w:rFonts w:ascii="Times New Roman" w:cs="Times New Roman" w:eastAsia="Times New Roman" w:hAnsi="Times New Roman"/>
          <w:sz w:val="13"/>
          <w:szCs w:val="13"/>
          <w:color w:val="auto"/>
        </w:rPr>
        <w:t>.</w:t>
      </w:r>
    </w:p>
    <w:p>
      <w:pPr>
        <w:spacing w:after="0" w:line="187" w:lineRule="exact"/>
        <w:rPr>
          <w:sz w:val="20"/>
          <w:szCs w:val="20"/>
          <w:color w:val="auto"/>
        </w:rPr>
      </w:pPr>
    </w:p>
    <w:p>
      <w:pPr>
        <w:ind w:left="600" w:right="600" w:firstLine="475"/>
        <w:spacing w:after="0" w:line="305" w:lineRule="auto"/>
        <w:tabs>
          <w:tab w:leader="none" w:pos="1260" w:val="left"/>
        </w:tabs>
        <w:numPr>
          <w:ilvl w:val="0"/>
          <w:numId w:val="5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Definitions</w:t>
      </w:r>
      <w:r>
        <w:rPr>
          <w:rFonts w:ascii="Times New Roman" w:cs="Times New Roman" w:eastAsia="Times New Roman" w:hAnsi="Times New Roman"/>
          <w:sz w:val="13"/>
          <w:szCs w:val="13"/>
          <w:color w:val="auto"/>
        </w:rPr>
        <w:t>. For the purposes of Section 5 and this Section 9 of these Articles Supplementary, the following terms shall have the following meanings:</w:t>
      </w:r>
    </w:p>
    <w:p>
      <w:pPr>
        <w:spacing w:after="0" w:line="124"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Aggregate Stock Ownership Limit</w:t>
      </w:r>
      <w:r>
        <w:rPr>
          <w:rFonts w:ascii="Times New Roman" w:cs="Times New Roman" w:eastAsia="Times New Roman" w:hAnsi="Times New Roman"/>
          <w:sz w:val="13"/>
          <w:szCs w:val="13"/>
          <w:color w:val="auto"/>
        </w:rPr>
        <w:t>” has the meaning set forth in Article VI of the Charter.</w:t>
      </w:r>
    </w:p>
    <w:p>
      <w:pPr>
        <w:spacing w:after="0" w:line="187" w:lineRule="exact"/>
        <w:rPr>
          <w:sz w:val="20"/>
          <w:szCs w:val="20"/>
          <w:color w:val="auto"/>
        </w:rPr>
      </w:pPr>
    </w:p>
    <w:p>
      <w:pPr>
        <w:jc w:val="both"/>
        <w:ind w:left="1200" w:right="600" w:firstLine="360"/>
        <w:spacing w:after="0" w:line="28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Beneficial Ownership</w:t>
      </w:r>
      <w:r>
        <w:rPr>
          <w:rFonts w:ascii="Times New Roman" w:cs="Times New Roman" w:eastAsia="Times New Roman" w:hAnsi="Times New Roman"/>
          <w:sz w:val="13"/>
          <w:szCs w:val="13"/>
          <w:color w:val="auto"/>
        </w:rPr>
        <w:t>” shall mean ownership of Series L Preferred Stock by a Person who is or would be treated as an owner of such Series L Preferred Stock either actually or constructively through the application of Section 544 of the Code, as modified by Sections 856(h)(1)(B) and 856(h)(3) of the Code. The terms “</w:t>
      </w:r>
      <w:r>
        <w:rPr>
          <w:rFonts w:ascii="Times New Roman" w:cs="Times New Roman" w:eastAsia="Times New Roman" w:hAnsi="Times New Roman"/>
          <w:sz w:val="13"/>
          <w:szCs w:val="13"/>
          <w:u w:val="single" w:color="auto"/>
          <w:color w:val="auto"/>
        </w:rPr>
        <w:t>Beneficial Owner</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u w:val="single" w:color="auto"/>
          <w:color w:val="auto"/>
        </w:rPr>
        <w:t>Beneficially Owns</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u w:val="single" w:color="auto"/>
          <w:color w:val="auto"/>
        </w:rPr>
        <w:t>Beneficially Owned</w:t>
      </w:r>
      <w:r>
        <w:rPr>
          <w:rFonts w:ascii="Times New Roman" w:cs="Times New Roman" w:eastAsia="Times New Roman" w:hAnsi="Times New Roman"/>
          <w:sz w:val="13"/>
          <w:szCs w:val="13"/>
          <w:color w:val="auto"/>
        </w:rPr>
        <w:t>” shall have the correlative meanings.</w:t>
      </w:r>
    </w:p>
    <w:p>
      <w:pPr>
        <w:spacing w:after="0" w:line="14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Capital Stock</w:t>
      </w:r>
      <w:r>
        <w:rPr>
          <w:rFonts w:ascii="Times New Roman" w:cs="Times New Roman" w:eastAsia="Times New Roman" w:hAnsi="Times New Roman"/>
          <w:sz w:val="13"/>
          <w:szCs w:val="13"/>
          <w:color w:val="auto"/>
        </w:rPr>
        <w:t>” has the meaning set forth in Article VI of the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125730</wp:posOffset>
            </wp:positionV>
            <wp:extent cx="4436110" cy="762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923">
                      <a:extLst>
                        <a:ext uri="{28A0092B-C50C-407E-A947-70E740481C1C}"/>
                      </a:extLst>
                    </a:blip>
                    <a:srcRect/>
                    <a:stretch>
                      <a:fillRect/>
                    </a:stretch>
                  </pic:blipFill>
                  <pic:spPr bwMode="auto">
                    <a:xfrm>
                      <a:off x="0" y="0"/>
                      <a:ext cx="4436110"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567690</wp:posOffset>
            </wp:positionV>
            <wp:extent cx="5083810" cy="1524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924">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499" w:name="page500"/>
    <w:bookmarkEnd w:id="499"/>
    <w:p>
      <w:pPr>
        <w:jc w:val="center"/>
        <w:ind w:right="-99"/>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Charitable Beneficiary</w:t>
      </w:r>
      <w:r>
        <w:rPr>
          <w:rFonts w:ascii="Times New Roman" w:cs="Times New Roman" w:eastAsia="Times New Roman" w:hAnsi="Times New Roman"/>
          <w:sz w:val="13"/>
          <w:szCs w:val="13"/>
          <w:color w:val="auto"/>
        </w:rPr>
        <w:t>” shall mean one or more beneficiaries of a Trust, as determined pursuant to Section 9(c)</w:t>
      </w:r>
    </w:p>
    <w:p>
      <w:pPr>
        <w:spacing w:after="0" w:line="22" w:lineRule="exact"/>
        <w:rPr>
          <w:sz w:val="20"/>
          <w:szCs w:val="20"/>
          <w:color w:val="auto"/>
        </w:rPr>
      </w:pPr>
    </w:p>
    <w:p>
      <w:pPr>
        <w:ind w:left="1440" w:hanging="233"/>
        <w:spacing w:after="0"/>
        <w:tabs>
          <w:tab w:leader="none" w:pos="1440" w:val="left"/>
        </w:tabs>
        <w:numPr>
          <w:ilvl w:val="0"/>
          <w:numId w:val="5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of these Articles Supplementary, each of which shall be an organization described in Sections 170(b)(1)(A), 170(c)</w:t>
      </w:r>
    </w:p>
    <w:p>
      <w:pPr>
        <w:spacing w:after="0" w:line="18" w:lineRule="exact"/>
        <w:rPr>
          <w:rFonts w:ascii="Times New Roman" w:cs="Times New Roman" w:eastAsia="Times New Roman" w:hAnsi="Times New Roman"/>
          <w:sz w:val="13"/>
          <w:szCs w:val="13"/>
          <w:color w:val="auto"/>
        </w:rPr>
      </w:pPr>
    </w:p>
    <w:p>
      <w:pPr>
        <w:ind w:left="120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 and 501(c)(3) of the Code.</w:t>
      </w:r>
    </w:p>
    <w:p>
      <w:pPr>
        <w:spacing w:after="0" w:line="183" w:lineRule="exact"/>
        <w:rPr>
          <w:sz w:val="20"/>
          <w:szCs w:val="20"/>
          <w:color w:val="auto"/>
        </w:rPr>
      </w:pPr>
    </w:p>
    <w:p>
      <w:pPr>
        <w:jc w:val="both"/>
        <w:ind w:left="1200" w:right="620" w:firstLine="360"/>
        <w:spacing w:after="0" w:line="30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Code</w:t>
      </w:r>
      <w:r>
        <w:rPr>
          <w:rFonts w:ascii="Times New Roman" w:cs="Times New Roman" w:eastAsia="Times New Roman" w:hAnsi="Times New Roman"/>
          <w:sz w:val="13"/>
          <w:szCs w:val="13"/>
          <w:color w:val="auto"/>
        </w:rPr>
        <w:t>” shall mean the Internal Revenue Code of 1986, as amended. All section references to the Code shall include any successor provisions thereof as may be adopted from time to time.</w:t>
      </w:r>
    </w:p>
    <w:p>
      <w:pPr>
        <w:spacing w:after="0" w:line="124" w:lineRule="exact"/>
        <w:rPr>
          <w:sz w:val="20"/>
          <w:szCs w:val="20"/>
          <w:color w:val="auto"/>
        </w:rPr>
      </w:pPr>
    </w:p>
    <w:p>
      <w:pPr>
        <w:jc w:val="both"/>
        <w:ind w:left="1200" w:right="600" w:firstLine="360"/>
        <w:spacing w:after="0" w:line="28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Constructive Ownership</w:t>
      </w:r>
      <w:r>
        <w:rPr>
          <w:rFonts w:ascii="Times New Roman" w:cs="Times New Roman" w:eastAsia="Times New Roman" w:hAnsi="Times New Roman"/>
          <w:sz w:val="13"/>
          <w:szCs w:val="13"/>
          <w:color w:val="auto"/>
        </w:rPr>
        <w:t>” shall mean ownership of Series L Preferred Stock by a Person who is or would be treated as an owner of such Series L Preferred Stock either actually or constructively through the application of Section 318 of the Code, as modified by Section 856(d)(5) of the Code. The terms “</w:t>
      </w:r>
      <w:r>
        <w:rPr>
          <w:rFonts w:ascii="Times New Roman" w:cs="Times New Roman" w:eastAsia="Times New Roman" w:hAnsi="Times New Roman"/>
          <w:sz w:val="13"/>
          <w:szCs w:val="13"/>
          <w:u w:val="single" w:color="auto"/>
          <w:color w:val="auto"/>
        </w:rPr>
        <w:t>Constructive Owner</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u w:val="single" w:color="auto"/>
          <w:color w:val="auto"/>
        </w:rPr>
        <w:t>Constructively Owns</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u w:val="single" w:color="auto"/>
          <w:color w:val="auto"/>
        </w:rPr>
        <w:t>Constructively Owned</w:t>
      </w:r>
      <w:r>
        <w:rPr>
          <w:rFonts w:ascii="Times New Roman" w:cs="Times New Roman" w:eastAsia="Times New Roman" w:hAnsi="Times New Roman"/>
          <w:sz w:val="13"/>
          <w:szCs w:val="13"/>
          <w:color w:val="auto"/>
        </w:rPr>
        <w:t>” shall have the correlative meanings.</w:t>
      </w:r>
    </w:p>
    <w:p>
      <w:pPr>
        <w:spacing w:after="0" w:line="140" w:lineRule="exact"/>
        <w:rPr>
          <w:sz w:val="20"/>
          <w:szCs w:val="20"/>
          <w:color w:val="auto"/>
        </w:rPr>
      </w:pPr>
    </w:p>
    <w:p>
      <w:pPr>
        <w:jc w:val="both"/>
        <w:ind w:left="1200" w:right="600" w:firstLine="360"/>
        <w:spacing w:after="0" w:line="28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Individual</w:t>
      </w:r>
      <w:r>
        <w:rPr>
          <w:rFonts w:ascii="Times New Roman" w:cs="Times New Roman" w:eastAsia="Times New Roman" w:hAnsi="Times New Roman"/>
          <w:sz w:val="13"/>
          <w:szCs w:val="13"/>
          <w:color w:val="auto"/>
        </w:rPr>
        <w:t>” means an individual, a trust qualified under Section 401(a) or 501(c)(17) of the Code, a portion of a trust permanently set aside for or to be used exclusively for the purposes described in Section 642(c) of the Code, or a private foundation within the meaning of Section 509(a) of the Code, provided that a trust described in Section 401(a) of the Code and exempt from tax under Section 501(a) of the Code shall be excluded from this definition.</w:t>
      </w:r>
    </w:p>
    <w:p>
      <w:pPr>
        <w:spacing w:after="0" w:line="14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IRS</w:t>
      </w:r>
      <w:r>
        <w:rPr>
          <w:rFonts w:ascii="Times New Roman" w:cs="Times New Roman" w:eastAsia="Times New Roman" w:hAnsi="Times New Roman"/>
          <w:sz w:val="13"/>
          <w:szCs w:val="13"/>
          <w:color w:val="auto"/>
        </w:rPr>
        <w:t>” means the United States Internal Revenue Service.</w:t>
      </w:r>
    </w:p>
    <w:p>
      <w:pPr>
        <w:spacing w:after="0" w:line="187" w:lineRule="exact"/>
        <w:rPr>
          <w:sz w:val="20"/>
          <w:szCs w:val="20"/>
          <w:color w:val="auto"/>
        </w:rPr>
      </w:pPr>
    </w:p>
    <w:p>
      <w:pPr>
        <w:jc w:val="both"/>
        <w:ind w:left="1200" w:right="600" w:firstLine="360"/>
        <w:spacing w:after="0" w:line="27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Market Price</w:t>
      </w:r>
      <w:r>
        <w:rPr>
          <w:rFonts w:ascii="Times New Roman" w:cs="Times New Roman" w:eastAsia="Times New Roman" w:hAnsi="Times New Roman"/>
          <w:sz w:val="13"/>
          <w:szCs w:val="13"/>
          <w:color w:val="auto"/>
        </w:rPr>
        <w:t>” shall mean the last reported sales price reported on the NYSE of the Series L Preferred Stock on the Trading Day immediately preceding the relevant date, or if the Series L Preferred Stock is not then traded on the NYSE, the last reported sales price of the Series L Preferred Stock on the Trading Day immediately preceding the relevant date as reported on any exchange or quotation system over which the Series L Preferred Stock may be traded, or if the Series L Preferred Stock is not then traded over any exchange or quotation system, the market price of the Series L Preferred Stock on the relevant date as determined in good faith by the Board of Directors of the Company.</w:t>
      </w:r>
    </w:p>
    <w:p>
      <w:pPr>
        <w:spacing w:after="0" w:line="145" w:lineRule="exact"/>
        <w:rPr>
          <w:sz w:val="20"/>
          <w:szCs w:val="20"/>
          <w:color w:val="auto"/>
        </w:rPr>
      </w:pPr>
    </w:p>
    <w:p>
      <w:pPr>
        <w:jc w:val="both"/>
        <w:ind w:left="1200" w:right="600" w:firstLine="360"/>
        <w:spacing w:after="0" w:line="28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Ownership Limit</w:t>
      </w:r>
      <w:r>
        <w:rPr>
          <w:rFonts w:ascii="Times New Roman" w:cs="Times New Roman" w:eastAsia="Times New Roman" w:hAnsi="Times New Roman"/>
          <w:sz w:val="13"/>
          <w:szCs w:val="13"/>
          <w:color w:val="auto"/>
        </w:rPr>
        <w:t>” shall mean 9.8% (by value or number of shares, whichever is more restrictive) of the outstanding shares of Series L Preferred Stock of the Company. The number and value of shares of outstanding Series L Preferred Stock of the Company shall be determined by the Board of Directors in good faith, which determination shall be conclusive for all purposes hereof.</w:t>
      </w:r>
    </w:p>
    <w:p>
      <w:pPr>
        <w:spacing w:after="0" w:line="136" w:lineRule="exact"/>
        <w:rPr>
          <w:sz w:val="20"/>
          <w:szCs w:val="20"/>
          <w:color w:val="auto"/>
        </w:rPr>
      </w:pPr>
    </w:p>
    <w:p>
      <w:pPr>
        <w:jc w:val="both"/>
        <w:ind w:left="1200" w:right="600" w:firstLine="360"/>
        <w:spacing w:after="0" w:line="27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Person</w:t>
      </w:r>
      <w:r>
        <w:rPr>
          <w:rFonts w:ascii="Times New Roman" w:cs="Times New Roman" w:eastAsia="Times New Roman" w:hAnsi="Times New Roman"/>
          <w:sz w:val="13"/>
          <w:szCs w:val="13"/>
          <w:color w:val="auto"/>
        </w:rPr>
        <w:t>” shall mean an Individual, corporation, partnership, limited liability company, estate, trust (including a trust qualified under Section 401(a) or 501(c)(17) of the Code), association, joint stock company or other entity; but does not include an underwriter acting in a capacity as such in a public offering of shares of Series L Preferred Stock provided that the ownership of such shares of Series L Preferred Stock by such underwriter would not result in the Company being “closely held” within the meaning of Section 856(h) of the Code, or otherwise result in the Company failing to qualify as a REIT.</w:t>
      </w:r>
    </w:p>
    <w:p>
      <w:pPr>
        <w:spacing w:after="0" w:line="143" w:lineRule="exact"/>
        <w:rPr>
          <w:sz w:val="20"/>
          <w:szCs w:val="20"/>
          <w:color w:val="auto"/>
        </w:rPr>
      </w:pPr>
    </w:p>
    <w:p>
      <w:pPr>
        <w:jc w:val="both"/>
        <w:ind w:left="1200" w:right="600" w:firstLine="360"/>
        <w:spacing w:after="0" w:line="28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Purported Beneficial Transferee</w:t>
      </w:r>
      <w:r>
        <w:rPr>
          <w:rFonts w:ascii="Times New Roman" w:cs="Times New Roman" w:eastAsia="Times New Roman" w:hAnsi="Times New Roman"/>
          <w:sz w:val="13"/>
          <w:szCs w:val="13"/>
          <w:color w:val="auto"/>
        </w:rPr>
        <w:t>” shall mean, with respect to any purported Transfer (or other event) which results in a transfer to a Trust, as provided in Section 9(b)(ii) of these Articles Supplementary, the Purported Record Transferee, unless the Purported Record Transferee would have acquired or owned shares of Series L Preferred Stock for another Person who is the beneficial transferee or beneficial owner of such shares, in which case the Purported Beneficial Transferee shall be such Person.</w:t>
      </w:r>
    </w:p>
    <w:p>
      <w:pPr>
        <w:spacing w:after="0" w:line="140" w:lineRule="exact"/>
        <w:rPr>
          <w:sz w:val="20"/>
          <w:szCs w:val="20"/>
          <w:color w:val="auto"/>
        </w:rPr>
      </w:pPr>
    </w:p>
    <w:p>
      <w:pPr>
        <w:jc w:val="both"/>
        <w:ind w:left="1200" w:right="620" w:firstLine="360"/>
        <w:spacing w:after="0" w:line="28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Purported Record Transferee</w:t>
      </w:r>
      <w:r>
        <w:rPr>
          <w:rFonts w:ascii="Times New Roman" w:cs="Times New Roman" w:eastAsia="Times New Roman" w:hAnsi="Times New Roman"/>
          <w:sz w:val="13"/>
          <w:szCs w:val="13"/>
          <w:color w:val="auto"/>
        </w:rPr>
        <w:t>” shall mean, with respect to any purported Transfer (or other event) which results in a transfer to a Trust, as provided in Section 9(b)(ii) of these Articles Supplementary, the record holder of the Series L Preferred Stock if such Transfer had been valid under Section 9(b)(i) of these Articles Supplementary.</w:t>
      </w:r>
    </w:p>
    <w:p>
      <w:pPr>
        <w:spacing w:after="0" w:line="13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REIT</w:t>
      </w:r>
      <w:r>
        <w:rPr>
          <w:rFonts w:ascii="Times New Roman" w:cs="Times New Roman" w:eastAsia="Times New Roman" w:hAnsi="Times New Roman"/>
          <w:sz w:val="13"/>
          <w:szCs w:val="13"/>
          <w:color w:val="auto"/>
        </w:rPr>
        <w:t>” shall mean a real estate investment trust under Sections 856 through 860 of the Code.</w:t>
      </w:r>
    </w:p>
    <w:p>
      <w:pPr>
        <w:spacing w:after="0" w:line="187" w:lineRule="exact"/>
        <w:rPr>
          <w:sz w:val="20"/>
          <w:szCs w:val="20"/>
          <w:color w:val="auto"/>
        </w:rPr>
      </w:pPr>
    </w:p>
    <w:p>
      <w:pPr>
        <w:jc w:val="both"/>
        <w:ind w:left="1200" w:right="620" w:firstLine="360"/>
        <w:spacing w:after="0" w:line="30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Restriction Termination Date</w:t>
      </w:r>
      <w:r>
        <w:rPr>
          <w:rFonts w:ascii="Times New Roman" w:cs="Times New Roman" w:eastAsia="Times New Roman" w:hAnsi="Times New Roman"/>
          <w:sz w:val="13"/>
          <w:szCs w:val="13"/>
          <w:color w:val="auto"/>
        </w:rPr>
        <w:t>” shall mean the first day after the date hereof on which the Board of Directors of the Company determines that it is no longer in the best interests of the Company to attempt to, or continue to, qualify as a REIT.</w:t>
      </w:r>
    </w:p>
    <w:p>
      <w:pPr>
        <w:spacing w:after="0" w:line="124" w:lineRule="exact"/>
        <w:rPr>
          <w:sz w:val="20"/>
          <w:szCs w:val="20"/>
          <w:color w:val="auto"/>
        </w:rPr>
      </w:pPr>
    </w:p>
    <w:p>
      <w:pPr>
        <w:jc w:val="both"/>
        <w:ind w:left="1200" w:right="600" w:firstLine="360"/>
        <w:spacing w:after="0" w:line="28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Trading Day</w:t>
      </w:r>
      <w:r>
        <w:rPr>
          <w:rFonts w:ascii="Times New Roman" w:cs="Times New Roman" w:eastAsia="Times New Roman" w:hAnsi="Times New Roman"/>
          <w:sz w:val="13"/>
          <w:szCs w:val="13"/>
          <w:color w:val="auto"/>
        </w:rPr>
        <w:t>” means a day during which trading in securities generally occurs on the NYSE or, if the Common Stock is not quoted on the NYSE, then a day during which trading in securities generally occurs on the principal U.S. securities exchange on which the Common Stock is listed or, if the Common Stock is not listed on a U.S. national or regional securities exchange, then on the principal other market on which the Common Stock is then traded or quoted.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104140</wp:posOffset>
            </wp:positionV>
            <wp:extent cx="4436110" cy="1524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925">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546100</wp:posOffset>
            </wp:positionV>
            <wp:extent cx="5083810" cy="1524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926">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500" w:name="page501"/>
    <w:bookmarkEnd w:id="5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1215390</wp:posOffset>
            </wp:positionH>
            <wp:positionV relativeFrom="page">
              <wp:posOffset>674370</wp:posOffset>
            </wp:positionV>
            <wp:extent cx="5083810" cy="1524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927">
                      <a:extLst>
                        <a:ext uri="{28A0092B-C50C-407E-A947-70E740481C1C}"/>
                      </a:extLst>
                    </a:blip>
                    <a:srcRect/>
                    <a:stretch>
                      <a:fillRect/>
                    </a:stretch>
                  </pic:blipFill>
                  <pic:spPr bwMode="auto">
                    <a:xfrm>
                      <a:off x="0" y="0"/>
                      <a:ext cx="5083810" cy="15240"/>
                    </a:xfrm>
                    <a:prstGeom prst="rect">
                      <a:avLst/>
                    </a:prstGeom>
                    <a:noFill/>
                  </pic:spPr>
                </pic:pic>
              </a:graphicData>
            </a:graphic>
          </wp:anchor>
        </w:drawing>
        <w:drawing>
          <wp:anchor simplePos="0" relativeHeight="251657728" behindDoc="1" locked="0" layoutInCell="0" allowOverlap="1">
            <wp:simplePos x="0" y="0"/>
            <wp:positionH relativeFrom="page">
              <wp:posOffset>1291590</wp:posOffset>
            </wp:positionH>
            <wp:positionV relativeFrom="page">
              <wp:posOffset>361950</wp:posOffset>
            </wp:positionV>
            <wp:extent cx="4436110" cy="762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928">
                      <a:extLst>
                        <a:ext uri="{28A0092B-C50C-407E-A947-70E740481C1C}"/>
                      </a:extLst>
                    </a:blip>
                    <a:srcRect/>
                    <a:stretch>
                      <a:fillRect/>
                    </a:stretch>
                  </pic:blipFill>
                  <pic:spPr bwMode="auto">
                    <a:xfrm>
                      <a:off x="0" y="0"/>
                      <a:ext cx="4436110" cy="76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501" w:name="page502"/>
    <w:bookmarkEnd w:id="501"/>
    <w:p>
      <w:pPr>
        <w:jc w:val="both"/>
        <w:ind w:left="1200" w:right="600" w:firstLine="360"/>
        <w:spacing w:after="0" w:line="27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Transfer</w:t>
      </w:r>
      <w:r>
        <w:rPr>
          <w:rFonts w:ascii="Times New Roman" w:cs="Times New Roman" w:eastAsia="Times New Roman" w:hAnsi="Times New Roman"/>
          <w:sz w:val="13"/>
          <w:szCs w:val="13"/>
          <w:color w:val="auto"/>
        </w:rPr>
        <w:t>” shall mean any sale, issuance, transfer, gift, assignment, devise or other disposition of Series L Preferred Stock as well as any other event that causes any Person to Beneficially Own or Constructively Own Series L Preferred Stock, including (i) the granting of any option or entering into any agreement for the sale, transfer or other disposition of Series L Preferred Stock or (ii) the sale, transfer, assignment or other disposition of any securities (or rights convertible into or exchangeable for Series L Preferred Stock), whether voluntary or involuntary, whether such transfer has occurred of record or beneficially or Beneficially or Constructively (including but not limited to transfers of interests in other entities which result in changes in Beneficial or Constructive Ownership of Series L Preferred Stock), and whether such transfer has occurred by operation of law or otherwise.</w:t>
      </w:r>
    </w:p>
    <w:p>
      <w:pPr>
        <w:spacing w:after="0" w:line="14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Trust</w:t>
      </w:r>
      <w:r>
        <w:rPr>
          <w:rFonts w:ascii="Times New Roman" w:cs="Times New Roman" w:eastAsia="Times New Roman" w:hAnsi="Times New Roman"/>
          <w:sz w:val="13"/>
          <w:szCs w:val="13"/>
          <w:color w:val="auto"/>
        </w:rPr>
        <w:t>” shall mean each of the trusts provided for in Section 9(c) of these Articles Supplementary.</w:t>
      </w:r>
    </w:p>
    <w:p>
      <w:pPr>
        <w:spacing w:after="0" w:line="187" w:lineRule="exact"/>
        <w:rPr>
          <w:sz w:val="20"/>
          <w:szCs w:val="20"/>
          <w:color w:val="auto"/>
        </w:rPr>
      </w:pPr>
    </w:p>
    <w:p>
      <w:pPr>
        <w:jc w:val="both"/>
        <w:ind w:left="1200" w:right="620" w:firstLine="360"/>
        <w:spacing w:after="0" w:line="30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Trustee</w:t>
      </w:r>
      <w:r>
        <w:rPr>
          <w:rFonts w:ascii="Times New Roman" w:cs="Times New Roman" w:eastAsia="Times New Roman" w:hAnsi="Times New Roman"/>
          <w:sz w:val="13"/>
          <w:szCs w:val="13"/>
          <w:color w:val="auto"/>
        </w:rPr>
        <w:t>” shall mean any Person unaffiliated with the Company, or a Purported Beneficial Transferee, or a Purported Record Transferee, that is appointed by the Company to serve as trustee of a Trust.</w:t>
      </w:r>
    </w:p>
    <w:p>
      <w:pPr>
        <w:spacing w:after="0" w:line="124" w:lineRule="exact"/>
        <w:rPr>
          <w:sz w:val="20"/>
          <w:szCs w:val="20"/>
          <w:color w:val="auto"/>
        </w:rPr>
      </w:pPr>
    </w:p>
    <w:p>
      <w:pPr>
        <w:ind w:left="1260" w:hanging="173"/>
        <w:spacing w:after="0"/>
        <w:tabs>
          <w:tab w:leader="none" w:pos="1260" w:val="left"/>
        </w:tabs>
        <w:numPr>
          <w:ilvl w:val="0"/>
          <w:numId w:val="5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Restriction on Ownership and Transfers</w:t>
      </w:r>
      <w:r>
        <w:rPr>
          <w:rFonts w:ascii="Times New Roman" w:cs="Times New Roman" w:eastAsia="Times New Roman" w:hAnsi="Times New Roman"/>
          <w:sz w:val="13"/>
          <w:szCs w:val="13"/>
          <w:color w:val="auto"/>
        </w:rPr>
        <w:t>.</w:t>
      </w:r>
    </w:p>
    <w:p>
      <w:pPr>
        <w:spacing w:after="0" w:line="18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3"/>
          <w:szCs w:val="13"/>
          <w:color w:val="auto"/>
        </w:rPr>
        <w:t>(i)Prior to the Restriction Termination Date, but subject to Section 9(l):</w:t>
      </w:r>
    </w:p>
    <w:p>
      <w:pPr>
        <w:spacing w:after="0" w:line="187" w:lineRule="exact"/>
        <w:rPr>
          <w:sz w:val="20"/>
          <w:szCs w:val="20"/>
          <w:color w:val="auto"/>
        </w:rPr>
      </w:pPr>
    </w:p>
    <w:p>
      <w:pPr>
        <w:jc w:val="both"/>
        <w:ind w:left="1560" w:right="600" w:firstLine="480"/>
        <w:spacing w:after="0" w:line="281" w:lineRule="auto"/>
        <w:rPr>
          <w:sz w:val="20"/>
          <w:szCs w:val="20"/>
          <w:color w:val="auto"/>
        </w:rPr>
      </w:pPr>
      <w:r>
        <w:rPr>
          <w:rFonts w:ascii="Times New Roman" w:cs="Times New Roman" w:eastAsia="Times New Roman" w:hAnsi="Times New Roman"/>
          <w:sz w:val="13"/>
          <w:szCs w:val="13"/>
          <w:color w:val="auto"/>
        </w:rPr>
        <w:t>(A) except as provided in Section 9(i) of these Articles Supplementary, (1) no Person shall Beneficially Own shares of Series L Preferred Stock in excess of the Ownership Limit and (2) no Person shall Beneficially Own shares of Series L Preferred Stock that, taking into account any other Capital Stock Beneficially Owned by such Person, would result in such Person Beneficially Owning Capital Stock in excess of the Aggregate Stock Ownership Limit;</w:t>
      </w:r>
    </w:p>
    <w:p>
      <w:pPr>
        <w:spacing w:after="0" w:line="140" w:lineRule="exact"/>
        <w:rPr>
          <w:sz w:val="20"/>
          <w:szCs w:val="20"/>
          <w:color w:val="auto"/>
        </w:rPr>
      </w:pPr>
    </w:p>
    <w:p>
      <w:pPr>
        <w:jc w:val="both"/>
        <w:ind w:left="1560" w:right="600" w:firstLine="487"/>
        <w:spacing w:after="0" w:line="281" w:lineRule="auto"/>
        <w:tabs>
          <w:tab w:leader="none" w:pos="2280" w:val="left"/>
        </w:tabs>
        <w:numPr>
          <w:ilvl w:val="0"/>
          <w:numId w:val="5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provided in Section 9(i) of these Articles Supplementary, (1) no Person shall Constructively Own shares of Series L Preferred Stock in excess of the Ownership Limit and (2) no Person shall Constructively Own shares of Series L Preferred Stock that, taking into account any other Capital Stock Constructively Owned by such Person, would result in such Person Constructively Owning Capital Stock in excess of the Aggregate Stock Ownership Limit;</w:t>
      </w:r>
    </w:p>
    <w:p>
      <w:pPr>
        <w:spacing w:after="0" w:line="140" w:lineRule="exact"/>
        <w:rPr>
          <w:sz w:val="20"/>
          <w:szCs w:val="20"/>
          <w:color w:val="auto"/>
        </w:rPr>
      </w:pPr>
    </w:p>
    <w:p>
      <w:pPr>
        <w:jc w:val="both"/>
        <w:ind w:left="1560" w:right="600" w:firstLine="480"/>
        <w:spacing w:after="0" w:line="270" w:lineRule="auto"/>
        <w:rPr>
          <w:sz w:val="20"/>
          <w:szCs w:val="20"/>
          <w:color w:val="auto"/>
        </w:rPr>
      </w:pPr>
      <w:r>
        <w:rPr>
          <w:rFonts w:ascii="Times New Roman" w:cs="Times New Roman" w:eastAsia="Times New Roman" w:hAnsi="Times New Roman"/>
          <w:sz w:val="13"/>
          <w:szCs w:val="13"/>
          <w:color w:val="auto"/>
        </w:rPr>
        <w:t>(C)no Person shall Beneficially Own or Constructively Own Series L Preferred Stock which, taking into account any other Capital Stock of the Company Beneficially or Constructively Owned by such Person, would result in the Company being “closely held” within the meaning of Section 856(h) of the Code, or otherwise failing to qualify as a REIT (including but not limited to Beneficial or Constructive Ownership that would result in the Company owning (actually or Constructively) an interest in a tenant that is described in Section 856(d)(2)</w:t>
      </w:r>
    </w:p>
    <w:p>
      <w:pPr>
        <w:spacing w:after="0" w:line="3" w:lineRule="exact"/>
        <w:rPr>
          <w:sz w:val="20"/>
          <w:szCs w:val="20"/>
          <w:color w:val="auto"/>
        </w:rPr>
      </w:pPr>
    </w:p>
    <w:p>
      <w:pPr>
        <w:ind w:left="1560" w:right="620" w:firstLine="7"/>
        <w:spacing w:after="0" w:line="299" w:lineRule="auto"/>
        <w:tabs>
          <w:tab w:leader="none" w:pos="1769" w:val="left"/>
        </w:tabs>
        <w:numPr>
          <w:ilvl w:val="0"/>
          <w:numId w:val="5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of the Code if the income derived by the Company (either directly or indirectly through one or more subsidiaries) from such tenant would cause the Company to fail to satisfy any of the gross income requirements of Section 856(c) of the Code).</w:t>
      </w:r>
    </w:p>
    <w:p>
      <w:pPr>
        <w:spacing w:after="0" w:line="128" w:lineRule="exact"/>
        <w:rPr>
          <w:sz w:val="20"/>
          <w:szCs w:val="20"/>
          <w:color w:val="auto"/>
        </w:rPr>
      </w:pPr>
    </w:p>
    <w:p>
      <w:pPr>
        <w:jc w:val="both"/>
        <w:ind w:left="600" w:right="600" w:firstLine="960"/>
        <w:spacing w:after="0" w:line="274" w:lineRule="auto"/>
        <w:rPr>
          <w:sz w:val="20"/>
          <w:szCs w:val="20"/>
          <w:color w:val="auto"/>
        </w:rPr>
      </w:pPr>
      <w:r>
        <w:rPr>
          <w:rFonts w:ascii="Times New Roman" w:cs="Times New Roman" w:eastAsia="Times New Roman" w:hAnsi="Times New Roman"/>
          <w:sz w:val="13"/>
          <w:szCs w:val="13"/>
          <w:color w:val="auto"/>
        </w:rPr>
        <w:t xml:space="preserve">(ii)If, prior to the Restriction Termination Date, any Transfer or other event occurs that, if effective, would result in any Person Beneficially or Constructively Owning Series L Preferred Stock in violation of Section 9(b)(i) of these Articles Supplementary, (A) then that number of shares of Series L Preferred Stock that otherwise would cause such Person to violate Section 9(b)(i) of these Articles Supplementary (rounded up to the nearest whole share) shall be automatically transferred to a Trust for the benefit of a Charitable Beneficiary, as described in Section 9(c), effective as of the close of business on the Business Day prior to the date of such Transfer or other event, and such Purported Beneficial Transferee shall thereafter have no rights in such shares or (B) if, for any reason, the transfer to the Trust described in clause (A) of this sentence is not automatically effective as provided therein to prevent any Person from Beneficially or Constructively Owning Series L Preferred Stock in violation of Section 9(b)(i) of these Articles Supplementary, then the Transfer of that number of shares of Series L Preferred Stock that otherwise would cause any Person to violate Section 9(b)(i) shall be void </w:t>
      </w:r>
      <w:r>
        <w:rPr>
          <w:rFonts w:ascii="Times New Roman" w:cs="Times New Roman" w:eastAsia="Times New Roman" w:hAnsi="Times New Roman"/>
          <w:sz w:val="13"/>
          <w:szCs w:val="13"/>
          <w:i w:val="1"/>
          <w:iCs w:val="1"/>
          <w:color w:val="auto"/>
        </w:rPr>
        <w:t>ab initio</w:t>
      </w:r>
      <w:r>
        <w:rPr>
          <w:rFonts w:ascii="Times New Roman" w:cs="Times New Roman" w:eastAsia="Times New Roman" w:hAnsi="Times New Roman"/>
          <w:sz w:val="13"/>
          <w:szCs w:val="13"/>
          <w:color w:val="auto"/>
        </w:rPr>
        <w:t>, and the Purported Beneficial Transferee shall have no rights in such shares.</w:t>
      </w:r>
    </w:p>
    <w:p>
      <w:pPr>
        <w:spacing w:after="0" w:line="301" w:lineRule="exact"/>
        <w:rPr>
          <w:sz w:val="20"/>
          <w:szCs w:val="20"/>
          <w:color w:val="auto"/>
        </w:rPr>
      </w:pPr>
    </w:p>
    <w:p>
      <w:pPr>
        <w:jc w:val="both"/>
        <w:ind w:left="600" w:right="620" w:firstLine="960"/>
        <w:spacing w:after="0" w:line="287" w:lineRule="auto"/>
        <w:rPr>
          <w:sz w:val="20"/>
          <w:szCs w:val="20"/>
          <w:color w:val="auto"/>
        </w:rPr>
      </w:pPr>
      <w:r>
        <w:rPr>
          <w:rFonts w:ascii="Times New Roman" w:cs="Times New Roman" w:eastAsia="Times New Roman" w:hAnsi="Times New Roman"/>
          <w:sz w:val="13"/>
          <w:szCs w:val="13"/>
          <w:color w:val="auto"/>
        </w:rPr>
        <w:t xml:space="preserve">(iii)Subject to Section 9(l) and prior to the Restriction Termination Date, any Transfer of Series L Preferred Stock that, if effective, would result in the capital stock of the Company being beneficially owned by fewer than 100 Persons (determined without reference to any rules of attribution) shall be void </w:t>
      </w:r>
      <w:r>
        <w:rPr>
          <w:rFonts w:ascii="Times New Roman" w:cs="Times New Roman" w:eastAsia="Times New Roman" w:hAnsi="Times New Roman"/>
          <w:sz w:val="13"/>
          <w:szCs w:val="13"/>
          <w:i w:val="1"/>
          <w:iCs w:val="1"/>
          <w:color w:val="auto"/>
        </w:rPr>
        <w:t>ab initio</w:t>
      </w:r>
      <w:r>
        <w:rPr>
          <w:rFonts w:ascii="Times New Roman" w:cs="Times New Roman" w:eastAsia="Times New Roman" w:hAnsi="Times New Roman"/>
          <w:sz w:val="13"/>
          <w:szCs w:val="13"/>
          <w:color w:val="auto"/>
        </w:rPr>
        <w:t>, and the intended transferee shall acquire no rights in such Series L Preferred Stock.</w:t>
      </w:r>
    </w:p>
    <w:p>
      <w:pPr>
        <w:spacing w:after="0" w:line="136" w:lineRule="exact"/>
        <w:rPr>
          <w:sz w:val="20"/>
          <w:szCs w:val="20"/>
          <w:color w:val="auto"/>
        </w:rPr>
      </w:pPr>
    </w:p>
    <w:p>
      <w:pPr>
        <w:ind w:left="1260" w:hanging="173"/>
        <w:spacing w:after="0"/>
        <w:tabs>
          <w:tab w:leader="none" w:pos="1260" w:val="left"/>
        </w:tabs>
        <w:numPr>
          <w:ilvl w:val="0"/>
          <w:numId w:val="5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Transfers of Series L Preferred Stock in Trust</w:t>
      </w:r>
      <w:r>
        <w:rPr>
          <w:rFonts w:ascii="Times New Roman" w:cs="Times New Roman" w:eastAsia="Times New Roman" w:hAnsi="Times New Roman"/>
          <w:sz w:val="13"/>
          <w:szCs w:val="13"/>
          <w:color w:val="auto"/>
        </w:rPr>
        <w:t>.</w:t>
      </w:r>
    </w:p>
    <w:p>
      <w:pPr>
        <w:spacing w:after="0" w:line="186" w:lineRule="exact"/>
        <w:rPr>
          <w:rFonts w:ascii="Times New Roman" w:cs="Times New Roman" w:eastAsia="Times New Roman" w:hAnsi="Times New Roman"/>
          <w:sz w:val="13"/>
          <w:szCs w:val="13"/>
          <w:color w:val="auto"/>
        </w:rPr>
      </w:pPr>
    </w:p>
    <w:p>
      <w:pPr>
        <w:ind w:left="600" w:right="600" w:firstLine="955"/>
        <w:spacing w:after="0" w:line="305" w:lineRule="auto"/>
        <w:tabs>
          <w:tab w:leader="none" w:pos="1704" w:val="left"/>
        </w:tabs>
        <w:numPr>
          <w:ilvl w:val="1"/>
          <w:numId w:val="5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any purported Transfer or other event described in Section 9(b)(ii) of these Articles Supplementary, such Series L Preferred Stock shall be deemed to have been transferred to the Trustee in his capacity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93980</wp:posOffset>
            </wp:positionV>
            <wp:extent cx="4436110" cy="1524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929">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535940</wp:posOffset>
            </wp:positionV>
            <wp:extent cx="5083810" cy="1524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930">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502" w:name="page503"/>
    <w:bookmarkEnd w:id="5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1215390</wp:posOffset>
            </wp:positionH>
            <wp:positionV relativeFrom="page">
              <wp:posOffset>681990</wp:posOffset>
            </wp:positionV>
            <wp:extent cx="5083810" cy="1524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931">
                      <a:extLst>
                        <a:ext uri="{28A0092B-C50C-407E-A947-70E740481C1C}"/>
                      </a:extLst>
                    </a:blip>
                    <a:srcRect/>
                    <a:stretch>
                      <a:fillRect/>
                    </a:stretch>
                  </pic:blipFill>
                  <pic:spPr bwMode="auto">
                    <a:xfrm>
                      <a:off x="0" y="0"/>
                      <a:ext cx="5083810" cy="15240"/>
                    </a:xfrm>
                    <a:prstGeom prst="rect">
                      <a:avLst/>
                    </a:prstGeom>
                    <a:noFill/>
                  </pic:spPr>
                </pic:pic>
              </a:graphicData>
            </a:graphic>
          </wp:anchor>
        </w:drawing>
        <w:drawing>
          <wp:anchor simplePos="0" relativeHeight="251657728" behindDoc="1" locked="0" layoutInCell="0" allowOverlap="1">
            <wp:simplePos x="0" y="0"/>
            <wp:positionH relativeFrom="page">
              <wp:posOffset>1291590</wp:posOffset>
            </wp:positionH>
            <wp:positionV relativeFrom="page">
              <wp:posOffset>361950</wp:posOffset>
            </wp:positionV>
            <wp:extent cx="4436110" cy="1524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932">
                      <a:extLst>
                        <a:ext uri="{28A0092B-C50C-407E-A947-70E740481C1C}"/>
                      </a:extLst>
                    </a:blip>
                    <a:srcRect/>
                    <a:stretch>
                      <a:fillRect/>
                    </a:stretch>
                  </pic:blipFill>
                  <pic:spPr bwMode="auto">
                    <a:xfrm>
                      <a:off x="0" y="0"/>
                      <a:ext cx="4436110" cy="1524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503" w:name="page504"/>
    <w:bookmarkEnd w:id="503"/>
    <w:p>
      <w:pPr>
        <w:jc w:val="both"/>
        <w:ind w:left="600" w:right="600"/>
        <w:spacing w:after="0" w:line="278" w:lineRule="auto"/>
        <w:rPr>
          <w:sz w:val="20"/>
          <w:szCs w:val="20"/>
          <w:color w:val="auto"/>
        </w:rPr>
      </w:pPr>
      <w:r>
        <w:rPr>
          <w:rFonts w:ascii="Times New Roman" w:cs="Times New Roman" w:eastAsia="Times New Roman" w:hAnsi="Times New Roman"/>
          <w:sz w:val="13"/>
          <w:szCs w:val="13"/>
          <w:color w:val="auto"/>
        </w:rPr>
        <w:t>trustee of a Trust for the exclusive benefit of one or more Charitable Beneficiaries. Such transfer to the Trustee shall be deemed to be effective as of the close of business on the Business Day prior to the purported Transfer or other event that results in a transfer to the Trust pursuant to Section 9(b)(ii). The Trustee shall be appointed by the Company and shall be a Person unaffiliated with the Company, any Purported Beneficial Transferee or any Purported Record Transferee. Each Charitable Beneficiary shall be designated by the Company as provided in Section 9(c)(vi) of these Articles Supplementary.</w:t>
      </w:r>
    </w:p>
    <w:p>
      <w:pPr>
        <w:spacing w:after="0" w:line="143" w:lineRule="exact"/>
        <w:rPr>
          <w:sz w:val="20"/>
          <w:szCs w:val="20"/>
          <w:color w:val="auto"/>
        </w:rPr>
      </w:pPr>
    </w:p>
    <w:p>
      <w:pPr>
        <w:jc w:val="both"/>
        <w:ind w:left="600" w:right="600" w:firstLine="960"/>
        <w:spacing w:after="0" w:line="278" w:lineRule="auto"/>
        <w:rPr>
          <w:sz w:val="20"/>
          <w:szCs w:val="20"/>
          <w:color w:val="auto"/>
        </w:rPr>
      </w:pPr>
      <w:r>
        <w:rPr>
          <w:rFonts w:ascii="Times New Roman" w:cs="Times New Roman" w:eastAsia="Times New Roman" w:hAnsi="Times New Roman"/>
          <w:sz w:val="13"/>
          <w:szCs w:val="13"/>
          <w:color w:val="auto"/>
        </w:rPr>
        <w:t>(ii)Series L Preferred Stock held by the Trustee shall be issued and outstanding Series L Preferred Stock of the Company. The Purported Beneficial Transferee or Purported Record Transferee shall have no rights in the shares of the Series L Preferred Stock held by the Trustee. The Purported Beneficial Transferee or Purported Record Transferee shall not benefit economically from ownership of any shares held in trust by the Trustee, shall have no rights to dividends and shall not possess any rights to vote or other rights attributable to the shares of Series L Preferred Stock held in the Trust.</w:t>
      </w:r>
    </w:p>
    <w:p>
      <w:pPr>
        <w:spacing w:after="0" w:line="143" w:lineRule="exact"/>
        <w:rPr>
          <w:sz w:val="20"/>
          <w:szCs w:val="20"/>
          <w:color w:val="auto"/>
        </w:rPr>
      </w:pPr>
    </w:p>
    <w:p>
      <w:pPr>
        <w:jc w:val="both"/>
        <w:ind w:left="600" w:right="600" w:firstLine="960"/>
        <w:spacing w:after="0" w:line="272" w:lineRule="auto"/>
        <w:rPr>
          <w:sz w:val="20"/>
          <w:szCs w:val="20"/>
          <w:color w:val="auto"/>
        </w:rPr>
      </w:pPr>
      <w:r>
        <w:rPr>
          <w:rFonts w:ascii="Times New Roman" w:cs="Times New Roman" w:eastAsia="Times New Roman" w:hAnsi="Times New Roman"/>
          <w:sz w:val="13"/>
          <w:szCs w:val="13"/>
          <w:color w:val="auto"/>
        </w:rPr>
        <w:t xml:space="preserve">(iii)The Trustee shall have all voting rights and rights to dividends with respect to Series L Preferred Stock held in the Trust, which rights shall be exercised for the exclusive benefit of the Charitable Beneficiary. Any dividend or distribution paid to or on behalf of the Purported Record Transferee or Purported Beneficial Transferee prior to the discovery by the Company that shares of Series L Preferred Stock have been transferred to the Trustee shall be paid to the Trustee upon demand, and any dividend or distribution declared but unpaid shall be paid when due to the Trustee with respect to such Series L Preferred Stock. Any dividends or distributions so paid over to the Trustee shall be held in trust for the Charitable Beneficiary. The Purported Record Transferee and Purported Beneficial Transferee shall have no voting rights with respect to the Series L Preferred Stock held in the Trust and, subject to Maryland law, effective as of the date the Series L Preferred Stock has been transferred to the Trustee, the Trustee shall have the authority (at the Trustee’s sole discretion) (A) to rescind as void any vote cast by a Purported Record Transferee with respect to such Series L Preferred Stock prior to the discovery by the Company that the Series L Preferred Stock has been transferred to the Trustee and (B) to recast such vote in accordance with the desires of the Trustee acting for the benefit of the Charitable Beneficiary;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if the Company has already taken irreversible corporate action, then the Trustee shall not have the authority to rescind and recast such vote. Notwithstanding any other provision of these Articles Supplementary to the contrary, until the Company has received notification that the Series L Preferred Stock has been transferred into a Trust, the Company shall be entitled to rely on its share transfer and other stockholder records for purposes of preparing lists of stockholders entitled to vote at meetings, determining the validity and authority of proxies and otherwise conducting votes of stockholders.</w:t>
      </w:r>
    </w:p>
    <w:p>
      <w:pPr>
        <w:spacing w:after="0" w:line="135" w:lineRule="exact"/>
        <w:rPr>
          <w:sz w:val="20"/>
          <w:szCs w:val="20"/>
          <w:color w:val="auto"/>
        </w:rPr>
      </w:pPr>
    </w:p>
    <w:p>
      <w:pPr>
        <w:jc w:val="both"/>
        <w:ind w:left="600" w:right="600" w:firstLine="955"/>
        <w:spacing w:after="0" w:line="270" w:lineRule="auto"/>
        <w:tabs>
          <w:tab w:leader="none" w:pos="1776" w:val="left"/>
        </w:tabs>
        <w:numPr>
          <w:ilvl w:val="0"/>
          <w:numId w:val="5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Within 20 days of receiving notice from the Company that shares of Series L Preferred Stock have been transferred to the Trust, the Trustee of the Trust shall sell the shares of Series L Preferred Stock held in the Trust to a Person, designated by the Trustee, whose ownership of the shares of Series L Preferred Stock will not violate the ownership limitations set forth in Section 9(b)(i). Upon such sale, the interest of the Charitable Beneficiary in the shares of Series L Preferred Stock sold shall terminate and the Trustee shall distribute the net proceeds of the sale to the Purported Record Transferee and to the Charitable Beneficiary as provided in this Section 9(c)(iv). The Purported Record Transferee shall receive the lesser of (A) the price paid by the Purported Record Transferee for the shares of Series L Preferred Stock in the transaction that resulted in such transfer to the Trust (or, if the event which resulted in the transfer to the Trust did not involve a purchase of such shares of Series L Preferred Stock at Market Price, the Market Price of such shares of Series L Preferred Stock on the day of the event which resulted in the transfer of such shares of Series L Preferred Stock to the Trust) and (B) the price per share received by the Trustee (net of any commissions and other expenses of sale) from the sale or other disposition of the shares of Series L Preferred Stock held in the Trust. The Trustee may reduce the amount payable to the Purported Record Transferee by the amount of dividends and distributions which have been paid to the Purported Record Transferee and are owed by the Purported Record Transferee to the Trustee pursuant to Section 9(c)(iii). Any net sales proceeds in excess of the amount payable to the Purported Record Transferee shall be immediately paid to the Charitable Beneficiary together with any dividends or other distributions thereon. If, prior to the discovery by the Company that shares of such Series L Preferred Stock have been transferred to the Trustee, such shares of Series L Preferred Stock are sold by a Purported Record Transferee then (1) such shares of Series L Preferred Stock shall be deemed to have been sold on behalf of the Trust and (2) to the extent that the Purported Record Transferee received an</w:t>
      </w:r>
    </w:p>
    <w:p>
      <w:pPr>
        <w:spacing w:after="0" w:line="2" w:lineRule="exact"/>
        <w:rPr>
          <w:sz w:val="20"/>
          <w:szCs w:val="20"/>
          <w:color w:val="auto"/>
        </w:rPr>
      </w:pPr>
    </w:p>
    <w:p>
      <w:pPr>
        <w:ind w:left="600" w:right="600"/>
        <w:spacing w:after="0" w:line="299" w:lineRule="auto"/>
        <w:rPr>
          <w:sz w:val="20"/>
          <w:szCs w:val="20"/>
          <w:color w:val="auto"/>
        </w:rPr>
      </w:pPr>
      <w:r>
        <w:rPr>
          <w:rFonts w:ascii="Times New Roman" w:cs="Times New Roman" w:eastAsia="Times New Roman" w:hAnsi="Times New Roman"/>
          <w:sz w:val="13"/>
          <w:szCs w:val="13"/>
          <w:color w:val="auto"/>
        </w:rPr>
        <w:t>amount for such shares of Series L Preferred Stock that exceeds the amount that such Purported Record Transferee was entitled to receive pursuant to this Section 9(c)(iv), such excess shall be paid to the Trustee upon demand.</w:t>
      </w:r>
    </w:p>
    <w:p>
      <w:pPr>
        <w:spacing w:after="0" w:line="116" w:lineRule="exact"/>
        <w:rPr>
          <w:sz w:val="20"/>
          <w:szCs w:val="20"/>
          <w:color w:val="auto"/>
        </w:rPr>
      </w:pPr>
    </w:p>
    <w:p>
      <w:pPr>
        <w:jc w:val="both"/>
        <w:ind w:left="600" w:right="600" w:firstLine="955"/>
        <w:spacing w:after="0" w:line="275" w:lineRule="auto"/>
        <w:tabs>
          <w:tab w:leader="none" w:pos="1740" w:val="left"/>
        </w:tabs>
        <w:numPr>
          <w:ilvl w:val="0"/>
          <w:numId w:val="5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Series L Preferred Stock transferred to the Trustee shall be deemed to have been offered for sale to the Company, or its designee, at a price per share equal to the lesser of (A) the price paid by the Purported Record Transferee for the shares of Series L Preferred Stock in the transaction that resulted in such transfer to the Trust (or, if the event which resulted in the transfer to the Trust did not involve a purchase of such shares of Series L Preferred Stock at Market Price, the Market Price of such shares of Series L Preferred Stock on the day of the event which resulted in the transfer of such shares of Series L Preferred Stock to the Trust) and (B) the Market Price on the date the Company, or its designee, accepts such offer. The Company may reduce the amount payable to the Purported Record Transferee by the amount of dividends and distributions which have been paid to the Purported Record Transferee and are owed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107315</wp:posOffset>
            </wp:positionV>
            <wp:extent cx="4436110" cy="762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933">
                      <a:extLst>
                        <a:ext uri="{28A0092B-C50C-407E-A947-70E740481C1C}"/>
                      </a:extLst>
                    </a:blip>
                    <a:srcRect/>
                    <a:stretch>
                      <a:fillRect/>
                    </a:stretch>
                  </pic:blipFill>
                  <pic:spPr bwMode="auto">
                    <a:xfrm>
                      <a:off x="0" y="0"/>
                      <a:ext cx="4436110"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541655</wp:posOffset>
            </wp:positionV>
            <wp:extent cx="5083810" cy="1524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934">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504" w:name="page505"/>
    <w:bookmarkEnd w:id="5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1215390</wp:posOffset>
            </wp:positionH>
            <wp:positionV relativeFrom="page">
              <wp:posOffset>681990</wp:posOffset>
            </wp:positionV>
            <wp:extent cx="5083810" cy="1524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935">
                      <a:extLst>
                        <a:ext uri="{28A0092B-C50C-407E-A947-70E740481C1C}"/>
                      </a:extLst>
                    </a:blip>
                    <a:srcRect/>
                    <a:stretch>
                      <a:fillRect/>
                    </a:stretch>
                  </pic:blipFill>
                  <pic:spPr bwMode="auto">
                    <a:xfrm>
                      <a:off x="0" y="0"/>
                      <a:ext cx="5083810" cy="15240"/>
                    </a:xfrm>
                    <a:prstGeom prst="rect">
                      <a:avLst/>
                    </a:prstGeom>
                    <a:noFill/>
                  </pic:spPr>
                </pic:pic>
              </a:graphicData>
            </a:graphic>
          </wp:anchor>
        </w:drawing>
        <w:drawing>
          <wp:anchor simplePos="0" relativeHeight="251657728" behindDoc="1" locked="0" layoutInCell="0" allowOverlap="1">
            <wp:simplePos x="0" y="0"/>
            <wp:positionH relativeFrom="page">
              <wp:posOffset>1291590</wp:posOffset>
            </wp:positionH>
            <wp:positionV relativeFrom="page">
              <wp:posOffset>361950</wp:posOffset>
            </wp:positionV>
            <wp:extent cx="4436110" cy="1524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936">
                      <a:extLst>
                        <a:ext uri="{28A0092B-C50C-407E-A947-70E740481C1C}"/>
                      </a:extLst>
                    </a:blip>
                    <a:srcRect/>
                    <a:stretch>
                      <a:fillRect/>
                    </a:stretch>
                  </pic:blipFill>
                  <pic:spPr bwMode="auto">
                    <a:xfrm>
                      <a:off x="0" y="0"/>
                      <a:ext cx="4436110" cy="1524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505" w:name="page506"/>
    <w:bookmarkEnd w:id="505"/>
    <w:p>
      <w:pPr>
        <w:jc w:val="both"/>
        <w:ind w:left="600" w:right="600"/>
        <w:spacing w:after="0" w:line="278" w:lineRule="auto"/>
        <w:rPr>
          <w:sz w:val="20"/>
          <w:szCs w:val="20"/>
          <w:color w:val="auto"/>
        </w:rPr>
      </w:pPr>
      <w:r>
        <w:rPr>
          <w:rFonts w:ascii="Times New Roman" w:cs="Times New Roman" w:eastAsia="Times New Roman" w:hAnsi="Times New Roman"/>
          <w:sz w:val="13"/>
          <w:szCs w:val="13"/>
          <w:color w:val="auto"/>
        </w:rPr>
        <w:t>Purported Record Transferee to the Trustee pursuant to Section 9(c)(iii). The Company shall have the right to accept such offer until the Trustee has sold the shares of Series L Preferred Stock held in the Trust pursuant to Section 9(c)(iv). Upon such a sale to the Company, the interest of the Charitable Beneficiary in the shares of Series L Preferred Stock sold shall terminate and the Trustee shall distribute the net proceeds of the sale to the Purported Record Transferee and any dividends or other distributions held by the Trustee with respect to such Series L Preferred Stock shall thereupon be paid to the Charitable Beneficiary.</w:t>
      </w:r>
    </w:p>
    <w:p>
      <w:pPr>
        <w:spacing w:after="0" w:line="143" w:lineRule="exact"/>
        <w:rPr>
          <w:sz w:val="20"/>
          <w:szCs w:val="20"/>
          <w:color w:val="auto"/>
        </w:rPr>
      </w:pPr>
    </w:p>
    <w:p>
      <w:pPr>
        <w:jc w:val="both"/>
        <w:ind w:left="600" w:right="620" w:firstLine="960"/>
        <w:spacing w:after="0" w:line="287" w:lineRule="auto"/>
        <w:rPr>
          <w:sz w:val="20"/>
          <w:szCs w:val="20"/>
          <w:color w:val="auto"/>
        </w:rPr>
      </w:pPr>
      <w:r>
        <w:rPr>
          <w:rFonts w:ascii="Times New Roman" w:cs="Times New Roman" w:eastAsia="Times New Roman" w:hAnsi="Times New Roman"/>
          <w:sz w:val="13"/>
          <w:szCs w:val="13"/>
          <w:color w:val="auto"/>
        </w:rPr>
        <w:t>(vi)By written notice to the Trustee, the Company shall designate one or more nonprofit organizations to be the Charitable Beneficiary of the interest in the Trust such that the Series L Preferred Stock held in the Trust would not violate the restrictions set forth in Section 9(b)(i) in the hands of such Charitable Beneficiary.</w:t>
      </w:r>
    </w:p>
    <w:p>
      <w:pPr>
        <w:spacing w:after="0" w:line="136" w:lineRule="exact"/>
        <w:rPr>
          <w:sz w:val="20"/>
          <w:szCs w:val="20"/>
          <w:color w:val="auto"/>
        </w:rPr>
      </w:pPr>
    </w:p>
    <w:p>
      <w:pPr>
        <w:jc w:val="both"/>
        <w:ind w:left="600" w:right="600" w:firstLine="475"/>
        <w:spacing w:after="0" w:line="273" w:lineRule="auto"/>
        <w:tabs>
          <w:tab w:leader="none" w:pos="1260" w:val="left"/>
        </w:tabs>
        <w:numPr>
          <w:ilvl w:val="0"/>
          <w:numId w:val="5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Remedies For Breach</w:t>
      </w:r>
      <w:r>
        <w:rPr>
          <w:rFonts w:ascii="Times New Roman" w:cs="Times New Roman" w:eastAsia="Times New Roman" w:hAnsi="Times New Roman"/>
          <w:sz w:val="13"/>
          <w:szCs w:val="13"/>
          <w:color w:val="auto"/>
        </w:rPr>
        <w:t xml:space="preserve">. If the Board of Directors or a committee thereof or other designees if permitted by the MGCL shall at any time determine in good faith that a Transfer or other event has taken place in violation of Section 9(b) of these Articles Supplementary or that a Person intends to acquire, has attempted to acquire or may acquire beneficial ownership (determined without reference to any rules of attribution), Beneficial Ownership or Constructive Ownership of any shares of Series L Preferred Stock of the Company in violation of Section 9(b) of these Articles Supplementary, the Board of Directors or a committee thereof or other designees if permitted by the MGCL shall take such action as it deems advisable to refuse to give effect or to prevent such Transfer, including, but not limited to, causing the Company to redeem shares of Series L Preferred Stock, refusing to give effect to such Transfer on the books of the Company or instituting proceedings to enjoin such Transfer;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that any Transfers (or, in the case of events other than a Transfer, ownership or Constructive Ownership or Beneficial Ownership) in violation of Section 9(b)(i) of these Articles Supplementary, shall automatically result in the transfer to a Trust as described in Section 9(b)(ii) and any Transfer in violation of Section 9(b)(iii) shall automatically be void </w:t>
      </w:r>
      <w:r>
        <w:rPr>
          <w:rFonts w:ascii="Times New Roman" w:cs="Times New Roman" w:eastAsia="Times New Roman" w:hAnsi="Times New Roman"/>
          <w:sz w:val="13"/>
          <w:szCs w:val="13"/>
          <w:i w:val="1"/>
          <w:iCs w:val="1"/>
          <w:color w:val="auto"/>
        </w:rPr>
        <w:t>ab initio</w:t>
      </w:r>
      <w:r>
        <w:rPr>
          <w:rFonts w:ascii="Times New Roman" w:cs="Times New Roman" w:eastAsia="Times New Roman" w:hAnsi="Times New Roman"/>
          <w:sz w:val="13"/>
          <w:szCs w:val="13"/>
          <w:color w:val="auto"/>
        </w:rPr>
        <w:t xml:space="preserve"> irrespective of any action (or non-action) by the Board of Directors.</w:t>
      </w:r>
    </w:p>
    <w:p>
      <w:pPr>
        <w:spacing w:after="0" w:line="304" w:lineRule="exact"/>
        <w:rPr>
          <w:rFonts w:ascii="Times New Roman" w:cs="Times New Roman" w:eastAsia="Times New Roman" w:hAnsi="Times New Roman"/>
          <w:sz w:val="13"/>
          <w:szCs w:val="13"/>
          <w:color w:val="auto"/>
        </w:rPr>
      </w:pPr>
    </w:p>
    <w:p>
      <w:pPr>
        <w:jc w:val="both"/>
        <w:ind w:left="600" w:right="600" w:firstLine="475"/>
        <w:spacing w:after="0" w:line="278" w:lineRule="auto"/>
        <w:tabs>
          <w:tab w:leader="none" w:pos="1248" w:val="left"/>
        </w:tabs>
        <w:numPr>
          <w:ilvl w:val="0"/>
          <w:numId w:val="5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Notice of Restricted Transfer</w:t>
      </w:r>
      <w:r>
        <w:rPr>
          <w:rFonts w:ascii="Times New Roman" w:cs="Times New Roman" w:eastAsia="Times New Roman" w:hAnsi="Times New Roman"/>
          <w:sz w:val="13"/>
          <w:szCs w:val="13"/>
          <w:color w:val="auto"/>
        </w:rPr>
        <w:t>. Any Person who acquires or attempts to acquire shares of Series L Preferred Stock in violation of Section 9(b) of these Articles Supplementary, or any Person who is a Purported Beneficial Transferee such that an automatic transfer to a Trust results under Section 9(b)(ii) of these Articles Supplementary, shall immediately give written notice to the Company of such event and shall provide to the Company such other information as the Company may request in order to determine the effect, if any, of such Transfer or attempted Transfer on the Company’s status as a REIT.</w:t>
      </w:r>
    </w:p>
    <w:p>
      <w:pPr>
        <w:spacing w:after="0" w:line="142" w:lineRule="exact"/>
        <w:rPr>
          <w:rFonts w:ascii="Times New Roman" w:cs="Times New Roman" w:eastAsia="Times New Roman" w:hAnsi="Times New Roman"/>
          <w:sz w:val="13"/>
          <w:szCs w:val="13"/>
          <w:color w:val="auto"/>
        </w:rPr>
      </w:pPr>
    </w:p>
    <w:p>
      <w:pPr>
        <w:jc w:val="both"/>
        <w:ind w:left="600" w:right="600" w:firstLine="475"/>
        <w:spacing w:after="0" w:line="281" w:lineRule="auto"/>
        <w:tabs>
          <w:tab w:leader="none" w:pos="1236" w:val="left"/>
        </w:tabs>
        <w:numPr>
          <w:ilvl w:val="0"/>
          <w:numId w:val="5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Owners Required To Provide Information</w:t>
      </w:r>
      <w:r>
        <w:rPr>
          <w:rFonts w:ascii="Times New Roman" w:cs="Times New Roman" w:eastAsia="Times New Roman" w:hAnsi="Times New Roman"/>
          <w:sz w:val="13"/>
          <w:szCs w:val="13"/>
          <w:color w:val="auto"/>
        </w:rPr>
        <w:t>. Prior to the Restriction Termination Date each Person who is a beneficial owner or Beneficial Owner or Constructive Owner of Series L Preferred Stock and each Person (including the stockholder of record) who is holding Series L Preferred Stock for a beneficial owner or Beneficial Owner or Constructive Owner shall provide to the Company such information that the Company may request, in good faith, in order to determine the Company’s status as a REIT.</w:t>
      </w:r>
    </w:p>
    <w:p>
      <w:pPr>
        <w:spacing w:after="0" w:line="140" w:lineRule="exact"/>
        <w:rPr>
          <w:rFonts w:ascii="Times New Roman" w:cs="Times New Roman" w:eastAsia="Times New Roman" w:hAnsi="Times New Roman"/>
          <w:sz w:val="13"/>
          <w:szCs w:val="13"/>
          <w:color w:val="auto"/>
        </w:rPr>
      </w:pPr>
    </w:p>
    <w:p>
      <w:pPr>
        <w:jc w:val="both"/>
        <w:ind w:left="600" w:right="600" w:firstLine="475"/>
        <w:spacing w:after="0" w:line="287" w:lineRule="auto"/>
        <w:tabs>
          <w:tab w:leader="none" w:pos="1272" w:val="left"/>
        </w:tabs>
        <w:numPr>
          <w:ilvl w:val="0"/>
          <w:numId w:val="5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Remedies Not Limited</w:t>
      </w:r>
      <w:r>
        <w:rPr>
          <w:rFonts w:ascii="Times New Roman" w:cs="Times New Roman" w:eastAsia="Times New Roman" w:hAnsi="Times New Roman"/>
          <w:sz w:val="13"/>
          <w:szCs w:val="13"/>
          <w:color w:val="auto"/>
        </w:rPr>
        <w:t>. Nothing contained in these Articles Supplementary (but subject to Section 9(l) of these Articles Supplementary) shall limit the authority of the Board of Directors to take such other action as it deems necessary or advisable to protect the Company and the interests of its stockholders by preservation of the Company’s status as a REIT.</w:t>
      </w:r>
    </w:p>
    <w:p>
      <w:pPr>
        <w:spacing w:after="0" w:line="136" w:lineRule="exact"/>
        <w:rPr>
          <w:sz w:val="20"/>
          <w:szCs w:val="20"/>
          <w:color w:val="auto"/>
        </w:rPr>
      </w:pPr>
    </w:p>
    <w:p>
      <w:pPr>
        <w:jc w:val="both"/>
        <w:ind w:left="600" w:right="600" w:firstLine="480"/>
        <w:spacing w:after="0" w:line="273" w:lineRule="auto"/>
        <w:rPr>
          <w:sz w:val="20"/>
          <w:szCs w:val="20"/>
          <w:color w:val="auto"/>
        </w:rPr>
      </w:pPr>
      <w:r>
        <w:rPr>
          <w:rFonts w:ascii="Times New Roman" w:cs="Times New Roman" w:eastAsia="Times New Roman" w:hAnsi="Times New Roman"/>
          <w:sz w:val="13"/>
          <w:szCs w:val="13"/>
          <w:color w:val="auto"/>
        </w:rPr>
        <w:t xml:space="preserve">(h) </w:t>
      </w:r>
      <w:r>
        <w:rPr>
          <w:rFonts w:ascii="Times New Roman" w:cs="Times New Roman" w:eastAsia="Times New Roman" w:hAnsi="Times New Roman"/>
          <w:sz w:val="13"/>
          <w:szCs w:val="13"/>
          <w:u w:val="single" w:color="auto"/>
          <w:color w:val="auto"/>
        </w:rPr>
        <w:t>Ambiguity</w:t>
      </w:r>
      <w:r>
        <w:rPr>
          <w:rFonts w:ascii="Times New Roman" w:cs="Times New Roman" w:eastAsia="Times New Roman" w:hAnsi="Times New Roman"/>
          <w:sz w:val="13"/>
          <w:szCs w:val="13"/>
          <w:color w:val="auto"/>
        </w:rPr>
        <w:t>. In the case of an ambiguity in the application of any of the provisions of this Section 9 of these Articles Supplementary, including any definition contained in Section 9(a), the Board of Directors shall have the power to determine the application of the provisions of this Section 9 with respect to any situation based on the facts known to it (subject, however, to the provisions of Section 9(l) of these Articles Supplementary). In the event Section 9 requires an action by the Board of Directors and these Articles Supplementary fail to provide specific guidance with respect to such action, the Board of Directors shall have the power to determine the action to be taken so long as such action is not contrary to the provisions of Section 9. Absent a decision to the contrary by the Board of Directors (which the Board of Directors may make in its sole and absolute discretion), if a Person would have (but for the remedies set forth in Section 9(b)) acquired Beneficial or Constructive Ownership of Series L Preferred Stock in violation of Section 9(b)(i), such remedies (as applicable) shall apply first to the shares of Series L Preferred Stock which, but for such remedies, would have been actually owned by such Person, and second to shares of Series L Preferred Stock, which, but for such remedies, would have been Beneficially Owned or Constructively Owned (but not actually owned) by such Person, pro rata among the Persons who actually own such shares of Series L Preferred Stock based upon the relative number of the shares of Series L Preferred Stock held by each such Person.</w:t>
      </w:r>
    </w:p>
    <w:p>
      <w:pPr>
        <w:spacing w:after="0" w:line="132" w:lineRule="exact"/>
        <w:rPr>
          <w:sz w:val="20"/>
          <w:szCs w:val="20"/>
          <w:color w:val="auto"/>
        </w:rPr>
      </w:pPr>
    </w:p>
    <w:p>
      <w:pPr>
        <w:ind w:left="1220" w:hanging="133"/>
        <w:spacing w:after="0"/>
        <w:tabs>
          <w:tab w:leader="none" w:pos="1220" w:val="left"/>
        </w:tabs>
        <w:numPr>
          <w:ilvl w:val="0"/>
          <w:numId w:val="5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Exceptions</w:t>
      </w:r>
      <w:r>
        <w:rPr>
          <w:rFonts w:ascii="Times New Roman" w:cs="Times New Roman" w:eastAsia="Times New Roman" w:hAnsi="Times New Roman"/>
          <w:sz w:val="13"/>
          <w:szCs w:val="13"/>
          <w:color w:val="auto"/>
        </w:rPr>
        <w:t>.</w:t>
      </w:r>
    </w:p>
    <w:p>
      <w:pPr>
        <w:spacing w:after="0" w:line="186" w:lineRule="exact"/>
        <w:rPr>
          <w:rFonts w:ascii="Times New Roman" w:cs="Times New Roman" w:eastAsia="Times New Roman" w:hAnsi="Times New Roman"/>
          <w:sz w:val="13"/>
          <w:szCs w:val="13"/>
          <w:color w:val="auto"/>
        </w:rPr>
      </w:pPr>
    </w:p>
    <w:p>
      <w:pPr>
        <w:jc w:val="both"/>
        <w:ind w:left="600" w:right="620" w:firstLine="955"/>
        <w:spacing w:after="0" w:line="287" w:lineRule="auto"/>
        <w:tabs>
          <w:tab w:leader="none" w:pos="1716" w:val="left"/>
        </w:tabs>
        <w:numPr>
          <w:ilvl w:val="1"/>
          <w:numId w:val="5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Section 9(b)(i)(C), the Board of Directors, in its sole discretion, may exempt (prospectively or retroactively) a Person from the limitation on a Person Beneficially Owning shares of Series L Preferred Stock in violation of Section 9(b)(i)(A) if the Board of Directors determines that such exemption will not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101600</wp:posOffset>
            </wp:positionV>
            <wp:extent cx="4436110" cy="1524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937">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543560</wp:posOffset>
            </wp:positionV>
            <wp:extent cx="5083810" cy="1524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938">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506" w:name="page507"/>
    <w:bookmarkEnd w:id="506"/>
    <w:p>
      <w:pPr>
        <w:ind w:left="600" w:right="620"/>
        <w:spacing w:after="0" w:line="305" w:lineRule="auto"/>
        <w:rPr>
          <w:sz w:val="20"/>
          <w:szCs w:val="20"/>
          <w:color w:val="auto"/>
        </w:rPr>
      </w:pPr>
      <w:r>
        <w:rPr>
          <w:rFonts w:ascii="Times New Roman" w:cs="Times New Roman" w:eastAsia="Times New Roman" w:hAnsi="Times New Roman"/>
          <w:sz w:val="13"/>
          <w:szCs w:val="13"/>
          <w:color w:val="auto"/>
        </w:rPr>
        <w:t>any Individual’s Beneficial Ownership of shares of Capital Stock to violate the Aggregate Stock Ownership Limit and that such exemption will not cause the Company to fail to qualify as a REIT under the Code.</w:t>
      </w:r>
    </w:p>
    <w:p>
      <w:pPr>
        <w:spacing w:after="0" w:line="76" w:lineRule="exact"/>
        <w:rPr>
          <w:sz w:val="20"/>
          <w:szCs w:val="20"/>
          <w:color w:val="auto"/>
        </w:rPr>
      </w:pPr>
    </w:p>
    <w:p>
      <w:pPr>
        <w:jc w:val="both"/>
        <w:ind w:left="600" w:right="620" w:firstLine="955"/>
        <w:spacing w:after="0" w:line="287" w:lineRule="auto"/>
        <w:tabs>
          <w:tab w:leader="none" w:pos="1740" w:val="left"/>
        </w:tabs>
        <w:numPr>
          <w:ilvl w:val="0"/>
          <w:numId w:val="5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Section 9(b)(i)(C), the Board of Directors in its sole discretion, may exempt (prospectively or retroactively) a Person from the limitation on a Person Constructively Owning shares of Series L Preferred Stock in violation of Section 9(b)(i)(B), if the Board of Directors determines that such ownership would not cause the Company to fail to qualify as a REIT under the Code.</w:t>
      </w:r>
    </w:p>
    <w:p>
      <w:pPr>
        <w:spacing w:after="0" w:line="88" w:lineRule="exact"/>
        <w:rPr>
          <w:sz w:val="20"/>
          <w:szCs w:val="20"/>
          <w:color w:val="auto"/>
        </w:rPr>
      </w:pPr>
    </w:p>
    <w:p>
      <w:pPr>
        <w:jc w:val="both"/>
        <w:ind w:left="600" w:right="600" w:firstLine="960"/>
        <w:spacing w:after="0" w:line="276" w:lineRule="auto"/>
        <w:rPr>
          <w:sz w:val="20"/>
          <w:szCs w:val="20"/>
          <w:color w:val="auto"/>
        </w:rPr>
      </w:pPr>
      <w:r>
        <w:rPr>
          <w:rFonts w:ascii="Times New Roman" w:cs="Times New Roman" w:eastAsia="Times New Roman" w:hAnsi="Times New Roman"/>
          <w:sz w:val="13"/>
          <w:szCs w:val="13"/>
          <w:color w:val="auto"/>
        </w:rPr>
        <w:t xml:space="preserve">(iii)Subject to Section 9(b)(i)(C) and the remainder of this Section 9(i)(iii), the Board of Directors may from time to time increase or decrease the Ownership Limit;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the decreased Ownership Limit will not be effective for any Person whose percentage ownership of Series L Preferred Stock is in excess of such decreased Ownership Limit until such time as such Person's percentage of Series L Preferred Stock equals or falls below the decreased Ownership Limit, but any further acquisition of Series L Preferred Stock in excess of such percentage ownership of Series L Preferred Stock will be in violation of the Ownership Limit, and, provided further, that the new Ownership Limit would not allow five or fewer Persons to Beneficially Own more than 49% in value of the outstanding capital stock of the Company.</w:t>
      </w:r>
    </w:p>
    <w:p>
      <w:pPr>
        <w:spacing w:after="0" w:line="109" w:lineRule="exact"/>
        <w:rPr>
          <w:sz w:val="20"/>
          <w:szCs w:val="20"/>
          <w:color w:val="auto"/>
        </w:rPr>
      </w:pPr>
    </w:p>
    <w:p>
      <w:pPr>
        <w:jc w:val="both"/>
        <w:ind w:left="600" w:right="600" w:firstLine="960"/>
        <w:spacing w:after="0" w:line="271" w:lineRule="auto"/>
        <w:rPr>
          <w:sz w:val="20"/>
          <w:szCs w:val="20"/>
          <w:color w:val="auto"/>
        </w:rPr>
      </w:pPr>
      <w:r>
        <w:rPr>
          <w:rFonts w:ascii="Times New Roman" w:cs="Times New Roman" w:eastAsia="Times New Roman" w:hAnsi="Times New Roman"/>
          <w:sz w:val="13"/>
          <w:szCs w:val="13"/>
          <w:color w:val="auto"/>
        </w:rPr>
        <w:t>(iv)In granting a Person an exemption under Section 9(i)(i) or (ii) above, the Board of Directors may require such Person to make certain representations or undertakings or to agree that any violation or attempted violation of such representations or undertakings (or other action which is contrary to the restrictions contained in Section 9(b) of these Articles Supplementary) will result in such Series L Preferred Stock being transferred to a Trust in accordance with Section 9(b)(ii) of these Articles Supplementary. In granting any exception pursuant to Section 9(i)</w:t>
      </w:r>
    </w:p>
    <w:p>
      <w:pPr>
        <w:spacing w:after="0" w:line="1" w:lineRule="exact"/>
        <w:rPr>
          <w:sz w:val="20"/>
          <w:szCs w:val="20"/>
          <w:color w:val="auto"/>
        </w:rPr>
      </w:pPr>
    </w:p>
    <w:p>
      <w:pPr>
        <w:jc w:val="both"/>
        <w:ind w:left="600" w:right="600" w:hanging="6"/>
        <w:spacing w:after="0" w:line="284" w:lineRule="auto"/>
        <w:tabs>
          <w:tab w:leader="none" w:pos="767" w:val="left"/>
        </w:tabs>
        <w:numPr>
          <w:ilvl w:val="0"/>
          <w:numId w:val="5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or (ii) of these Articles Supplementary, the Board of Directors may require a ruling from the IRS, or an opinion of counsel, in either case in form and substance satisfactory to the Board of Directors in its sole discretion, as it may deem necessary or advisable in order to determine or ensure the Company's status as a REIT.</w:t>
      </w:r>
    </w:p>
    <w:p>
      <w:pPr>
        <w:spacing w:after="0" w:line="89" w:lineRule="exact"/>
        <w:rPr>
          <w:rFonts w:ascii="Times New Roman" w:cs="Times New Roman" w:eastAsia="Times New Roman" w:hAnsi="Times New Roman"/>
          <w:sz w:val="13"/>
          <w:szCs w:val="13"/>
          <w:color w:val="auto"/>
        </w:rPr>
      </w:pPr>
    </w:p>
    <w:p>
      <w:pPr>
        <w:ind w:left="600" w:right="1060" w:firstLine="475"/>
        <w:spacing w:after="0" w:line="305" w:lineRule="auto"/>
        <w:tabs>
          <w:tab w:leader="none" w:pos="1212" w:val="left"/>
        </w:tabs>
        <w:numPr>
          <w:ilvl w:val="1"/>
          <w:numId w:val="5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Legends</w:t>
      </w:r>
      <w:r>
        <w:rPr>
          <w:rFonts w:ascii="Times New Roman" w:cs="Times New Roman" w:eastAsia="Times New Roman" w:hAnsi="Times New Roman"/>
          <w:sz w:val="13"/>
          <w:szCs w:val="13"/>
          <w:color w:val="auto"/>
        </w:rPr>
        <w:t>. Each certificate for Series L Preferred Stock shall bear substantially the following legends in addition to any legends required to comply with federal and state securities laws:</w:t>
      </w:r>
    </w:p>
    <w:p>
      <w:pPr>
        <w:spacing w:after="0" w:line="74"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3"/>
          <w:szCs w:val="13"/>
          <w:b w:val="1"/>
          <w:bCs w:val="1"/>
          <w:color w:val="auto"/>
        </w:rPr>
        <w:t>Classes of Stock</w:t>
      </w:r>
    </w:p>
    <w:p>
      <w:pPr>
        <w:spacing w:after="0" w:line="165" w:lineRule="exact"/>
        <w:rPr>
          <w:sz w:val="20"/>
          <w:szCs w:val="20"/>
          <w:color w:val="auto"/>
        </w:rPr>
      </w:pPr>
    </w:p>
    <w:p>
      <w:pPr>
        <w:ind w:left="1200" w:right="580"/>
        <w:spacing w:after="0" w:line="272" w:lineRule="auto"/>
        <w:rPr>
          <w:sz w:val="20"/>
          <w:szCs w:val="20"/>
          <w:color w:val="auto"/>
        </w:rPr>
      </w:pPr>
      <w:r>
        <w:rPr>
          <w:rFonts w:ascii="Times New Roman" w:cs="Times New Roman" w:eastAsia="Times New Roman" w:hAnsi="Times New Roman"/>
          <w:sz w:val="13"/>
          <w:szCs w:val="13"/>
          <w:color w:val="auto"/>
        </w:rPr>
        <w:t>“THE COMPANY IS AUTHORIZED TO ISSUE CAPITAL STOCK OF MORE THAN ONE CLASS, CONSISTING OF COMMON STOCK AND ONE OR MORE CLASSES OF PREFERRED STOCK. THE BOARD OF DIRECTORS IS AUTHORIZED TO DETERMINE THE PREFERENCES, LIMITATIONS AND RELATIVE RIGHTS OF ANY CLASS OF THE PREFERRED STOCK BEFORE THE ISSUANCE OF SHARES OF SUCH CLASS OF PREFERRED STOCK. THE COMPANY WILL FURNISH, WITHOUT CHARGE, TO ANY STOCKHOLDER MAKING A WRITTEN REQUEST THEREFOR, A COPY OF THE COMPANY’S CHARTER AND A WRITTEN STATEMENT OF THE DESIGNATIONS, RELATIVE RIGHTS, PREFERENCES, CONVERSION OR OTHER RIGHTS, VOTING POWERS, RESTRICTIONS, LIMITATIONS AS TO DIVIDENDS AND OTHER DISTRIBUTIONS, QUALIFICATIONS AND TERMS AND CONDITIONS OF REDEMPTION OF THE STOCK OF EACH CLASS WHICH THE COMPANY HAS THE AUTHORITY TO ISSUE AND, IF THE COMPANY IS AUTHORIZED TO ISSUE ANY PREFERRED OR SPECIAL CLASS IN SERIES, (i) THE DIFFERENCES IN THE RELATIVE RIGHTS AND PREFERENCES BETWEEN THE SHARES OF EACH SERIES TO THE EXTENT SET, AND (ii) THE AUTHORITY OF THE BOARD OF DIRECTORS TO SET SUCH RIGHTS AND PREFERENCES OF SUBSEQUENT SERIES. REQUESTS FOR SUCH WRITTEN STATEMENT MAY BE DIRECTED TO THE SECRETARY OF THE COMPANY AT ITS PRINCIPAL OFFICE.”</w:t>
      </w:r>
    </w:p>
    <w:p>
      <w:pPr>
        <w:spacing w:after="0" w:line="10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3"/>
          <w:szCs w:val="13"/>
          <w:b w:val="1"/>
          <w:bCs w:val="1"/>
          <w:color w:val="auto"/>
        </w:rPr>
        <w:t>Restriction on Ownership and Transfer</w:t>
      </w:r>
    </w:p>
    <w:p>
      <w:pPr>
        <w:spacing w:after="0" w:line="153" w:lineRule="exact"/>
        <w:rPr>
          <w:sz w:val="20"/>
          <w:szCs w:val="20"/>
          <w:color w:val="auto"/>
        </w:rPr>
      </w:pPr>
    </w:p>
    <w:p>
      <w:pPr>
        <w:jc w:val="both"/>
        <w:ind w:left="1220" w:right="600"/>
        <w:spacing w:after="0" w:line="273" w:lineRule="auto"/>
        <w:rPr>
          <w:sz w:val="20"/>
          <w:szCs w:val="20"/>
          <w:color w:val="auto"/>
        </w:rPr>
      </w:pPr>
      <w:r>
        <w:rPr>
          <w:rFonts w:ascii="Times New Roman" w:cs="Times New Roman" w:eastAsia="Times New Roman" w:hAnsi="Times New Roman"/>
          <w:sz w:val="13"/>
          <w:szCs w:val="13"/>
          <w:color w:val="auto"/>
        </w:rPr>
        <w:t>“THE SHARES OF THE COMPANY’S 5.200% SERIES L CUMULATIVE REDEEMABLE PREFERRED STOCK (“SERIES L PREFERRED STOCK”) REPRESENTED BY THIS CERTIFICATE ARE SUBJECT TO RESTRICTIONS ON BENEFICIAL AND CONSTRUCTIVE OWNERSHIP AND TRANSFER FOR THE PURPOSE OF THE COMPANY’S MAINTENANCE OF ITS STATUS AS A REAL ESTATE INVESTMENT TRUST UNDER THE INTERNAL REVENUE CODE OF 1986, AS AMENDED (THE “CODE”). SUBJECT TO CERTAIN FURTHER RESTRICTIONS AND EXCEPT AS EXPRESSLY PROVIDED IN THE ARTICLES SUPPLEMENTARY FOR THE SERIES L PREFERRED STOCK, (i) NO PERSON MAY BENEFICIALLY OR CONSTRUCTIVELY OWN SHARES OF SERIES L PREFERRED STOCK IN EXCESS OF 9.8% (BY VALUE OR BY NUMBER OF SHARES, WHICHEVER IS MORE RESTRICTIVE) OF THE OUTSTANDING SERIES L PREFERRED STOCK OF THE COMPANY; (ii) NO PERSON MAY BENEFICIALLY OR CONSTRUCTIVELY OWN SHARES OF SERIES L PREFERRED STOCK THAT, TAKING INTO ACCOUNT ANY OTHER CAPITAL STOCK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109220</wp:posOffset>
            </wp:positionV>
            <wp:extent cx="4436110" cy="1524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939">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543560</wp:posOffset>
            </wp:positionV>
            <wp:extent cx="5083810" cy="1524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940">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507" w:name="page508"/>
    <w:bookmarkEnd w:id="507"/>
    <w:tbl>
      <w:tblPr>
        <w:tblLayout w:type="fixed"/>
        <w:tblInd w:w="1200" w:type="dxa"/>
        <w:tblCellMar>
          <w:top w:w="0" w:type="dxa"/>
          <w:left w:w="0" w:type="dxa"/>
          <w:bottom w:w="0" w:type="dxa"/>
          <w:right w:w="0" w:type="dxa"/>
        </w:tblCellMar>
      </w:tblPr>
      <w:tr>
        <w:trPr>
          <w:trHeight w:val="168"/>
        </w:trPr>
        <w:tc>
          <w:tcPr>
            <w:tcW w:w="66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BENEFICIALLY OR CONSTRUCTIVELY OWNED BY SUCH PERSON, WOULD RESULT IN SUCH</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PERSON</w:t>
            </w:r>
          </w:p>
        </w:tc>
      </w:tr>
      <w:tr>
        <w:trPr>
          <w:trHeight w:val="168"/>
        </w:trPr>
        <w:tc>
          <w:tcPr>
            <w:tcW w:w="72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BENEFICIALLY OR CONSTRUCTIVELY OWNING CAPITAL STOCK WITH A VALUE IN EXCESS OF 9.8% OF THE</w:t>
            </w:r>
          </w:p>
        </w:tc>
      </w:tr>
      <w:tr>
        <w:trPr>
          <w:trHeight w:val="168"/>
        </w:trPr>
        <w:tc>
          <w:tcPr>
            <w:tcW w:w="72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VALUE  OF  THE  COMPANY’S  OUTSTANDING  CAPITAL  STOCK;  (iii)  NO  PERSON  MAY  BENEFICIALLY  OR</w:t>
            </w:r>
          </w:p>
        </w:tc>
      </w:tr>
      <w:tr>
        <w:trPr>
          <w:trHeight w:val="168"/>
        </w:trPr>
        <w:tc>
          <w:tcPr>
            <w:tcW w:w="66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CONSTRUCTIVELY OWN SHARES OF SERIES L PREFERRED STOCK THAT, TAKING INTO ACCOUNT ANY</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OTHER</w:t>
            </w:r>
          </w:p>
        </w:tc>
      </w:tr>
      <w:tr>
        <w:trPr>
          <w:trHeight w:val="168"/>
        </w:trPr>
        <w:tc>
          <w:tcPr>
            <w:tcW w:w="66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CAPITAL STOCK OF THE COMPANY BENEFICIALLY OR CONSTRUCTIVELY OWNED BY SUCH PERSON,</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WOULD</w:t>
            </w:r>
          </w:p>
        </w:tc>
      </w:tr>
      <w:tr>
        <w:trPr>
          <w:trHeight w:val="168"/>
        </w:trPr>
        <w:tc>
          <w:tcPr>
            <w:tcW w:w="72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RESULT IN THE COMPANY BEING “CLOSELY HELD” UNDER SECTION 856(h) OF THE CODE OR  OTHERWISE CAUSE</w:t>
            </w:r>
          </w:p>
        </w:tc>
      </w:tr>
      <w:tr>
        <w:trPr>
          <w:trHeight w:val="168"/>
        </w:trPr>
        <w:tc>
          <w:tcPr>
            <w:tcW w:w="72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THE COMPANY TO FAIL TO QUALIFY AS A REIT; AND (iv) ANY TRANSFER OF SHARES OF SERIES L PREFERRED</w:t>
            </w:r>
          </w:p>
        </w:tc>
      </w:tr>
      <w:tr>
        <w:trPr>
          <w:trHeight w:val="166"/>
        </w:trPr>
        <w:tc>
          <w:tcPr>
            <w:tcW w:w="72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STOCK THAT, IF EFFECTIVE, WOULD RESULT IN THE CAPITAL STOCK OF THE  COMPANY BEING BENEFICIALLY</w:t>
            </w:r>
          </w:p>
        </w:tc>
      </w:tr>
      <w:tr>
        <w:trPr>
          <w:trHeight w:val="170"/>
        </w:trPr>
        <w:tc>
          <w:tcPr>
            <w:tcW w:w="72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 xml:space="preserve">OWNED BY FEWER THAN 100 PERSONS WILL BE VOID </w:t>
            </w:r>
            <w:r>
              <w:rPr>
                <w:rFonts w:ascii="Times New Roman" w:cs="Times New Roman" w:eastAsia="Times New Roman" w:hAnsi="Times New Roman"/>
                <w:sz w:val="13"/>
                <w:szCs w:val="13"/>
                <w:i w:val="1"/>
                <w:iCs w:val="1"/>
                <w:color w:val="auto"/>
              </w:rPr>
              <w:t>AB INITIO</w:t>
            </w:r>
            <w:r>
              <w:rPr>
                <w:rFonts w:ascii="Times New Roman" w:cs="Times New Roman" w:eastAsia="Times New Roman" w:hAnsi="Times New Roman"/>
                <w:sz w:val="13"/>
                <w:szCs w:val="13"/>
                <w:color w:val="auto"/>
              </w:rPr>
              <w:t xml:space="preserve"> AND THE INTENDED TRANSFEREE WILL ACQUIRE</w:t>
            </w:r>
          </w:p>
        </w:tc>
      </w:tr>
      <w:tr>
        <w:trPr>
          <w:trHeight w:val="168"/>
        </w:trPr>
        <w:tc>
          <w:tcPr>
            <w:tcW w:w="72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NO  RIGHTS  IN  SUCH  SHARES  OF  SERIES  L  PREFERRED  STOCK.  ANY  PERSON  WHO  BENEFICIALLY  OR</w:t>
            </w:r>
          </w:p>
        </w:tc>
      </w:tr>
      <w:tr>
        <w:trPr>
          <w:trHeight w:val="168"/>
        </w:trPr>
        <w:tc>
          <w:tcPr>
            <w:tcW w:w="72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CONSTRUCTIVELY OWNS OR ATTEMPTS TO BENEFICIALLY OR  CONSTRUCTIVELY OWN SERIES L PREFERRED</w:t>
            </w:r>
          </w:p>
        </w:tc>
      </w:tr>
      <w:tr>
        <w:trPr>
          <w:trHeight w:val="168"/>
        </w:trPr>
        <w:tc>
          <w:tcPr>
            <w:tcW w:w="72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STOCK WHICH CAUSES OR WILL CAUSE A PERSON TO  BENEFICIALLY OR CONSTRUCTIVELY OWN SERIES L</w:t>
            </w:r>
          </w:p>
        </w:tc>
      </w:tr>
      <w:tr>
        <w:trPr>
          <w:trHeight w:val="168"/>
        </w:trPr>
        <w:tc>
          <w:tcPr>
            <w:tcW w:w="72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PREFERRED STOCK IN EXCESS OF THE ABOVE LIMITATIONS MUST IMMEDIATELY NOTIFY THE COMPANY. IF ANY</w:t>
            </w:r>
          </w:p>
        </w:tc>
      </w:tr>
      <w:tr>
        <w:trPr>
          <w:trHeight w:val="168"/>
        </w:trPr>
        <w:tc>
          <w:tcPr>
            <w:tcW w:w="72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OF THE RESTRICTIONS ON TRANSFER OR OWNERSHIP IN (i) THROUGH (iii) ABOVE ARE VIOLATED, THE SERIES L</w:t>
            </w:r>
          </w:p>
        </w:tc>
      </w:tr>
      <w:tr>
        <w:trPr>
          <w:trHeight w:val="168"/>
        </w:trPr>
        <w:tc>
          <w:tcPr>
            <w:tcW w:w="72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PREFERRED STOCK REPRESENTED HEREBY IN EXCESS OF SUCH RESTRICTIONS WILL BE AUTOMATICALLY</w:t>
            </w:r>
          </w:p>
        </w:tc>
      </w:tr>
      <w:tr>
        <w:trPr>
          <w:trHeight w:val="168"/>
        </w:trPr>
        <w:tc>
          <w:tcPr>
            <w:tcW w:w="72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TRANSFERRED TO THE TRUSTEE OF A TRUST FOR THE BENEFIT OF ONE OR MORE CHARITABLE BENEFICIARIES.</w:t>
            </w:r>
          </w:p>
        </w:tc>
      </w:tr>
      <w:tr>
        <w:trPr>
          <w:trHeight w:val="168"/>
        </w:trPr>
        <w:tc>
          <w:tcPr>
            <w:tcW w:w="72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IN ADDITION, THE COMPANY MAY REDEEM SHARES UPON THE TERMS AND CONDITIONS SPECIFIED BY THE</w:t>
            </w:r>
          </w:p>
        </w:tc>
      </w:tr>
      <w:tr>
        <w:trPr>
          <w:trHeight w:val="168"/>
        </w:trPr>
        <w:tc>
          <w:tcPr>
            <w:tcW w:w="72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BOARD OF DIRECTORS IN ITS SOLE DISCRETION IF THE BOARD OF DIRECTORS DETERMINES THAT OWNERSHIP OR</w:t>
            </w:r>
          </w:p>
        </w:tc>
      </w:tr>
      <w:tr>
        <w:trPr>
          <w:trHeight w:val="168"/>
        </w:trPr>
        <w:tc>
          <w:tcPr>
            <w:tcW w:w="72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A TRANSFER OR OTHER EVENT MAY VIOLATE THE RESTRICTIONS DESCRIBED ABOVE. FURTHERMORE, UPON THE</w:t>
            </w:r>
          </w:p>
        </w:tc>
      </w:tr>
      <w:tr>
        <w:trPr>
          <w:trHeight w:val="166"/>
        </w:trPr>
        <w:tc>
          <w:tcPr>
            <w:tcW w:w="6440" w:type="dxa"/>
            <w:vAlign w:val="bottom"/>
          </w:tcPr>
          <w:p>
            <w:pPr>
              <w:spacing w:after="0"/>
              <w:rPr>
                <w:sz w:val="20"/>
                <w:szCs w:val="20"/>
                <w:color w:val="auto"/>
              </w:rPr>
            </w:pPr>
            <w:r>
              <w:rPr>
                <w:rFonts w:ascii="Times New Roman" w:cs="Times New Roman" w:eastAsia="Times New Roman" w:hAnsi="Times New Roman"/>
                <w:sz w:val="13"/>
                <w:szCs w:val="13"/>
                <w:color w:val="auto"/>
              </w:rPr>
              <w:t>OCCURRENCE OF CERTAIN EVENTS, ATTEMPTED TRANSFERS IN VIOLATION OF THE RESTRICTIONS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DESCRIBED</w:t>
            </w:r>
          </w:p>
        </w:tc>
      </w:tr>
      <w:tr>
        <w:trPr>
          <w:trHeight w:val="174"/>
        </w:trPr>
        <w:tc>
          <w:tcPr>
            <w:tcW w:w="644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ABOVE MAY  BE VOID </w:t>
            </w:r>
            <w:r>
              <w:rPr>
                <w:rFonts w:ascii="Times New Roman" w:cs="Times New Roman" w:eastAsia="Times New Roman" w:hAnsi="Times New Roman"/>
                <w:sz w:val="13"/>
                <w:szCs w:val="13"/>
                <w:i w:val="1"/>
                <w:iCs w:val="1"/>
                <w:color w:val="auto"/>
              </w:rPr>
              <w:t>AB INITIO</w:t>
            </w:r>
            <w:r>
              <w:rPr>
                <w:rFonts w:ascii="Times New Roman" w:cs="Times New Roman" w:eastAsia="Times New Roman" w:hAnsi="Times New Roman"/>
                <w:sz w:val="13"/>
                <w:szCs w:val="13"/>
                <w:color w:val="auto"/>
              </w:rPr>
              <w:t>. ALL TERMS IN THIS LEGEND  WHICH ARE  DEFINED  IN  THE</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ARTICLES</w:t>
            </w:r>
          </w:p>
        </w:tc>
      </w:tr>
    </w:tbl>
    <w:p>
      <w:pPr>
        <w:jc w:val="both"/>
        <w:ind w:left="1200" w:right="620"/>
        <w:spacing w:after="0" w:line="277" w:lineRule="auto"/>
        <w:rPr>
          <w:sz w:val="20"/>
          <w:szCs w:val="20"/>
          <w:color w:val="auto"/>
        </w:rPr>
      </w:pPr>
      <w:r>
        <w:rPr>
          <w:rFonts w:ascii="Times New Roman" w:cs="Times New Roman" w:eastAsia="Times New Roman" w:hAnsi="Times New Roman"/>
          <w:sz w:val="13"/>
          <w:szCs w:val="13"/>
          <w:color w:val="auto"/>
        </w:rPr>
        <w:t>SUPPLEMENTARY FOR THE SERIES L PREFERRED STOCK SHALL HAVE THE MEANINGS ASCRIBED TO THEM IN SUCH ARTICLES SUPPLEMENTARY, AS THE SAME MAY BE AMENDED FROM TIME TO TIME, A COPY OF WHICH, INCLUDING THE RESTRICTIONS ON TRANSFER AND OWNERSHIP, WILL BE FURNISHED TO EACH HOLDER OF SERIES L PREFERRED STOCK ON REQUEST AND WITHOUT CHARGE. REQUESTS FOR SUCH A COPY MAY BE DIRECTED TO THE SECRETARY OF THE COMPANY AT ITS PRINCIPAL OFFICE.”</w:t>
      </w:r>
    </w:p>
    <w:p>
      <w:pPr>
        <w:spacing w:after="0" w:line="130" w:lineRule="exact"/>
        <w:rPr>
          <w:sz w:val="20"/>
          <w:szCs w:val="20"/>
          <w:color w:val="auto"/>
        </w:rPr>
      </w:pPr>
    </w:p>
    <w:p>
      <w:pPr>
        <w:jc w:val="both"/>
        <w:ind w:left="600" w:right="600" w:firstLine="475"/>
        <w:spacing w:after="0" w:line="287" w:lineRule="auto"/>
        <w:tabs>
          <w:tab w:leader="none" w:pos="1248" w:val="left"/>
        </w:tabs>
        <w:numPr>
          <w:ilvl w:val="0"/>
          <w:numId w:val="5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Severability</w:t>
      </w:r>
      <w:r>
        <w:rPr>
          <w:rFonts w:ascii="Times New Roman" w:cs="Times New Roman" w:eastAsia="Times New Roman" w:hAnsi="Times New Roman"/>
          <w:sz w:val="13"/>
          <w:szCs w:val="13"/>
          <w:color w:val="auto"/>
        </w:rPr>
        <w:t>. If any provision of this Section 9 or any application of any such provision is determined to be invalid by any federal or state court having jurisdiction over the issues, the validity of the remaining provisions shall not be affected and other applications of such provision shall be affected only to the extent necessary to comply with the determination of such court.</w:t>
      </w:r>
    </w:p>
    <w:p>
      <w:pPr>
        <w:spacing w:after="0" w:line="136" w:lineRule="exact"/>
        <w:rPr>
          <w:sz w:val="20"/>
          <w:szCs w:val="20"/>
          <w:color w:val="auto"/>
        </w:rPr>
      </w:pPr>
    </w:p>
    <w:p>
      <w:pPr>
        <w:jc w:val="both"/>
        <w:ind w:left="600" w:right="620" w:firstLine="480"/>
        <w:spacing w:after="0" w:line="287" w:lineRule="auto"/>
        <w:rPr>
          <w:sz w:val="20"/>
          <w:szCs w:val="20"/>
          <w:color w:val="auto"/>
        </w:rPr>
      </w:pPr>
      <w:r>
        <w:rPr>
          <w:rFonts w:ascii="Times New Roman" w:cs="Times New Roman" w:eastAsia="Times New Roman" w:hAnsi="Times New Roman"/>
          <w:sz w:val="13"/>
          <w:szCs w:val="13"/>
          <w:color w:val="auto"/>
        </w:rPr>
        <w:t>(l)</w:t>
      </w:r>
      <w:r>
        <w:rPr>
          <w:rFonts w:ascii="Times New Roman" w:cs="Times New Roman" w:eastAsia="Times New Roman" w:hAnsi="Times New Roman"/>
          <w:sz w:val="13"/>
          <w:szCs w:val="13"/>
          <w:u w:val="single" w:color="auto"/>
          <w:color w:val="auto"/>
        </w:rPr>
        <w:t>NYSE</w:t>
      </w:r>
      <w:r>
        <w:rPr>
          <w:rFonts w:ascii="Times New Roman" w:cs="Times New Roman" w:eastAsia="Times New Roman" w:hAnsi="Times New Roman"/>
          <w:sz w:val="13"/>
          <w:szCs w:val="13"/>
          <w:color w:val="auto"/>
        </w:rPr>
        <w:t>. Nothing in this Section 9 shall preclude the settlement of any transaction entered into through the facilities of the NYSE. The shares of Series L Preferred Stock that are the subject of such transaction shall continue to be subject to the provisions of this Section 9 after such settlement.</w:t>
      </w:r>
    </w:p>
    <w:p>
      <w:pPr>
        <w:spacing w:after="0" w:line="136" w:lineRule="exact"/>
        <w:rPr>
          <w:sz w:val="20"/>
          <w:szCs w:val="20"/>
          <w:color w:val="auto"/>
        </w:rPr>
      </w:pPr>
    </w:p>
    <w:p>
      <w:pPr>
        <w:jc w:val="both"/>
        <w:ind w:left="600" w:right="620" w:firstLine="480"/>
        <w:spacing w:after="0" w:line="305" w:lineRule="auto"/>
        <w:rPr>
          <w:sz w:val="20"/>
          <w:szCs w:val="20"/>
          <w:color w:val="auto"/>
        </w:rPr>
      </w:pPr>
      <w:r>
        <w:rPr>
          <w:rFonts w:ascii="Times New Roman" w:cs="Times New Roman" w:eastAsia="Times New Roman" w:hAnsi="Times New Roman"/>
          <w:sz w:val="13"/>
          <w:szCs w:val="13"/>
          <w:color w:val="auto"/>
        </w:rPr>
        <w:t xml:space="preserve">(m) </w:t>
      </w:r>
      <w:r>
        <w:rPr>
          <w:rFonts w:ascii="Times New Roman" w:cs="Times New Roman" w:eastAsia="Times New Roman" w:hAnsi="Times New Roman"/>
          <w:sz w:val="13"/>
          <w:szCs w:val="13"/>
          <w:u w:val="single" w:color="auto"/>
          <w:color w:val="auto"/>
        </w:rPr>
        <w:t>Applicability of Section 9</w:t>
      </w:r>
      <w:r>
        <w:rPr>
          <w:rFonts w:ascii="Times New Roman" w:cs="Times New Roman" w:eastAsia="Times New Roman" w:hAnsi="Times New Roman"/>
          <w:sz w:val="13"/>
          <w:szCs w:val="13"/>
          <w:color w:val="auto"/>
        </w:rPr>
        <w:t xml:space="preserve"> . The provisions set forth in this Section 9 shall apply to the Series L Preferred Stock notwithstanding any contrary provisions of the Series L Preferred Stock provided for elsewhere in these Articles Supplementary.</w:t>
      </w:r>
    </w:p>
    <w:p>
      <w:pPr>
        <w:spacing w:after="0" w:line="124" w:lineRule="exact"/>
        <w:rPr>
          <w:sz w:val="20"/>
          <w:szCs w:val="20"/>
          <w:color w:val="auto"/>
        </w:rPr>
      </w:pPr>
    </w:p>
    <w:p>
      <w:pPr>
        <w:jc w:val="both"/>
        <w:ind w:left="600" w:right="620" w:firstLine="480"/>
        <w:spacing w:after="0" w:line="305" w:lineRule="auto"/>
        <w:rPr>
          <w:sz w:val="20"/>
          <w:szCs w:val="20"/>
          <w:color w:val="auto"/>
        </w:rPr>
      </w:pPr>
      <w:r>
        <w:rPr>
          <w:rFonts w:ascii="Times New Roman" w:cs="Times New Roman" w:eastAsia="Times New Roman" w:hAnsi="Times New Roman"/>
          <w:sz w:val="13"/>
          <w:szCs w:val="13"/>
          <w:color w:val="auto"/>
        </w:rPr>
        <w:t xml:space="preserve">Section 10. </w:t>
      </w:r>
      <w:r>
        <w:rPr>
          <w:rFonts w:ascii="Times New Roman" w:cs="Times New Roman" w:eastAsia="Times New Roman" w:hAnsi="Times New Roman"/>
          <w:sz w:val="13"/>
          <w:szCs w:val="13"/>
          <w:u w:val="single" w:color="auto"/>
          <w:color w:val="auto"/>
        </w:rPr>
        <w:t>No Conversion Rights</w:t>
      </w:r>
      <w:r>
        <w:rPr>
          <w:rFonts w:ascii="Times New Roman" w:cs="Times New Roman" w:eastAsia="Times New Roman" w:hAnsi="Times New Roman"/>
          <w:sz w:val="13"/>
          <w:szCs w:val="13"/>
          <w:color w:val="auto"/>
        </w:rPr>
        <w:t>. The shares of Series L Preferred Stock shall not be convertible into or exchangeable for any other property or securities of the Company or any other entity, except as otherwise provided herein.</w:t>
      </w:r>
    </w:p>
    <w:p>
      <w:pPr>
        <w:spacing w:after="0" w:line="124" w:lineRule="exact"/>
        <w:rPr>
          <w:sz w:val="20"/>
          <w:szCs w:val="20"/>
          <w:color w:val="auto"/>
        </w:rPr>
      </w:pPr>
    </w:p>
    <w:p>
      <w:pPr>
        <w:jc w:val="both"/>
        <w:ind w:left="600" w:right="600" w:firstLine="480"/>
        <w:spacing w:after="0" w:line="305" w:lineRule="auto"/>
        <w:rPr>
          <w:sz w:val="20"/>
          <w:szCs w:val="20"/>
          <w:color w:val="auto"/>
        </w:rPr>
      </w:pPr>
      <w:r>
        <w:rPr>
          <w:rFonts w:ascii="Times New Roman" w:cs="Times New Roman" w:eastAsia="Times New Roman" w:hAnsi="Times New Roman"/>
          <w:sz w:val="13"/>
          <w:szCs w:val="13"/>
          <w:color w:val="auto"/>
        </w:rPr>
        <w:t xml:space="preserve">Section 11. </w:t>
      </w:r>
      <w:r>
        <w:rPr>
          <w:rFonts w:ascii="Times New Roman" w:cs="Times New Roman" w:eastAsia="Times New Roman" w:hAnsi="Times New Roman"/>
          <w:sz w:val="13"/>
          <w:szCs w:val="13"/>
          <w:u w:val="single" w:color="auto"/>
          <w:color w:val="auto"/>
        </w:rPr>
        <w:t>Record Holders</w:t>
      </w:r>
      <w:r>
        <w:rPr>
          <w:rFonts w:ascii="Times New Roman" w:cs="Times New Roman" w:eastAsia="Times New Roman" w:hAnsi="Times New Roman"/>
          <w:sz w:val="13"/>
          <w:szCs w:val="13"/>
          <w:color w:val="auto"/>
        </w:rPr>
        <w:t>. The Company and its transfer agent may deem and treat the record holder of any Series L Preferred Stock as the true and lawful owner thereof for all purposes, and neither the Company nor its transfer agent shall be affected by any notice to the contrary.</w:t>
      </w:r>
    </w:p>
    <w:p>
      <w:pPr>
        <w:spacing w:after="0" w:line="124" w:lineRule="exact"/>
        <w:rPr>
          <w:sz w:val="20"/>
          <w:szCs w:val="20"/>
          <w:color w:val="auto"/>
        </w:rPr>
      </w:pPr>
    </w:p>
    <w:p>
      <w:pPr>
        <w:jc w:val="both"/>
        <w:ind w:left="600" w:right="600" w:firstLine="480"/>
        <w:spacing w:after="0" w:line="281" w:lineRule="auto"/>
        <w:rPr>
          <w:sz w:val="20"/>
          <w:szCs w:val="20"/>
          <w:color w:val="auto"/>
        </w:rPr>
      </w:pPr>
      <w:r>
        <w:rPr>
          <w:rFonts w:ascii="Times New Roman" w:cs="Times New Roman" w:eastAsia="Times New Roman" w:hAnsi="Times New Roman"/>
          <w:sz w:val="13"/>
          <w:szCs w:val="13"/>
          <w:color w:val="auto"/>
        </w:rPr>
        <w:t xml:space="preserve">Section 12. </w:t>
      </w:r>
      <w:r>
        <w:rPr>
          <w:rFonts w:ascii="Times New Roman" w:cs="Times New Roman" w:eastAsia="Times New Roman" w:hAnsi="Times New Roman"/>
          <w:sz w:val="13"/>
          <w:szCs w:val="13"/>
          <w:u w:val="single" w:color="auto"/>
          <w:color w:val="auto"/>
        </w:rPr>
        <w:t>No Maturity or Sinking Fund</w:t>
      </w:r>
      <w:r>
        <w:rPr>
          <w:rFonts w:ascii="Times New Roman" w:cs="Times New Roman" w:eastAsia="Times New Roman" w:hAnsi="Times New Roman"/>
          <w:sz w:val="13"/>
          <w:szCs w:val="13"/>
          <w:color w:val="auto"/>
        </w:rPr>
        <w:t xml:space="preserve">. The Series L Preferred Stock has no maturity date, and no sinking fund has been established for the retirement or redemption of Series L Preferred Stock;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the Series L Preferred Stock owned by a stockholder in excess of the Ownership Limit or Aggregate Stock Ownership Limit shall be subject to the provisions of Section 5 and Section 9 of these Articles Supplementary.</w:t>
      </w:r>
    </w:p>
    <w:p>
      <w:pPr>
        <w:spacing w:after="0" w:line="140" w:lineRule="exact"/>
        <w:rPr>
          <w:sz w:val="20"/>
          <w:szCs w:val="20"/>
          <w:color w:val="auto"/>
        </w:rPr>
      </w:pPr>
    </w:p>
    <w:p>
      <w:pPr>
        <w:jc w:val="both"/>
        <w:ind w:left="600" w:right="600" w:firstLine="480"/>
        <w:spacing w:after="0" w:line="287" w:lineRule="auto"/>
        <w:rPr>
          <w:sz w:val="20"/>
          <w:szCs w:val="20"/>
          <w:color w:val="auto"/>
        </w:rPr>
      </w:pPr>
      <w:r>
        <w:rPr>
          <w:rFonts w:ascii="Times New Roman" w:cs="Times New Roman" w:eastAsia="Times New Roman" w:hAnsi="Times New Roman"/>
          <w:sz w:val="13"/>
          <w:szCs w:val="13"/>
          <w:color w:val="auto"/>
        </w:rPr>
        <w:t xml:space="preserve">Section 13. </w:t>
      </w:r>
      <w:r>
        <w:rPr>
          <w:rFonts w:ascii="Times New Roman" w:cs="Times New Roman" w:eastAsia="Times New Roman" w:hAnsi="Times New Roman"/>
          <w:sz w:val="13"/>
          <w:szCs w:val="13"/>
          <w:u w:val="single" w:color="auto"/>
          <w:color w:val="auto"/>
        </w:rPr>
        <w:t>Exclusion of Other Rights</w:t>
      </w:r>
      <w:r>
        <w:rPr>
          <w:rFonts w:ascii="Times New Roman" w:cs="Times New Roman" w:eastAsia="Times New Roman" w:hAnsi="Times New Roman"/>
          <w:sz w:val="13"/>
          <w:szCs w:val="13"/>
          <w:color w:val="auto"/>
        </w:rPr>
        <w:t>. The Series L Preferred Stock shall not have any preferences or other rights, voting powers, restrictions, limitations as to dividends or other distributions, qualifications or terms or conditions of redemption other than expressly set forth in the Charter and these Articles Supplementary.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101600</wp:posOffset>
            </wp:positionV>
            <wp:extent cx="4436110" cy="1524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941">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543560</wp:posOffset>
            </wp:positionV>
            <wp:extent cx="5083810" cy="1524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942">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508" w:name="page509"/>
    <w:bookmarkEnd w:id="508"/>
    <w:p>
      <w:pPr>
        <w:jc w:val="both"/>
        <w:ind w:left="600" w:right="620" w:firstLine="480"/>
        <w:spacing w:after="0" w:line="305" w:lineRule="auto"/>
        <w:rPr>
          <w:sz w:val="20"/>
          <w:szCs w:val="20"/>
          <w:color w:val="auto"/>
        </w:rPr>
      </w:pPr>
      <w:r>
        <w:rPr>
          <w:rFonts w:ascii="Times New Roman" w:cs="Times New Roman" w:eastAsia="Times New Roman" w:hAnsi="Times New Roman"/>
          <w:sz w:val="13"/>
          <w:szCs w:val="13"/>
          <w:color w:val="auto"/>
        </w:rPr>
        <w:t xml:space="preserve">Section 14. </w:t>
      </w:r>
      <w:r>
        <w:rPr>
          <w:rFonts w:ascii="Times New Roman" w:cs="Times New Roman" w:eastAsia="Times New Roman" w:hAnsi="Times New Roman"/>
          <w:sz w:val="13"/>
          <w:szCs w:val="13"/>
          <w:u w:val="single" w:color="auto"/>
          <w:color w:val="auto"/>
        </w:rPr>
        <w:t>Headings of Subdivisions</w:t>
      </w:r>
      <w:r>
        <w:rPr>
          <w:rFonts w:ascii="Times New Roman" w:cs="Times New Roman" w:eastAsia="Times New Roman" w:hAnsi="Times New Roman"/>
          <w:sz w:val="13"/>
          <w:szCs w:val="13"/>
          <w:color w:val="auto"/>
        </w:rPr>
        <w:t>. The headings of the various subdivisions hereof are for convenience of reference only and shall not affect the interpretation of any of the provisions hereof.</w:t>
      </w:r>
    </w:p>
    <w:p>
      <w:pPr>
        <w:spacing w:after="0" w:line="124" w:lineRule="exact"/>
        <w:rPr>
          <w:sz w:val="20"/>
          <w:szCs w:val="20"/>
          <w:color w:val="auto"/>
        </w:rPr>
      </w:pPr>
    </w:p>
    <w:p>
      <w:pPr>
        <w:jc w:val="both"/>
        <w:ind w:left="600" w:right="600" w:firstLine="480"/>
        <w:spacing w:after="0" w:line="274" w:lineRule="auto"/>
        <w:rPr>
          <w:sz w:val="20"/>
          <w:szCs w:val="20"/>
          <w:color w:val="auto"/>
        </w:rPr>
      </w:pPr>
      <w:r>
        <w:rPr>
          <w:rFonts w:ascii="Times New Roman" w:cs="Times New Roman" w:eastAsia="Times New Roman" w:hAnsi="Times New Roman"/>
          <w:sz w:val="13"/>
          <w:szCs w:val="13"/>
          <w:color w:val="auto"/>
        </w:rPr>
        <w:t xml:space="preserve">Section 15. </w:t>
      </w:r>
      <w:r>
        <w:rPr>
          <w:rFonts w:ascii="Times New Roman" w:cs="Times New Roman" w:eastAsia="Times New Roman" w:hAnsi="Times New Roman"/>
          <w:sz w:val="13"/>
          <w:szCs w:val="13"/>
          <w:u w:val="single" w:color="auto"/>
          <w:color w:val="auto"/>
        </w:rPr>
        <w:t>Severability of Provisions</w:t>
      </w:r>
      <w:r>
        <w:rPr>
          <w:rFonts w:ascii="Times New Roman" w:cs="Times New Roman" w:eastAsia="Times New Roman" w:hAnsi="Times New Roman"/>
          <w:sz w:val="13"/>
          <w:szCs w:val="13"/>
          <w:color w:val="auto"/>
        </w:rPr>
        <w:t>. If any preferences or other rights, voting powers, restrictions, limitations as to dividends or other distributions, qualifications or terms or conditions of redemption of the Series L Preferred Stock set forth in the Charter and these Articles Supplementary are invalid, unlawful or incapable of being enforced by reason of any rule of law or public policy, all other preferences or other rights, voting powers, restrictions, limitations as to dividends or other distributions, qualifications or terms or conditions of redemption of Series L Preferred Stock set forth in the Charter which can be given effect without the invalid, unlawful or unenforceable provision thereof shall, nevertheless, remain in full force and effect and no preferences or other rights, voting powers, restrictions, limitations as to dividends or other distributions, qualifications or terms or conditions of redemption of the Series L Preferred Stock herein set forth shall be deemed dependent upon any other provision thereof unless so expressed therein.</w:t>
      </w:r>
    </w:p>
    <w:p>
      <w:pPr>
        <w:spacing w:after="0" w:line="135" w:lineRule="exact"/>
        <w:rPr>
          <w:sz w:val="20"/>
          <w:szCs w:val="20"/>
          <w:color w:val="auto"/>
        </w:rPr>
      </w:pPr>
    </w:p>
    <w:p>
      <w:pPr>
        <w:jc w:val="both"/>
        <w:ind w:left="600" w:right="600" w:firstLine="480"/>
        <w:spacing w:after="0" w:line="287" w:lineRule="auto"/>
        <w:rPr>
          <w:sz w:val="20"/>
          <w:szCs w:val="20"/>
          <w:color w:val="auto"/>
        </w:rPr>
      </w:pPr>
      <w:r>
        <w:rPr>
          <w:rFonts w:ascii="Times New Roman" w:cs="Times New Roman" w:eastAsia="Times New Roman" w:hAnsi="Times New Roman"/>
          <w:sz w:val="13"/>
          <w:szCs w:val="13"/>
          <w:color w:val="auto"/>
        </w:rPr>
        <w:t xml:space="preserve">Section 16. </w:t>
      </w:r>
      <w:r>
        <w:rPr>
          <w:rFonts w:ascii="Times New Roman" w:cs="Times New Roman" w:eastAsia="Times New Roman" w:hAnsi="Times New Roman"/>
          <w:sz w:val="13"/>
          <w:szCs w:val="13"/>
          <w:u w:val="single" w:color="auto"/>
          <w:color w:val="auto"/>
        </w:rPr>
        <w:t>No Preemptive Rights</w:t>
      </w:r>
      <w:r>
        <w:rPr>
          <w:rFonts w:ascii="Times New Roman" w:cs="Times New Roman" w:eastAsia="Times New Roman" w:hAnsi="Times New Roman"/>
          <w:sz w:val="13"/>
          <w:szCs w:val="13"/>
          <w:color w:val="auto"/>
        </w:rPr>
        <w:t>. No holder of Series L Preferred Stock shall be entitled to any preemptive rights to subscribe for or acquire any unissued shares of capital stock of the Company (whether now or hereafter authorized) or securities of the Company convertible into or carrying a right to subscribe to or acquire shares of capital stock of the Company.</w:t>
      </w:r>
    </w:p>
    <w:p>
      <w:pPr>
        <w:spacing w:after="0" w:line="136" w:lineRule="exact"/>
        <w:rPr>
          <w:sz w:val="20"/>
          <w:szCs w:val="20"/>
          <w:color w:val="auto"/>
        </w:rPr>
      </w:pPr>
    </w:p>
    <w:p>
      <w:pPr>
        <w:jc w:val="both"/>
        <w:ind w:left="600" w:right="600" w:firstLine="480"/>
        <w:spacing w:after="0" w:line="305" w:lineRule="auto"/>
        <w:rPr>
          <w:sz w:val="20"/>
          <w:szCs w:val="20"/>
          <w:color w:val="auto"/>
        </w:rPr>
      </w:pPr>
      <w:r>
        <w:rPr>
          <w:rFonts w:ascii="Times New Roman" w:cs="Times New Roman" w:eastAsia="Times New Roman" w:hAnsi="Times New Roman"/>
          <w:sz w:val="13"/>
          <w:szCs w:val="13"/>
          <w:u w:val="single" w:color="auto"/>
          <w:color w:val="auto"/>
        </w:rPr>
        <w:t>FOURTH</w:t>
      </w:r>
      <w:r>
        <w:rPr>
          <w:rFonts w:ascii="Times New Roman" w:cs="Times New Roman" w:eastAsia="Times New Roman" w:hAnsi="Times New Roman"/>
          <w:sz w:val="13"/>
          <w:szCs w:val="13"/>
          <w:color w:val="auto"/>
        </w:rPr>
        <w:t>: The Series L Preferred Stock have been classified and designated by the Board of Directors under the authority contained in the Charter.</w:t>
      </w:r>
    </w:p>
    <w:p>
      <w:pPr>
        <w:spacing w:after="0" w:line="12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u w:val="single" w:color="auto"/>
          <w:color w:val="auto"/>
        </w:rPr>
        <w:t>FIFTH</w:t>
      </w:r>
      <w:r>
        <w:rPr>
          <w:rFonts w:ascii="Times New Roman" w:cs="Times New Roman" w:eastAsia="Times New Roman" w:hAnsi="Times New Roman"/>
          <w:sz w:val="13"/>
          <w:szCs w:val="13"/>
          <w:color w:val="auto"/>
        </w:rPr>
        <w:t>: These Articles Supplementary have been approved by the Board of Directors in the manner and by the vote required by law.</w:t>
      </w:r>
    </w:p>
    <w:p>
      <w:pPr>
        <w:spacing w:after="0" w:line="18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u w:val="single" w:color="auto"/>
          <w:color w:val="auto"/>
        </w:rPr>
        <w:t>SIXTH</w:t>
      </w:r>
      <w:r>
        <w:rPr>
          <w:rFonts w:ascii="Times New Roman" w:cs="Times New Roman" w:eastAsia="Times New Roman" w:hAnsi="Times New Roman"/>
          <w:sz w:val="13"/>
          <w:szCs w:val="13"/>
          <w:color w:val="auto"/>
        </w:rPr>
        <w:t>: These Articles Supplementary shall be effective at the time the Department accepts these Articles Supplementary for record.</w:t>
      </w:r>
    </w:p>
    <w:p>
      <w:pPr>
        <w:spacing w:after="0" w:line="187" w:lineRule="exact"/>
        <w:rPr>
          <w:sz w:val="20"/>
          <w:szCs w:val="20"/>
          <w:color w:val="auto"/>
        </w:rPr>
      </w:pPr>
    </w:p>
    <w:p>
      <w:pPr>
        <w:jc w:val="both"/>
        <w:ind w:left="600" w:right="600" w:firstLine="480"/>
        <w:spacing w:after="0" w:line="281" w:lineRule="auto"/>
        <w:rPr>
          <w:sz w:val="20"/>
          <w:szCs w:val="20"/>
          <w:color w:val="auto"/>
        </w:rPr>
      </w:pPr>
      <w:r>
        <w:rPr>
          <w:rFonts w:ascii="Times New Roman" w:cs="Times New Roman" w:eastAsia="Times New Roman" w:hAnsi="Times New Roman"/>
          <w:sz w:val="13"/>
          <w:szCs w:val="13"/>
          <w:u w:val="single" w:color="auto"/>
          <w:color w:val="auto"/>
        </w:rPr>
        <w:t>SEVENTH</w:t>
      </w:r>
      <w:r>
        <w:rPr>
          <w:rFonts w:ascii="Times New Roman" w:cs="Times New Roman" w:eastAsia="Times New Roman" w:hAnsi="Times New Roman"/>
          <w:sz w:val="13"/>
          <w:szCs w:val="13"/>
          <w:color w:val="auto"/>
        </w:rPr>
        <w:t>: The undersigned Chief Executive Officer acknowledges these Articles Supplementary to be the corporate act of the Company and, as to all matters or facts required to be verified under oath, the undersigned Chief Executive Officer acknowledges that to the best of his knowledge, information and belief, these matters and facts are true in all material respects and that this statement is made under the penalties for perjury.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104140</wp:posOffset>
            </wp:positionV>
            <wp:extent cx="4436110" cy="762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943">
                      <a:extLst>
                        <a:ext uri="{28A0092B-C50C-407E-A947-70E740481C1C}"/>
                      </a:extLst>
                    </a:blip>
                    <a:srcRect/>
                    <a:stretch>
                      <a:fillRect/>
                    </a:stretch>
                  </pic:blipFill>
                  <pic:spPr bwMode="auto">
                    <a:xfrm>
                      <a:off x="0" y="0"/>
                      <a:ext cx="4436110"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538480</wp:posOffset>
            </wp:positionV>
            <wp:extent cx="5083810" cy="1524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944">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509" w:name="page510"/>
    <w:bookmarkEnd w:id="509"/>
    <w:p>
      <w:pPr>
        <w:ind w:left="600" w:right="520" w:firstLine="480"/>
        <w:spacing w:after="0" w:line="305" w:lineRule="auto"/>
        <w:rPr>
          <w:sz w:val="20"/>
          <w:szCs w:val="20"/>
          <w:color w:val="auto"/>
        </w:rPr>
      </w:pPr>
      <w:r>
        <w:rPr>
          <w:rFonts w:ascii="Times New Roman" w:cs="Times New Roman" w:eastAsia="Times New Roman" w:hAnsi="Times New Roman"/>
          <w:sz w:val="13"/>
          <w:szCs w:val="13"/>
          <w:color w:val="auto"/>
        </w:rPr>
        <w:t>IN WITNESS WHEREOF, the Company has caused these Articles Supplementary to be executed in its name and on its behalf by its Chief Executive Officer as of the date first written above.</w:t>
      </w:r>
    </w:p>
    <w:p>
      <w:pPr>
        <w:spacing w:after="0" w:line="136"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3"/>
          <w:szCs w:val="13"/>
          <w:color w:val="auto"/>
        </w:rPr>
        <w:t>DIGITAL REALTY TRUST, INC.</w:t>
      </w:r>
    </w:p>
    <w:p>
      <w:pPr>
        <w:spacing w:after="0" w:line="31" w:lineRule="exact"/>
        <w:rPr>
          <w:sz w:val="20"/>
          <w:szCs w:val="20"/>
          <w:color w:val="auto"/>
        </w:rPr>
      </w:pPr>
    </w:p>
    <w:p>
      <w:pPr>
        <w:ind w:left="4280"/>
        <w:spacing w:after="0"/>
        <w:tabs>
          <w:tab w:leader="none" w:pos="4620" w:val="left"/>
        </w:tabs>
        <w:rPr>
          <w:sz w:val="20"/>
          <w:szCs w:val="20"/>
          <w:color w:val="auto"/>
        </w:rPr>
      </w:pPr>
      <w:r>
        <w:rPr>
          <w:rFonts w:ascii="Times New Roman" w:cs="Times New Roman" w:eastAsia="Times New Roman" w:hAnsi="Times New Roman"/>
          <w:sz w:val="13"/>
          <w:szCs w:val="13"/>
          <w:color w:val="auto"/>
        </w:rPr>
        <w:t>By:</w:t>
        <w:tab/>
        <w:t>/s/ Joshua A. Mills Name:Joshua</w:t>
      </w:r>
    </w:p>
    <w:p>
      <w:pPr>
        <w:spacing w:after="0" w:line="3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3"/>
          <w:szCs w:val="13"/>
          <w:color w:val="auto"/>
        </w:rPr>
        <w:t>A. Mills</w:t>
      </w:r>
    </w:p>
    <w:p>
      <w:pPr>
        <w:spacing w:after="0" w:line="2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3"/>
          <w:szCs w:val="13"/>
          <w:color w:val="auto"/>
        </w:rPr>
        <w:t>Title: Executive Vice President, General Counsel and</w:t>
      </w:r>
    </w:p>
    <w:p>
      <w:pPr>
        <w:spacing w:after="0" w:line="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3"/>
          <w:szCs w:val="13"/>
          <w:color w:val="auto"/>
        </w:rPr>
        <w:t>Secretary</w:t>
      </w:r>
    </w:p>
    <w:p>
      <w:pPr>
        <w:spacing w:after="0" w:line="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ATTEST:</w:t>
      </w:r>
    </w:p>
    <w:p>
      <w:pPr>
        <w:spacing w:after="0" w:line="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DIGITAL REALTY TRUST, INC.</w:t>
      </w:r>
    </w:p>
    <w:p>
      <w:pPr>
        <w:spacing w:after="0" w:line="27" w:lineRule="exact"/>
        <w:rPr>
          <w:sz w:val="20"/>
          <w:szCs w:val="20"/>
          <w:color w:val="auto"/>
        </w:rPr>
      </w:pPr>
    </w:p>
    <w:p>
      <w:pPr>
        <w:ind w:left="600"/>
        <w:spacing w:after="0"/>
        <w:tabs>
          <w:tab w:leader="none" w:pos="940" w:val="left"/>
        </w:tabs>
        <w:rPr>
          <w:sz w:val="20"/>
          <w:szCs w:val="20"/>
          <w:color w:val="auto"/>
        </w:rPr>
      </w:pPr>
      <w:r>
        <w:rPr>
          <w:rFonts w:ascii="Times New Roman" w:cs="Times New Roman" w:eastAsia="Times New Roman" w:hAnsi="Times New Roman"/>
          <w:sz w:val="13"/>
          <w:szCs w:val="13"/>
          <w:color w:val="auto"/>
        </w:rPr>
        <w:t>By:</w:t>
        <w:tab/>
        <w:t>/s/ Jeannie Lee Name: Jeannie</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Lee</w:t>
      </w:r>
    </w:p>
    <w:p>
      <w:pPr>
        <w:spacing w:after="0" w:line="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Title: Senior Vice President, Deputy General Counsel and</w:t>
      </w:r>
    </w:p>
    <w:p>
      <w:pPr>
        <w:spacing w:after="0" w:line="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116840</wp:posOffset>
            </wp:positionV>
            <wp:extent cx="4436110" cy="1524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945">
                      <a:extLst>
                        <a:ext uri="{28A0092B-C50C-407E-A947-70E740481C1C}"/>
                      </a:extLst>
                    </a:blip>
                    <a:srcRect/>
                    <a:stretch>
                      <a:fillRect/>
                    </a:stretch>
                  </pic:blipFill>
                  <pic:spPr bwMode="auto">
                    <a:xfrm>
                      <a:off x="0" y="0"/>
                      <a:ext cx="4436110" cy="1524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566420</wp:posOffset>
            </wp:positionV>
            <wp:extent cx="5083810" cy="1524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946">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510" w:name="page511"/>
    <w:bookmarkEnd w:id="510"/>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DIGITAL REALTY TRUST, INC.</w:t>
      </w:r>
    </w:p>
    <w:p>
      <w:pPr>
        <w:spacing w:after="0" w:line="1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ARTICLES OF AMENDMENT</w:t>
      </w:r>
    </w:p>
    <w:p>
      <w:pPr>
        <w:spacing w:after="0" w:line="18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 xml:space="preserve">Digital Realty Trust, Inc., a Maryland corporation (the “ </w:t>
      </w:r>
      <w:r>
        <w:rPr>
          <w:rFonts w:ascii="Times New Roman" w:cs="Times New Roman" w:eastAsia="Times New Roman" w:hAnsi="Times New Roman"/>
          <w:sz w:val="13"/>
          <w:szCs w:val="13"/>
          <w:u w:val="single" w:color="auto"/>
          <w:color w:val="auto"/>
        </w:rPr>
        <w:t>Corporation</w:t>
      </w:r>
      <w:r>
        <w:rPr>
          <w:rFonts w:ascii="Times New Roman" w:cs="Times New Roman" w:eastAsia="Times New Roman" w:hAnsi="Times New Roman"/>
          <w:sz w:val="13"/>
          <w:szCs w:val="13"/>
          <w:color w:val="auto"/>
        </w:rPr>
        <w:t>”), hereby certifies to the State Department of Assessments and</w:t>
      </w:r>
    </w:p>
    <w:p>
      <w:pPr>
        <w:spacing w:after="0" w:line="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Taxation of Maryland that:</w:t>
      </w:r>
    </w:p>
    <w:p>
      <w:pPr>
        <w:spacing w:after="0" w:line="183" w:lineRule="exact"/>
        <w:rPr>
          <w:sz w:val="20"/>
          <w:szCs w:val="20"/>
          <w:color w:val="auto"/>
        </w:rPr>
      </w:pPr>
    </w:p>
    <w:p>
      <w:pPr>
        <w:ind w:left="600" w:right="780" w:firstLine="480"/>
        <w:spacing w:after="0" w:line="305" w:lineRule="auto"/>
        <w:rPr>
          <w:sz w:val="20"/>
          <w:szCs w:val="20"/>
          <w:color w:val="auto"/>
        </w:rPr>
      </w:pPr>
      <w:r>
        <w:rPr>
          <w:rFonts w:ascii="Times New Roman" w:cs="Times New Roman" w:eastAsia="Times New Roman" w:hAnsi="Times New Roman"/>
          <w:sz w:val="13"/>
          <w:szCs w:val="13"/>
          <w:u w:val="single" w:color="auto"/>
          <w:color w:val="auto"/>
        </w:rPr>
        <w:t>FIRST</w:t>
      </w:r>
      <w:r>
        <w:rPr>
          <w:rFonts w:ascii="Times New Roman" w:cs="Times New Roman" w:eastAsia="Times New Roman" w:hAnsi="Times New Roman"/>
          <w:sz w:val="13"/>
          <w:szCs w:val="13"/>
          <w:color w:val="auto"/>
        </w:rPr>
        <w:t>: The charter of the Corporation (the “</w:t>
      </w:r>
      <w:r>
        <w:rPr>
          <w:rFonts w:ascii="Times New Roman" w:cs="Times New Roman" w:eastAsia="Times New Roman" w:hAnsi="Times New Roman"/>
          <w:sz w:val="13"/>
          <w:szCs w:val="13"/>
          <w:u w:val="single" w:color="auto"/>
          <w:color w:val="auto"/>
        </w:rPr>
        <w:t>Charter</w:t>
      </w:r>
      <w:r>
        <w:rPr>
          <w:rFonts w:ascii="Times New Roman" w:cs="Times New Roman" w:eastAsia="Times New Roman" w:hAnsi="Times New Roman"/>
          <w:sz w:val="13"/>
          <w:szCs w:val="13"/>
          <w:color w:val="auto"/>
        </w:rPr>
        <w:t>”) is hereby amended by deleting therefrom in their entirety the first two sentences of Section 5.1 of Article V and inserting in lieu thereof two new sentences to read as follows:</w:t>
      </w:r>
    </w:p>
    <w:p>
      <w:pPr>
        <w:spacing w:after="0" w:line="12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Corporation has authority to issue 502,000,000 shares of stock, consisting of 392,000,000 shares of Common Stock,</w:t>
      </w:r>
    </w:p>
    <w:p>
      <w:pPr>
        <w:spacing w:after="0" w:line="2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 xml:space="preserve">$.01 par value per share (“ </w:t>
      </w:r>
      <w:r>
        <w:rPr>
          <w:rFonts w:ascii="Times New Roman" w:cs="Times New Roman" w:eastAsia="Times New Roman" w:hAnsi="Times New Roman"/>
          <w:sz w:val="13"/>
          <w:szCs w:val="13"/>
          <w:u w:val="single" w:color="auto"/>
          <w:color w:val="auto"/>
        </w:rPr>
        <w:t>Common Stock</w:t>
      </w:r>
      <w:r>
        <w:rPr>
          <w:rFonts w:ascii="Times New Roman" w:cs="Times New Roman" w:eastAsia="Times New Roman" w:hAnsi="Times New Roman"/>
          <w:sz w:val="13"/>
          <w:szCs w:val="13"/>
          <w:color w:val="auto"/>
        </w:rPr>
        <w:t>”), and 110,000,000 shares of Preferred Stock, $.01 par value per share (“</w:t>
      </w:r>
      <w:r>
        <w:rPr>
          <w:rFonts w:ascii="Times New Roman" w:cs="Times New Roman" w:eastAsia="Times New Roman" w:hAnsi="Times New Roman"/>
          <w:sz w:val="13"/>
          <w:szCs w:val="13"/>
          <w:u w:val="single" w:color="auto"/>
          <w:color w:val="auto"/>
        </w:rPr>
        <w:t>Preferred Stock</w:t>
      </w:r>
      <w:r>
        <w:rPr>
          <w:rFonts w:ascii="Times New Roman" w:cs="Times New Roman" w:eastAsia="Times New Roman" w:hAnsi="Times New Roman"/>
          <w:sz w:val="13"/>
          <w:szCs w:val="13"/>
          <w:color w:val="auto"/>
        </w:rPr>
        <w:t>”).</w:t>
      </w:r>
    </w:p>
    <w:p>
      <w:pPr>
        <w:spacing w:after="0" w:line="1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aggregate par value of all authorized shares of stock having par value is $5,020,000.</w:t>
      </w:r>
    </w:p>
    <w:p>
      <w:pPr>
        <w:spacing w:after="0" w:line="183" w:lineRule="exact"/>
        <w:rPr>
          <w:sz w:val="20"/>
          <w:szCs w:val="20"/>
          <w:color w:val="auto"/>
        </w:rPr>
      </w:pPr>
    </w:p>
    <w:p>
      <w:pPr>
        <w:ind w:left="600" w:right="820" w:firstLine="480"/>
        <w:spacing w:after="0" w:line="281" w:lineRule="auto"/>
        <w:rPr>
          <w:sz w:val="20"/>
          <w:szCs w:val="20"/>
          <w:color w:val="auto"/>
        </w:rPr>
      </w:pPr>
      <w:r>
        <w:rPr>
          <w:rFonts w:ascii="Times New Roman" w:cs="Times New Roman" w:eastAsia="Times New Roman" w:hAnsi="Times New Roman"/>
          <w:sz w:val="13"/>
          <w:szCs w:val="13"/>
          <w:u w:val="single" w:color="auto"/>
          <w:color w:val="auto"/>
        </w:rPr>
        <w:t>SECOND</w:t>
      </w:r>
      <w:r>
        <w:rPr>
          <w:rFonts w:ascii="Times New Roman" w:cs="Times New Roman" w:eastAsia="Times New Roman" w:hAnsi="Times New Roman"/>
          <w:sz w:val="13"/>
          <w:szCs w:val="13"/>
          <w:color w:val="auto"/>
        </w:rPr>
        <w:t>: The total number of shares of stock which the Corporation had authority to issue immediately prior to the foregoing amendment of the Charter was 425,000,000 shares of stock, consisting of 315,000,000 shares of Common Stock, $.01 par value per share, and 110,000,000 shares of Preferred Stock, $.01 par value per share. The aggregate par value of all authorized shares of stock having par value was $4,250,000.</w:t>
      </w:r>
    </w:p>
    <w:p>
      <w:pPr>
        <w:spacing w:after="0" w:line="140" w:lineRule="exact"/>
        <w:rPr>
          <w:sz w:val="20"/>
          <w:szCs w:val="20"/>
          <w:color w:val="auto"/>
        </w:rPr>
      </w:pPr>
    </w:p>
    <w:p>
      <w:pPr>
        <w:jc w:val="both"/>
        <w:ind w:left="600" w:right="820" w:firstLine="480"/>
        <w:spacing w:after="0" w:line="287" w:lineRule="auto"/>
        <w:rPr>
          <w:sz w:val="20"/>
          <w:szCs w:val="20"/>
          <w:color w:val="auto"/>
        </w:rPr>
      </w:pPr>
      <w:r>
        <w:rPr>
          <w:rFonts w:ascii="Times New Roman" w:cs="Times New Roman" w:eastAsia="Times New Roman" w:hAnsi="Times New Roman"/>
          <w:sz w:val="13"/>
          <w:szCs w:val="13"/>
          <w:u w:val="single" w:color="auto"/>
          <w:color w:val="auto"/>
        </w:rPr>
        <w:t>THIRD</w:t>
      </w:r>
      <w:r>
        <w:rPr>
          <w:rFonts w:ascii="Times New Roman" w:cs="Times New Roman" w:eastAsia="Times New Roman" w:hAnsi="Times New Roman"/>
          <w:sz w:val="13"/>
          <w:szCs w:val="13"/>
          <w:color w:val="auto"/>
        </w:rPr>
        <w:t>: The total number of shares of stock which the Corporation has authority to issue pursuant to the foregoing amendment of the Charter is 502,000,000 shares of stock, consisting of 392,000,000 shares of Common Stock, $.01 par value per share, and 110,000,000 shares of Preferred Stock, $.01 par value per share. The aggregate par value of all authorized shares of stock having par value is $5,020,000.</w:t>
      </w:r>
    </w:p>
    <w:p>
      <w:pPr>
        <w:spacing w:after="0" w:line="136" w:lineRule="exact"/>
        <w:rPr>
          <w:sz w:val="20"/>
          <w:szCs w:val="20"/>
          <w:color w:val="auto"/>
        </w:rPr>
      </w:pPr>
    </w:p>
    <w:p>
      <w:pPr>
        <w:ind w:left="600" w:right="720" w:firstLine="480"/>
        <w:spacing w:after="0" w:line="305" w:lineRule="auto"/>
        <w:rPr>
          <w:sz w:val="20"/>
          <w:szCs w:val="20"/>
          <w:color w:val="auto"/>
        </w:rPr>
      </w:pPr>
      <w:r>
        <w:rPr>
          <w:rFonts w:ascii="Times New Roman" w:cs="Times New Roman" w:eastAsia="Times New Roman" w:hAnsi="Times New Roman"/>
          <w:sz w:val="13"/>
          <w:szCs w:val="13"/>
          <w:u w:val="single" w:color="auto"/>
          <w:color w:val="auto"/>
        </w:rPr>
        <w:t>FOURTH</w:t>
      </w:r>
      <w:r>
        <w:rPr>
          <w:rFonts w:ascii="Times New Roman" w:cs="Times New Roman" w:eastAsia="Times New Roman" w:hAnsi="Times New Roman"/>
          <w:sz w:val="13"/>
          <w:szCs w:val="13"/>
          <w:color w:val="auto"/>
        </w:rPr>
        <w:t xml:space="preserve">: The information required by Section 2-607(b)(2)(i) of the Maryland General Corporation Law (the “ </w:t>
      </w:r>
      <w:r>
        <w:rPr>
          <w:rFonts w:ascii="Times New Roman" w:cs="Times New Roman" w:eastAsia="Times New Roman" w:hAnsi="Times New Roman"/>
          <w:sz w:val="13"/>
          <w:szCs w:val="13"/>
          <w:u w:val="single" w:color="auto"/>
          <w:color w:val="auto"/>
        </w:rPr>
        <w:t>MGCL</w:t>
      </w:r>
      <w:r>
        <w:rPr>
          <w:rFonts w:ascii="Times New Roman" w:cs="Times New Roman" w:eastAsia="Times New Roman" w:hAnsi="Times New Roman"/>
          <w:sz w:val="13"/>
          <w:szCs w:val="13"/>
          <w:color w:val="auto"/>
        </w:rPr>
        <w:t>”) is not changed by the foregoing amendment of the Charter.</w:t>
      </w:r>
    </w:p>
    <w:p>
      <w:pPr>
        <w:spacing w:after="0" w:line="124" w:lineRule="exact"/>
        <w:rPr>
          <w:sz w:val="20"/>
          <w:szCs w:val="20"/>
          <w:color w:val="auto"/>
        </w:rPr>
      </w:pPr>
    </w:p>
    <w:p>
      <w:pPr>
        <w:ind w:left="600" w:right="700" w:firstLine="480"/>
        <w:spacing w:after="0" w:line="287" w:lineRule="auto"/>
        <w:rPr>
          <w:sz w:val="20"/>
          <w:szCs w:val="20"/>
          <w:color w:val="auto"/>
        </w:rPr>
      </w:pPr>
      <w:r>
        <w:rPr>
          <w:rFonts w:ascii="Times New Roman" w:cs="Times New Roman" w:eastAsia="Times New Roman" w:hAnsi="Times New Roman"/>
          <w:sz w:val="13"/>
          <w:szCs w:val="13"/>
          <w:u w:val="single" w:color="auto"/>
          <w:color w:val="auto"/>
        </w:rPr>
        <w:t>FIFTH</w:t>
      </w:r>
      <w:r>
        <w:rPr>
          <w:rFonts w:ascii="Times New Roman" w:cs="Times New Roman" w:eastAsia="Times New Roman" w:hAnsi="Times New Roman"/>
          <w:sz w:val="13"/>
          <w:szCs w:val="13"/>
          <w:color w:val="auto"/>
        </w:rPr>
        <w:t>: The foregoing amendment of the Charter was approved by a majority of the entire Board of Directors of the Corporation as required by law and was limited to a change expressly authorized by Section 2-105(a)(13) of the MGCL without any action by the stockholders of the Corporation.</w:t>
      </w:r>
    </w:p>
    <w:p>
      <w:pPr>
        <w:spacing w:after="0" w:line="136" w:lineRule="exact"/>
        <w:rPr>
          <w:sz w:val="20"/>
          <w:szCs w:val="20"/>
          <w:color w:val="auto"/>
        </w:rPr>
      </w:pPr>
    </w:p>
    <w:p>
      <w:pPr>
        <w:ind w:left="600" w:right="760" w:firstLine="480"/>
        <w:spacing w:after="0" w:line="287" w:lineRule="auto"/>
        <w:rPr>
          <w:sz w:val="20"/>
          <w:szCs w:val="20"/>
          <w:color w:val="auto"/>
        </w:rPr>
      </w:pPr>
      <w:r>
        <w:rPr>
          <w:rFonts w:ascii="Times New Roman" w:cs="Times New Roman" w:eastAsia="Times New Roman" w:hAnsi="Times New Roman"/>
          <w:sz w:val="13"/>
          <w:szCs w:val="13"/>
          <w:u w:val="single" w:color="auto"/>
          <w:color w:val="auto"/>
        </w:rPr>
        <w:t>SIXTH</w:t>
      </w:r>
      <w:r>
        <w:rPr>
          <w:rFonts w:ascii="Times New Roman" w:cs="Times New Roman" w:eastAsia="Times New Roman" w:hAnsi="Times New Roman"/>
          <w:sz w:val="13"/>
          <w:szCs w:val="13"/>
          <w:color w:val="auto"/>
        </w:rPr>
        <w:t>: The undersigned acknowledges these Articles of Amendment to be the corporate act of the Corporation and as to all matters or facts required to be verified under oath, the undersigned acknowledges that to the best of his knowledge, information and belief, these matters and facts are true in all material respects and that this statement is made under the penalties of perjury.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-12700</wp:posOffset>
            </wp:positionV>
            <wp:extent cx="4436110" cy="1524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947">
                      <a:extLst>
                        <a:ext uri="{28A0092B-C50C-407E-A947-70E740481C1C}"/>
                      </a:extLst>
                    </a:blip>
                    <a:srcRect/>
                    <a:stretch>
                      <a:fillRect/>
                    </a:stretch>
                  </pic:blipFill>
                  <pic:spPr bwMode="auto">
                    <a:xfrm>
                      <a:off x="0" y="0"/>
                      <a:ext cx="4436110" cy="15240"/>
                    </a:xfrm>
                    <a:prstGeom prst="rect">
                      <a:avLst/>
                    </a:prstGeom>
                    <a:noFill/>
                  </pic:spPr>
                </pic:pic>
              </a:graphicData>
            </a:graphic>
          </wp:anchor>
        </w:drawing>
      </w:r>
    </w:p>
    <w:p>
      <w:pPr>
        <w:spacing w:after="0" w:line="104" w:lineRule="exact"/>
        <w:rPr>
          <w:sz w:val="20"/>
          <w:szCs w:val="20"/>
          <w:color w:val="auto"/>
        </w:rPr>
      </w:pPr>
    </w:p>
    <w:p>
      <w:pPr>
        <w:ind w:left="600" w:right="820" w:firstLine="732"/>
        <w:spacing w:after="0" w:line="305" w:lineRule="auto"/>
        <w:rPr>
          <w:sz w:val="20"/>
          <w:szCs w:val="20"/>
          <w:color w:val="auto"/>
        </w:rPr>
      </w:pPr>
      <w:r>
        <w:rPr>
          <w:rFonts w:ascii="Times New Roman" w:cs="Times New Roman" w:eastAsia="Times New Roman" w:hAnsi="Times New Roman"/>
          <w:sz w:val="13"/>
          <w:szCs w:val="13"/>
          <w:color w:val="auto"/>
        </w:rPr>
        <w:t>IN WITNESS WHEREOF, the Corporation has caused these Articles of Amendment to be executed in its name and on its behalf by its Executive Vice President, General Counsel and Secretary and attested to by its Chief Financial Officer on this 9th day of March,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ATTEST:</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/s/ Andrew P. Power Name:</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Andrew P. Power</w:t>
      </w:r>
    </w:p>
    <w:p>
      <w:pPr>
        <w:spacing w:after="0" w:line="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Title: Chief Financial Officer</w:t>
      </w:r>
    </w:p>
    <w:p>
      <w:pPr>
        <w:spacing w:after="0" w:line="5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DIGITAL REALTY TRUST,</w:t>
      </w:r>
    </w:p>
    <w:p>
      <w:pPr>
        <w:spacing w:after="0" w:line="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INC.</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By:</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3"/>
          <w:szCs w:val="13"/>
          <w:color w:val="auto"/>
        </w:rPr>
        <w:t>/s/</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3"/>
          <w:szCs w:val="13"/>
          <w:color w:val="auto"/>
        </w:rPr>
        <w:t>Joshua</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3"/>
          <w:szCs w:val="13"/>
          <w:color w:val="auto"/>
        </w:rPr>
        <w:t>A.</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3"/>
          <w:szCs w:val="13"/>
          <w:color w:val="auto"/>
        </w:rPr>
        <w:t>Mills</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3"/>
          <w:szCs w:val="13"/>
          <w:color w:val="auto"/>
        </w:rPr>
        <w:t>Name:</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3"/>
          <w:szCs w:val="13"/>
          <w:color w:val="auto"/>
        </w:rPr>
        <w:t>Joshua</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3"/>
          <w:szCs w:val="13"/>
          <w:color w:val="auto"/>
        </w:rPr>
        <w:t>A.</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3"/>
          <w:szCs w:val="13"/>
          <w:color w:val="auto"/>
        </w:rPr>
        <w:t>Mills</w:t>
      </w:r>
    </w:p>
    <w:p>
      <w:pPr>
        <w:spacing w:after="0" w:line="3" w:lineRule="exact"/>
        <w:rPr>
          <w:sz w:val="20"/>
          <w:szCs w:val="20"/>
          <w:color w:val="auto"/>
        </w:rPr>
      </w:pPr>
    </w:p>
    <w:p>
      <w:pPr>
        <w:ind w:left="840"/>
        <w:spacing w:after="0"/>
        <w:tabs>
          <w:tab w:leader="none" w:pos="1240" w:val="left"/>
        </w:tabs>
        <w:rPr>
          <w:sz w:val="20"/>
          <w:szCs w:val="20"/>
          <w:color w:val="auto"/>
        </w:rPr>
      </w:pPr>
      <w:r>
        <w:rPr>
          <w:rFonts w:ascii="Times New Roman" w:cs="Times New Roman" w:eastAsia="Times New Roman" w:hAnsi="Times New Roman"/>
          <w:sz w:val="13"/>
          <w:szCs w:val="13"/>
          <w:color w:val="auto"/>
        </w:rPr>
        <w:t>Title:</w:t>
        <w:tab/>
        <w:t>Executive Vice</w:t>
      </w:r>
    </w:p>
    <w:p>
      <w:pPr>
        <w:ind w:left="840"/>
        <w:spacing w:after="0" w:line="211" w:lineRule="auto"/>
        <w:rPr>
          <w:sz w:val="20"/>
          <w:szCs w:val="20"/>
          <w:color w:val="auto"/>
        </w:rPr>
      </w:pPr>
      <w:r>
        <w:rPr>
          <w:rFonts w:ascii="Times New Roman" w:cs="Times New Roman" w:eastAsia="Times New Roman" w:hAnsi="Times New Roman"/>
          <w:sz w:val="13"/>
          <w:szCs w:val="13"/>
          <w:color w:val="auto"/>
        </w:rPr>
        <w:t>President, General Counsel</w:t>
      </w:r>
    </w:p>
    <w:p>
      <w:pPr>
        <w:spacing w:after="0" w:line="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3"/>
          <w:szCs w:val="13"/>
          <w:color w:val="auto"/>
        </w:rPr>
        <w:t>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299720</wp:posOffset>
            </wp:positionV>
            <wp:extent cx="5083810" cy="1524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948">
                      <a:extLst>
                        <a:ext uri="{28A0092B-C50C-407E-A947-70E740481C1C}"/>
                      </a:extLst>
                    </a:blip>
                    <a:srcRect/>
                    <a:stretch>
                      <a:fillRect/>
                    </a:stretch>
                  </pic:blipFill>
                  <pic:spPr bwMode="auto">
                    <a:xfrm>
                      <a:off x="0" y="0"/>
                      <a:ext cx="5083810" cy="1524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511" w:name="page512"/>
    <w:bookmarkEnd w:id="511"/>
    <w:p>
      <w:pPr>
        <w:ind w:left="3500"/>
        <w:spacing w:after="0"/>
        <w:rPr>
          <w:sz w:val="20"/>
          <w:szCs w:val="20"/>
          <w:color w:val="auto"/>
        </w:rPr>
      </w:pPr>
      <w:r>
        <w:rPr>
          <w:rFonts w:ascii="Times New Roman" w:cs="Times New Roman" w:eastAsia="Times New Roman" w:hAnsi="Times New Roman"/>
          <w:sz w:val="13"/>
          <w:szCs w:val="13"/>
          <w:b w:val="1"/>
          <w:bCs w:val="1"/>
          <w:color w:val="auto"/>
        </w:rPr>
        <w:t>DIGITAL REALTY TRUST, INC.</w:t>
      </w:r>
    </w:p>
    <w:p>
      <w:pPr>
        <w:spacing w:after="0" w:line="2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3"/>
          <w:szCs w:val="13"/>
          <w:b w:val="1"/>
          <w:bCs w:val="1"/>
          <w:color w:val="auto"/>
        </w:rPr>
        <w:t>ARTICLES OF AMENDMENT</w:t>
      </w:r>
    </w:p>
    <w:p>
      <w:pPr>
        <w:spacing w:after="0" w:line="18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3"/>
          <w:szCs w:val="13"/>
          <w:color w:val="auto"/>
        </w:rPr>
        <w:t xml:space="preserve">Digital Realty Trust, Inc., a Maryland corporation (the “ </w:t>
      </w:r>
      <w:r>
        <w:rPr>
          <w:rFonts w:ascii="Times New Roman" w:cs="Times New Roman" w:eastAsia="Times New Roman" w:hAnsi="Times New Roman"/>
          <w:sz w:val="13"/>
          <w:szCs w:val="13"/>
          <w:u w:val="single" w:color="auto"/>
          <w:color w:val="auto"/>
        </w:rPr>
        <w:t>Corporation</w:t>
      </w:r>
      <w:r>
        <w:rPr>
          <w:rFonts w:ascii="Times New Roman" w:cs="Times New Roman" w:eastAsia="Times New Roman" w:hAnsi="Times New Roman"/>
          <w:sz w:val="13"/>
          <w:szCs w:val="13"/>
          <w:color w:val="auto"/>
        </w:rPr>
        <w:t>”), hereby certifies to the State Department of Assessments and</w:t>
      </w:r>
    </w:p>
    <w:p>
      <w:pPr>
        <w:spacing w:after="0" w:line="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Taxation of Maryland that:</w:t>
      </w:r>
    </w:p>
    <w:p>
      <w:pPr>
        <w:spacing w:after="0" w:line="187" w:lineRule="exact"/>
        <w:rPr>
          <w:sz w:val="20"/>
          <w:szCs w:val="20"/>
          <w:color w:val="auto"/>
        </w:rPr>
      </w:pPr>
    </w:p>
    <w:p>
      <w:pPr>
        <w:ind w:left="360" w:right="900" w:firstLine="1152"/>
        <w:spacing w:after="0" w:line="324" w:lineRule="auto"/>
        <w:rPr>
          <w:sz w:val="20"/>
          <w:szCs w:val="20"/>
          <w:color w:val="auto"/>
        </w:rPr>
      </w:pPr>
      <w:r>
        <w:rPr>
          <w:rFonts w:ascii="Times New Roman" w:cs="Times New Roman" w:eastAsia="Times New Roman" w:hAnsi="Times New Roman"/>
          <w:sz w:val="13"/>
          <w:szCs w:val="13"/>
          <w:u w:val="single" w:color="auto"/>
          <w:color w:val="auto"/>
        </w:rPr>
        <w:t>FIRST</w:t>
      </w:r>
      <w:r>
        <w:rPr>
          <w:rFonts w:ascii="Times New Roman" w:cs="Times New Roman" w:eastAsia="Times New Roman" w:hAnsi="Times New Roman"/>
          <w:sz w:val="13"/>
          <w:szCs w:val="13"/>
          <w:color w:val="auto"/>
        </w:rPr>
        <w:t>: The charter of the Corporation (the “</w:t>
      </w:r>
      <w:r>
        <w:rPr>
          <w:rFonts w:ascii="Times New Roman" w:cs="Times New Roman" w:eastAsia="Times New Roman" w:hAnsi="Times New Roman"/>
          <w:sz w:val="13"/>
          <w:szCs w:val="13"/>
          <w:u w:val="single" w:color="auto"/>
          <w:color w:val="auto"/>
        </w:rPr>
        <w:t>Charter</w:t>
      </w:r>
      <w:r>
        <w:rPr>
          <w:rFonts w:ascii="Times New Roman" w:cs="Times New Roman" w:eastAsia="Times New Roman" w:hAnsi="Times New Roman"/>
          <w:sz w:val="13"/>
          <w:szCs w:val="13"/>
          <w:color w:val="auto"/>
        </w:rPr>
        <w:t>”) is hereby amended by deleting therefrom in their entirety the first two sentences of Section 5.1 of Article V and inserting in lieu thereof two new sentences to read as follows:</w:t>
      </w:r>
    </w:p>
    <w:p>
      <w:pPr>
        <w:spacing w:after="0" w:line="113" w:lineRule="exact"/>
        <w:rPr>
          <w:sz w:val="20"/>
          <w:szCs w:val="20"/>
          <w:color w:val="auto"/>
        </w:rPr>
      </w:pPr>
    </w:p>
    <w:p>
      <w:pPr>
        <w:ind w:left="1500" w:right="600"/>
        <w:spacing w:after="0" w:line="306" w:lineRule="auto"/>
        <w:rPr>
          <w:sz w:val="20"/>
          <w:szCs w:val="20"/>
          <w:color w:val="auto"/>
        </w:rPr>
      </w:pPr>
      <w:r>
        <w:rPr>
          <w:rFonts w:ascii="Times New Roman" w:cs="Times New Roman" w:eastAsia="Times New Roman" w:hAnsi="Times New Roman"/>
          <w:sz w:val="13"/>
          <w:szCs w:val="13"/>
          <w:color w:val="auto"/>
        </w:rPr>
        <w:t>The Corporation has authority to issue 612,000,000 shares of stock, consisting of 502,000,000 shares of Common Stock, $.01 par value per share (“</w:t>
      </w:r>
      <w:r>
        <w:rPr>
          <w:rFonts w:ascii="Times New Roman" w:cs="Times New Roman" w:eastAsia="Times New Roman" w:hAnsi="Times New Roman"/>
          <w:sz w:val="13"/>
          <w:szCs w:val="13"/>
          <w:u w:val="single" w:color="auto"/>
          <w:color w:val="auto"/>
        </w:rPr>
        <w:t>Common Stock</w:t>
      </w:r>
      <w:r>
        <w:rPr>
          <w:rFonts w:ascii="Times New Roman" w:cs="Times New Roman" w:eastAsia="Times New Roman" w:hAnsi="Times New Roman"/>
          <w:sz w:val="13"/>
          <w:szCs w:val="13"/>
          <w:color w:val="auto"/>
        </w:rPr>
        <w:t xml:space="preserve">”), and 110,000,000 shares of Preferred Stock, $.01 par value per share (“ </w:t>
      </w:r>
      <w:r>
        <w:rPr>
          <w:rFonts w:ascii="Times New Roman" w:cs="Times New Roman" w:eastAsia="Times New Roman" w:hAnsi="Times New Roman"/>
          <w:sz w:val="13"/>
          <w:szCs w:val="13"/>
          <w:u w:val="single" w:color="auto"/>
          <w:color w:val="auto"/>
        </w:rPr>
        <w:t>Preferred Stock</w:t>
      </w:r>
      <w:r>
        <w:rPr>
          <w:rFonts w:ascii="Times New Roman" w:cs="Times New Roman" w:eastAsia="Times New Roman" w:hAnsi="Times New Roman"/>
          <w:sz w:val="13"/>
          <w:szCs w:val="13"/>
          <w:color w:val="auto"/>
        </w:rPr>
        <w:t>”). The aggregate par value of all authorized shares of stock having par value is $6,120,000.</w:t>
      </w:r>
    </w:p>
    <w:p>
      <w:pPr>
        <w:spacing w:after="0" w:line="124" w:lineRule="exact"/>
        <w:rPr>
          <w:sz w:val="20"/>
          <w:szCs w:val="20"/>
          <w:color w:val="auto"/>
        </w:rPr>
      </w:pPr>
    </w:p>
    <w:p>
      <w:pPr>
        <w:ind w:left="360" w:right="460" w:firstLine="1152"/>
        <w:spacing w:after="0" w:line="306" w:lineRule="auto"/>
        <w:rPr>
          <w:sz w:val="20"/>
          <w:szCs w:val="20"/>
          <w:color w:val="auto"/>
        </w:rPr>
      </w:pPr>
      <w:r>
        <w:rPr>
          <w:rFonts w:ascii="Times New Roman" w:cs="Times New Roman" w:eastAsia="Times New Roman" w:hAnsi="Times New Roman"/>
          <w:sz w:val="13"/>
          <w:szCs w:val="13"/>
          <w:u w:val="single" w:color="auto"/>
          <w:color w:val="auto"/>
        </w:rPr>
        <w:t>SECOND</w:t>
      </w:r>
      <w:r>
        <w:rPr>
          <w:rFonts w:ascii="Times New Roman" w:cs="Times New Roman" w:eastAsia="Times New Roman" w:hAnsi="Times New Roman"/>
          <w:sz w:val="13"/>
          <w:szCs w:val="13"/>
          <w:color w:val="auto"/>
        </w:rPr>
        <w:t>: The total number of shares of stock which the Corporation had authority to issue immediately prior to the foregoing amendment of the Charter was 502,000,000 shares of stock, consisting of 392,000,000 shares of Common Stock, $.01 par value per share, and 110,000,000 shares of Preferred Stock, $.01 par value per share. The aggregate par value of all authorized shares of stock having par value was $5,020,000.</w:t>
      </w:r>
    </w:p>
    <w:p>
      <w:pPr>
        <w:spacing w:after="0" w:line="124" w:lineRule="exact"/>
        <w:rPr>
          <w:sz w:val="20"/>
          <w:szCs w:val="20"/>
          <w:color w:val="auto"/>
        </w:rPr>
      </w:pPr>
    </w:p>
    <w:p>
      <w:pPr>
        <w:ind w:left="360" w:right="420" w:firstLine="1152"/>
        <w:spacing w:after="0" w:line="306" w:lineRule="auto"/>
        <w:rPr>
          <w:sz w:val="20"/>
          <w:szCs w:val="20"/>
          <w:color w:val="auto"/>
        </w:rPr>
      </w:pPr>
      <w:r>
        <w:rPr>
          <w:rFonts w:ascii="Times New Roman" w:cs="Times New Roman" w:eastAsia="Times New Roman" w:hAnsi="Times New Roman"/>
          <w:sz w:val="13"/>
          <w:szCs w:val="13"/>
          <w:u w:val="single" w:color="auto"/>
          <w:color w:val="auto"/>
        </w:rPr>
        <w:t>THIRD</w:t>
      </w:r>
      <w:r>
        <w:rPr>
          <w:rFonts w:ascii="Times New Roman" w:cs="Times New Roman" w:eastAsia="Times New Roman" w:hAnsi="Times New Roman"/>
          <w:sz w:val="13"/>
          <w:szCs w:val="13"/>
          <w:color w:val="auto"/>
        </w:rPr>
        <w:t>: The total number of shares of stock which the Corporation has authority to issue pursuant to the foregoing amendment of the Charter is 612,000,000 shares of stock, consisting of 502,000,000 shares of Common Stock, $.01 par value per share, and 110,000,000 shares of Preferred Stock, $.01 par value per share. The aggregate par value of all authorized shares of stock having par value is $6,120,000.</w:t>
      </w:r>
    </w:p>
    <w:p>
      <w:pPr>
        <w:spacing w:after="0" w:line="124" w:lineRule="exact"/>
        <w:rPr>
          <w:sz w:val="20"/>
          <w:szCs w:val="20"/>
          <w:color w:val="auto"/>
        </w:rPr>
      </w:pPr>
    </w:p>
    <w:p>
      <w:pPr>
        <w:ind w:left="360" w:right="780" w:firstLine="1152"/>
        <w:spacing w:after="0" w:line="324" w:lineRule="auto"/>
        <w:rPr>
          <w:sz w:val="20"/>
          <w:szCs w:val="20"/>
          <w:color w:val="auto"/>
        </w:rPr>
      </w:pPr>
      <w:r>
        <w:rPr>
          <w:rFonts w:ascii="Times New Roman" w:cs="Times New Roman" w:eastAsia="Times New Roman" w:hAnsi="Times New Roman"/>
          <w:sz w:val="13"/>
          <w:szCs w:val="13"/>
          <w:u w:val="single" w:color="auto"/>
          <w:color w:val="auto"/>
        </w:rPr>
        <w:t>FOURTH</w:t>
      </w:r>
      <w:r>
        <w:rPr>
          <w:rFonts w:ascii="Times New Roman" w:cs="Times New Roman" w:eastAsia="Times New Roman" w:hAnsi="Times New Roman"/>
          <w:sz w:val="13"/>
          <w:szCs w:val="13"/>
          <w:color w:val="auto"/>
        </w:rPr>
        <w:t>: The information required by Section 2-607(b)(2)(i) of the Maryland General Corporation Law (the “</w:t>
      </w:r>
      <w:r>
        <w:rPr>
          <w:rFonts w:ascii="Times New Roman" w:cs="Times New Roman" w:eastAsia="Times New Roman" w:hAnsi="Times New Roman"/>
          <w:sz w:val="13"/>
          <w:szCs w:val="13"/>
          <w:u w:val="single" w:color="auto"/>
          <w:color w:val="auto"/>
        </w:rPr>
        <w:t>MGCL</w:t>
      </w:r>
      <w:r>
        <w:rPr>
          <w:rFonts w:ascii="Times New Roman" w:cs="Times New Roman" w:eastAsia="Times New Roman" w:hAnsi="Times New Roman"/>
          <w:sz w:val="13"/>
          <w:szCs w:val="13"/>
          <w:color w:val="auto"/>
        </w:rPr>
        <w:t>”) is not changed by the foregoing amendment of the Charter.</w:t>
      </w:r>
    </w:p>
    <w:p>
      <w:pPr>
        <w:spacing w:after="0" w:line="113" w:lineRule="exact"/>
        <w:rPr>
          <w:sz w:val="20"/>
          <w:szCs w:val="20"/>
          <w:color w:val="auto"/>
        </w:rPr>
      </w:pPr>
    </w:p>
    <w:p>
      <w:pPr>
        <w:ind w:left="360" w:right="540" w:firstLine="1152"/>
        <w:spacing w:after="0" w:line="306" w:lineRule="auto"/>
        <w:rPr>
          <w:sz w:val="20"/>
          <w:szCs w:val="20"/>
          <w:color w:val="auto"/>
        </w:rPr>
      </w:pPr>
      <w:r>
        <w:rPr>
          <w:rFonts w:ascii="Times New Roman" w:cs="Times New Roman" w:eastAsia="Times New Roman" w:hAnsi="Times New Roman"/>
          <w:sz w:val="13"/>
          <w:szCs w:val="13"/>
          <w:u w:val="single" w:color="auto"/>
          <w:color w:val="auto"/>
        </w:rPr>
        <w:t>FIFTH</w:t>
      </w:r>
      <w:r>
        <w:rPr>
          <w:rFonts w:ascii="Times New Roman" w:cs="Times New Roman" w:eastAsia="Times New Roman" w:hAnsi="Times New Roman"/>
          <w:sz w:val="13"/>
          <w:szCs w:val="13"/>
          <w:color w:val="auto"/>
        </w:rPr>
        <w:t>: The foregoing amendment of the Charter was approved by a majority of the entire Board of Directors of the Corporation as required by law and was limited to a change expressly authorized by Section 2-105(a)(13) of the MGCL without any action by the stockholders of the Corporation.</w:t>
      </w:r>
    </w:p>
    <w:p>
      <w:pPr>
        <w:spacing w:after="0" w:line="124" w:lineRule="exact"/>
        <w:rPr>
          <w:sz w:val="20"/>
          <w:szCs w:val="20"/>
          <w:color w:val="auto"/>
        </w:rPr>
      </w:pPr>
    </w:p>
    <w:p>
      <w:pPr>
        <w:jc w:val="both"/>
        <w:ind w:left="360" w:right="480" w:firstLine="1152"/>
        <w:spacing w:after="0" w:line="306" w:lineRule="auto"/>
        <w:rPr>
          <w:sz w:val="20"/>
          <w:szCs w:val="20"/>
          <w:color w:val="auto"/>
        </w:rPr>
      </w:pPr>
      <w:r>
        <w:rPr>
          <w:rFonts w:ascii="Times New Roman" w:cs="Times New Roman" w:eastAsia="Times New Roman" w:hAnsi="Times New Roman"/>
          <w:sz w:val="13"/>
          <w:szCs w:val="13"/>
          <w:u w:val="single" w:color="auto"/>
          <w:color w:val="auto"/>
        </w:rPr>
        <w:t>SIXTH</w:t>
      </w:r>
      <w:r>
        <w:rPr>
          <w:rFonts w:ascii="Times New Roman" w:cs="Times New Roman" w:eastAsia="Times New Roman" w:hAnsi="Times New Roman"/>
          <w:sz w:val="13"/>
          <w:szCs w:val="13"/>
          <w:color w:val="auto"/>
        </w:rPr>
        <w:t>: The undersigned acknowledges these Articles of Amendment to be the corporate act of the Corporation and as to all matters or facts required to be verified under oath, the undersigned acknowledges that to the best of his knowledge, information and belief, these matters and facts are true in all material respects and that this statement is made under the penalties of perjury.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596900</wp:posOffset>
            </wp:positionV>
            <wp:extent cx="5243830" cy="1524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949">
                      <a:extLst>
                        <a:ext uri="{28A0092B-C50C-407E-A947-70E740481C1C}"/>
                      </a:extLst>
                    </a:blip>
                    <a:srcRect/>
                    <a:stretch>
                      <a:fillRect/>
                    </a:stretch>
                  </pic:blipFill>
                  <pic:spPr bwMode="auto">
                    <a:xfrm>
                      <a:off x="0" y="0"/>
                      <a:ext cx="5243830" cy="15240"/>
                    </a:xfrm>
                    <a:prstGeom prst="rect">
                      <a:avLst/>
                    </a:prstGeom>
                    <a:noFill/>
                  </pic:spPr>
                </pic:pic>
              </a:graphicData>
            </a:graphic>
          </wp:anchor>
        </w:drawing>
      </w:r>
    </w:p>
    <w:p>
      <w:pPr>
        <w:sectPr>
          <w:pgSz w:w="11900" w:h="16840" w:orient="portrait"/>
          <w:cols w:equalWidth="0" w:num="1">
            <w:col w:w="9020"/>
          </w:cols>
          <w:pgMar w:left="1440" w:top="700" w:right="1440" w:bottom="1440" w:gutter="0" w:footer="0" w:header="0"/>
        </w:sectPr>
      </w:pPr>
    </w:p>
    <w:bookmarkStart w:id="512" w:name="page513"/>
    <w:bookmarkEnd w:id="512"/>
    <w:p>
      <w:pPr>
        <w:ind w:left="360" w:right="540" w:firstLine="1152"/>
        <w:spacing w:after="0" w:line="310" w:lineRule="auto"/>
        <w:rPr>
          <w:sz w:val="20"/>
          <w:szCs w:val="20"/>
          <w:color w:val="auto"/>
        </w:rPr>
      </w:pPr>
      <w:r>
        <w:rPr>
          <w:rFonts w:ascii="Times New Roman" w:cs="Times New Roman" w:eastAsia="Times New Roman" w:hAnsi="Times New Roman"/>
          <w:sz w:val="13"/>
          <w:szCs w:val="13"/>
          <w:color w:val="auto"/>
        </w:rPr>
        <w:t xml:space="preserve">IN WITNESS WHEREOF, the Corporation has caused these Articles of Amendment to be executed in its name and on its behalf by its Chief Executive Officer and attested to by its Executive Vice President, General Counsel and Secretary on this </w:t>
      </w:r>
      <w:r>
        <w:rPr>
          <w:rFonts w:ascii="Times New Roman" w:cs="Times New Roman" w:eastAsia="Times New Roman" w:hAnsi="Times New Roman"/>
          <w:sz w:val="13"/>
          <w:szCs w:val="13"/>
          <w:u w:val="single" w:color="auto"/>
          <w:color w:val="auto"/>
        </w:rPr>
        <w:t>23</w:t>
      </w:r>
      <w:r>
        <w:rPr>
          <w:rFonts w:ascii="Times New Roman" w:cs="Times New Roman" w:eastAsia="Times New Roman" w:hAnsi="Times New Roman"/>
          <w:sz w:val="19"/>
          <w:szCs w:val="19"/>
          <w:color w:val="auto"/>
          <w:vertAlign w:val="superscript"/>
        </w:rPr>
        <w:t>rd</w:t>
      </w:r>
      <w:r>
        <w:rPr>
          <w:rFonts w:ascii="Times New Roman" w:cs="Times New Roman" w:eastAsia="Times New Roman" w:hAnsi="Times New Roman"/>
          <w:sz w:val="13"/>
          <w:szCs w:val="13"/>
          <w:color w:val="auto"/>
        </w:rPr>
        <w:t xml:space="preserve"> day of </w:t>
      </w:r>
      <w:r>
        <w:rPr>
          <w:rFonts w:ascii="Times New Roman" w:cs="Times New Roman" w:eastAsia="Times New Roman" w:hAnsi="Times New Roman"/>
          <w:sz w:val="13"/>
          <w:szCs w:val="13"/>
          <w:u w:val="single" w:color="auto"/>
          <w:color w:val="auto"/>
        </w:rPr>
        <w:t>December</w:t>
      </w:r>
      <w:r>
        <w:rPr>
          <w:rFonts w:ascii="Times New Roman" w:cs="Times New Roman" w:eastAsia="Times New Roman" w:hAnsi="Times New Roman"/>
          <w:sz w:val="13"/>
          <w:szCs w:val="13"/>
          <w:color w:val="auto"/>
        </w:rPr>
        <w:t>, 2024.</w:t>
      </w:r>
    </w:p>
    <w:p>
      <w:pPr>
        <w:spacing w:after="0" w:line="41" w:lineRule="exact"/>
        <w:rPr>
          <w:sz w:val="20"/>
          <w:szCs w:val="20"/>
          <w:color w:val="auto"/>
        </w:rPr>
      </w:pPr>
    </w:p>
    <w:tbl>
      <w:tblPr>
        <w:tblLayout w:type="fixed"/>
        <w:tblInd w:w="360" w:type="dxa"/>
        <w:tblCellMar>
          <w:top w:w="0" w:type="dxa"/>
          <w:left w:w="0" w:type="dxa"/>
          <w:bottom w:w="0" w:type="dxa"/>
          <w:right w:w="0" w:type="dxa"/>
        </w:tblCellMar>
      </w:tblPr>
      <w:tr>
        <w:trPr>
          <w:trHeight w:val="172"/>
        </w:trPr>
        <w:tc>
          <w:tcPr>
            <w:tcW w:w="2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56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DIGITAL REALTY TRUST, INC.</w:t>
            </w:r>
          </w:p>
        </w:tc>
      </w:tr>
      <w:tr>
        <w:trPr>
          <w:trHeight w:val="644"/>
        </w:trPr>
        <w:tc>
          <w:tcPr>
            <w:tcW w:w="2320" w:type="dxa"/>
            <w:vAlign w:val="bottom"/>
          </w:tcPr>
          <w:p>
            <w:pPr>
              <w:spacing w:after="0"/>
              <w:rPr>
                <w:sz w:val="24"/>
                <w:szCs w:val="24"/>
                <w:color w:val="auto"/>
              </w:rPr>
            </w:pPr>
          </w:p>
        </w:tc>
        <w:tc>
          <w:tcPr>
            <w:tcW w:w="1380" w:type="dxa"/>
            <w:vAlign w:val="bottom"/>
          </w:tcPr>
          <w:p>
            <w:pPr>
              <w:ind w:left="1140"/>
              <w:spacing w:after="0"/>
              <w:rPr>
                <w:sz w:val="20"/>
                <w:szCs w:val="20"/>
                <w:color w:val="auto"/>
              </w:rPr>
            </w:pPr>
            <w:r>
              <w:rPr>
                <w:rFonts w:ascii="Times New Roman" w:cs="Times New Roman" w:eastAsia="Times New Roman" w:hAnsi="Times New Roman"/>
                <w:sz w:val="13"/>
                <w:szCs w:val="13"/>
                <w:color w:val="auto"/>
              </w:rPr>
              <w:t>By:</w:t>
            </w:r>
          </w:p>
        </w:tc>
        <w:tc>
          <w:tcPr>
            <w:tcW w:w="21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3"/>
                <w:szCs w:val="13"/>
                <w:color w:val="auto"/>
              </w:rPr>
              <w:t>/s/ Andrew P. Power</w:t>
            </w:r>
          </w:p>
        </w:tc>
        <w:tc>
          <w:tcPr>
            <w:tcW w:w="2460" w:type="dxa"/>
            <w:vAlign w:val="bottom"/>
          </w:tcPr>
          <w:p>
            <w:pPr>
              <w:spacing w:after="0"/>
              <w:rPr>
                <w:sz w:val="24"/>
                <w:szCs w:val="24"/>
                <w:color w:val="auto"/>
              </w:rPr>
            </w:pPr>
          </w:p>
        </w:tc>
      </w:tr>
      <w:tr>
        <w:trPr>
          <w:trHeight w:val="188"/>
        </w:trPr>
        <w:tc>
          <w:tcPr>
            <w:tcW w:w="2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5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Name: Andrew P. Power</w:t>
            </w:r>
          </w:p>
        </w:tc>
      </w:tr>
      <w:tr>
        <w:trPr>
          <w:trHeight w:val="180"/>
        </w:trPr>
        <w:tc>
          <w:tcPr>
            <w:tcW w:w="2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5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Title:  President and Chief Executive Officer</w:t>
            </w:r>
          </w:p>
        </w:tc>
      </w:tr>
      <w:tr>
        <w:trPr>
          <w:trHeight w:val="672"/>
        </w:trPr>
        <w:tc>
          <w:tcPr>
            <w:tcW w:w="3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ATTEST:</w:t>
            </w:r>
          </w:p>
        </w:tc>
        <w:tc>
          <w:tcPr>
            <w:tcW w:w="21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644"/>
        </w:trPr>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Jeannie Lee</w:t>
            </w:r>
          </w:p>
        </w:tc>
        <w:tc>
          <w:tcPr>
            <w:tcW w:w="13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188"/>
        </w:trPr>
        <w:tc>
          <w:tcPr>
            <w:tcW w:w="3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Name: Jeannie Lee</w:t>
            </w:r>
          </w:p>
        </w:tc>
        <w:tc>
          <w:tcPr>
            <w:tcW w:w="2100" w:type="dxa"/>
            <w:vAlign w:val="bottom"/>
          </w:tcPr>
          <w:p>
            <w:pPr>
              <w:spacing w:after="0"/>
              <w:rPr>
                <w:sz w:val="16"/>
                <w:szCs w:val="16"/>
                <w:color w:val="auto"/>
              </w:rPr>
            </w:pPr>
          </w:p>
        </w:tc>
        <w:tc>
          <w:tcPr>
            <w:tcW w:w="2460" w:type="dxa"/>
            <w:vAlign w:val="bottom"/>
          </w:tcPr>
          <w:p>
            <w:pPr>
              <w:spacing w:after="0"/>
              <w:rPr>
                <w:sz w:val="16"/>
                <w:szCs w:val="16"/>
                <w:color w:val="auto"/>
              </w:rPr>
            </w:pPr>
          </w:p>
        </w:tc>
      </w:tr>
      <w:tr>
        <w:trPr>
          <w:trHeight w:val="180"/>
        </w:trPr>
        <w:tc>
          <w:tcPr>
            <w:tcW w:w="3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Title:  Executive Vice President, General Counsel and Secretary</w:t>
            </w:r>
          </w:p>
        </w:tc>
        <w:tc>
          <w:tcPr>
            <w:tcW w:w="2100" w:type="dxa"/>
            <w:vAlign w:val="bottom"/>
          </w:tcPr>
          <w:p>
            <w:pPr>
              <w:spacing w:after="0"/>
              <w:rPr>
                <w:sz w:val="15"/>
                <w:szCs w:val="15"/>
                <w:color w:val="auto"/>
              </w:rPr>
            </w:pPr>
          </w:p>
        </w:tc>
        <w:tc>
          <w:tcPr>
            <w:tcW w:w="2460" w:type="dxa"/>
            <w:vAlign w:val="bottom"/>
          </w:tcPr>
          <w:p>
            <w:pPr>
              <w:spacing w:after="0"/>
              <w:rPr>
                <w:sz w:val="15"/>
                <w:szCs w:val="15"/>
                <w:color w:val="auto"/>
              </w:rPr>
            </w:pPr>
          </w:p>
        </w:tc>
      </w:tr>
      <w:tr>
        <w:trPr>
          <w:trHeight w:val="648"/>
        </w:trPr>
        <w:tc>
          <w:tcPr>
            <w:tcW w:w="23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r>
    </w:tbl>
    <w:p>
      <w:pPr>
        <w:sectPr>
          <w:pgSz w:w="11900" w:h="16840" w:orient="portrait"/>
          <w:cols w:equalWidth="0" w:num="1">
            <w:col w:w="9020"/>
          </w:cols>
          <w:pgMar w:left="1440" w:top="714" w:right="1440" w:bottom="1440" w:gutter="0" w:footer="0" w:header="0"/>
        </w:sectPr>
      </w:pPr>
    </w:p>
    <w:bookmarkStart w:id="513" w:name="page514"/>
    <w:bookmarkEnd w:id="513"/>
    <w:p>
      <w:pPr>
        <w:ind w:left="7840"/>
        <w:spacing w:after="0"/>
        <w:rPr>
          <w:sz w:val="20"/>
          <w:szCs w:val="20"/>
          <w:color w:val="auto"/>
        </w:rPr>
      </w:pPr>
      <w:r>
        <w:rPr>
          <w:rFonts w:ascii="Times New Roman" w:cs="Times New Roman" w:eastAsia="Times New Roman" w:hAnsi="Times New Roman"/>
          <w:sz w:val="14"/>
          <w:szCs w:val="14"/>
          <w:color w:val="auto"/>
        </w:rPr>
        <w:t>Exhibit 19.1</w:t>
      </w:r>
    </w:p>
    <w:p>
      <w:pPr>
        <w:spacing w:after="0" w:line="200" w:lineRule="exact"/>
        <w:rPr>
          <w:sz w:val="20"/>
          <w:szCs w:val="20"/>
          <w:color w:val="auto"/>
        </w:rPr>
      </w:pPr>
    </w:p>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4F81BD"/>
        </w:rPr>
        <w:t>INSIDER TRADING: ALL EMPLOYEES</w:t>
      </w:r>
    </w:p>
    <w:p>
      <w:pPr>
        <w:spacing w:after="0" w:line="2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4F81BD"/>
        </w:rPr>
        <w:t>Policy Overview</w:t>
      </w:r>
    </w:p>
    <w:p>
      <w:pPr>
        <w:spacing w:after="0" w:line="241" w:lineRule="exact"/>
        <w:rPr>
          <w:sz w:val="20"/>
          <w:szCs w:val="20"/>
          <w:color w:val="auto"/>
        </w:rPr>
      </w:pPr>
    </w:p>
    <w:p>
      <w:pPr>
        <w:jc w:val="both"/>
        <w:ind w:left="460" w:right="460"/>
        <w:spacing w:after="0" w:line="247" w:lineRule="auto"/>
        <w:rPr>
          <w:sz w:val="20"/>
          <w:szCs w:val="20"/>
          <w:color w:val="auto"/>
        </w:rPr>
      </w:pPr>
      <w:r>
        <w:rPr>
          <w:rFonts w:ascii="Times New Roman" w:cs="Times New Roman" w:eastAsia="Times New Roman" w:hAnsi="Times New Roman"/>
          <w:sz w:val="18"/>
          <w:szCs w:val="18"/>
          <w:color w:val="auto"/>
        </w:rPr>
        <w:t>This Policy governs the efforts of Digital Realty Trust, Inc., including its subsidiaries and affiliates (together, “Company”), to prevent insider trading. Preventing insider trading is necessary to comply with securities laws, including without limitation, U.S. federal and state laws and the EU Market Abuse Regulation (“MAR”), and to preserve the reputation and integrity of the Company as well as that of all persons and entities affiliated with it.</w:t>
      </w:r>
    </w:p>
    <w:p>
      <w:pPr>
        <w:spacing w:after="0" w:line="204" w:lineRule="exact"/>
        <w:rPr>
          <w:sz w:val="20"/>
          <w:szCs w:val="20"/>
          <w:color w:val="auto"/>
        </w:rPr>
      </w:pPr>
    </w:p>
    <w:p>
      <w:pPr>
        <w:jc w:val="both"/>
        <w:ind w:left="460" w:right="460"/>
        <w:spacing w:after="0" w:line="244" w:lineRule="auto"/>
        <w:rPr>
          <w:sz w:val="20"/>
          <w:szCs w:val="20"/>
          <w:color w:val="auto"/>
        </w:rPr>
      </w:pPr>
      <w:r>
        <w:rPr>
          <w:rFonts w:ascii="Times New Roman" w:cs="Times New Roman" w:eastAsia="Times New Roman" w:hAnsi="Times New Roman"/>
          <w:sz w:val="18"/>
          <w:szCs w:val="18"/>
          <w:color w:val="auto"/>
        </w:rPr>
        <w:t>“Insider trading” is illegal and occurs when any person purchases or sells a security while in possession of inside information relating to the security. As explained below, “inside information” is information that is considered to be both “material” and “non-public.” All information that you learn about the Company, a Restricted Company (as defined below), or any other company is potentially material, non-public information until it is publicly disclosed.</w:t>
      </w:r>
    </w:p>
    <w:p>
      <w:pPr>
        <w:spacing w:after="0" w:line="208" w:lineRule="exact"/>
        <w:rPr>
          <w:sz w:val="20"/>
          <w:szCs w:val="20"/>
          <w:color w:val="auto"/>
        </w:rPr>
      </w:pPr>
    </w:p>
    <w:p>
      <w:pPr>
        <w:jc w:val="both"/>
        <w:ind w:left="460" w:right="460"/>
        <w:spacing w:after="0" w:line="268" w:lineRule="auto"/>
        <w:rPr>
          <w:sz w:val="20"/>
          <w:szCs w:val="20"/>
          <w:color w:val="auto"/>
        </w:rPr>
      </w:pPr>
      <w:r>
        <w:rPr>
          <w:rFonts w:ascii="Times New Roman" w:cs="Times New Roman" w:eastAsia="Times New Roman" w:hAnsi="Times New Roman"/>
          <w:sz w:val="18"/>
          <w:szCs w:val="18"/>
          <w:color w:val="auto"/>
        </w:rPr>
        <w:t>Questions regarding this Policy should be directed to the Office of the General Counsel of the Company (“Securities Compliance Office” or “SCO”) at securitiescompliance@digitalrealty.com.</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Who is Covered by the Policy</w:t>
      </w:r>
    </w:p>
    <w:p>
      <w:pPr>
        <w:spacing w:after="0" w:line="2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Policy applies to:</w:t>
      </w:r>
    </w:p>
    <w:p>
      <w:pPr>
        <w:spacing w:after="0" w:line="14" w:lineRule="exact"/>
        <w:rPr>
          <w:sz w:val="20"/>
          <w:szCs w:val="20"/>
          <w:color w:val="auto"/>
        </w:rPr>
      </w:pPr>
    </w:p>
    <w:p>
      <w:pPr>
        <w:ind w:left="1040" w:hanging="290"/>
        <w:spacing w:after="0"/>
        <w:tabs>
          <w:tab w:leader="none" w:pos="1040" w:val="left"/>
        </w:tabs>
        <w:numPr>
          <w:ilvl w:val="0"/>
          <w:numId w:val="5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members of the Board of Directors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Directors”) of the Company;</w:t>
      </w:r>
    </w:p>
    <w:p>
      <w:pPr>
        <w:ind w:left="1040" w:hanging="290"/>
        <w:spacing w:after="0" w:line="236" w:lineRule="auto"/>
        <w:tabs>
          <w:tab w:leader="none" w:pos="1040" w:val="left"/>
        </w:tabs>
        <w:numPr>
          <w:ilvl w:val="0"/>
          <w:numId w:val="5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officers and employees of the Company; and</w:t>
      </w:r>
    </w:p>
    <w:p>
      <w:pPr>
        <w:ind w:left="1040" w:hanging="290"/>
        <w:spacing w:after="0" w:line="236" w:lineRule="auto"/>
        <w:tabs>
          <w:tab w:leader="none" w:pos="1040" w:val="left"/>
        </w:tabs>
        <w:numPr>
          <w:ilvl w:val="0"/>
          <w:numId w:val="5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contractors and consultants of the Company.</w:t>
      </w:r>
    </w:p>
    <w:p>
      <w:pPr>
        <w:spacing w:after="0" w:line="1" w:lineRule="exact"/>
        <w:rPr>
          <w:sz w:val="20"/>
          <w:szCs w:val="20"/>
          <w:color w:val="auto"/>
        </w:rPr>
      </w:pPr>
    </w:p>
    <w:p>
      <w:pPr>
        <w:ind w:left="460" w:right="500"/>
        <w:spacing w:after="0" w:line="245" w:lineRule="auto"/>
        <w:rPr>
          <w:sz w:val="20"/>
          <w:szCs w:val="20"/>
          <w:color w:val="auto"/>
        </w:rPr>
      </w:pPr>
      <w:r>
        <w:rPr>
          <w:rFonts w:ascii="Times New Roman" w:cs="Times New Roman" w:eastAsia="Times New Roman" w:hAnsi="Times New Roman"/>
          <w:sz w:val="18"/>
          <w:szCs w:val="18"/>
          <w:color w:val="auto"/>
        </w:rPr>
        <w:t>The above individuals are referred to, collectively, as “Covered Persons” and, individually, as a “Covered Person” under this Policy. This Policy applies to any entities controlled by the Company.</w:t>
      </w:r>
    </w:p>
    <w:p>
      <w:pPr>
        <w:spacing w:after="0" w:line="2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Policy also applies to transactions by each Covered Person’s:</w:t>
      </w:r>
    </w:p>
    <w:p>
      <w:pPr>
        <w:spacing w:after="0" w:line="14" w:lineRule="exact"/>
        <w:rPr>
          <w:sz w:val="20"/>
          <w:szCs w:val="20"/>
          <w:color w:val="auto"/>
        </w:rPr>
      </w:pPr>
    </w:p>
    <w:p>
      <w:pPr>
        <w:ind w:left="1040" w:hanging="290"/>
        <w:spacing w:after="0"/>
        <w:tabs>
          <w:tab w:leader="none" w:pos="1040" w:val="left"/>
        </w:tabs>
        <w:numPr>
          <w:ilvl w:val="0"/>
          <w:numId w:val="5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spouse, children, or other relatives living in the same household (“Family Members”); and</w:t>
      </w:r>
    </w:p>
    <w:p>
      <w:pPr>
        <w:ind w:left="1040" w:right="460" w:hanging="290"/>
        <w:spacing w:after="0" w:line="245" w:lineRule="auto"/>
        <w:tabs>
          <w:tab w:leader="none" w:pos="1040" w:val="left"/>
        </w:tabs>
        <w:numPr>
          <w:ilvl w:val="0"/>
          <w:numId w:val="5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entities controlled by Covered Persons and their Family Members, including any corporations, limited liability companies, partnerships, or trusts (“Related Parties”).</w:t>
      </w:r>
    </w:p>
    <w:p>
      <w:pPr>
        <w:spacing w:after="0" w:line="206" w:lineRule="exact"/>
        <w:rPr>
          <w:sz w:val="20"/>
          <w:szCs w:val="20"/>
          <w:color w:val="auto"/>
        </w:rPr>
      </w:pPr>
    </w:p>
    <w:p>
      <w:pPr>
        <w:jc w:val="both"/>
        <w:ind w:left="460" w:right="480"/>
        <w:spacing w:after="0" w:line="268" w:lineRule="auto"/>
        <w:rPr>
          <w:sz w:val="20"/>
          <w:szCs w:val="20"/>
          <w:color w:val="auto"/>
        </w:rPr>
      </w:pPr>
      <w:r>
        <w:rPr>
          <w:rFonts w:ascii="Times New Roman" w:cs="Times New Roman" w:eastAsia="Times New Roman" w:hAnsi="Times New Roman"/>
          <w:sz w:val="18"/>
          <w:szCs w:val="18"/>
          <w:color w:val="auto"/>
        </w:rPr>
        <w:t>This Policy extends to all activities within and outside a Covered Person’s duties at the Company. Every Covered Person must review, understand, and comply with this Policy.</w:t>
      </w:r>
    </w:p>
    <w:p>
      <w:pPr>
        <w:spacing w:after="0" w:line="186" w:lineRule="exact"/>
        <w:rPr>
          <w:sz w:val="20"/>
          <w:szCs w:val="20"/>
          <w:color w:val="auto"/>
        </w:rPr>
      </w:pPr>
    </w:p>
    <w:p>
      <w:pPr>
        <w:jc w:val="both"/>
        <w:ind w:left="460" w:right="460"/>
        <w:spacing w:after="0" w:line="247" w:lineRule="auto"/>
        <w:rPr>
          <w:sz w:val="20"/>
          <w:szCs w:val="20"/>
          <w:color w:val="auto"/>
        </w:rPr>
      </w:pPr>
      <w:r>
        <w:rPr>
          <w:rFonts w:ascii="Times New Roman" w:cs="Times New Roman" w:eastAsia="Times New Roman" w:hAnsi="Times New Roman"/>
          <w:sz w:val="18"/>
          <w:szCs w:val="18"/>
          <w:color w:val="auto"/>
        </w:rPr>
        <w:t>In addition, Covered Persons subject to the provisions of Section 16 (“Reporting Persons”) of the Securities Exchange Act of 1934, as amended (“1934 Act”), and members of the Company’s management team that report directly to the Company’s Chief Executive Officer (“Management Members”) must comply with the preclearance requirements explained below.</w:t>
      </w:r>
    </w:p>
    <w:p>
      <w:pPr>
        <w:spacing w:after="0" w:line="2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4F81BD"/>
        </w:rPr>
        <w:t>Prohibition of Insider Trading and Statement of Procedures to Prevent Insider Trading</w:t>
      </w:r>
    </w:p>
    <w:p>
      <w:pPr>
        <w:spacing w:after="0" w:line="2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41" w:lineRule="exact"/>
        <w:rPr>
          <w:sz w:val="20"/>
          <w:szCs w:val="20"/>
          <w:color w:val="auto"/>
        </w:rPr>
      </w:pPr>
    </w:p>
    <w:p>
      <w:pPr>
        <w:jc w:val="both"/>
        <w:ind w:left="460" w:right="460"/>
        <w:spacing w:after="0" w:line="247" w:lineRule="auto"/>
        <w:rPr>
          <w:sz w:val="20"/>
          <w:szCs w:val="20"/>
          <w:color w:val="auto"/>
        </w:rPr>
      </w:pPr>
      <w:r>
        <w:rPr>
          <w:rFonts w:ascii="Times New Roman" w:cs="Times New Roman" w:eastAsia="Times New Roman" w:hAnsi="Times New Roman"/>
          <w:sz w:val="18"/>
          <w:szCs w:val="18"/>
          <w:color w:val="auto"/>
        </w:rPr>
        <w:t>Covered Persons shall not purchase or sell any type of security while in possession of material, non-public information relating to the security, whether the issuer of such security is the Company, a Restricted Company, or any other company. Covered Persons shall not directly or indirectly tip material, non-public information to anyone (as explained further below).</w:t>
      </w: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410210</wp:posOffset>
            </wp:positionV>
            <wp:extent cx="5121910" cy="1524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950">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514" w:name="page515"/>
    <w:bookmarkEnd w:id="514"/>
    <w:p>
      <w:pPr>
        <w:ind w:left="7840"/>
        <w:spacing w:after="0"/>
        <w:rPr>
          <w:sz w:val="20"/>
          <w:szCs w:val="20"/>
          <w:color w:val="auto"/>
        </w:rPr>
      </w:pPr>
      <w:r>
        <w:rPr>
          <w:rFonts w:ascii="Times New Roman" w:cs="Times New Roman" w:eastAsia="Times New Roman" w:hAnsi="Times New Roman"/>
          <w:sz w:val="14"/>
          <w:szCs w:val="14"/>
          <w:color w:val="auto"/>
        </w:rPr>
        <w:t>Exhibit 19.1</w:t>
      </w:r>
    </w:p>
    <w:p>
      <w:pPr>
        <w:spacing w:after="0" w:line="200" w:lineRule="exact"/>
        <w:rPr>
          <w:sz w:val="20"/>
          <w:szCs w:val="20"/>
          <w:color w:val="auto"/>
        </w:rPr>
      </w:pPr>
    </w:p>
    <w:p>
      <w:pPr>
        <w:spacing w:after="0" w:line="215" w:lineRule="exact"/>
        <w:rPr>
          <w:sz w:val="20"/>
          <w:szCs w:val="20"/>
          <w:color w:val="auto"/>
        </w:rPr>
      </w:pPr>
    </w:p>
    <w:p>
      <w:pPr>
        <w:jc w:val="both"/>
        <w:ind w:left="460" w:right="460"/>
        <w:spacing w:after="0" w:line="244" w:lineRule="auto"/>
        <w:rPr>
          <w:sz w:val="20"/>
          <w:szCs w:val="20"/>
          <w:color w:val="auto"/>
        </w:rPr>
      </w:pPr>
      <w:r>
        <w:rPr>
          <w:rFonts w:ascii="Times New Roman" w:cs="Times New Roman" w:eastAsia="Times New Roman" w:hAnsi="Times New Roman"/>
          <w:sz w:val="18"/>
          <w:szCs w:val="18"/>
          <w:color w:val="auto"/>
        </w:rPr>
        <w:t>Further, Covered Persons shall not directly or indirectly communicate material, non-public information to anyone other than to disclose in the course of performing their duties for the Company on a need- to-know basis to officers and employees of the Company. In addition, material, non-public information should generally not be communicated to anyone outside the Company other than on a need -to-know basis to parties subject to confidentiality obligations or as may be required by applicable law or legal process.</w:t>
      </w:r>
    </w:p>
    <w:p>
      <w:pPr>
        <w:spacing w:after="0" w:line="2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Statement of Procedures to Prevent Insider Trading</w:t>
      </w:r>
    </w:p>
    <w:p>
      <w:pPr>
        <w:spacing w:after="0" w:line="241" w:lineRule="exact"/>
        <w:rPr>
          <w:sz w:val="20"/>
          <w:szCs w:val="20"/>
          <w:color w:val="auto"/>
        </w:rPr>
      </w:pPr>
    </w:p>
    <w:p>
      <w:pPr>
        <w:jc w:val="both"/>
        <w:ind w:left="460" w:right="460"/>
        <w:spacing w:after="0" w:line="247" w:lineRule="auto"/>
        <w:rPr>
          <w:sz w:val="20"/>
          <w:szCs w:val="20"/>
          <w:color w:val="auto"/>
        </w:rPr>
      </w:pPr>
      <w:r>
        <w:rPr>
          <w:rFonts w:ascii="Times New Roman" w:cs="Times New Roman" w:eastAsia="Times New Roman" w:hAnsi="Times New Roman"/>
          <w:sz w:val="18"/>
          <w:szCs w:val="18"/>
          <w:color w:val="auto"/>
        </w:rPr>
        <w:t>The following procedures have been established, and will be maintained and enforced, by the Company to prevent inadvertent violations of applicable securities laws and to avoid the appearance of impropriety in connection with the purchase and sale of the securities of the Company or a Restricted Company. All Covered Persons must follow these procedures.</w:t>
      </w:r>
    </w:p>
    <w:p>
      <w:pPr>
        <w:spacing w:after="0" w:line="2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Restricted Trading Periods Applicable to All Covered Persons</w:t>
      </w:r>
    </w:p>
    <w:p>
      <w:pPr>
        <w:spacing w:after="0" w:line="237" w:lineRule="exact"/>
        <w:rPr>
          <w:sz w:val="20"/>
          <w:szCs w:val="20"/>
          <w:color w:val="auto"/>
        </w:rPr>
      </w:pPr>
    </w:p>
    <w:p>
      <w:pPr>
        <w:jc w:val="both"/>
        <w:ind w:left="460" w:right="460"/>
        <w:spacing w:after="0" w:line="26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Covered Persons shall not purchase or sell any Company security during the period beginning two weeks before the end of any fiscal quarter of the Company and ending two days after the public release of earnings data for such fiscal quarter </w:t>
      </w:r>
      <w:r>
        <w:rPr>
          <w:rFonts w:ascii="Times New Roman" w:cs="Times New Roman" w:eastAsia="Times New Roman" w:hAnsi="Times New Roman"/>
          <w:sz w:val="18"/>
          <w:szCs w:val="18"/>
          <w:color w:val="auto"/>
        </w:rPr>
        <w:t>(“Quarterly Blackout Period”).</w:t>
      </w:r>
      <w:hyperlink w:anchor="page1">
        <w:r>
          <w:rPr>
            <w:rFonts w:ascii="Times New Roman" w:cs="Times New Roman" w:eastAsia="Times New Roman" w:hAnsi="Times New Roman"/>
            <w:sz w:val="36"/>
            <w:szCs w:val="36"/>
            <w:u w:val="single" w:color="auto"/>
            <w:color w:val="0000EE"/>
            <w:vertAlign w:val="superscript"/>
          </w:rPr>
          <w:t>*†</w:t>
        </w:r>
      </w:hyperlink>
    </w:p>
    <w:p>
      <w:pPr>
        <w:jc w:val="both"/>
        <w:ind w:left="460" w:right="480"/>
        <w:spacing w:after="0" w:line="252" w:lineRule="auto"/>
        <w:rPr>
          <w:sz w:val="20"/>
          <w:szCs w:val="20"/>
          <w:color w:val="auto"/>
        </w:rPr>
      </w:pPr>
      <w:r>
        <w:rPr>
          <w:rFonts w:ascii="Times New Roman" w:cs="Times New Roman" w:eastAsia="Times New Roman" w:hAnsi="Times New Roman"/>
          <w:sz w:val="18"/>
          <w:szCs w:val="18"/>
          <w:color w:val="auto"/>
        </w:rPr>
        <w:t>The Company reserves the right to restrict, at its sole discretion and at any time, Covered Persons from trading in any Company or Restricted Company securities to reduce the risk of insider trading and/or in the event that potentially material, non-public information about the Company or a Restricted Company exists.</w:t>
      </w:r>
    </w:p>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Special Restricted Trading Periods Applicable to Designated Persons</w:t>
      </w:r>
    </w:p>
    <w:p>
      <w:pPr>
        <w:spacing w:after="0" w:line="241" w:lineRule="exact"/>
        <w:rPr>
          <w:sz w:val="20"/>
          <w:szCs w:val="20"/>
          <w:color w:val="auto"/>
        </w:rPr>
      </w:pPr>
    </w:p>
    <w:p>
      <w:pPr>
        <w:jc w:val="both"/>
        <w:ind w:left="460" w:right="460"/>
        <w:spacing w:after="0" w:line="242" w:lineRule="auto"/>
        <w:rPr>
          <w:sz w:val="20"/>
          <w:szCs w:val="20"/>
          <w:color w:val="auto"/>
        </w:rPr>
      </w:pPr>
      <w:r>
        <w:rPr>
          <w:rFonts w:ascii="Times New Roman" w:cs="Times New Roman" w:eastAsia="Times New Roman" w:hAnsi="Times New Roman"/>
          <w:sz w:val="18"/>
          <w:szCs w:val="18"/>
          <w:color w:val="auto"/>
        </w:rPr>
        <w:t>In addition to prohibitions on trading during Quarterly Blackout Periods, the Company may impose special blackout periods (i.e., periods during which certain individuals shall not purchase or sell any Company securities) on certain individuals as determined by the SCO. In the event an individual becomes subject to a special blackout period, such persons will be notified by the SCO and will be prohibited from (a) trading in</w:t>
      </w:r>
    </w:p>
    <w:p>
      <w:pPr>
        <w:spacing w:after="0" w:line="1" w:lineRule="exact"/>
        <w:rPr>
          <w:sz w:val="20"/>
          <w:szCs w:val="20"/>
          <w:color w:val="auto"/>
        </w:rPr>
      </w:pPr>
    </w:p>
    <w:p>
      <w:pPr>
        <w:jc w:val="both"/>
        <w:ind w:left="460" w:right="460"/>
        <w:spacing w:after="0" w:line="19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securities</w:t>
      </w:r>
      <w:r>
        <w:rPr>
          <w:rFonts w:ascii="Times New Roman" w:cs="Times New Roman" w:eastAsia="Times New Roman" w:hAnsi="Times New Roman"/>
          <w:sz w:val="36"/>
          <w:szCs w:val="36"/>
          <w:u w:val="single" w:color="auto"/>
          <w:color w:val="0000EE"/>
          <w:vertAlign w:val="superscript"/>
        </w:rPr>
        <w:t>*‡</w:t>
      </w:r>
      <w:r>
        <w:rPr>
          <w:rFonts w:ascii="Times New Roman" w:cs="Times New Roman" w:eastAsia="Times New Roman" w:hAnsi="Times New Roman"/>
          <w:sz w:val="18"/>
          <w:szCs w:val="18"/>
          <w:color w:val="auto"/>
        </w:rPr>
        <w:t xml:space="preserve"> until further notified that the special blackout period has ended and (b) disclosing to others, including to brokers or third-party advisors</w:t>
      </w:r>
      <w:hyperlink w:anchor="page1">
        <w:r>
          <w:rPr>
            <w:rFonts w:ascii="Times New Roman" w:cs="Times New Roman" w:eastAsia="Times New Roman" w:hAnsi="Times New Roman"/>
            <w:sz w:val="26"/>
            <w:szCs w:val="26"/>
            <w:u w:val="single" w:color="auto"/>
            <w:color w:val="0000EE"/>
            <w:vertAlign w:val="superscript"/>
          </w:rPr>
          <w:t>§</w:t>
        </w:r>
      </w:hyperlink>
      <w:r>
        <w:rPr>
          <w:rFonts w:ascii="Times New Roman" w:cs="Times New Roman" w:eastAsia="Times New Roman" w:hAnsi="Times New Roman"/>
          <w:sz w:val="18"/>
          <w:szCs w:val="18"/>
          <w:color w:val="auto"/>
        </w:rPr>
        <w:t>, that a special blackout period has been designated.</w:t>
      </w:r>
    </w:p>
    <w:p>
      <w:pPr>
        <w:spacing w:after="0" w:line="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individuals will be subject to special blackout periods as determined by the SCO:</w:t>
      </w:r>
    </w:p>
    <w:p>
      <w:pPr>
        <w:spacing w:after="0" w:line="14" w:lineRule="exact"/>
        <w:rPr>
          <w:sz w:val="20"/>
          <w:szCs w:val="20"/>
          <w:color w:val="auto"/>
        </w:rPr>
      </w:pPr>
    </w:p>
    <w:p>
      <w:pPr>
        <w:ind w:left="1040" w:hanging="290"/>
        <w:spacing w:after="0"/>
        <w:tabs>
          <w:tab w:leader="none" w:pos="1040" w:val="left"/>
        </w:tabs>
        <w:numPr>
          <w:ilvl w:val="0"/>
          <w:numId w:val="5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Reporting Persons, including Directors;</w:t>
      </w:r>
    </w:p>
    <w:p>
      <w:pPr>
        <w:ind w:left="1040" w:hanging="290"/>
        <w:spacing w:after="0" w:line="236" w:lineRule="auto"/>
        <w:tabs>
          <w:tab w:leader="none" w:pos="1040" w:val="left"/>
        </w:tabs>
        <w:numPr>
          <w:ilvl w:val="0"/>
          <w:numId w:val="5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Management Members and their secretaries or assistants, if any;</w:t>
      </w:r>
    </w:p>
    <w:p>
      <w:pPr>
        <w:ind w:left="760"/>
        <w:spacing w:after="0" w:line="237" w:lineRule="auto"/>
        <w:rPr>
          <w:sz w:val="20"/>
          <w:szCs w:val="20"/>
          <w:color w:val="auto"/>
        </w:rPr>
      </w:pPr>
      <w:r>
        <w:rPr>
          <w:rFonts w:ascii="Times New Roman" w:cs="Times New Roman" w:eastAsia="Times New Roman" w:hAnsi="Times New Roman"/>
          <w:sz w:val="18"/>
          <w:szCs w:val="18"/>
          <w:color w:val="auto"/>
        </w:rPr>
        <w:t>(iii)Certain officers of the Company (i.e., Covered Persons with titles Vice President or above);</w:t>
      </w:r>
    </w:p>
    <w:p>
      <w:pPr>
        <w:ind w:left="1040" w:hanging="290"/>
        <w:spacing w:after="0"/>
        <w:tabs>
          <w:tab w:leader="none" w:pos="1040" w:val="left"/>
        </w:tabs>
        <w:numPr>
          <w:ilvl w:val="1"/>
          <w:numId w:val="5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members of designated Company departments; and</w:t>
      </w:r>
    </w:p>
    <w:p>
      <w:pPr>
        <w:spacing w:after="0" w:line="301" w:lineRule="exact"/>
        <w:rPr>
          <w:rFonts w:ascii="Times New Roman" w:cs="Times New Roman" w:eastAsia="Times New Roman" w:hAnsi="Times New Roman"/>
          <w:sz w:val="18"/>
          <w:szCs w:val="18"/>
          <w:color w:val="auto"/>
        </w:rPr>
      </w:pPr>
    </w:p>
    <w:p>
      <w:pPr>
        <w:ind w:left="460" w:right="500"/>
        <w:spacing w:after="0" w:line="228" w:lineRule="auto"/>
        <w:rPr>
          <w:rFonts w:ascii="Times New Roman" w:cs="Times New Roman" w:eastAsia="Times New Roman" w:hAnsi="Times New Roman"/>
          <w:sz w:val="18"/>
          <w:szCs w:val="18"/>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Trading restrictions during Quarterly Blackout Periods and special blackout periods as well as preclearance requirements do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apply to: (i) transactions made under an approved 10b5-1 Plan (described below); (ii) certain transactions made in accordance with the rules governing the Employee Stock Purchase Plan (discussed further below); (iii) exercises of stock options or other equity awards, that in each case does not involve a market sale of Company securities; (iv) the surrender of shares to the Company in payment of the exercise price or in satisfaction of any tax withholding obligations in a manner permitted by the applicable equity award agreement (i.e., “net settlement”), that in each case does not involve a market sale of Company securities; or (v) vesting of equity-based awards, that does not involve a market sale of Company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-1099185</wp:posOffset>
            </wp:positionV>
            <wp:extent cx="1280795" cy="762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951">
                      <a:extLst>
                        <a:ext uri="{28A0092B-C50C-407E-A947-70E740481C1C}"/>
                      </a:extLst>
                    </a:blip>
                    <a:srcRect/>
                    <a:stretch>
                      <a:fillRect/>
                    </a:stretch>
                  </pic:blipFill>
                  <pic:spPr bwMode="auto">
                    <a:xfrm>
                      <a:off x="0" y="0"/>
                      <a:ext cx="1280795" cy="7620"/>
                    </a:xfrm>
                    <a:prstGeom prst="rect">
                      <a:avLst/>
                    </a:prstGeom>
                    <a:noFill/>
                  </pic:spPr>
                </pic:pic>
              </a:graphicData>
            </a:graphic>
          </wp:anchor>
        </w:drawing>
      </w:r>
    </w:p>
    <w:p>
      <w:pPr>
        <w:spacing w:after="0" w:line="132" w:lineRule="exact"/>
        <w:rPr>
          <w:sz w:val="20"/>
          <w:szCs w:val="20"/>
          <w:color w:val="auto"/>
        </w:rPr>
      </w:pPr>
    </w:p>
    <w:p>
      <w:pPr>
        <w:ind w:left="460" w:right="520" w:firstLine="2"/>
        <w:spacing w:after="0" w:line="212" w:lineRule="auto"/>
        <w:tabs>
          <w:tab w:leader="none" w:pos="577" w:val="left"/>
        </w:tabs>
        <w:numPr>
          <w:ilvl w:val="0"/>
          <w:numId w:val="55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For the avoidance of doubt, you may tell your broker or third-party advisor not to trade in Company securities when you are subject to a special blackout period, however, you cannot tell your broker or third-party advisor that a special blackout period is in place.</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397510</wp:posOffset>
            </wp:positionV>
            <wp:extent cx="5121910" cy="1524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952">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515" w:name="page516"/>
    <w:bookmarkEnd w:id="515"/>
    <w:p>
      <w:pPr>
        <w:ind w:left="7840"/>
        <w:spacing w:after="0"/>
        <w:rPr>
          <w:sz w:val="20"/>
          <w:szCs w:val="20"/>
          <w:color w:val="auto"/>
        </w:rPr>
      </w:pPr>
      <w:r>
        <w:rPr>
          <w:rFonts w:ascii="Times New Roman" w:cs="Times New Roman" w:eastAsia="Times New Roman" w:hAnsi="Times New Roman"/>
          <w:sz w:val="14"/>
          <w:szCs w:val="14"/>
          <w:color w:val="auto"/>
        </w:rPr>
        <w:t>Exhibit 19.1</w:t>
      </w:r>
    </w:p>
    <w:p>
      <w:pPr>
        <w:spacing w:after="0" w:line="200" w:lineRule="exact"/>
        <w:rPr>
          <w:sz w:val="20"/>
          <w:szCs w:val="20"/>
          <w:color w:val="auto"/>
        </w:rPr>
      </w:pPr>
    </w:p>
    <w:p>
      <w:pPr>
        <w:spacing w:after="0" w:line="215" w:lineRule="exact"/>
        <w:rPr>
          <w:sz w:val="20"/>
          <w:szCs w:val="20"/>
          <w:color w:val="auto"/>
        </w:rPr>
      </w:pPr>
    </w:p>
    <w:p>
      <w:pPr>
        <w:ind w:left="1040" w:right="460" w:hanging="287"/>
        <w:spacing w:after="0" w:line="248" w:lineRule="auto"/>
        <w:rPr>
          <w:sz w:val="20"/>
          <w:szCs w:val="20"/>
          <w:color w:val="auto"/>
        </w:rPr>
      </w:pPr>
      <w:r>
        <w:rPr>
          <w:rFonts w:ascii="Times New Roman" w:cs="Times New Roman" w:eastAsia="Times New Roman" w:hAnsi="Times New Roman"/>
          <w:sz w:val="18"/>
          <w:szCs w:val="18"/>
          <w:color w:val="auto"/>
        </w:rPr>
        <w:t>(v) Such other employees that the SCO may designate because of their position with the Company and access to potentially material, non-public information (each, a “Designated Person”).</w:t>
      </w:r>
    </w:p>
    <w:p>
      <w:pPr>
        <w:jc w:val="both"/>
        <w:ind w:left="460" w:right="460"/>
        <w:spacing w:after="0"/>
        <w:rPr>
          <w:sz w:val="20"/>
          <w:szCs w:val="20"/>
          <w:color w:val="auto"/>
        </w:rPr>
      </w:pPr>
      <w:r>
        <w:rPr>
          <w:rFonts w:ascii="Times New Roman" w:cs="Times New Roman" w:eastAsia="Times New Roman" w:hAnsi="Times New Roman"/>
          <w:sz w:val="18"/>
          <w:szCs w:val="18"/>
          <w:color w:val="auto"/>
        </w:rPr>
        <w:t>Special blackout periods also apply to Family Members and Related Parties of Designated Persons. A Designated Person is responsible for ensuring that Family Members and Related Parties comply with this Policy.</w:t>
      </w:r>
    </w:p>
    <w:p>
      <w:pPr>
        <w:spacing w:after="0" w:line="211" w:lineRule="exact"/>
        <w:rPr>
          <w:sz w:val="20"/>
          <w:szCs w:val="20"/>
          <w:color w:val="auto"/>
        </w:rPr>
      </w:pPr>
    </w:p>
    <w:p>
      <w:pPr>
        <w:jc w:val="both"/>
        <w:ind w:left="460" w:right="480"/>
        <w:spacing w:after="0" w:line="268" w:lineRule="auto"/>
        <w:rPr>
          <w:sz w:val="20"/>
          <w:szCs w:val="20"/>
          <w:color w:val="auto"/>
        </w:rPr>
      </w:pPr>
      <w:r>
        <w:rPr>
          <w:rFonts w:ascii="Times New Roman" w:cs="Times New Roman" w:eastAsia="Times New Roman" w:hAnsi="Times New Roman"/>
          <w:sz w:val="18"/>
          <w:szCs w:val="18"/>
          <w:color w:val="auto"/>
        </w:rPr>
        <w:t>The Designated Persons who are subject to a special blackout period may be changed by the Company, as circumstances require from time to time.</w:t>
      </w:r>
    </w:p>
    <w:p>
      <w:pPr>
        <w:spacing w:after="0" w:line="182" w:lineRule="exact"/>
        <w:rPr>
          <w:sz w:val="20"/>
          <w:szCs w:val="20"/>
          <w:color w:val="auto"/>
        </w:rPr>
      </w:pPr>
    </w:p>
    <w:p>
      <w:pPr>
        <w:ind w:left="460" w:right="800"/>
        <w:spacing w:after="0" w:line="273" w:lineRule="auto"/>
        <w:rPr>
          <w:sz w:val="20"/>
          <w:szCs w:val="20"/>
          <w:color w:val="auto"/>
        </w:rPr>
      </w:pPr>
      <w:r>
        <w:rPr>
          <w:rFonts w:ascii="Times New Roman" w:cs="Times New Roman" w:eastAsia="Times New Roman" w:hAnsi="Times New Roman"/>
          <w:sz w:val="18"/>
          <w:szCs w:val="18"/>
          <w:b w:val="1"/>
          <w:bCs w:val="1"/>
          <w:color w:val="auto"/>
        </w:rPr>
        <w:t>Preclearance of Trades in Company Securities Applicable to All Reporting Persons and Management Members</w:t>
      </w:r>
    </w:p>
    <w:p>
      <w:pPr>
        <w:spacing w:after="0" w:line="177" w:lineRule="exact"/>
        <w:rPr>
          <w:sz w:val="20"/>
          <w:szCs w:val="20"/>
          <w:color w:val="auto"/>
        </w:rPr>
      </w:pPr>
    </w:p>
    <w:p>
      <w:pPr>
        <w:ind w:left="460" w:right="600"/>
        <w:spacing w:after="0" w:line="24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Reporting Persons and Management Members must preclear with the SCO all transactions in Company securities (including without limitation, acquisitions and dispositions of Company common stock, the exercise of stock options, and the sale of Company common stock issued upon exercise of stock options). </w:t>
      </w:r>
      <w:r>
        <w:rPr>
          <w:rFonts w:ascii="Times New Roman" w:cs="Times New Roman" w:eastAsia="Times New Roman" w:hAnsi="Times New Roman"/>
          <w:sz w:val="18"/>
          <w:szCs w:val="18"/>
          <w:color w:val="auto"/>
        </w:rPr>
        <w:t>If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after consultation with the SCO, it is determined that the Company and/or such Reporting Person or Management Member is in possession of potentially material, non-public information, there may be no trading in Company securities.</w:t>
      </w:r>
      <w:hyperlink w:anchor="page1">
        <w:r>
          <w:rPr>
            <w:rFonts w:ascii="Times New Roman" w:cs="Times New Roman" w:eastAsia="Times New Roman" w:hAnsi="Times New Roman"/>
            <w:sz w:val="36"/>
            <w:szCs w:val="36"/>
            <w:u w:val="single" w:color="auto"/>
            <w:color w:val="0000EE"/>
            <w:vertAlign w:val="superscript"/>
          </w:rPr>
          <w:t>***</w:t>
        </w:r>
      </w:hyperlink>
    </w:p>
    <w:p>
      <w:pPr>
        <w:spacing w:after="0" w:line="9" w:lineRule="exact"/>
        <w:rPr>
          <w:sz w:val="20"/>
          <w:szCs w:val="20"/>
          <w:color w:val="auto"/>
        </w:rPr>
      </w:pPr>
    </w:p>
    <w:p>
      <w:pPr>
        <w:ind w:left="460" w:right="1020"/>
        <w:spacing w:after="0" w:line="273" w:lineRule="auto"/>
        <w:rPr>
          <w:sz w:val="20"/>
          <w:szCs w:val="20"/>
          <w:color w:val="auto"/>
        </w:rPr>
      </w:pPr>
      <w:r>
        <w:rPr>
          <w:rFonts w:ascii="Times New Roman" w:cs="Times New Roman" w:eastAsia="Times New Roman" w:hAnsi="Times New Roman"/>
          <w:sz w:val="18"/>
          <w:szCs w:val="18"/>
          <w:b w:val="1"/>
          <w:bCs w:val="1"/>
          <w:color w:val="auto"/>
        </w:rPr>
        <w:t>Preclearance of Trades in Restricted Company Securities Applicable to All Reporting Persons and Management Members</w:t>
      </w:r>
    </w:p>
    <w:p>
      <w:pPr>
        <w:spacing w:after="0" w:line="177" w:lineRule="exact"/>
        <w:rPr>
          <w:sz w:val="20"/>
          <w:szCs w:val="20"/>
          <w:color w:val="auto"/>
        </w:rPr>
      </w:pPr>
    </w:p>
    <w:p>
      <w:pPr>
        <w:ind w:left="460" w:right="800"/>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Reporting Persons and Management Members must preclear with the SCO all transactions in Restricted Company securities. </w:t>
      </w:r>
      <w:r>
        <w:rPr>
          <w:rFonts w:ascii="Times New Roman" w:cs="Times New Roman" w:eastAsia="Times New Roman" w:hAnsi="Times New Roman"/>
          <w:sz w:val="18"/>
          <w:szCs w:val="18"/>
          <w:color w:val="auto"/>
        </w:rPr>
        <w:t>If after consultation with the SCO, it is determined that the Company and/or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Reporting Person or Management Member is in possession of potentially material, non -public information regarding a Restricted Company, there may be no trading in such Restricted Company securities.</w:t>
      </w:r>
    </w:p>
    <w:p>
      <w:pPr>
        <w:spacing w:after="0" w:line="205" w:lineRule="exact"/>
        <w:rPr>
          <w:sz w:val="20"/>
          <w:szCs w:val="20"/>
          <w:color w:val="auto"/>
        </w:rPr>
      </w:pPr>
    </w:p>
    <w:p>
      <w:pPr>
        <w:ind w:left="460" w:right="560"/>
        <w:spacing w:after="0" w:line="244" w:lineRule="auto"/>
        <w:rPr>
          <w:sz w:val="20"/>
          <w:szCs w:val="20"/>
          <w:color w:val="auto"/>
        </w:rPr>
      </w:pPr>
      <w:r>
        <w:rPr>
          <w:rFonts w:ascii="Times New Roman" w:cs="Times New Roman" w:eastAsia="Times New Roman" w:hAnsi="Times New Roman"/>
          <w:sz w:val="18"/>
          <w:szCs w:val="18"/>
          <w:color w:val="auto"/>
        </w:rPr>
        <w:t>As used in this Policy, “Restricted Company” means those companies designated by the SCO, which designations may be updated from time to time and are circulated regularly (no less than once a year and at the time of any updates) to all Reporting Persons and Management Members. All Reporting Persons and Management Members are responsible for contacting the SCO regarding any transaction that potentially involves the securities of a Restricted Company.</w:t>
      </w:r>
    </w:p>
    <w:p>
      <w:pPr>
        <w:spacing w:after="0" w:line="2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Transactions Pursuant to 10b5-1 Plans and Preclearance of 10b5-1 Plans</w:t>
      </w:r>
    </w:p>
    <w:p>
      <w:pPr>
        <w:spacing w:after="0" w:line="241" w:lineRule="exact"/>
        <w:rPr>
          <w:sz w:val="20"/>
          <w:szCs w:val="20"/>
          <w:color w:val="auto"/>
        </w:rPr>
      </w:pPr>
    </w:p>
    <w:p>
      <w:pPr>
        <w:jc w:val="both"/>
        <w:ind w:left="460" w:right="460"/>
        <w:spacing w:after="0" w:line="244" w:lineRule="auto"/>
        <w:rPr>
          <w:sz w:val="20"/>
          <w:szCs w:val="20"/>
          <w:color w:val="auto"/>
        </w:rPr>
      </w:pPr>
      <w:r>
        <w:rPr>
          <w:rFonts w:ascii="Times New Roman" w:cs="Times New Roman" w:eastAsia="Times New Roman" w:hAnsi="Times New Roman"/>
          <w:sz w:val="18"/>
          <w:szCs w:val="18"/>
          <w:color w:val="auto"/>
        </w:rPr>
        <w:t>Under Rule 10b -5 of the 1934 Act, a person violates insider trading laws if they trade in Company securities at a time when they are aware of material, non-public information regardless of whether they used the information in making the trade. However, Rule 10b5-1 provides for an affirmative defense to certain insider trading violations if, prior to becoming aware of the information a person, in good faith, entered into a binding contract for the sale or purchase of Company securities, provided irrevocable instructions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140335</wp:posOffset>
            </wp:positionV>
            <wp:extent cx="1280795" cy="762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953">
                      <a:extLst>
                        <a:ext uri="{28A0092B-C50C-407E-A947-70E740481C1C}"/>
                      </a:extLst>
                    </a:blip>
                    <a:srcRect/>
                    <a:stretch>
                      <a:fillRect/>
                    </a:stretch>
                  </pic:blipFill>
                  <pic:spPr bwMode="auto">
                    <a:xfrm>
                      <a:off x="0" y="0"/>
                      <a:ext cx="1280795" cy="7620"/>
                    </a:xfrm>
                    <a:prstGeom prst="rect">
                      <a:avLst/>
                    </a:prstGeom>
                    <a:noFill/>
                  </pic:spPr>
                </pic:pic>
              </a:graphicData>
            </a:graphic>
          </wp:anchor>
        </w:drawing>
      </w:r>
    </w:p>
    <w:p>
      <w:pPr>
        <w:spacing w:after="0" w:line="272" w:lineRule="exact"/>
        <w:rPr>
          <w:sz w:val="20"/>
          <w:szCs w:val="20"/>
          <w:color w:val="auto"/>
        </w:rPr>
      </w:pPr>
    </w:p>
    <w:p>
      <w:pPr>
        <w:ind w:left="460" w:right="500" w:firstLine="2"/>
        <w:spacing w:after="0" w:line="226" w:lineRule="auto"/>
        <w:tabs>
          <w:tab w:leader="none" w:pos="580" w:val="left"/>
        </w:tabs>
        <w:numPr>
          <w:ilvl w:val="0"/>
          <w:numId w:val="55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 xml:space="preserve">Trading restrictions during Quarterly Blackout Periods and special blackout periods as well as preclearance requirements do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apply to: (i) transactions made under an approved 10b5-1 Plan (described below); (ii) certain transactions made in accordance with the rules governing the Employee Stock Purchase Plan (discussed further below); (iii) exercises of stock options or other equity awards, that in each case does not involve a market sale of Company securities; (iv) the surrender of shares to the Company in payment of the exercise price or in satisfaction of any tax withholding obligations in a manner permitted by the applicable equity award agreement (i.e., “net settlement”), that in each case does not involve a market sale of Company securities; or (v) vesting of equity-based awards, that does not involve a market sale of Company securities.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397510</wp:posOffset>
            </wp:positionV>
            <wp:extent cx="5121910" cy="1524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954">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516" w:name="page517"/>
    <w:bookmarkEnd w:id="516"/>
    <w:p>
      <w:pPr>
        <w:ind w:left="7840"/>
        <w:spacing w:after="0"/>
        <w:rPr>
          <w:sz w:val="20"/>
          <w:szCs w:val="20"/>
          <w:color w:val="auto"/>
        </w:rPr>
      </w:pPr>
      <w:r>
        <w:rPr>
          <w:rFonts w:ascii="Times New Roman" w:cs="Times New Roman" w:eastAsia="Times New Roman" w:hAnsi="Times New Roman"/>
          <w:sz w:val="14"/>
          <w:szCs w:val="14"/>
          <w:color w:val="auto"/>
        </w:rPr>
        <w:t>Exhibit 19.1</w:t>
      </w:r>
    </w:p>
    <w:p>
      <w:pPr>
        <w:spacing w:after="0" w:line="200" w:lineRule="exact"/>
        <w:rPr>
          <w:sz w:val="20"/>
          <w:szCs w:val="20"/>
          <w:color w:val="auto"/>
        </w:rPr>
      </w:pPr>
    </w:p>
    <w:p>
      <w:pPr>
        <w:spacing w:after="0" w:line="215" w:lineRule="exact"/>
        <w:rPr>
          <w:sz w:val="20"/>
          <w:szCs w:val="20"/>
          <w:color w:val="auto"/>
        </w:rPr>
      </w:pPr>
    </w:p>
    <w:p>
      <w:pPr>
        <w:jc w:val="both"/>
        <w:ind w:left="460" w:right="460"/>
        <w:spacing w:after="0" w:line="247" w:lineRule="auto"/>
        <w:rPr>
          <w:sz w:val="20"/>
          <w:szCs w:val="20"/>
          <w:color w:val="auto"/>
        </w:rPr>
      </w:pPr>
      <w:r>
        <w:rPr>
          <w:rFonts w:ascii="Times New Roman" w:cs="Times New Roman" w:eastAsia="Times New Roman" w:hAnsi="Times New Roman"/>
          <w:sz w:val="18"/>
          <w:szCs w:val="18"/>
          <w:color w:val="auto"/>
        </w:rPr>
        <w:t>another person to execute the trade, or adopted a written plan for trading securities. Such contracts, irrevocable instructions, and plans are commonly referred to as “10b5- 1 Plans”. To be fully protected, a person establishing such a plan cannot deviate from or amend the plan in any respect at a time he or she is aware of any material, non-public information about the Company and must act in good faith with respect to the 10b5-1 Plan.</w:t>
      </w:r>
    </w:p>
    <w:p>
      <w:pPr>
        <w:spacing w:after="0" w:line="204" w:lineRule="exact"/>
        <w:rPr>
          <w:sz w:val="20"/>
          <w:szCs w:val="20"/>
          <w:color w:val="auto"/>
        </w:rPr>
      </w:pPr>
    </w:p>
    <w:p>
      <w:pPr>
        <w:ind w:left="1040" w:right="480" w:hanging="290"/>
        <w:spacing w:after="0" w:line="248" w:lineRule="auto"/>
        <w:tabs>
          <w:tab w:leader="none" w:pos="1040" w:val="left"/>
        </w:tabs>
        <w:numPr>
          <w:ilvl w:val="0"/>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this Policy, a 10b5-1 Plan must be approved in writing by the SCO and meet the requirements of Rule 10b5-1 under the 1934 Act and applicable state securities laws.</w:t>
      </w:r>
    </w:p>
    <w:p>
      <w:pPr>
        <w:ind w:left="1040" w:right="460" w:hanging="290"/>
        <w:spacing w:after="0" w:line="236" w:lineRule="auto"/>
        <w:tabs>
          <w:tab w:leader="none" w:pos="1040" w:val="left"/>
        </w:tabs>
        <w:numPr>
          <w:ilvl w:val="0"/>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proposed amendment to, alteration of, or deviation from an existing 10b5-1 Plan and termination of an existing 10b5-1 Plan must be approved in writing by the SCO.</w:t>
      </w:r>
    </w:p>
    <w:p>
      <w:pPr>
        <w:spacing w:after="0" w:line="1" w:lineRule="exact"/>
        <w:rPr>
          <w:rFonts w:ascii="Times New Roman" w:cs="Times New Roman" w:eastAsia="Times New Roman" w:hAnsi="Times New Roman"/>
          <w:sz w:val="18"/>
          <w:szCs w:val="18"/>
          <w:color w:val="auto"/>
        </w:rPr>
      </w:pPr>
    </w:p>
    <w:p>
      <w:pPr>
        <w:ind w:left="1040" w:right="460" w:hanging="290"/>
        <w:spacing w:after="0" w:line="236" w:lineRule="auto"/>
        <w:tabs>
          <w:tab w:leader="none" w:pos="1040" w:val="left"/>
        </w:tabs>
        <w:numPr>
          <w:ilvl w:val="0"/>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may not adopt more than one 10b5-1 Plan at a time except for the limited circumstances permitted by Rule 10b5-1 and subject to preapproval by the SCO.</w:t>
      </w:r>
    </w:p>
    <w:p>
      <w:pPr>
        <w:spacing w:after="0" w:line="1" w:lineRule="exact"/>
        <w:rPr>
          <w:rFonts w:ascii="Times New Roman" w:cs="Times New Roman" w:eastAsia="Times New Roman" w:hAnsi="Times New Roman"/>
          <w:sz w:val="18"/>
          <w:szCs w:val="18"/>
          <w:color w:val="auto"/>
        </w:rPr>
      </w:pPr>
    </w:p>
    <w:p>
      <w:pPr>
        <w:jc w:val="both"/>
        <w:ind w:left="1040" w:right="460" w:hanging="290"/>
        <w:spacing w:after="0" w:line="236" w:lineRule="auto"/>
        <w:tabs>
          <w:tab w:leader="none" w:pos="1040" w:val="left"/>
        </w:tabs>
        <w:numPr>
          <w:ilvl w:val="0"/>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 request for approval, the Covered Person must provide the SCO with a copy of the 10b5-1 Plan proposed to be entered into or adopted by the Covered Person. Requests for a new 10b5-1 Plan or amendments or terminations to existing 10b5-1 Plans must be submitted for approval to the SCO at least </w:t>
      </w:r>
      <w:r>
        <w:rPr>
          <w:rFonts w:ascii="Times New Roman" w:cs="Times New Roman" w:eastAsia="Times New Roman" w:hAnsi="Times New Roman"/>
          <w:sz w:val="18"/>
          <w:szCs w:val="18"/>
          <w:u w:val="single" w:color="auto"/>
          <w:color w:val="auto"/>
        </w:rPr>
        <w:t>1 week prior</w:t>
      </w:r>
      <w:r>
        <w:rPr>
          <w:rFonts w:ascii="Times New Roman" w:cs="Times New Roman" w:eastAsia="Times New Roman" w:hAnsi="Times New Roman"/>
          <w:sz w:val="18"/>
          <w:szCs w:val="18"/>
          <w:color w:val="auto"/>
        </w:rPr>
        <w:t xml:space="preserve"> to the anticipated effective date of the 10b5-1 Plan. Under Rule 10b5-1, all 10b5-1 Plans are subject to minimum waiting periods (of at least 30 days, and at least 90 days, as applicable, for Reporting Persons, including Directors) before any transaction pursuant to the Plans can begin.</w:t>
      </w:r>
    </w:p>
    <w:p>
      <w:pPr>
        <w:spacing w:after="0" w:line="3" w:lineRule="exact"/>
        <w:rPr>
          <w:rFonts w:ascii="Times New Roman" w:cs="Times New Roman" w:eastAsia="Times New Roman" w:hAnsi="Times New Roman"/>
          <w:sz w:val="18"/>
          <w:szCs w:val="18"/>
          <w:color w:val="auto"/>
        </w:rPr>
      </w:pPr>
    </w:p>
    <w:p>
      <w:pPr>
        <w:jc w:val="both"/>
        <w:ind w:left="1040" w:right="480" w:hanging="290"/>
        <w:spacing w:after="0"/>
        <w:tabs>
          <w:tab w:leader="none" w:pos="1040" w:val="left"/>
        </w:tabs>
        <w:numPr>
          <w:ilvl w:val="0"/>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noted above, the SCO will not consider the conformity of the 10b5-1 Plan to, or the compliance of the 10b5-1 Plan with, the requirements of Rule 10b5-1 or any applicable law, which shall be solely the responsibility of the Covered Person.</w:t>
      </w:r>
    </w:p>
    <w:p>
      <w:pPr>
        <w:spacing w:after="0" w:line="211" w:lineRule="exact"/>
        <w:rPr>
          <w:sz w:val="20"/>
          <w:szCs w:val="20"/>
          <w:color w:val="auto"/>
        </w:rPr>
      </w:pPr>
    </w:p>
    <w:p>
      <w:pPr>
        <w:jc w:val="both"/>
        <w:ind w:left="460" w:right="460"/>
        <w:spacing w:after="0" w:line="239" w:lineRule="auto"/>
        <w:rPr>
          <w:sz w:val="20"/>
          <w:szCs w:val="20"/>
          <w:color w:val="auto"/>
        </w:rPr>
      </w:pPr>
      <w:r>
        <w:rPr>
          <w:rFonts w:ascii="Times New Roman" w:cs="Times New Roman" w:eastAsia="Times New Roman" w:hAnsi="Times New Roman"/>
          <w:sz w:val="18"/>
          <w:szCs w:val="18"/>
          <w:color w:val="auto"/>
        </w:rPr>
        <w:t>If after consultation with the SCO, it is determined that the Company and/or such Covered Person is in possession of potentially material, non-public information, the Covered Person will not be permitted to enter into, adopt, amend, or terminate the 10b5-1 Plan at such time. The Company reserves the right to publicly disclose or respond to inquiries from the media regarding the adoption, modification, or termination of a 10b5-1 Plan and non-Rule 10b5-1 trading arrangements, or the execution of transactions made under a 10b5-1 Plan. The Company also reserves the right from time to time to suspend, discontinue, or otherwise prohibit transactions under a 10b5-1 Plan if the SCO, in its discretion, determines that such suspension, discontinuation, or other prohibition is in the best interests of the Company. Compliance of a 10b5-1 Plan with the terms of Rule 10b5-1 and the execution of transactions pursuant to the 10b5 -1 Plan are the sole responsibility of the person initiating the 10b5-1 Plan, and none of the Company, members of the SCO, or the Company’s other employees assumes any liability for any delay in reviewing and/or refusing to approve a 10b5-1 Plan submitted for approval, nor the legality or consequences relating to a person entering into, informing the Company of, or trading under, a 10b5-1 Plan.</w:t>
      </w:r>
    </w:p>
    <w:p>
      <w:pPr>
        <w:spacing w:after="0" w:line="213" w:lineRule="exact"/>
        <w:rPr>
          <w:sz w:val="20"/>
          <w:szCs w:val="20"/>
          <w:color w:val="auto"/>
        </w:rPr>
      </w:pPr>
    </w:p>
    <w:p>
      <w:pPr>
        <w:jc w:val="both"/>
        <w:ind w:left="460" w:right="480"/>
        <w:spacing w:after="0" w:line="268" w:lineRule="auto"/>
        <w:rPr>
          <w:sz w:val="20"/>
          <w:szCs w:val="20"/>
          <w:color w:val="auto"/>
        </w:rPr>
      </w:pPr>
      <w:r>
        <w:rPr>
          <w:rFonts w:ascii="Times New Roman" w:cs="Times New Roman" w:eastAsia="Times New Roman" w:hAnsi="Times New Roman"/>
          <w:sz w:val="18"/>
          <w:szCs w:val="18"/>
          <w:color w:val="auto"/>
        </w:rPr>
        <w:t>With respect to any purchase or sale under a 10b5-1 Plan, the third party effecting transactions on a Covered Person’s behalf should be instructed to send duplicate confirmations of all such transactions to the SCO.</w:t>
      </w:r>
    </w:p>
    <w:p>
      <w:pPr>
        <w:spacing w:after="0" w:line="182" w:lineRule="exact"/>
        <w:rPr>
          <w:sz w:val="20"/>
          <w:szCs w:val="20"/>
          <w:color w:val="auto"/>
        </w:rPr>
      </w:pPr>
    </w:p>
    <w:p>
      <w:pPr>
        <w:jc w:val="both"/>
        <w:ind w:left="460" w:right="48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No Covered Person shall establish, amend, or terminate a 10b5-1 Plan providing for transactions in any Company security: (i) while in possession of material, non-public information; (ii) during any Quarterly Blackout Period; or (iii) when a special blackout period applicable to such person is in effect.</w:t>
      </w:r>
    </w:p>
    <w:p>
      <w:pPr>
        <w:spacing w:after="0" w:line="1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241" w:lineRule="exact"/>
        <w:rPr>
          <w:sz w:val="20"/>
          <w:szCs w:val="20"/>
          <w:color w:val="auto"/>
        </w:rPr>
      </w:pPr>
    </w:p>
    <w:p>
      <w:pPr>
        <w:jc w:val="both"/>
        <w:ind w:left="460" w:right="480"/>
        <w:spacing w:after="0" w:line="242" w:lineRule="auto"/>
        <w:rPr>
          <w:sz w:val="20"/>
          <w:szCs w:val="20"/>
          <w:color w:val="auto"/>
        </w:rPr>
      </w:pPr>
      <w:r>
        <w:rPr>
          <w:rFonts w:ascii="Times New Roman" w:cs="Times New Roman" w:eastAsia="Times New Roman" w:hAnsi="Times New Roman"/>
          <w:sz w:val="18"/>
          <w:szCs w:val="18"/>
          <w:color w:val="auto"/>
        </w:rPr>
        <w:t xml:space="preserve">The trading prohibitions and restrictions set forth in this Policy do not apply to periodic contributions to, or the acquisition of Company securities under, the Digital Realty Trust, Inc. 2015 Employee Stock Purchase Plan, as amended (“ESPP”), in each case, pursuant to the terms and conditions of the ESPP or the employees’ advance instructions. However, a Covered Person may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sell Company securities acquired</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397510</wp:posOffset>
            </wp:positionV>
            <wp:extent cx="5121910" cy="1524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955">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517" w:name="page518"/>
    <w:bookmarkEnd w:id="517"/>
    <w:p>
      <w:pPr>
        <w:ind w:left="7840"/>
        <w:spacing w:after="0"/>
        <w:rPr>
          <w:sz w:val="20"/>
          <w:szCs w:val="20"/>
          <w:color w:val="auto"/>
        </w:rPr>
      </w:pPr>
      <w:r>
        <w:rPr>
          <w:rFonts w:ascii="Times New Roman" w:cs="Times New Roman" w:eastAsia="Times New Roman" w:hAnsi="Times New Roman"/>
          <w:sz w:val="14"/>
          <w:szCs w:val="14"/>
          <w:color w:val="auto"/>
        </w:rPr>
        <w:t>Exhibit 19.1</w:t>
      </w:r>
    </w:p>
    <w:p>
      <w:pPr>
        <w:spacing w:after="0" w:line="200" w:lineRule="exact"/>
        <w:rPr>
          <w:sz w:val="20"/>
          <w:szCs w:val="20"/>
          <w:color w:val="auto"/>
        </w:rPr>
      </w:pPr>
    </w:p>
    <w:p>
      <w:pPr>
        <w:spacing w:after="0" w:line="215" w:lineRule="exact"/>
        <w:rPr>
          <w:sz w:val="20"/>
          <w:szCs w:val="20"/>
          <w:color w:val="auto"/>
        </w:rPr>
      </w:pPr>
    </w:p>
    <w:p>
      <w:pPr>
        <w:jc w:val="both"/>
        <w:ind w:left="460" w:right="460"/>
        <w:spacing w:after="0" w:line="242" w:lineRule="auto"/>
        <w:rPr>
          <w:sz w:val="20"/>
          <w:szCs w:val="20"/>
          <w:color w:val="auto"/>
        </w:rPr>
      </w:pPr>
      <w:r>
        <w:rPr>
          <w:rFonts w:ascii="Times New Roman" w:cs="Times New Roman" w:eastAsia="Times New Roman" w:hAnsi="Times New Roman"/>
          <w:sz w:val="18"/>
          <w:szCs w:val="18"/>
          <w:color w:val="auto"/>
        </w:rPr>
        <w:t>under the ESPP or initiate, alter, or terminate instructions regarding the purchase or sale of Company securities in the ESPP: (i) while aware of material, non-public information; (ii) during a Quarterly Blackout Period or when a special blackout period applicable to such person is in effect; and (iii) in the case of Reporting Persons and Management Members, prior to being precleared by the SCO. The surrender of shares to the Company in satisfaction of any tax withholding obligations in a manner permitted under the ESPP (i.e., “net settlement”) that does not involve a market sale of Company securities is permitted under this Policy.</w:t>
      </w:r>
    </w:p>
    <w:p>
      <w:pPr>
        <w:spacing w:after="0" w:line="2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Information Relating to the Company</w:t>
      </w:r>
    </w:p>
    <w:p>
      <w:pPr>
        <w:spacing w:after="0" w:line="2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Access to Information</w:t>
      </w:r>
    </w:p>
    <w:p>
      <w:pPr>
        <w:spacing w:after="0" w:line="241" w:lineRule="exact"/>
        <w:rPr>
          <w:sz w:val="20"/>
          <w:szCs w:val="20"/>
          <w:color w:val="auto"/>
        </w:rPr>
      </w:pPr>
    </w:p>
    <w:p>
      <w:pPr>
        <w:jc w:val="both"/>
        <w:ind w:left="460" w:right="460"/>
        <w:spacing w:after="0" w:line="242" w:lineRule="auto"/>
        <w:rPr>
          <w:sz w:val="20"/>
          <w:szCs w:val="20"/>
          <w:color w:val="auto"/>
        </w:rPr>
      </w:pPr>
      <w:r>
        <w:rPr>
          <w:rFonts w:ascii="Times New Roman" w:cs="Times New Roman" w:eastAsia="Times New Roman" w:hAnsi="Times New Roman"/>
          <w:sz w:val="18"/>
          <w:szCs w:val="18"/>
          <w:color w:val="auto"/>
        </w:rPr>
        <w:t>Access to potentially material, non -public information about the Company, including the Company’s business, earnings, or prospects, should be limited to Covered Persons on a need-to- know basis. In addition, such information should generally not be communicated to anyone outside the Company. In communicating potentially material, non -public information, all Covered Persons must take care to emphasize the need for confidential treatment of such information and adherence to the Company’s policies with regard to confidential information.</w:t>
      </w:r>
    </w:p>
    <w:p>
      <w:pPr>
        <w:spacing w:after="0" w:line="2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Inquiries from Third Parties</w:t>
      </w:r>
    </w:p>
    <w:p>
      <w:pPr>
        <w:spacing w:after="0" w:line="241" w:lineRule="exact"/>
        <w:rPr>
          <w:sz w:val="20"/>
          <w:szCs w:val="20"/>
          <w:color w:val="auto"/>
        </w:rPr>
      </w:pPr>
    </w:p>
    <w:p>
      <w:pPr>
        <w:jc w:val="both"/>
        <w:ind w:left="460" w:right="460"/>
        <w:spacing w:after="0" w:line="268" w:lineRule="auto"/>
        <w:rPr>
          <w:sz w:val="20"/>
          <w:szCs w:val="20"/>
          <w:color w:val="auto"/>
        </w:rPr>
      </w:pPr>
      <w:r>
        <w:rPr>
          <w:rFonts w:ascii="Times New Roman" w:cs="Times New Roman" w:eastAsia="Times New Roman" w:hAnsi="Times New Roman"/>
          <w:sz w:val="18"/>
          <w:szCs w:val="18"/>
          <w:color w:val="auto"/>
        </w:rPr>
        <w:t>Inquiries from third parties, such as industry analysts or members of the media, about the Company should be directed to the Investor Relations Department.</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Limitations on Access to Company Information</w:t>
      </w:r>
    </w:p>
    <w:p>
      <w:pPr>
        <w:spacing w:after="0" w:line="241" w:lineRule="exact"/>
        <w:rPr>
          <w:sz w:val="20"/>
          <w:szCs w:val="20"/>
          <w:color w:val="auto"/>
        </w:rPr>
      </w:pPr>
    </w:p>
    <w:p>
      <w:pPr>
        <w:jc w:val="both"/>
        <w:ind w:left="460" w:right="480"/>
        <w:spacing w:after="0" w:line="268" w:lineRule="auto"/>
        <w:rPr>
          <w:sz w:val="20"/>
          <w:szCs w:val="20"/>
          <w:color w:val="auto"/>
        </w:rPr>
      </w:pPr>
      <w:r>
        <w:rPr>
          <w:rFonts w:ascii="Times New Roman" w:cs="Times New Roman" w:eastAsia="Times New Roman" w:hAnsi="Times New Roman"/>
          <w:sz w:val="18"/>
          <w:szCs w:val="18"/>
          <w:color w:val="auto"/>
        </w:rPr>
        <w:t>The following procedures are designed to maintain confidentiality with respect to the Company’s business operations and activities:</w:t>
      </w:r>
    </w:p>
    <w:p>
      <w:pPr>
        <w:spacing w:after="0" w:line="162" w:lineRule="exact"/>
        <w:rPr>
          <w:sz w:val="20"/>
          <w:szCs w:val="20"/>
          <w:color w:val="auto"/>
        </w:rPr>
      </w:pPr>
    </w:p>
    <w:p>
      <w:pPr>
        <w:ind w:left="760" w:right="460" w:hanging="298"/>
        <w:spacing w:after="0" w:line="268" w:lineRule="auto"/>
        <w:tabs>
          <w:tab w:leader="none" w:pos="760" w:val="left"/>
        </w:tabs>
        <w:numPr>
          <w:ilvl w:val="0"/>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Covered Persons should take all steps and precautions necessary to restrict access to, and secure, potentially material, non-public information by, among other things:</w:t>
      </w:r>
    </w:p>
    <w:p>
      <w:pPr>
        <w:spacing w:after="0" w:line="161" w:lineRule="exact"/>
        <w:rPr>
          <w:rFonts w:ascii="Times New Roman" w:cs="Times New Roman" w:eastAsia="Times New Roman" w:hAnsi="Times New Roman"/>
          <w:sz w:val="18"/>
          <w:szCs w:val="18"/>
          <w:color w:val="auto"/>
        </w:rPr>
      </w:pPr>
    </w:p>
    <w:p>
      <w:pPr>
        <w:ind w:left="1040" w:hanging="290"/>
        <w:spacing w:after="0"/>
        <w:tabs>
          <w:tab w:leader="none" w:pos="1040" w:val="left"/>
        </w:tabs>
        <w:numPr>
          <w:ilvl w:val="1"/>
          <w:numId w:val="56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Maintaining the confidentiality of Company-related transactions;</w:t>
      </w:r>
    </w:p>
    <w:p>
      <w:pPr>
        <w:spacing w:after="0" w:line="17" w:lineRule="exact"/>
        <w:rPr>
          <w:rFonts w:ascii="Times New Roman" w:cs="Times New Roman" w:eastAsia="Times New Roman" w:hAnsi="Times New Roman"/>
          <w:sz w:val="16"/>
          <w:szCs w:val="16"/>
          <w:color w:val="auto"/>
        </w:rPr>
      </w:pPr>
    </w:p>
    <w:p>
      <w:pPr>
        <w:jc w:val="both"/>
        <w:ind w:left="1040" w:right="460" w:hanging="290"/>
        <w:spacing w:after="0" w:line="249" w:lineRule="auto"/>
        <w:tabs>
          <w:tab w:leader="none" w:pos="1040" w:val="left"/>
        </w:tabs>
        <w:numPr>
          <w:ilvl w:val="1"/>
          <w:numId w:val="56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Conducting business and social activities so as not to risk inadvertent disclosure of confidential information (e.g., review of confidential documents in public places should be conducted so as to prevent access by unauthorized persons);</w:t>
      </w:r>
    </w:p>
    <w:p>
      <w:pPr>
        <w:spacing w:after="0" w:line="2" w:lineRule="exact"/>
        <w:rPr>
          <w:rFonts w:ascii="Times New Roman" w:cs="Times New Roman" w:eastAsia="Times New Roman" w:hAnsi="Times New Roman"/>
          <w:sz w:val="16"/>
          <w:szCs w:val="16"/>
          <w:color w:val="auto"/>
        </w:rPr>
      </w:pPr>
    </w:p>
    <w:p>
      <w:pPr>
        <w:jc w:val="both"/>
        <w:ind w:left="1040" w:right="460" w:hanging="290"/>
        <w:spacing w:after="0" w:line="250" w:lineRule="auto"/>
        <w:tabs>
          <w:tab w:leader="none" w:pos="1040" w:val="left"/>
        </w:tabs>
        <w:numPr>
          <w:ilvl w:val="1"/>
          <w:numId w:val="56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Not participating in any Internet site or other mode of communication that is available to members of the public (including, but not limited to, message or bulletin boards, Twitter, Facebook, Yahoo Finance, Motley Fool, etc.) that includes posting of any information regarding the Company;</w:t>
      </w:r>
    </w:p>
    <w:p>
      <w:pPr>
        <w:spacing w:after="0" w:line="1" w:lineRule="exact"/>
        <w:rPr>
          <w:rFonts w:ascii="Times New Roman" w:cs="Times New Roman" w:eastAsia="Times New Roman" w:hAnsi="Times New Roman"/>
          <w:sz w:val="16"/>
          <w:szCs w:val="16"/>
          <w:color w:val="auto"/>
        </w:rPr>
      </w:pPr>
    </w:p>
    <w:p>
      <w:pPr>
        <w:jc w:val="both"/>
        <w:ind w:left="1040" w:right="460" w:hanging="290"/>
        <w:spacing w:after="0" w:line="237" w:lineRule="auto"/>
        <w:tabs>
          <w:tab w:leader="none" w:pos="1040" w:val="left"/>
        </w:tabs>
        <w:numPr>
          <w:ilvl w:val="1"/>
          <w:numId w:val="56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Restricting access to documents and files (including computer files) containing material, non-public information to individuals on a need-to-know basis (including maintaining control over the distribution of documents and drafts of documents);</w:t>
      </w:r>
    </w:p>
    <w:p>
      <w:pPr>
        <w:ind w:left="1040" w:right="460" w:hanging="290"/>
        <w:spacing w:after="0" w:line="236" w:lineRule="auto"/>
        <w:tabs>
          <w:tab w:leader="none" w:pos="1040" w:val="left"/>
        </w:tabs>
        <w:numPr>
          <w:ilvl w:val="1"/>
          <w:numId w:val="56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Promptly removing and cleaning up all confidential documents and other materials from conference rooms following the conclusion of any meetings;</w:t>
      </w:r>
    </w:p>
    <w:p>
      <w:pPr>
        <w:spacing w:after="0" w:line="1" w:lineRule="exact"/>
        <w:rPr>
          <w:rFonts w:ascii="Times New Roman" w:cs="Times New Roman" w:eastAsia="Times New Roman" w:hAnsi="Times New Roman"/>
          <w:sz w:val="16"/>
          <w:szCs w:val="16"/>
          <w:color w:val="auto"/>
        </w:rPr>
      </w:pPr>
    </w:p>
    <w:p>
      <w:pPr>
        <w:jc w:val="both"/>
        <w:ind w:left="1040" w:right="460" w:hanging="290"/>
        <w:spacing w:after="0" w:line="236" w:lineRule="auto"/>
        <w:tabs>
          <w:tab w:leader="none" w:pos="1040" w:val="left"/>
        </w:tabs>
        <w:numPr>
          <w:ilvl w:val="1"/>
          <w:numId w:val="56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Properly disposing of confidential documents and other papers under the Company’s document retention policies after there is no longer any business or other legally required need, through shredders when appropriate;</w:t>
      </w:r>
    </w:p>
    <w:p>
      <w:pPr>
        <w:spacing w:after="0" w:line="1" w:lineRule="exact"/>
        <w:rPr>
          <w:rFonts w:ascii="Times New Roman" w:cs="Times New Roman" w:eastAsia="Times New Roman" w:hAnsi="Times New Roman"/>
          <w:sz w:val="16"/>
          <w:szCs w:val="16"/>
          <w:color w:val="auto"/>
        </w:rPr>
      </w:pPr>
    </w:p>
    <w:p>
      <w:pPr>
        <w:ind w:left="1040" w:right="460" w:hanging="290"/>
        <w:spacing w:after="0" w:line="236" w:lineRule="auto"/>
        <w:tabs>
          <w:tab w:leader="none" w:pos="1040" w:val="left"/>
        </w:tabs>
        <w:numPr>
          <w:ilvl w:val="1"/>
          <w:numId w:val="56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Restricting access to physical areas likely to contain confidential documents or material, non-public information; and</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397510</wp:posOffset>
            </wp:positionV>
            <wp:extent cx="5121910" cy="1524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956">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518" w:name="page519"/>
    <w:bookmarkEnd w:id="518"/>
    <w:p>
      <w:pPr>
        <w:ind w:left="7840"/>
        <w:spacing w:after="0"/>
        <w:rPr>
          <w:sz w:val="20"/>
          <w:szCs w:val="20"/>
          <w:color w:val="auto"/>
        </w:rPr>
      </w:pPr>
      <w:r>
        <w:rPr>
          <w:rFonts w:ascii="Times New Roman" w:cs="Times New Roman" w:eastAsia="Times New Roman" w:hAnsi="Times New Roman"/>
          <w:sz w:val="14"/>
          <w:szCs w:val="14"/>
          <w:color w:val="auto"/>
        </w:rPr>
        <w:t>Exhibit 19.1</w:t>
      </w:r>
    </w:p>
    <w:p>
      <w:pPr>
        <w:spacing w:after="0" w:line="200" w:lineRule="exact"/>
        <w:rPr>
          <w:sz w:val="20"/>
          <w:szCs w:val="20"/>
          <w:color w:val="auto"/>
        </w:rPr>
      </w:pPr>
    </w:p>
    <w:p>
      <w:pPr>
        <w:spacing w:after="0" w:line="215" w:lineRule="exact"/>
        <w:rPr>
          <w:sz w:val="20"/>
          <w:szCs w:val="20"/>
          <w:color w:val="auto"/>
        </w:rPr>
      </w:pPr>
    </w:p>
    <w:p>
      <w:pPr>
        <w:ind w:left="1040" w:right="460" w:hanging="290"/>
        <w:spacing w:after="0" w:line="268" w:lineRule="auto"/>
        <w:tabs>
          <w:tab w:leader="none" w:pos="1040" w:val="left"/>
        </w:tabs>
        <w:numPr>
          <w:ilvl w:val="1"/>
          <w:numId w:val="56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Not discussing any Company matter in public places where the information could be overheard, such as in elevators, restrooms, hallways, restaurants, trains, airports, airplanes, Uber rides, or taxicabs.</w:t>
      </w:r>
    </w:p>
    <w:p>
      <w:pPr>
        <w:spacing w:after="0" w:line="161" w:lineRule="exact"/>
        <w:rPr>
          <w:rFonts w:ascii="Times New Roman" w:cs="Times New Roman" w:eastAsia="Times New Roman" w:hAnsi="Times New Roman"/>
          <w:sz w:val="16"/>
          <w:szCs w:val="16"/>
          <w:color w:val="auto"/>
        </w:rPr>
      </w:pPr>
    </w:p>
    <w:p>
      <w:pPr>
        <w:ind w:left="760" w:right="460" w:hanging="298"/>
        <w:spacing w:after="0" w:line="268" w:lineRule="auto"/>
        <w:tabs>
          <w:tab w:leader="none" w:pos="760" w:val="left"/>
        </w:tabs>
        <w:numPr>
          <w:ilvl w:val="0"/>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involved with potentially material, non-public information, to the extent feasible, should conduct their business and activities in areas separate from other Company activities.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Prohibited Transactions and Avoidance of Certain Aggressive or Speculative Trading</w:t>
      </w:r>
    </w:p>
    <w:p>
      <w:pPr>
        <w:spacing w:after="0" w:line="241" w:lineRule="exact"/>
        <w:rPr>
          <w:sz w:val="20"/>
          <w:szCs w:val="20"/>
          <w:color w:val="auto"/>
        </w:rPr>
      </w:pPr>
    </w:p>
    <w:p>
      <w:pPr>
        <w:jc w:val="both"/>
        <w:ind w:left="460" w:right="460"/>
        <w:spacing w:after="0" w:line="247" w:lineRule="auto"/>
        <w:rPr>
          <w:sz w:val="20"/>
          <w:szCs w:val="20"/>
          <w:color w:val="auto"/>
        </w:rPr>
      </w:pPr>
      <w:r>
        <w:rPr>
          <w:rFonts w:ascii="Times New Roman" w:cs="Times New Roman" w:eastAsia="Times New Roman" w:hAnsi="Times New Roman"/>
          <w:sz w:val="18"/>
          <w:szCs w:val="18"/>
          <w:color w:val="auto"/>
        </w:rPr>
        <w:t>Covered Persons, their respective Family Members, and Related Parties should ordinarily not participate directly or indirectly in transactions involving trading activities, which by their aggressive or speculative nature may give rise to an appearance of impropriety. Covered Persons shall comply with the following policies with respect to certain transactions in the Company securities:</w:t>
      </w:r>
    </w:p>
    <w:p>
      <w:pPr>
        <w:spacing w:after="0" w:line="197" w:lineRule="exact"/>
        <w:rPr>
          <w:sz w:val="20"/>
          <w:szCs w:val="20"/>
          <w:color w:val="auto"/>
        </w:rPr>
      </w:pPr>
    </w:p>
    <w:tbl>
      <w:tblPr>
        <w:tblLayout w:type="fixed"/>
        <w:tblInd w:w="410" w:type="dxa"/>
        <w:tblCellMar>
          <w:top w:w="0" w:type="dxa"/>
          <w:left w:w="0" w:type="dxa"/>
          <w:bottom w:w="0" w:type="dxa"/>
          <w:right w:w="0" w:type="dxa"/>
        </w:tblCellMar>
      </w:tblPr>
      <w:tr>
        <w:trPr>
          <w:trHeight w:val="204"/>
        </w:trPr>
        <w:tc>
          <w:tcPr>
            <w:tcW w:w="1000" w:type="dxa"/>
            <w:vAlign w:val="bottom"/>
            <w:tcBorders>
              <w:top w:val="single" w:sz="8" w:color="auto"/>
              <w:left w:val="single" w:sz="8" w:color="auto"/>
            </w:tcBorders>
          </w:tcPr>
          <w:p>
            <w:pPr>
              <w:ind w:left="80"/>
              <w:spacing w:after="0" w:line="204" w:lineRule="exact"/>
              <w:rPr>
                <w:sz w:val="20"/>
                <w:szCs w:val="20"/>
                <w:color w:val="auto"/>
              </w:rPr>
            </w:pPr>
            <w:r>
              <w:rPr>
                <w:rFonts w:ascii="Times New Roman" w:cs="Times New Roman" w:eastAsia="Times New Roman" w:hAnsi="Times New Roman"/>
                <w:sz w:val="18"/>
                <w:szCs w:val="18"/>
                <w:i w:val="1"/>
                <w:iCs w:val="1"/>
                <w:color w:val="auto"/>
              </w:rPr>
              <w:t>Short Sales</w:t>
            </w:r>
          </w:p>
        </w:tc>
        <w:tc>
          <w:tcPr>
            <w:tcW w:w="780" w:type="dxa"/>
            <w:vAlign w:val="bottom"/>
            <w:tcBorders>
              <w:top w:val="single" w:sz="8" w:color="auto"/>
            </w:tcBorders>
          </w:tcPr>
          <w:p>
            <w:pPr>
              <w:spacing w:after="0"/>
              <w:rPr>
                <w:sz w:val="17"/>
                <w:szCs w:val="17"/>
                <w:color w:val="auto"/>
              </w:rPr>
            </w:pPr>
          </w:p>
        </w:tc>
        <w:tc>
          <w:tcPr>
            <w:tcW w:w="860" w:type="dxa"/>
            <w:vAlign w:val="bottom"/>
            <w:tcBorders>
              <w:top w:val="single" w:sz="8" w:color="auto"/>
              <w:right w:val="single" w:sz="8" w:color="auto"/>
            </w:tcBorders>
          </w:tcPr>
          <w:p>
            <w:pPr>
              <w:spacing w:after="0"/>
              <w:rPr>
                <w:sz w:val="17"/>
                <w:szCs w:val="17"/>
                <w:color w:val="auto"/>
              </w:rPr>
            </w:pPr>
          </w:p>
        </w:tc>
        <w:tc>
          <w:tcPr>
            <w:tcW w:w="5600" w:type="dxa"/>
            <w:vAlign w:val="bottom"/>
            <w:tcBorders>
              <w:top w:val="single" w:sz="8" w:color="auto"/>
              <w:right w:val="single" w:sz="8" w:color="auto"/>
            </w:tcBorders>
          </w:tcPr>
          <w:p>
            <w:pPr>
              <w:ind w:left="60"/>
              <w:spacing w:after="0" w:line="204" w:lineRule="exact"/>
              <w:rPr>
                <w:sz w:val="20"/>
                <w:szCs w:val="20"/>
                <w:color w:val="auto"/>
              </w:rPr>
            </w:pPr>
            <w:r>
              <w:rPr>
                <w:rFonts w:ascii="Times New Roman" w:cs="Times New Roman" w:eastAsia="Times New Roman" w:hAnsi="Times New Roman"/>
                <w:sz w:val="18"/>
                <w:szCs w:val="18"/>
                <w:color w:val="auto"/>
              </w:rPr>
              <w:t>Short sales of the Company’s securities (a sale of securities that are not</w:t>
            </w:r>
          </w:p>
        </w:tc>
      </w:tr>
      <w:tr>
        <w:trPr>
          <w:trHeight w:val="216"/>
        </w:trPr>
        <w:tc>
          <w:tcPr>
            <w:tcW w:w="1000" w:type="dxa"/>
            <w:vAlign w:val="bottom"/>
            <w:tcBorders>
              <w:left w:val="single" w:sz="8" w:color="auto"/>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then owned) are prohibited by this Policy.</w:t>
            </w:r>
          </w:p>
        </w:tc>
      </w:tr>
      <w:tr>
        <w:trPr>
          <w:trHeight w:val="184"/>
        </w:trPr>
        <w:tc>
          <w:tcPr>
            <w:tcW w:w="2640" w:type="dxa"/>
            <w:vAlign w:val="bottom"/>
            <w:tcBorders>
              <w:left w:val="single" w:sz="8" w:color="auto"/>
              <w:right w:val="single" w:sz="8" w:color="auto"/>
            </w:tcBorders>
            <w:gridSpan w:val="3"/>
          </w:tcPr>
          <w:p>
            <w:pPr>
              <w:ind w:left="80"/>
              <w:spacing w:after="0" w:line="183" w:lineRule="exact"/>
              <w:rPr>
                <w:sz w:val="20"/>
                <w:szCs w:val="20"/>
                <w:color w:val="auto"/>
              </w:rPr>
            </w:pPr>
            <w:r>
              <w:rPr>
                <w:rFonts w:ascii="Times New Roman" w:cs="Times New Roman" w:eastAsia="Times New Roman" w:hAnsi="Times New Roman"/>
                <w:sz w:val="18"/>
                <w:szCs w:val="18"/>
                <w:i w:val="1"/>
                <w:iCs w:val="1"/>
                <w:color w:val="auto"/>
              </w:rPr>
              <w:t>Publicly-Traded Options</w:t>
            </w:r>
          </w:p>
        </w:tc>
        <w:tc>
          <w:tcPr>
            <w:tcW w:w="5600" w:type="dxa"/>
            <w:vAlign w:val="bottom"/>
            <w:tcBorders>
              <w:right w:val="single" w:sz="8" w:color="auto"/>
            </w:tcBorders>
          </w:tcPr>
          <w:p>
            <w:pPr>
              <w:ind w:left="60"/>
              <w:spacing w:after="0" w:line="183" w:lineRule="exact"/>
              <w:rPr>
                <w:sz w:val="20"/>
                <w:szCs w:val="20"/>
                <w:color w:val="auto"/>
              </w:rPr>
            </w:pPr>
            <w:r>
              <w:rPr>
                <w:rFonts w:ascii="Times New Roman" w:cs="Times New Roman" w:eastAsia="Times New Roman" w:hAnsi="Times New Roman"/>
                <w:sz w:val="18"/>
                <w:szCs w:val="18"/>
                <w:color w:val="auto"/>
              </w:rPr>
              <w:t>Transactions in puts, calls, or other derivative securities involving the</w:t>
            </w:r>
          </w:p>
        </w:tc>
      </w:tr>
      <w:tr>
        <w:trPr>
          <w:trHeight w:val="204"/>
        </w:trPr>
        <w:tc>
          <w:tcPr>
            <w:tcW w:w="1000" w:type="dxa"/>
            <w:vAlign w:val="bottom"/>
            <w:tcBorders>
              <w:lef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tcPr>
          <w:p>
            <w:pPr>
              <w:ind w:left="60"/>
              <w:spacing w:after="0" w:line="204" w:lineRule="exact"/>
              <w:rPr>
                <w:sz w:val="20"/>
                <w:szCs w:val="20"/>
                <w:color w:val="auto"/>
              </w:rPr>
            </w:pPr>
            <w:r>
              <w:rPr>
                <w:rFonts w:ascii="Times New Roman" w:cs="Times New Roman" w:eastAsia="Times New Roman" w:hAnsi="Times New Roman"/>
                <w:sz w:val="18"/>
                <w:szCs w:val="18"/>
                <w:color w:val="auto"/>
              </w:rPr>
              <w:t>Company’s equity securities, on an exchange or in any other organized</w:t>
            </w:r>
          </w:p>
        </w:tc>
      </w:tr>
      <w:tr>
        <w:trPr>
          <w:trHeight w:val="216"/>
        </w:trPr>
        <w:tc>
          <w:tcPr>
            <w:tcW w:w="1000" w:type="dxa"/>
            <w:vAlign w:val="bottom"/>
            <w:tcBorders>
              <w:left w:val="single" w:sz="8" w:color="auto"/>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market, are prohibited by this Policy.</w:t>
            </w:r>
          </w:p>
        </w:tc>
      </w:tr>
      <w:tr>
        <w:trPr>
          <w:trHeight w:val="184"/>
        </w:trPr>
        <w:tc>
          <w:tcPr>
            <w:tcW w:w="1780" w:type="dxa"/>
            <w:vAlign w:val="bottom"/>
            <w:tcBorders>
              <w:left w:val="single" w:sz="8" w:color="auto"/>
            </w:tcBorders>
            <w:gridSpan w:val="2"/>
          </w:tcPr>
          <w:p>
            <w:pPr>
              <w:ind w:left="80"/>
              <w:spacing w:after="0" w:line="183" w:lineRule="exact"/>
              <w:rPr>
                <w:sz w:val="20"/>
                <w:szCs w:val="20"/>
                <w:color w:val="auto"/>
              </w:rPr>
            </w:pPr>
            <w:r>
              <w:rPr>
                <w:rFonts w:ascii="Times New Roman" w:cs="Times New Roman" w:eastAsia="Times New Roman" w:hAnsi="Times New Roman"/>
                <w:sz w:val="18"/>
                <w:szCs w:val="18"/>
                <w:i w:val="1"/>
                <w:iCs w:val="1"/>
                <w:color w:val="auto"/>
              </w:rPr>
              <w:t>Hedging Transactions</w:t>
            </w:r>
          </w:p>
        </w:tc>
        <w:tc>
          <w:tcPr>
            <w:tcW w:w="86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60"/>
              <w:spacing w:after="0" w:line="183" w:lineRule="exact"/>
              <w:rPr>
                <w:sz w:val="20"/>
                <w:szCs w:val="20"/>
                <w:color w:val="auto"/>
              </w:rPr>
            </w:pPr>
            <w:r>
              <w:rPr>
                <w:rFonts w:ascii="Times New Roman" w:cs="Times New Roman" w:eastAsia="Times New Roman" w:hAnsi="Times New Roman"/>
                <w:sz w:val="18"/>
                <w:szCs w:val="18"/>
                <w:color w:val="auto"/>
              </w:rPr>
              <w:t>Certain forms of hedging or monetization transactions, such as zero-cost</w:t>
            </w:r>
          </w:p>
        </w:tc>
      </w:tr>
      <w:tr>
        <w:trPr>
          <w:trHeight w:val="204"/>
        </w:trPr>
        <w:tc>
          <w:tcPr>
            <w:tcW w:w="1000" w:type="dxa"/>
            <w:vAlign w:val="bottom"/>
            <w:tcBorders>
              <w:lef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tcPr>
          <w:p>
            <w:pPr>
              <w:ind w:left="60"/>
              <w:spacing w:after="0" w:line="204" w:lineRule="exact"/>
              <w:rPr>
                <w:sz w:val="20"/>
                <w:szCs w:val="20"/>
                <w:color w:val="auto"/>
              </w:rPr>
            </w:pPr>
            <w:r>
              <w:rPr>
                <w:rFonts w:ascii="Times New Roman" w:cs="Times New Roman" w:eastAsia="Times New Roman" w:hAnsi="Times New Roman"/>
                <w:sz w:val="18"/>
                <w:szCs w:val="18"/>
                <w:color w:val="auto"/>
              </w:rPr>
              <w:t>collars and forward sale contracts allow a Covered Person to continue to</w:t>
            </w:r>
          </w:p>
        </w:tc>
      </w:tr>
      <w:tr>
        <w:trPr>
          <w:trHeight w:val="204"/>
        </w:trPr>
        <w:tc>
          <w:tcPr>
            <w:tcW w:w="1000" w:type="dxa"/>
            <w:vAlign w:val="bottom"/>
            <w:tcBorders>
              <w:lef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tcPr>
          <w:p>
            <w:pPr>
              <w:ind w:left="60"/>
              <w:spacing w:after="0" w:line="204" w:lineRule="exact"/>
              <w:rPr>
                <w:sz w:val="20"/>
                <w:szCs w:val="20"/>
                <w:color w:val="auto"/>
              </w:rPr>
            </w:pPr>
            <w:r>
              <w:rPr>
                <w:rFonts w:ascii="Times New Roman" w:cs="Times New Roman" w:eastAsia="Times New Roman" w:hAnsi="Times New Roman"/>
                <w:sz w:val="18"/>
                <w:szCs w:val="18"/>
                <w:color w:val="auto"/>
              </w:rPr>
              <w:t>own Company securities, but without the full risks and rewards of</w:t>
            </w:r>
          </w:p>
        </w:tc>
      </w:tr>
      <w:tr>
        <w:trPr>
          <w:trHeight w:val="216"/>
        </w:trPr>
        <w:tc>
          <w:tcPr>
            <w:tcW w:w="1000" w:type="dxa"/>
            <w:vAlign w:val="bottom"/>
            <w:tcBorders>
              <w:left w:val="single" w:sz="8" w:color="auto"/>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ownership. These transactions are prohibited by this Policy.</w:t>
            </w:r>
          </w:p>
        </w:tc>
      </w:tr>
      <w:tr>
        <w:trPr>
          <w:trHeight w:val="182"/>
        </w:trPr>
        <w:tc>
          <w:tcPr>
            <w:tcW w:w="1000" w:type="dxa"/>
            <w:vAlign w:val="bottom"/>
            <w:tcBorders>
              <w:left w:val="single" w:sz="8" w:color="auto"/>
            </w:tcBorders>
          </w:tcPr>
          <w:p>
            <w:pPr>
              <w:ind w:left="80"/>
              <w:spacing w:after="0" w:line="182" w:lineRule="exact"/>
              <w:rPr>
                <w:sz w:val="20"/>
                <w:szCs w:val="20"/>
                <w:color w:val="auto"/>
              </w:rPr>
            </w:pPr>
            <w:r>
              <w:rPr>
                <w:rFonts w:ascii="Times New Roman" w:cs="Times New Roman" w:eastAsia="Times New Roman" w:hAnsi="Times New Roman"/>
                <w:sz w:val="18"/>
                <w:szCs w:val="18"/>
                <w:i w:val="1"/>
                <w:iCs w:val="1"/>
                <w:color w:val="auto"/>
              </w:rPr>
              <w:t>Purchasing</w:t>
            </w:r>
          </w:p>
        </w:tc>
        <w:tc>
          <w:tcPr>
            <w:tcW w:w="7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Company</w:t>
            </w:r>
          </w:p>
        </w:tc>
        <w:tc>
          <w:tcPr>
            <w:tcW w:w="860" w:type="dxa"/>
            <w:vAlign w:val="bottom"/>
            <w:tcBorders>
              <w:right w:val="single" w:sz="8" w:color="auto"/>
            </w:tcBorders>
          </w:tcPr>
          <w:p>
            <w:pPr>
              <w:jc w:val="right"/>
              <w:ind w:right="10"/>
              <w:spacing w:after="0" w:line="182" w:lineRule="exact"/>
              <w:rPr>
                <w:sz w:val="20"/>
                <w:szCs w:val="20"/>
                <w:color w:val="auto"/>
              </w:rPr>
            </w:pPr>
            <w:r>
              <w:rPr>
                <w:rFonts w:ascii="Times New Roman" w:cs="Times New Roman" w:eastAsia="Times New Roman" w:hAnsi="Times New Roman"/>
                <w:sz w:val="18"/>
                <w:szCs w:val="18"/>
                <w:i w:val="1"/>
                <w:iCs w:val="1"/>
                <w:color w:val="auto"/>
              </w:rPr>
              <w:t>Securities</w:t>
            </w:r>
          </w:p>
        </w:tc>
        <w:tc>
          <w:tcPr>
            <w:tcW w:w="5600" w:type="dxa"/>
            <w:vAlign w:val="bottom"/>
            <w:tcBorders>
              <w:right w:val="single" w:sz="8" w:color="auto"/>
            </w:tcBorders>
          </w:tcPr>
          <w:p>
            <w:pPr>
              <w:ind w:left="60"/>
              <w:spacing w:after="0" w:line="182" w:lineRule="exact"/>
              <w:rPr>
                <w:sz w:val="20"/>
                <w:szCs w:val="20"/>
                <w:color w:val="auto"/>
              </w:rPr>
            </w:pPr>
            <w:r>
              <w:rPr>
                <w:rFonts w:ascii="Times New Roman" w:cs="Times New Roman" w:eastAsia="Times New Roman" w:hAnsi="Times New Roman"/>
                <w:sz w:val="18"/>
                <w:szCs w:val="18"/>
                <w:color w:val="auto"/>
              </w:rPr>
              <w:t>Purchasing Company securities on margin (borrowing from a brokerage</w:t>
            </w:r>
          </w:p>
        </w:tc>
      </w:tr>
      <w:tr>
        <w:trPr>
          <w:trHeight w:val="204"/>
        </w:trPr>
        <w:tc>
          <w:tcPr>
            <w:tcW w:w="1000" w:type="dxa"/>
            <w:vAlign w:val="bottom"/>
            <w:tcBorders>
              <w:left w:val="single" w:sz="8" w:color="auto"/>
            </w:tcBorders>
          </w:tcPr>
          <w:p>
            <w:pPr>
              <w:ind w:left="80"/>
              <w:spacing w:after="0" w:line="204" w:lineRule="exact"/>
              <w:rPr>
                <w:sz w:val="20"/>
                <w:szCs w:val="20"/>
                <w:color w:val="auto"/>
              </w:rPr>
            </w:pPr>
            <w:r>
              <w:rPr>
                <w:rFonts w:ascii="Times New Roman" w:cs="Times New Roman" w:eastAsia="Times New Roman" w:hAnsi="Times New Roman"/>
                <w:sz w:val="18"/>
                <w:szCs w:val="18"/>
                <w:i w:val="1"/>
                <w:iCs w:val="1"/>
                <w:color w:val="auto"/>
              </w:rPr>
              <w:t>on  Margin;</w:t>
            </w:r>
          </w:p>
        </w:tc>
        <w:tc>
          <w:tcPr>
            <w:tcW w:w="780" w:type="dxa"/>
            <w:vAlign w:val="bottom"/>
          </w:tcPr>
          <w:p>
            <w:pPr>
              <w:ind w:left="80"/>
              <w:spacing w:after="0" w:line="204" w:lineRule="exact"/>
              <w:rPr>
                <w:sz w:val="20"/>
                <w:szCs w:val="20"/>
                <w:color w:val="auto"/>
              </w:rPr>
            </w:pPr>
            <w:r>
              <w:rPr>
                <w:rFonts w:ascii="Times New Roman" w:cs="Times New Roman" w:eastAsia="Times New Roman" w:hAnsi="Times New Roman"/>
                <w:sz w:val="18"/>
                <w:szCs w:val="18"/>
                <w:i w:val="1"/>
                <w:iCs w:val="1"/>
                <w:color w:val="auto"/>
              </w:rPr>
              <w:t>Pledging</w:t>
            </w:r>
          </w:p>
        </w:tc>
        <w:tc>
          <w:tcPr>
            <w:tcW w:w="860" w:type="dxa"/>
            <w:vAlign w:val="bottom"/>
            <w:tcBorders>
              <w:right w:val="single" w:sz="8" w:color="auto"/>
            </w:tcBorders>
          </w:tcPr>
          <w:p>
            <w:pPr>
              <w:jc w:val="right"/>
              <w:ind w:right="10"/>
              <w:spacing w:after="0" w:line="204" w:lineRule="exact"/>
              <w:rPr>
                <w:sz w:val="20"/>
                <w:szCs w:val="20"/>
                <w:color w:val="auto"/>
              </w:rPr>
            </w:pPr>
            <w:r>
              <w:rPr>
                <w:rFonts w:ascii="Times New Roman" w:cs="Times New Roman" w:eastAsia="Times New Roman" w:hAnsi="Times New Roman"/>
                <w:sz w:val="18"/>
                <w:szCs w:val="18"/>
                <w:i w:val="1"/>
                <w:iCs w:val="1"/>
                <w:color w:val="auto"/>
              </w:rPr>
              <w:t>Company</w:t>
            </w:r>
          </w:p>
        </w:tc>
        <w:tc>
          <w:tcPr>
            <w:tcW w:w="5600" w:type="dxa"/>
            <w:vAlign w:val="bottom"/>
            <w:tcBorders>
              <w:right w:val="single" w:sz="8" w:color="auto"/>
            </w:tcBorders>
          </w:tcPr>
          <w:p>
            <w:pPr>
              <w:ind w:left="60"/>
              <w:spacing w:after="0" w:line="204" w:lineRule="exact"/>
              <w:rPr>
                <w:sz w:val="20"/>
                <w:szCs w:val="20"/>
                <w:color w:val="auto"/>
              </w:rPr>
            </w:pPr>
            <w:r>
              <w:rPr>
                <w:rFonts w:ascii="Times New Roman" w:cs="Times New Roman" w:eastAsia="Times New Roman" w:hAnsi="Times New Roman"/>
                <w:sz w:val="18"/>
                <w:szCs w:val="18"/>
                <w:color w:val="auto"/>
              </w:rPr>
              <w:t>firm, bank or other entity to purchase the Company’s securities) is</w:t>
            </w:r>
          </w:p>
        </w:tc>
      </w:tr>
      <w:tr>
        <w:trPr>
          <w:trHeight w:val="204"/>
        </w:trPr>
        <w:tc>
          <w:tcPr>
            <w:tcW w:w="2640" w:type="dxa"/>
            <w:vAlign w:val="bottom"/>
            <w:tcBorders>
              <w:left w:val="single" w:sz="8" w:color="auto"/>
              <w:right w:val="single" w:sz="8" w:color="auto"/>
            </w:tcBorders>
            <w:gridSpan w:val="3"/>
          </w:tcPr>
          <w:p>
            <w:pPr>
              <w:ind w:left="80"/>
              <w:spacing w:after="0" w:line="204" w:lineRule="exact"/>
              <w:rPr>
                <w:sz w:val="20"/>
                <w:szCs w:val="20"/>
                <w:color w:val="auto"/>
              </w:rPr>
            </w:pPr>
            <w:r>
              <w:rPr>
                <w:rFonts w:ascii="Times New Roman" w:cs="Times New Roman" w:eastAsia="Times New Roman" w:hAnsi="Times New Roman"/>
                <w:sz w:val="18"/>
                <w:szCs w:val="18"/>
                <w:i w:val="1"/>
                <w:iCs w:val="1"/>
                <w:color w:val="auto"/>
              </w:rPr>
              <w:t>Securities to Secure Margin or</w:t>
            </w:r>
          </w:p>
        </w:tc>
        <w:tc>
          <w:tcPr>
            <w:tcW w:w="5600" w:type="dxa"/>
            <w:vAlign w:val="bottom"/>
            <w:tcBorders>
              <w:right w:val="single" w:sz="8" w:color="auto"/>
            </w:tcBorders>
          </w:tcPr>
          <w:p>
            <w:pPr>
              <w:ind w:left="60"/>
              <w:spacing w:after="0" w:line="204" w:lineRule="exact"/>
              <w:rPr>
                <w:sz w:val="20"/>
                <w:szCs w:val="20"/>
                <w:color w:val="auto"/>
              </w:rPr>
            </w:pPr>
            <w:r>
              <w:rPr>
                <w:rFonts w:ascii="Times New Roman" w:cs="Times New Roman" w:eastAsia="Times New Roman" w:hAnsi="Times New Roman"/>
                <w:sz w:val="18"/>
                <w:szCs w:val="18"/>
                <w:color w:val="auto"/>
              </w:rPr>
              <w:t>prohibited by this Policy. Pledging the Company’s securities as collateral</w:t>
            </w:r>
          </w:p>
        </w:tc>
      </w:tr>
      <w:tr>
        <w:trPr>
          <w:trHeight w:val="206"/>
        </w:trPr>
        <w:tc>
          <w:tcPr>
            <w:tcW w:w="100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auto"/>
                <w:w w:val="99"/>
              </w:rPr>
              <w:t>Other Loans</w:t>
            </w:r>
          </w:p>
        </w:tc>
        <w:tc>
          <w:tcPr>
            <w:tcW w:w="78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to secure loans is also prohibited, unless approved in advance in writing by</w:t>
            </w:r>
          </w:p>
        </w:tc>
      </w:tr>
      <w:tr>
        <w:trPr>
          <w:trHeight w:val="204"/>
        </w:trPr>
        <w:tc>
          <w:tcPr>
            <w:tcW w:w="1000" w:type="dxa"/>
            <w:vAlign w:val="bottom"/>
            <w:tcBorders>
              <w:lef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tcPr>
          <w:p>
            <w:pPr>
              <w:ind w:left="60"/>
              <w:spacing w:after="0" w:line="204" w:lineRule="exact"/>
              <w:rPr>
                <w:sz w:val="20"/>
                <w:szCs w:val="20"/>
                <w:color w:val="auto"/>
              </w:rPr>
            </w:pPr>
            <w:r>
              <w:rPr>
                <w:rFonts w:ascii="Times New Roman" w:cs="Times New Roman" w:eastAsia="Times New Roman" w:hAnsi="Times New Roman"/>
                <w:sz w:val="18"/>
                <w:szCs w:val="18"/>
                <w:color w:val="auto"/>
              </w:rPr>
              <w:t>the SCO. This prohibition means, among other things, that you cannot hold</w:t>
            </w:r>
          </w:p>
        </w:tc>
      </w:tr>
      <w:tr>
        <w:trPr>
          <w:trHeight w:val="234"/>
        </w:trPr>
        <w:tc>
          <w:tcPr>
            <w:tcW w:w="1000" w:type="dxa"/>
            <w:vAlign w:val="bottom"/>
            <w:tcBorders>
              <w:lef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the Company’s securities in a “margin account.”</w:t>
            </w:r>
          </w:p>
        </w:tc>
      </w:tr>
      <w:tr>
        <w:trPr>
          <w:trHeight w:val="66"/>
        </w:trPr>
        <w:tc>
          <w:tcPr>
            <w:tcW w:w="2640" w:type="dxa"/>
            <w:vAlign w:val="bottom"/>
            <w:tcBorders>
              <w:left w:val="single" w:sz="8" w:color="auto"/>
              <w:bottom w:val="single" w:sz="8" w:color="auto"/>
              <w:right w:val="single" w:sz="8" w:color="auto"/>
            </w:tcBorders>
            <w:gridSpan w:val="3"/>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r>
      <w:tr>
        <w:trPr>
          <w:trHeight w:val="182"/>
        </w:trPr>
        <w:tc>
          <w:tcPr>
            <w:tcW w:w="2640" w:type="dxa"/>
            <w:vAlign w:val="bottom"/>
            <w:tcBorders>
              <w:left w:val="single" w:sz="8" w:color="auto"/>
              <w:right w:val="single" w:sz="8" w:color="auto"/>
            </w:tcBorders>
            <w:gridSpan w:val="3"/>
          </w:tcPr>
          <w:p>
            <w:pPr>
              <w:ind w:left="80"/>
              <w:spacing w:after="0" w:line="182" w:lineRule="exact"/>
              <w:rPr>
                <w:sz w:val="20"/>
                <w:szCs w:val="20"/>
                <w:color w:val="auto"/>
              </w:rPr>
            </w:pPr>
            <w:r>
              <w:rPr>
                <w:rFonts w:ascii="Times New Roman" w:cs="Times New Roman" w:eastAsia="Times New Roman" w:hAnsi="Times New Roman"/>
                <w:sz w:val="18"/>
                <w:szCs w:val="18"/>
                <w:i w:val="1"/>
                <w:iCs w:val="1"/>
                <w:color w:val="auto"/>
              </w:rPr>
              <w:t>Standing  Orders  to  Sell  or</w:t>
            </w:r>
          </w:p>
        </w:tc>
        <w:tc>
          <w:tcPr>
            <w:tcW w:w="5600" w:type="dxa"/>
            <w:vAlign w:val="bottom"/>
            <w:tcBorders>
              <w:right w:val="single" w:sz="8" w:color="auto"/>
            </w:tcBorders>
          </w:tcPr>
          <w:p>
            <w:pPr>
              <w:ind w:left="60"/>
              <w:spacing w:after="0" w:line="182" w:lineRule="exact"/>
              <w:rPr>
                <w:sz w:val="20"/>
                <w:szCs w:val="20"/>
                <w:color w:val="auto"/>
              </w:rPr>
            </w:pPr>
            <w:r>
              <w:rPr>
                <w:rFonts w:ascii="Times New Roman" w:cs="Times New Roman" w:eastAsia="Times New Roman" w:hAnsi="Times New Roman"/>
                <w:sz w:val="18"/>
                <w:szCs w:val="18"/>
                <w:color w:val="auto"/>
              </w:rPr>
              <w:t>Standing orders, including, but not limited to, limit orders and stop orders</w:t>
            </w:r>
          </w:p>
        </w:tc>
      </w:tr>
      <w:tr>
        <w:trPr>
          <w:trHeight w:val="206"/>
        </w:trPr>
        <w:tc>
          <w:tcPr>
            <w:tcW w:w="2640" w:type="dxa"/>
            <w:vAlign w:val="bottom"/>
            <w:tcBorders>
              <w:left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i w:val="1"/>
                <w:iCs w:val="1"/>
                <w:color w:val="auto"/>
              </w:rPr>
              <w:t>Purchase Company Securities</w:t>
            </w:r>
          </w:p>
        </w:tc>
        <w:tc>
          <w:tcPr>
            <w:tcW w:w="5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(except such orders under approved 10b5-1 Plans), are prohibited by this</w:t>
            </w:r>
          </w:p>
        </w:tc>
      </w:tr>
      <w:tr>
        <w:trPr>
          <w:trHeight w:val="216"/>
        </w:trPr>
        <w:tc>
          <w:tcPr>
            <w:tcW w:w="1000" w:type="dxa"/>
            <w:vAlign w:val="bottom"/>
            <w:tcBorders>
              <w:left w:val="single" w:sz="8" w:color="auto"/>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Policy.</w:t>
            </w:r>
          </w:p>
        </w:tc>
      </w:tr>
      <w:tr>
        <w:trPr>
          <w:trHeight w:val="454"/>
        </w:trPr>
        <w:tc>
          <w:tcPr>
            <w:tcW w:w="26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4F81BD"/>
              </w:rPr>
              <w:t>Explanation of Insider Trading</w:t>
            </w:r>
          </w:p>
        </w:tc>
        <w:tc>
          <w:tcPr>
            <w:tcW w:w="5600" w:type="dxa"/>
            <w:vAlign w:val="bottom"/>
          </w:tcPr>
          <w:p>
            <w:pPr>
              <w:spacing w:after="0"/>
              <w:rPr>
                <w:sz w:val="24"/>
                <w:szCs w:val="24"/>
                <w:color w:val="auto"/>
              </w:rPr>
            </w:pPr>
          </w:p>
        </w:tc>
      </w:tr>
    </w:tbl>
    <w:p>
      <w:pPr>
        <w:spacing w:after="0" w:line="210" w:lineRule="exact"/>
        <w:rPr>
          <w:sz w:val="20"/>
          <w:szCs w:val="20"/>
          <w:color w:val="auto"/>
        </w:rPr>
      </w:pPr>
    </w:p>
    <w:p>
      <w:pPr>
        <w:jc w:val="both"/>
        <w:ind w:left="460" w:right="460"/>
        <w:spacing w:after="0"/>
        <w:rPr>
          <w:sz w:val="20"/>
          <w:szCs w:val="20"/>
          <w:color w:val="auto"/>
        </w:rPr>
      </w:pPr>
      <w:r>
        <w:rPr>
          <w:rFonts w:ascii="Times New Roman" w:cs="Times New Roman" w:eastAsia="Times New Roman" w:hAnsi="Times New Roman"/>
          <w:sz w:val="18"/>
          <w:szCs w:val="18"/>
          <w:color w:val="auto"/>
        </w:rPr>
        <w:t>“Insider trading” is illegal and refers to the purchase or sale of a security while in possession of “material”, “non-public” information relating to the security. “Securities” include not only stocks, bonds, notes and debentures, but also options, warrants, and similar instruments. “Purchase” and “sale” are defined broadly under the federal securities laws and other securities laws as may be applicable. “Purchase” includes not only the actual purchase of a security, but any contract to purchase or otherwise acquire a security. “Sale” includes not only the actual sale of a security, but any contract to sell or otherwise dispose of a security. These definitions extend to a broad range of transactions, including conventional cash-for-stock transactions, conversions, and acquisitions and exercises of warrants or puts, calls, or other options related to a security. It is generally understood that insider trading includes the following:</w:t>
      </w:r>
    </w:p>
    <w:p>
      <w:pPr>
        <w:spacing w:after="0" w:line="190" w:lineRule="exact"/>
        <w:rPr>
          <w:sz w:val="20"/>
          <w:szCs w:val="20"/>
          <w:color w:val="auto"/>
        </w:rPr>
      </w:pPr>
    </w:p>
    <w:p>
      <w:pPr>
        <w:ind w:left="1040" w:hanging="290"/>
        <w:spacing w:after="0"/>
        <w:tabs>
          <w:tab w:leader="none" w:pos="1040" w:val="left"/>
        </w:tabs>
        <w:numPr>
          <w:ilvl w:val="0"/>
          <w:numId w:val="56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Trading by insiders while in possession of material, non-public information;</w:t>
      </w:r>
    </w:p>
    <w:p>
      <w:pPr>
        <w:spacing w:after="0" w:line="17" w:lineRule="exact"/>
        <w:rPr>
          <w:rFonts w:ascii="Times New Roman" w:cs="Times New Roman" w:eastAsia="Times New Roman" w:hAnsi="Times New Roman"/>
          <w:sz w:val="16"/>
          <w:szCs w:val="16"/>
          <w:color w:val="auto"/>
        </w:rPr>
      </w:pPr>
    </w:p>
    <w:p>
      <w:pPr>
        <w:jc w:val="both"/>
        <w:ind w:left="1040" w:right="480" w:hanging="290"/>
        <w:spacing w:after="0" w:line="236" w:lineRule="auto"/>
        <w:tabs>
          <w:tab w:leader="none" w:pos="1040" w:val="left"/>
        </w:tabs>
        <w:numPr>
          <w:ilvl w:val="0"/>
          <w:numId w:val="56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Trading by persons other than insiders while in possession of material, non-public information where the information either was given in breach of an insider’s fiduciary duty to keep it confidential or was misappropriated; or</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397510</wp:posOffset>
            </wp:positionV>
            <wp:extent cx="5121910" cy="1524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957">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519" w:name="page520"/>
    <w:bookmarkEnd w:id="519"/>
    <w:p>
      <w:pPr>
        <w:ind w:left="7840"/>
        <w:spacing w:after="0"/>
        <w:rPr>
          <w:sz w:val="20"/>
          <w:szCs w:val="20"/>
          <w:color w:val="auto"/>
        </w:rPr>
      </w:pPr>
      <w:r>
        <w:rPr>
          <w:rFonts w:ascii="Times New Roman" w:cs="Times New Roman" w:eastAsia="Times New Roman" w:hAnsi="Times New Roman"/>
          <w:sz w:val="14"/>
          <w:szCs w:val="14"/>
          <w:color w:val="auto"/>
        </w:rPr>
        <w:t>Exhibit 19.1</w:t>
      </w:r>
    </w:p>
    <w:p>
      <w:pPr>
        <w:spacing w:after="0" w:line="200" w:lineRule="exact"/>
        <w:rPr>
          <w:sz w:val="20"/>
          <w:szCs w:val="20"/>
          <w:color w:val="auto"/>
        </w:rPr>
      </w:pPr>
    </w:p>
    <w:p>
      <w:pPr>
        <w:spacing w:after="0" w:line="215" w:lineRule="exact"/>
        <w:rPr>
          <w:sz w:val="20"/>
          <w:szCs w:val="20"/>
          <w:color w:val="auto"/>
        </w:rPr>
      </w:pPr>
    </w:p>
    <w:p>
      <w:pPr>
        <w:ind w:left="1040" w:right="480" w:hanging="290"/>
        <w:spacing w:after="0" w:line="268" w:lineRule="auto"/>
        <w:tabs>
          <w:tab w:leader="none" w:pos="1040" w:val="left"/>
        </w:tabs>
        <w:numPr>
          <w:ilvl w:val="0"/>
          <w:numId w:val="56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Communicating, disclosing, or tipping material, non-public information to others, including recommending the purchase or sale of a security while in possession of such information.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What Facts Are Material?</w:t>
      </w:r>
    </w:p>
    <w:p>
      <w:pPr>
        <w:spacing w:after="0" w:line="241" w:lineRule="exact"/>
        <w:rPr>
          <w:sz w:val="20"/>
          <w:szCs w:val="20"/>
          <w:color w:val="auto"/>
        </w:rPr>
      </w:pPr>
    </w:p>
    <w:p>
      <w:pPr>
        <w:jc w:val="both"/>
        <w:ind w:left="460" w:right="460"/>
        <w:spacing w:after="0" w:line="244" w:lineRule="auto"/>
        <w:rPr>
          <w:sz w:val="20"/>
          <w:szCs w:val="20"/>
          <w:color w:val="auto"/>
        </w:rPr>
      </w:pPr>
      <w:r>
        <w:rPr>
          <w:rFonts w:ascii="Times New Roman" w:cs="Times New Roman" w:eastAsia="Times New Roman" w:hAnsi="Times New Roman"/>
          <w:sz w:val="18"/>
          <w:szCs w:val="18"/>
          <w:color w:val="auto"/>
        </w:rPr>
        <w:t>The materiality of a fact depends upon the circumstances. A fact is considered “material” if there is a substantial likelihood that a reasonable investor would consider it important in making a decision to buy, sell, or hold a security, or where the fact is likely to have a significant effect on the market price of the security. Material information can include information about something that is likely to happen or just that it might happen. Material information can be positive or negative.</w:t>
      </w:r>
    </w:p>
    <w:p>
      <w:pPr>
        <w:spacing w:after="0" w:line="208" w:lineRule="exact"/>
        <w:rPr>
          <w:sz w:val="20"/>
          <w:szCs w:val="20"/>
          <w:color w:val="auto"/>
        </w:rPr>
      </w:pPr>
    </w:p>
    <w:p>
      <w:pPr>
        <w:jc w:val="both"/>
        <w:ind w:left="460" w:right="460"/>
        <w:spacing w:after="0" w:line="242" w:lineRule="auto"/>
        <w:rPr>
          <w:sz w:val="20"/>
          <w:szCs w:val="20"/>
          <w:color w:val="auto"/>
        </w:rPr>
      </w:pPr>
      <w:r>
        <w:rPr>
          <w:rFonts w:ascii="Times New Roman" w:cs="Times New Roman" w:eastAsia="Times New Roman" w:hAnsi="Times New Roman"/>
          <w:sz w:val="18"/>
          <w:szCs w:val="18"/>
          <w:color w:val="auto"/>
        </w:rPr>
        <w:t>While it is not possible to identify all information that would be deemed “material,” the following types of information ordinarily could be considered material: dividends or stock splits, corporate earnings or earnings forecasts, possible mergers or acquisitions, a change in management, the gain or loss of a significant customer or supplier, major litigation, significant borrowings or financings, defaults on borrowings, cybersecurity incidents, and bankruptcies. This is a partial list and does not include all circumstances and information that may be material.</w:t>
      </w:r>
    </w:p>
    <w:p>
      <w:pPr>
        <w:spacing w:after="0" w:line="212" w:lineRule="exact"/>
        <w:rPr>
          <w:sz w:val="20"/>
          <w:szCs w:val="20"/>
          <w:color w:val="auto"/>
        </w:rPr>
      </w:pPr>
    </w:p>
    <w:p>
      <w:pPr>
        <w:jc w:val="both"/>
        <w:ind w:left="460" w:right="460"/>
        <w:spacing w:after="0" w:line="247" w:lineRule="auto"/>
        <w:rPr>
          <w:sz w:val="20"/>
          <w:szCs w:val="20"/>
          <w:color w:val="auto"/>
        </w:rPr>
      </w:pPr>
      <w:r>
        <w:rPr>
          <w:rFonts w:ascii="Times New Roman" w:cs="Times New Roman" w:eastAsia="Times New Roman" w:hAnsi="Times New Roman"/>
          <w:sz w:val="18"/>
          <w:szCs w:val="18"/>
          <w:color w:val="auto"/>
        </w:rPr>
        <w:t>The rules related to insider trading are often complex, not always intuitive, and carry severe consequences. If you have any questions or concerns about whether you possess potentially material, non-public information about the Company or a Restricted Company (if you are a Reporting Person or Management Member), you should contact the SCO before you buy or sell any Company or Restricted Company securities.</w:t>
      </w:r>
    </w:p>
    <w:p>
      <w:pPr>
        <w:spacing w:after="0" w:line="2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WHEN IN DOUBT, DO NOT TRADE.</w:t>
      </w:r>
    </w:p>
    <w:p>
      <w:pPr>
        <w:spacing w:after="0" w:line="2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What Is Non-Public?</w:t>
      </w:r>
    </w:p>
    <w:p>
      <w:pPr>
        <w:spacing w:after="0" w:line="241" w:lineRule="exact"/>
        <w:rPr>
          <w:sz w:val="20"/>
          <w:szCs w:val="20"/>
          <w:color w:val="auto"/>
        </w:rPr>
      </w:pPr>
    </w:p>
    <w:p>
      <w:pPr>
        <w:jc w:val="both"/>
        <w:ind w:left="460" w:right="460"/>
        <w:spacing w:after="0" w:line="241" w:lineRule="auto"/>
        <w:rPr>
          <w:sz w:val="20"/>
          <w:szCs w:val="20"/>
          <w:color w:val="auto"/>
        </w:rPr>
      </w:pPr>
      <w:r>
        <w:rPr>
          <w:rFonts w:ascii="Times New Roman" w:cs="Times New Roman" w:eastAsia="Times New Roman" w:hAnsi="Times New Roman"/>
          <w:sz w:val="18"/>
          <w:szCs w:val="18"/>
          <w:color w:val="auto"/>
        </w:rPr>
        <w:t>Information is “non-public” if it has not been widely disseminated to the public in a Regulation FD-compliant method, such as through major newswire services, national news services or financial news services, or in a filing with the U.S. Securities and Exchange Commission (“SEC”). The circulation of rumors, even if accurate and reported in the media, does not constitute effective public dissemination. In addition, even after a public announcement, a reasonable period of time must lapse in order for the market to react to the information. Generally, one should allow approximately forty-eight hours following publication as a reasonable waiting period before such information is deemed to be public.</w:t>
      </w:r>
    </w:p>
    <w:p>
      <w:pPr>
        <w:spacing w:after="0" w:line="178" w:lineRule="exact"/>
        <w:rPr>
          <w:sz w:val="20"/>
          <w:szCs w:val="20"/>
          <w:color w:val="auto"/>
        </w:rPr>
      </w:pPr>
    </w:p>
    <w:p>
      <w:pPr>
        <w:ind w:left="460" w:right="940"/>
        <w:spacing w:after="0" w:line="268" w:lineRule="auto"/>
        <w:rPr>
          <w:sz w:val="20"/>
          <w:szCs w:val="20"/>
          <w:color w:val="auto"/>
        </w:rPr>
      </w:pPr>
      <w:r>
        <w:rPr>
          <w:rFonts w:ascii="Times New Roman" w:cs="Times New Roman" w:eastAsia="Times New Roman" w:hAnsi="Times New Roman"/>
          <w:sz w:val="18"/>
          <w:szCs w:val="18"/>
          <w:color w:val="auto"/>
        </w:rPr>
        <w:t>“Material, non-public information” as explained above corresponds with the definition of the term “inside information” of Art. 7 of the MAR which defines “Inside Information” as:</w:t>
      </w:r>
    </w:p>
    <w:p>
      <w:pPr>
        <w:spacing w:after="0" w:line="186" w:lineRule="exact"/>
        <w:rPr>
          <w:sz w:val="20"/>
          <w:szCs w:val="20"/>
          <w:color w:val="auto"/>
        </w:rPr>
      </w:pPr>
    </w:p>
    <w:p>
      <w:pPr>
        <w:ind w:left="1040" w:hanging="290"/>
        <w:spacing w:after="0"/>
        <w:tabs>
          <w:tab w:leader="none" w:pos="1040" w:val="left"/>
        </w:tabs>
        <w:numPr>
          <w:ilvl w:val="0"/>
          <w:numId w:val="5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of a precise nature, which has not been made public;</w:t>
      </w:r>
    </w:p>
    <w:p>
      <w:pPr>
        <w:spacing w:after="0" w:line="17" w:lineRule="exact"/>
        <w:rPr>
          <w:rFonts w:ascii="Times New Roman" w:cs="Times New Roman" w:eastAsia="Times New Roman" w:hAnsi="Times New Roman"/>
          <w:sz w:val="18"/>
          <w:szCs w:val="18"/>
          <w:color w:val="auto"/>
        </w:rPr>
      </w:pPr>
    </w:p>
    <w:p>
      <w:pPr>
        <w:ind w:left="1040" w:right="740" w:hanging="290"/>
        <w:spacing w:after="0" w:line="236" w:lineRule="auto"/>
        <w:tabs>
          <w:tab w:leader="none" w:pos="1040" w:val="left"/>
        </w:tabs>
        <w:numPr>
          <w:ilvl w:val="0"/>
          <w:numId w:val="5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Relating, directly or indirectly, to the company (in addition to other issuers where applicable) and its shares, debt instruments or to the financial instruments linked thereto; and</w:t>
      </w:r>
    </w:p>
    <w:p>
      <w:pPr>
        <w:spacing w:after="0" w:line="1" w:lineRule="exact"/>
        <w:rPr>
          <w:rFonts w:ascii="Times New Roman" w:cs="Times New Roman" w:eastAsia="Times New Roman" w:hAnsi="Times New Roman"/>
          <w:sz w:val="18"/>
          <w:szCs w:val="18"/>
          <w:color w:val="auto"/>
        </w:rPr>
      </w:pPr>
    </w:p>
    <w:p>
      <w:pPr>
        <w:ind w:left="1040" w:right="1080" w:hanging="290"/>
        <w:spacing w:after="0" w:line="245" w:lineRule="auto"/>
        <w:tabs>
          <w:tab w:leader="none" w:pos="1040" w:val="left"/>
        </w:tabs>
        <w:numPr>
          <w:ilvl w:val="0"/>
          <w:numId w:val="5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if it were made public, would be likely to have a significant effect on the prices of those financial instruments.</w:t>
      </w:r>
    </w:p>
    <w:p>
      <w:pPr>
        <w:spacing w:after="0" w:line="2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Who Is an Insider?</w:t>
      </w:r>
    </w:p>
    <w:p>
      <w:pPr>
        <w:spacing w:after="0" w:line="241" w:lineRule="exact"/>
        <w:rPr>
          <w:sz w:val="20"/>
          <w:szCs w:val="20"/>
          <w:color w:val="auto"/>
        </w:rPr>
      </w:pPr>
    </w:p>
    <w:p>
      <w:pPr>
        <w:jc w:val="both"/>
        <w:ind w:left="460" w:right="480"/>
        <w:spacing w:after="0" w:line="242" w:lineRule="auto"/>
        <w:rPr>
          <w:sz w:val="20"/>
          <w:szCs w:val="20"/>
          <w:color w:val="auto"/>
        </w:rPr>
      </w:pPr>
      <w:r>
        <w:rPr>
          <w:rFonts w:ascii="Times New Roman" w:cs="Times New Roman" w:eastAsia="Times New Roman" w:hAnsi="Times New Roman"/>
          <w:sz w:val="18"/>
          <w:szCs w:val="18"/>
          <w:color w:val="auto"/>
        </w:rPr>
        <w:t>“Insiders” include all officers, directors, and employees of a company (and its subsidiaries), and anyone else who has material, inside information about a company. All officers, directors, and employees of the Company (and its subsidiaries) should consider themselves insiders with respect to material, non-public information about the Company’s business, activities, and securities. Insiders may not trade in the</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397510</wp:posOffset>
            </wp:positionV>
            <wp:extent cx="5121910" cy="1524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958">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520" w:name="page521"/>
    <w:bookmarkEnd w:id="520"/>
    <w:p>
      <w:pPr>
        <w:ind w:left="7840"/>
        <w:spacing w:after="0"/>
        <w:rPr>
          <w:sz w:val="20"/>
          <w:szCs w:val="20"/>
          <w:color w:val="auto"/>
        </w:rPr>
      </w:pPr>
      <w:r>
        <w:rPr>
          <w:rFonts w:ascii="Times New Roman" w:cs="Times New Roman" w:eastAsia="Times New Roman" w:hAnsi="Times New Roman"/>
          <w:sz w:val="14"/>
          <w:szCs w:val="14"/>
          <w:color w:val="auto"/>
        </w:rPr>
        <w:t>Exhibit 19.1</w:t>
      </w:r>
    </w:p>
    <w:p>
      <w:pPr>
        <w:spacing w:after="0" w:line="200" w:lineRule="exact"/>
        <w:rPr>
          <w:sz w:val="20"/>
          <w:szCs w:val="20"/>
          <w:color w:val="auto"/>
        </w:rPr>
      </w:pPr>
    </w:p>
    <w:p>
      <w:pPr>
        <w:spacing w:after="0" w:line="215" w:lineRule="exact"/>
        <w:rPr>
          <w:sz w:val="20"/>
          <w:szCs w:val="20"/>
          <w:color w:val="auto"/>
        </w:rPr>
      </w:pPr>
    </w:p>
    <w:p>
      <w:pPr>
        <w:jc w:val="both"/>
        <w:ind w:left="460" w:right="480"/>
        <w:spacing w:after="0" w:line="252" w:lineRule="auto"/>
        <w:rPr>
          <w:sz w:val="20"/>
          <w:szCs w:val="20"/>
          <w:color w:val="auto"/>
        </w:rPr>
      </w:pPr>
      <w:r>
        <w:rPr>
          <w:rFonts w:ascii="Times New Roman" w:cs="Times New Roman" w:eastAsia="Times New Roman" w:hAnsi="Times New Roman"/>
          <w:sz w:val="18"/>
          <w:szCs w:val="18"/>
          <w:color w:val="auto"/>
        </w:rPr>
        <w:t>Company’s securities while in possession of material, non-public information relating to the Company, nor tip or disclose such information to others. Trading by an insider’s Family Members or Related Parties could subject the insider to legal sanctions and disciplinary action.</w:t>
      </w:r>
    </w:p>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Trading by Persons Other than Insiders</w:t>
      </w:r>
    </w:p>
    <w:p>
      <w:pPr>
        <w:spacing w:after="0" w:line="241" w:lineRule="exact"/>
        <w:rPr>
          <w:sz w:val="20"/>
          <w:szCs w:val="20"/>
          <w:color w:val="auto"/>
        </w:rPr>
      </w:pPr>
    </w:p>
    <w:p>
      <w:pPr>
        <w:jc w:val="both"/>
        <w:ind w:left="460" w:right="460"/>
        <w:spacing w:after="0" w:line="242" w:lineRule="auto"/>
        <w:rPr>
          <w:sz w:val="20"/>
          <w:szCs w:val="20"/>
          <w:color w:val="auto"/>
        </w:rPr>
      </w:pPr>
      <w:r>
        <w:rPr>
          <w:rFonts w:ascii="Times New Roman" w:cs="Times New Roman" w:eastAsia="Times New Roman" w:hAnsi="Times New Roman"/>
          <w:sz w:val="18"/>
          <w:szCs w:val="18"/>
          <w:color w:val="auto"/>
        </w:rPr>
        <w:t>Insiders may be liable for communicating, or otherwise disclosing or tipping material, non-public information to a third party (“tippee”). Tippees who trade on material, non- public information tipped to them or any other individuals who trade on material, non-public information can also be liable for insider trading. In other words, a tippee’s liability for insider trading is no different from that of an insider. Tippees can obtain material, non-public information by receiving overt tips from others or through, among other things, conversations overheard at social, business, or other gatherings.</w:t>
      </w:r>
    </w:p>
    <w:p>
      <w:pPr>
        <w:spacing w:after="0" w:line="2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Size of Transaction and Reason for Transaction Do Not Matter</w:t>
      </w:r>
    </w:p>
    <w:p>
      <w:pPr>
        <w:spacing w:after="0" w:line="241" w:lineRule="exact"/>
        <w:rPr>
          <w:sz w:val="20"/>
          <w:szCs w:val="20"/>
          <w:color w:val="auto"/>
        </w:rPr>
      </w:pPr>
    </w:p>
    <w:p>
      <w:pPr>
        <w:jc w:val="both"/>
        <w:ind w:left="460" w:right="460"/>
        <w:spacing w:after="0" w:line="252" w:lineRule="auto"/>
        <w:rPr>
          <w:sz w:val="20"/>
          <w:szCs w:val="20"/>
          <w:color w:val="auto"/>
        </w:rPr>
      </w:pPr>
      <w:r>
        <w:rPr>
          <w:rFonts w:ascii="Times New Roman" w:cs="Times New Roman" w:eastAsia="Times New Roman" w:hAnsi="Times New Roman"/>
          <w:sz w:val="18"/>
          <w:szCs w:val="18"/>
          <w:color w:val="auto"/>
        </w:rPr>
        <w:t>The size of the transaction or the amount of profit received does not have to be significant to result in prosecution. The SEC performs routine market surveillance and aggressively investigates even small insider trading violations. The reason for the transaction also does not matter to result in prosecution.</w:t>
      </w:r>
    </w:p>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Examples of Insider Trading</w:t>
      </w:r>
    </w:p>
    <w:p>
      <w:pPr>
        <w:spacing w:after="0" w:line="241" w:lineRule="exact"/>
        <w:rPr>
          <w:sz w:val="20"/>
          <w:szCs w:val="20"/>
          <w:color w:val="auto"/>
        </w:rPr>
      </w:pPr>
    </w:p>
    <w:p>
      <w:pPr>
        <w:jc w:val="both"/>
        <w:ind w:left="460" w:right="460"/>
        <w:spacing w:after="0" w:line="242" w:lineRule="auto"/>
        <w:rPr>
          <w:sz w:val="20"/>
          <w:szCs w:val="20"/>
          <w:color w:val="auto"/>
        </w:rPr>
      </w:pPr>
      <w:r>
        <w:rPr>
          <w:rFonts w:ascii="Times New Roman" w:cs="Times New Roman" w:eastAsia="Times New Roman" w:hAnsi="Times New Roman"/>
          <w:sz w:val="18"/>
          <w:szCs w:val="18"/>
          <w:color w:val="auto"/>
        </w:rPr>
        <w:t>Examples of insider trading cases include actions brought against: (i) insiders who traded in a company’s securities after learning of significant confidential corporate developments; (ii) friends, business associates, Family Members, and other tippees of insiders who traded in company securities after receiving confidential information; (iii) government employees who learned of confidential information in the course of their employment; and (iv) other persons who misappropriated, and took advantage of, confidential information from their employers.</w:t>
      </w:r>
    </w:p>
    <w:p>
      <w:pPr>
        <w:spacing w:after="0" w:line="2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Post-Termination Transactions</w:t>
      </w:r>
    </w:p>
    <w:p>
      <w:pPr>
        <w:spacing w:after="0" w:line="241" w:lineRule="exact"/>
        <w:rPr>
          <w:sz w:val="20"/>
          <w:szCs w:val="20"/>
          <w:color w:val="auto"/>
        </w:rPr>
      </w:pPr>
    </w:p>
    <w:p>
      <w:pPr>
        <w:jc w:val="both"/>
        <w:ind w:left="460" w:right="460"/>
        <w:spacing w:after="0" w:line="247" w:lineRule="auto"/>
        <w:rPr>
          <w:sz w:val="20"/>
          <w:szCs w:val="20"/>
          <w:color w:val="auto"/>
        </w:rPr>
      </w:pPr>
      <w:r>
        <w:rPr>
          <w:rFonts w:ascii="Times New Roman" w:cs="Times New Roman" w:eastAsia="Times New Roman" w:hAnsi="Times New Roman"/>
          <w:sz w:val="18"/>
          <w:szCs w:val="18"/>
          <w:color w:val="auto"/>
        </w:rPr>
        <w:t>U.S. federal and other securities laws, as well as certain foreign laws, continue to apply to transactions in Company securities even after termination of employment or contracting or consulting services. If you are in possession of material, non-public information when your service with the Company terminates, you may not trade in Company securities until that information has become public or is no longer material.</w:t>
      </w:r>
    </w:p>
    <w:p>
      <w:pPr>
        <w:spacing w:after="0" w:line="2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Penalties and Consequences for Insider Trading or Violating the Insider Trading Policy</w:t>
      </w:r>
    </w:p>
    <w:p>
      <w:pPr>
        <w:spacing w:after="0" w:line="241" w:lineRule="exact"/>
        <w:rPr>
          <w:sz w:val="20"/>
          <w:szCs w:val="20"/>
          <w:color w:val="auto"/>
        </w:rPr>
      </w:pPr>
    </w:p>
    <w:p>
      <w:pPr>
        <w:jc w:val="both"/>
        <w:ind w:left="460" w:right="460"/>
        <w:spacing w:after="0" w:line="239" w:lineRule="auto"/>
        <w:rPr>
          <w:sz w:val="20"/>
          <w:szCs w:val="20"/>
          <w:color w:val="auto"/>
        </w:rPr>
      </w:pPr>
      <w:r>
        <w:rPr>
          <w:rFonts w:ascii="Times New Roman" w:cs="Times New Roman" w:eastAsia="Times New Roman" w:hAnsi="Times New Roman"/>
          <w:sz w:val="18"/>
          <w:szCs w:val="18"/>
          <w:color w:val="auto"/>
        </w:rPr>
        <w:t>The consequences of prohibited insider trading or tipping can be severe. Persons violating insider trading or tipping rules may be required to disgorge the profit made or the loss avoided by the trading, pay the loss suffered by the person who purchased securities from or sold securities to the insider tippee, pay civil penalties up to three (3) times the profit made or loss avoided, pay a criminal penalty of up to five million dollars ($5,000,000.00), and serve a jail term of up to twenty (20) years. The Company and/or supervisors of the person violating the rules may also be required to pay major civil or criminal penalties. Furthermore, a private action may be brought against a person who trades on inside information by any person who bought or sold before the inside information became public, not just the person from whom the securities were bought or to whom the securities were sold. Insider trading violations are not limited to violations of the U.S. federal securities laws. Other U.S. federal and state civil or criminal laws, such as the laws prohibiting mail and wire fraud, and the Racketeer Influenced and Corrupt Organizations Act (RICO), also may be violated upon the occurrence of insider trading.</w:t>
      </w: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410210</wp:posOffset>
            </wp:positionV>
            <wp:extent cx="5121910" cy="1524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959">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521" w:name="page522"/>
    <w:bookmarkEnd w:id="521"/>
    <w:p>
      <w:pPr>
        <w:ind w:left="7840"/>
        <w:spacing w:after="0"/>
        <w:rPr>
          <w:sz w:val="20"/>
          <w:szCs w:val="20"/>
          <w:color w:val="auto"/>
        </w:rPr>
      </w:pPr>
      <w:r>
        <w:rPr>
          <w:rFonts w:ascii="Times New Roman" w:cs="Times New Roman" w:eastAsia="Times New Roman" w:hAnsi="Times New Roman"/>
          <w:sz w:val="14"/>
          <w:szCs w:val="14"/>
          <w:color w:val="auto"/>
        </w:rPr>
        <w:t>Exhibit 19.1</w:t>
      </w:r>
    </w:p>
    <w:p>
      <w:pPr>
        <w:spacing w:after="0" w:line="200" w:lineRule="exact"/>
        <w:rPr>
          <w:sz w:val="20"/>
          <w:szCs w:val="20"/>
          <w:color w:val="auto"/>
        </w:rPr>
      </w:pPr>
    </w:p>
    <w:p>
      <w:pPr>
        <w:spacing w:after="0" w:line="215" w:lineRule="exact"/>
        <w:rPr>
          <w:sz w:val="20"/>
          <w:szCs w:val="20"/>
          <w:color w:val="auto"/>
        </w:rPr>
      </w:pPr>
    </w:p>
    <w:p>
      <w:pPr>
        <w:jc w:val="both"/>
        <w:ind w:left="460" w:right="460"/>
        <w:spacing w:after="0" w:line="241" w:lineRule="auto"/>
        <w:rPr>
          <w:sz w:val="20"/>
          <w:szCs w:val="20"/>
          <w:color w:val="auto"/>
        </w:rPr>
      </w:pPr>
      <w:r>
        <w:rPr>
          <w:rFonts w:ascii="Times New Roman" w:cs="Times New Roman" w:eastAsia="Times New Roman" w:hAnsi="Times New Roman"/>
          <w:sz w:val="18"/>
          <w:szCs w:val="18"/>
          <w:color w:val="auto"/>
        </w:rPr>
        <w:t>Pursuant to the MAR, intentionally infringing the prohibition on insider dealing (Art. 14 a) MAR), recommending that another person engage in insider dealing or inducing that person to engage in insider dealing (Art. 14 b) MAR), and unlawfully disclosing inside information (Art. 14 c) MAR) are subject to imprisonment or the imposition of a fine pursuant to Section 38 para. 3 of the German Securities Trading Act (Wertpapierhandelsgesetz - WpHG). Any attempt to engage in any of the above acts is also subject to criminal sanctions. Disciplinary sanctions, including administrative fines of up to €10 million under the German Administrative Offense Act (OWiG, “Gesetz über Ordnungswidrigkeiten”), may also be imposed on a company for commission by the company’s employees or representatives of any of the acts.</w:t>
      </w:r>
    </w:p>
    <w:p>
      <w:pPr>
        <w:spacing w:after="0" w:line="2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 applicable securities laws similarly impose penalties for violations of such laws.</w:t>
      </w:r>
    </w:p>
    <w:p>
      <w:pPr>
        <w:spacing w:after="0" w:line="237" w:lineRule="exact"/>
        <w:rPr>
          <w:sz w:val="20"/>
          <w:szCs w:val="20"/>
          <w:color w:val="auto"/>
        </w:rPr>
      </w:pPr>
    </w:p>
    <w:p>
      <w:pPr>
        <w:jc w:val="both"/>
        <w:ind w:left="460" w:right="480"/>
        <w:spacing w:after="0" w:line="268" w:lineRule="auto"/>
        <w:rPr>
          <w:sz w:val="20"/>
          <w:szCs w:val="20"/>
          <w:color w:val="auto"/>
        </w:rPr>
      </w:pPr>
      <w:r>
        <w:rPr>
          <w:rFonts w:ascii="Times New Roman" w:cs="Times New Roman" w:eastAsia="Times New Roman" w:hAnsi="Times New Roman"/>
          <w:sz w:val="18"/>
          <w:szCs w:val="18"/>
          <w:color w:val="auto"/>
        </w:rPr>
        <w:t>In addition, violation of this Policy could result in serious disciplinary actions by the Company, including termination of employment.</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Inquiries Related to the Insider Trading Policy</w:t>
      </w:r>
    </w:p>
    <w:p>
      <w:pPr>
        <w:spacing w:after="0" w:line="2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Please send any inquiries about this Policy to </w:t>
      </w:r>
      <w:r>
        <w:rPr>
          <w:rFonts w:ascii="Times New Roman" w:cs="Times New Roman" w:eastAsia="Times New Roman" w:hAnsi="Times New Roman"/>
          <w:sz w:val="18"/>
          <w:szCs w:val="18"/>
          <w:b w:val="1"/>
          <w:bCs w:val="1"/>
          <w:color w:val="auto"/>
        </w:rPr>
        <w:t>securitiescompliance@digitalrealty.com</w:t>
      </w:r>
      <w:r>
        <w:rPr>
          <w:rFonts w:ascii="Times New Roman" w:cs="Times New Roman" w:eastAsia="Times New Roman" w:hAnsi="Times New Roman"/>
          <w:sz w:val="18"/>
          <w:szCs w:val="18"/>
          <w:color w:val="auto"/>
        </w:rPr>
        <w:t>.</w:t>
      </w:r>
    </w:p>
    <w:p>
      <w:pPr>
        <w:spacing w:after="0" w:line="2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Policy Revised May 9, 2024</w:t>
      </w: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410210</wp:posOffset>
            </wp:positionV>
            <wp:extent cx="5121910" cy="1524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960">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522" w:name="page523"/>
    <w:bookmarkEnd w:id="522"/>
    <w:p>
      <w:pPr>
        <w:jc w:val="right"/>
        <w:ind w:right="460"/>
        <w:spacing w:after="0"/>
        <w:rPr>
          <w:sz w:val="20"/>
          <w:szCs w:val="20"/>
          <w:color w:val="auto"/>
        </w:rPr>
      </w:pPr>
      <w:r>
        <w:rPr>
          <w:rFonts w:ascii="Times New Roman" w:cs="Times New Roman" w:eastAsia="Times New Roman" w:hAnsi="Times New Roman"/>
          <w:sz w:val="14"/>
          <w:szCs w:val="14"/>
          <w:color w:val="auto"/>
        </w:rPr>
        <w:t>Exhibit 19.1</w:t>
      </w:r>
    </w:p>
    <w:p>
      <w:pPr>
        <w:spacing w:after="0" w:line="200" w:lineRule="exact"/>
        <w:rPr>
          <w:sz w:val="20"/>
          <w:szCs w:val="20"/>
          <w:color w:val="auto"/>
        </w:rPr>
      </w:pP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are Restricted Companies:</w:t>
      </w:r>
    </w:p>
    <w:p>
      <w:pPr>
        <w:spacing w:after="0" w:line="2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p>
    <w:p>
      <w:pPr>
        <w:spacing w:after="0" w:line="2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Annex A Revised January 15,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60" w:right="520" w:firstLine="2"/>
        <w:spacing w:after="0" w:line="248" w:lineRule="auto"/>
        <w:tabs>
          <w:tab w:leader="none" w:pos="715" w:val="left"/>
        </w:tabs>
        <w:numPr>
          <w:ilvl w:val="0"/>
          <w:numId w:val="5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information has been omitted because it is both (i) not material and (ii) would be competitively harmful if publicly disclosed.</w:t>
      </w: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397510</wp:posOffset>
            </wp:positionV>
            <wp:extent cx="5121910" cy="1524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961">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523" w:name="page524"/>
    <w:bookmarkEnd w:id="523"/>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Exhibit 21.1</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List of Subsidiaries of Digital Realty Trust, Inc.</w:t>
      </w:r>
    </w:p>
    <w:p>
      <w:pPr>
        <w:spacing w:after="0" w:line="200" w:lineRule="exact"/>
        <w:rPr>
          <w:sz w:val="20"/>
          <w:szCs w:val="20"/>
          <w:color w:val="auto"/>
        </w:rPr>
      </w:pPr>
    </w:p>
    <w:p>
      <w:pPr>
        <w:spacing w:after="0" w:line="364" w:lineRule="exact"/>
        <w:rPr>
          <w:sz w:val="20"/>
          <w:szCs w:val="20"/>
          <w:color w:val="auto"/>
        </w:rPr>
      </w:pPr>
    </w:p>
    <w:tbl>
      <w:tblPr>
        <w:tblLayout w:type="fixed"/>
        <w:tblInd w:w="460" w:type="dxa"/>
        <w:tblCellMar>
          <w:top w:w="0" w:type="dxa"/>
          <w:left w:w="0" w:type="dxa"/>
          <w:bottom w:w="0" w:type="dxa"/>
          <w:right w:w="0" w:type="dxa"/>
        </w:tblCellMar>
      </w:tblPr>
      <w:tr>
        <w:trPr>
          <w:trHeight w:val="206"/>
        </w:trPr>
        <w:tc>
          <w:tcPr>
            <w:tcW w:w="4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Entity Name</w:t>
            </w:r>
          </w:p>
        </w:tc>
        <w:tc>
          <w:tcPr>
            <w:tcW w:w="3080" w:type="dxa"/>
            <w:vAlign w:val="bottom"/>
          </w:tcPr>
          <w:p>
            <w:pPr>
              <w:jc w:val="center"/>
              <w:ind w:left="502"/>
              <w:spacing w:after="0"/>
              <w:rPr>
                <w:sz w:val="20"/>
                <w:szCs w:val="20"/>
                <w:color w:val="auto"/>
              </w:rPr>
            </w:pPr>
            <w:r>
              <w:rPr>
                <w:rFonts w:ascii="Times New Roman" w:cs="Times New Roman" w:eastAsia="Times New Roman" w:hAnsi="Times New Roman"/>
                <w:sz w:val="16"/>
                <w:szCs w:val="16"/>
                <w:b w:val="1"/>
                <w:bCs w:val="1"/>
                <w:color w:val="auto"/>
                <w:w w:val="97"/>
              </w:rPr>
              <w:t>Jurisdiction of Incorporation</w:t>
            </w:r>
          </w:p>
        </w:tc>
        <w:tc>
          <w:tcPr>
            <w:tcW w:w="40" w:type="dxa"/>
            <w:vAlign w:val="bottom"/>
          </w:tcPr>
          <w:p>
            <w:pPr>
              <w:spacing w:after="0"/>
              <w:rPr>
                <w:sz w:val="17"/>
                <w:szCs w:val="17"/>
                <w:color w:val="auto"/>
              </w:rPr>
            </w:pPr>
          </w:p>
        </w:tc>
      </w:tr>
      <w:tr>
        <w:trPr>
          <w:trHeight w:val="193"/>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1100 Space Park Holding Company LLC</w:t>
            </w:r>
          </w:p>
        </w:tc>
        <w:tc>
          <w:tcPr>
            <w:tcW w:w="3080" w:type="dxa"/>
            <w:vAlign w:val="bottom"/>
            <w:shd w:val="clear" w:color="auto" w:fill="CCEEFF"/>
          </w:tcPr>
          <w:p>
            <w:pPr>
              <w:jc w:val="center"/>
              <w:ind w:left="5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1100 Space Park LLC</w:t>
            </w:r>
          </w:p>
        </w:tc>
        <w:tc>
          <w:tcPr>
            <w:tcW w:w="3080" w:type="dxa"/>
            <w:vAlign w:val="bottom"/>
          </w:tcPr>
          <w:p>
            <w:pPr>
              <w:jc w:val="center"/>
              <w:ind w:left="5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1525 Comstock Partners, LLC</w:t>
            </w:r>
          </w:p>
        </w:tc>
        <w:tc>
          <w:tcPr>
            <w:tcW w:w="3080" w:type="dxa"/>
            <w:vAlign w:val="bottom"/>
            <w:shd w:val="clear" w:color="auto" w:fill="CCEEFF"/>
          </w:tcPr>
          <w:p>
            <w:pPr>
              <w:jc w:val="center"/>
              <w:ind w:left="502"/>
              <w:spacing w:after="0"/>
              <w:rPr>
                <w:sz w:val="20"/>
                <w:szCs w:val="20"/>
                <w:color w:val="auto"/>
              </w:rPr>
            </w:pPr>
            <w:r>
              <w:rPr>
                <w:rFonts w:ascii="Times New Roman" w:cs="Times New Roman" w:eastAsia="Times New Roman" w:hAnsi="Times New Roman"/>
                <w:sz w:val="16"/>
                <w:szCs w:val="16"/>
                <w:color w:val="auto"/>
                <w:w w:val="95"/>
              </w:rPr>
              <w:t>California</w:t>
            </w:r>
          </w:p>
        </w:tc>
        <w:tc>
          <w:tcPr>
            <w:tcW w:w="40" w:type="dxa"/>
            <w:vAlign w:val="bottom"/>
            <w:shd w:val="clear" w:color="auto" w:fill="CCEEFF"/>
          </w:tcPr>
          <w:p>
            <w:pPr>
              <w:spacing w:after="0"/>
              <w:rPr>
                <w:sz w:val="16"/>
                <w:szCs w:val="16"/>
                <w:color w:val="auto"/>
              </w:rPr>
            </w:pP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1550 Space Park Partners, LLC</w:t>
            </w:r>
          </w:p>
        </w:tc>
        <w:tc>
          <w:tcPr>
            <w:tcW w:w="3080" w:type="dxa"/>
            <w:vAlign w:val="bottom"/>
          </w:tcPr>
          <w:p>
            <w:pPr>
              <w:jc w:val="center"/>
              <w:ind w:left="5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200 Paul Holding Company, LLC</w:t>
            </w:r>
          </w:p>
        </w:tc>
        <w:tc>
          <w:tcPr>
            <w:tcW w:w="3080" w:type="dxa"/>
            <w:vAlign w:val="bottom"/>
            <w:shd w:val="clear" w:color="auto" w:fill="CCEEFF"/>
          </w:tcPr>
          <w:p>
            <w:pPr>
              <w:jc w:val="center"/>
              <w:ind w:left="5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200 Paul, LLC</w:t>
            </w:r>
          </w:p>
        </w:tc>
        <w:tc>
          <w:tcPr>
            <w:tcW w:w="3080" w:type="dxa"/>
            <w:vAlign w:val="bottom"/>
          </w:tcPr>
          <w:p>
            <w:pPr>
              <w:jc w:val="center"/>
              <w:ind w:left="5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2001 Sixth Holdings LLC</w:t>
            </w:r>
          </w:p>
        </w:tc>
        <w:tc>
          <w:tcPr>
            <w:tcW w:w="3080" w:type="dxa"/>
            <w:vAlign w:val="bottom"/>
            <w:shd w:val="clear" w:color="auto" w:fill="CCEEFF"/>
          </w:tcPr>
          <w:p>
            <w:pPr>
              <w:jc w:val="center"/>
              <w:ind w:left="5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2001 Sixth LLC</w:t>
            </w:r>
          </w:p>
        </w:tc>
        <w:tc>
          <w:tcPr>
            <w:tcW w:w="3080" w:type="dxa"/>
            <w:vAlign w:val="bottom"/>
          </w:tcPr>
          <w:p>
            <w:pPr>
              <w:jc w:val="center"/>
              <w:ind w:left="5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2020 Fifth Avenue LLC</w:t>
            </w:r>
          </w:p>
        </w:tc>
        <w:tc>
          <w:tcPr>
            <w:tcW w:w="3080" w:type="dxa"/>
            <w:vAlign w:val="bottom"/>
            <w:shd w:val="clear" w:color="auto" w:fill="CCEEFF"/>
          </w:tcPr>
          <w:p>
            <w:pPr>
              <w:jc w:val="center"/>
              <w:ind w:left="5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2020 Fifth Holdings LLC</w:t>
            </w:r>
          </w:p>
        </w:tc>
        <w:tc>
          <w:tcPr>
            <w:tcW w:w="3080" w:type="dxa"/>
            <w:vAlign w:val="bottom"/>
          </w:tcPr>
          <w:p>
            <w:pPr>
              <w:jc w:val="center"/>
              <w:ind w:left="5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2045-2055 LaFayette Street, LLC</w:t>
            </w:r>
          </w:p>
        </w:tc>
        <w:tc>
          <w:tcPr>
            <w:tcW w:w="3080" w:type="dxa"/>
            <w:vAlign w:val="bottom"/>
            <w:shd w:val="clear" w:color="auto" w:fill="CCEEFF"/>
          </w:tcPr>
          <w:p>
            <w:pPr>
              <w:jc w:val="center"/>
              <w:ind w:left="5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2334 Lundy Holding Company LLC</w:t>
            </w:r>
          </w:p>
        </w:tc>
        <w:tc>
          <w:tcPr>
            <w:tcW w:w="3080" w:type="dxa"/>
            <w:vAlign w:val="bottom"/>
          </w:tcPr>
          <w:p>
            <w:pPr>
              <w:jc w:val="center"/>
              <w:ind w:left="5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2334 Lundy LLC</w:t>
            </w:r>
          </w:p>
        </w:tc>
        <w:tc>
          <w:tcPr>
            <w:tcW w:w="3080" w:type="dxa"/>
            <w:vAlign w:val="bottom"/>
            <w:shd w:val="clear" w:color="auto" w:fill="CCEEFF"/>
          </w:tcPr>
          <w:p>
            <w:pPr>
              <w:jc w:val="center"/>
              <w:ind w:left="5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651 Walsh Partners, LLC</w:t>
            </w:r>
          </w:p>
        </w:tc>
        <w:tc>
          <w:tcPr>
            <w:tcW w:w="3080" w:type="dxa"/>
            <w:vAlign w:val="bottom"/>
          </w:tcPr>
          <w:p>
            <w:pPr>
              <w:jc w:val="center"/>
              <w:ind w:left="5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Alshain Ventures LLC</w:t>
            </w:r>
          </w:p>
        </w:tc>
        <w:tc>
          <w:tcPr>
            <w:tcW w:w="3080" w:type="dxa"/>
            <w:vAlign w:val="bottom"/>
            <w:shd w:val="clear" w:color="auto" w:fill="CCEEFF"/>
          </w:tcPr>
          <w:p>
            <w:pPr>
              <w:jc w:val="center"/>
              <w:ind w:left="5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Ascenty Cayman Holding Ltd</w:t>
            </w:r>
          </w:p>
        </w:tc>
        <w:tc>
          <w:tcPr>
            <w:tcW w:w="3080" w:type="dxa"/>
            <w:vAlign w:val="bottom"/>
          </w:tcPr>
          <w:p>
            <w:pPr>
              <w:jc w:val="center"/>
              <w:ind w:left="522"/>
              <w:spacing w:after="0"/>
              <w:rPr>
                <w:sz w:val="20"/>
                <w:szCs w:val="20"/>
                <w:color w:val="auto"/>
              </w:rPr>
            </w:pPr>
            <w:r>
              <w:rPr>
                <w:rFonts w:ascii="Times New Roman" w:cs="Times New Roman" w:eastAsia="Times New Roman" w:hAnsi="Times New Roman"/>
                <w:sz w:val="16"/>
                <w:szCs w:val="16"/>
                <w:color w:val="auto"/>
                <w:w w:val="97"/>
              </w:rPr>
              <w:t>Cayman Islands</w:t>
            </w:r>
          </w:p>
        </w:tc>
        <w:tc>
          <w:tcPr>
            <w:tcW w:w="40" w:type="dxa"/>
            <w:vAlign w:val="bottom"/>
          </w:tcPr>
          <w:p>
            <w:pPr>
              <w:spacing w:after="0"/>
              <w:rPr>
                <w:sz w:val="16"/>
                <w:szCs w:val="16"/>
                <w:color w:val="auto"/>
              </w:rPr>
            </w:pP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Ascenty Chile SpA</w:t>
            </w:r>
          </w:p>
        </w:tc>
        <w:tc>
          <w:tcPr>
            <w:tcW w:w="3080" w:type="dxa"/>
            <w:vAlign w:val="bottom"/>
            <w:shd w:val="clear" w:color="auto" w:fill="CCEEFF"/>
          </w:tcPr>
          <w:p>
            <w:pPr>
              <w:jc w:val="center"/>
              <w:ind w:left="502"/>
              <w:spacing w:after="0"/>
              <w:rPr>
                <w:sz w:val="20"/>
                <w:szCs w:val="20"/>
                <w:color w:val="auto"/>
              </w:rPr>
            </w:pPr>
            <w:r>
              <w:rPr>
                <w:rFonts w:ascii="Times New Roman" w:cs="Times New Roman" w:eastAsia="Times New Roman" w:hAnsi="Times New Roman"/>
                <w:sz w:val="16"/>
                <w:szCs w:val="16"/>
                <w:color w:val="auto"/>
                <w:w w:val="97"/>
              </w:rPr>
              <w:t>Chile</w:t>
            </w:r>
          </w:p>
        </w:tc>
        <w:tc>
          <w:tcPr>
            <w:tcW w:w="40" w:type="dxa"/>
            <w:vAlign w:val="bottom"/>
            <w:shd w:val="clear" w:color="auto" w:fill="CCEEFF"/>
          </w:tcPr>
          <w:p>
            <w:pPr>
              <w:spacing w:after="0"/>
              <w:rPr>
                <w:sz w:val="16"/>
                <w:szCs w:val="16"/>
                <w:color w:val="auto"/>
              </w:rPr>
            </w:pP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Ascenty Colombia S.A.S.</w:t>
            </w:r>
          </w:p>
        </w:tc>
        <w:tc>
          <w:tcPr>
            <w:tcW w:w="3080" w:type="dxa"/>
            <w:vAlign w:val="bottom"/>
          </w:tcPr>
          <w:p>
            <w:pPr>
              <w:jc w:val="center"/>
              <w:ind w:left="502"/>
              <w:spacing w:after="0"/>
              <w:rPr>
                <w:sz w:val="20"/>
                <w:szCs w:val="20"/>
                <w:color w:val="auto"/>
              </w:rPr>
            </w:pPr>
            <w:r>
              <w:rPr>
                <w:rFonts w:ascii="Times New Roman" w:cs="Times New Roman" w:eastAsia="Times New Roman" w:hAnsi="Times New Roman"/>
                <w:sz w:val="16"/>
                <w:szCs w:val="16"/>
                <w:color w:val="auto"/>
                <w:w w:val="98"/>
              </w:rPr>
              <w:t>Colombia</w:t>
            </w:r>
          </w:p>
        </w:tc>
        <w:tc>
          <w:tcPr>
            <w:tcW w:w="40" w:type="dxa"/>
            <w:vAlign w:val="bottom"/>
          </w:tcPr>
          <w:p>
            <w:pPr>
              <w:spacing w:after="0"/>
              <w:rPr>
                <w:sz w:val="16"/>
                <w:szCs w:val="16"/>
                <w:color w:val="auto"/>
              </w:rPr>
            </w:pP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Ascenty Data Centers e Telecomunicoes S.A.</w:t>
            </w:r>
          </w:p>
        </w:tc>
        <w:tc>
          <w:tcPr>
            <w:tcW w:w="3080" w:type="dxa"/>
            <w:vAlign w:val="bottom"/>
            <w:shd w:val="clear" w:color="auto" w:fill="CCEEFF"/>
          </w:tcPr>
          <w:p>
            <w:pPr>
              <w:jc w:val="center"/>
              <w:ind w:left="502"/>
              <w:spacing w:after="0"/>
              <w:rPr>
                <w:sz w:val="20"/>
                <w:szCs w:val="20"/>
                <w:color w:val="auto"/>
              </w:rPr>
            </w:pPr>
            <w:r>
              <w:rPr>
                <w:rFonts w:ascii="Times New Roman" w:cs="Times New Roman" w:eastAsia="Times New Roman" w:hAnsi="Times New Roman"/>
                <w:sz w:val="16"/>
                <w:szCs w:val="16"/>
                <w:color w:val="auto"/>
                <w:w w:val="97"/>
              </w:rPr>
              <w:t>Brazil</w:t>
            </w:r>
          </w:p>
        </w:tc>
        <w:tc>
          <w:tcPr>
            <w:tcW w:w="40" w:type="dxa"/>
            <w:vAlign w:val="bottom"/>
            <w:shd w:val="clear" w:color="auto" w:fill="CCEEFF"/>
          </w:tcPr>
          <w:p>
            <w:pPr>
              <w:spacing w:after="0"/>
              <w:rPr>
                <w:sz w:val="16"/>
                <w:szCs w:val="16"/>
                <w:color w:val="auto"/>
              </w:rPr>
            </w:pP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Ascenty DC US LLC</w:t>
            </w:r>
          </w:p>
        </w:tc>
        <w:tc>
          <w:tcPr>
            <w:tcW w:w="3080" w:type="dxa"/>
            <w:vAlign w:val="bottom"/>
          </w:tcPr>
          <w:p>
            <w:pPr>
              <w:jc w:val="center"/>
              <w:ind w:left="5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Ascenty Holding Brasil S.A.</w:t>
            </w:r>
          </w:p>
        </w:tc>
        <w:tc>
          <w:tcPr>
            <w:tcW w:w="3080" w:type="dxa"/>
            <w:vAlign w:val="bottom"/>
            <w:shd w:val="clear" w:color="auto" w:fill="CCEEFF"/>
          </w:tcPr>
          <w:p>
            <w:pPr>
              <w:jc w:val="center"/>
              <w:ind w:left="502"/>
              <w:spacing w:after="0"/>
              <w:rPr>
                <w:sz w:val="20"/>
                <w:szCs w:val="20"/>
                <w:color w:val="auto"/>
              </w:rPr>
            </w:pPr>
            <w:r>
              <w:rPr>
                <w:rFonts w:ascii="Times New Roman" w:cs="Times New Roman" w:eastAsia="Times New Roman" w:hAnsi="Times New Roman"/>
                <w:sz w:val="16"/>
                <w:szCs w:val="16"/>
                <w:color w:val="auto"/>
                <w:w w:val="97"/>
              </w:rPr>
              <w:t>Brazil</w:t>
            </w:r>
          </w:p>
        </w:tc>
        <w:tc>
          <w:tcPr>
            <w:tcW w:w="40" w:type="dxa"/>
            <w:vAlign w:val="bottom"/>
            <w:shd w:val="clear" w:color="auto" w:fill="CCEEFF"/>
          </w:tcPr>
          <w:p>
            <w:pPr>
              <w:spacing w:after="0"/>
              <w:rPr>
                <w:sz w:val="16"/>
                <w:szCs w:val="16"/>
                <w:color w:val="auto"/>
              </w:rPr>
            </w:pP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Ascenty Latam Holding Ltd</w:t>
            </w:r>
          </w:p>
        </w:tc>
        <w:tc>
          <w:tcPr>
            <w:tcW w:w="3080" w:type="dxa"/>
            <w:vAlign w:val="bottom"/>
          </w:tcPr>
          <w:p>
            <w:pPr>
              <w:jc w:val="center"/>
              <w:ind w:left="522"/>
              <w:spacing w:after="0"/>
              <w:rPr>
                <w:sz w:val="20"/>
                <w:szCs w:val="20"/>
                <w:color w:val="auto"/>
              </w:rPr>
            </w:pPr>
            <w:r>
              <w:rPr>
                <w:rFonts w:ascii="Times New Roman" w:cs="Times New Roman" w:eastAsia="Times New Roman" w:hAnsi="Times New Roman"/>
                <w:sz w:val="16"/>
                <w:szCs w:val="16"/>
                <w:color w:val="auto"/>
                <w:w w:val="97"/>
              </w:rPr>
              <w:t>United Kingdom (England and Wales)</w:t>
            </w:r>
          </w:p>
        </w:tc>
        <w:tc>
          <w:tcPr>
            <w:tcW w:w="40" w:type="dxa"/>
            <w:vAlign w:val="bottom"/>
          </w:tcPr>
          <w:p>
            <w:pPr>
              <w:spacing w:after="0"/>
              <w:rPr>
                <w:sz w:val="16"/>
                <w:szCs w:val="16"/>
                <w:color w:val="auto"/>
              </w:rPr>
            </w:pP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Ascenty Mexico, S. de R.L. de C.V.</w:t>
            </w:r>
          </w:p>
        </w:tc>
        <w:tc>
          <w:tcPr>
            <w:tcW w:w="3080" w:type="dxa"/>
            <w:vAlign w:val="bottom"/>
            <w:shd w:val="clear" w:color="auto" w:fill="CCEEFF"/>
          </w:tcPr>
          <w:p>
            <w:pPr>
              <w:jc w:val="center"/>
              <w:ind w:left="522"/>
              <w:spacing w:after="0"/>
              <w:rPr>
                <w:sz w:val="20"/>
                <w:szCs w:val="20"/>
                <w:color w:val="auto"/>
              </w:rPr>
            </w:pPr>
            <w:r>
              <w:rPr>
                <w:rFonts w:ascii="Times New Roman" w:cs="Times New Roman" w:eastAsia="Times New Roman" w:hAnsi="Times New Roman"/>
                <w:sz w:val="16"/>
                <w:szCs w:val="16"/>
                <w:color w:val="auto"/>
                <w:w w:val="98"/>
              </w:rPr>
              <w:t>Mexico</w:t>
            </w:r>
          </w:p>
        </w:tc>
        <w:tc>
          <w:tcPr>
            <w:tcW w:w="40" w:type="dxa"/>
            <w:vAlign w:val="bottom"/>
            <w:shd w:val="clear" w:color="auto" w:fill="CCEEFF"/>
          </w:tcPr>
          <w:p>
            <w:pPr>
              <w:spacing w:after="0"/>
              <w:rPr>
                <w:sz w:val="16"/>
                <w:szCs w:val="16"/>
                <w:color w:val="auto"/>
              </w:rPr>
            </w:pP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Ascenty U.S. Holding, LLC</w:t>
            </w:r>
          </w:p>
        </w:tc>
        <w:tc>
          <w:tcPr>
            <w:tcW w:w="3080" w:type="dxa"/>
            <w:vAlign w:val="bottom"/>
          </w:tcPr>
          <w:p>
            <w:pPr>
              <w:jc w:val="center"/>
              <w:ind w:left="5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Ashburn Corporate Center Owners Association, Inc.</w:t>
            </w:r>
          </w:p>
        </w:tc>
        <w:tc>
          <w:tcPr>
            <w:tcW w:w="3080" w:type="dxa"/>
            <w:vAlign w:val="bottom"/>
            <w:shd w:val="clear" w:color="auto" w:fill="CCEEFF"/>
          </w:tcPr>
          <w:p>
            <w:pPr>
              <w:jc w:val="center"/>
              <w:ind w:left="522"/>
              <w:spacing w:after="0"/>
              <w:rPr>
                <w:sz w:val="20"/>
                <w:szCs w:val="20"/>
                <w:color w:val="auto"/>
              </w:rPr>
            </w:pPr>
            <w:r>
              <w:rPr>
                <w:rFonts w:ascii="Times New Roman" w:cs="Times New Roman" w:eastAsia="Times New Roman" w:hAnsi="Times New Roman"/>
                <w:sz w:val="16"/>
                <w:szCs w:val="16"/>
                <w:color w:val="auto"/>
                <w:w w:val="97"/>
              </w:rPr>
              <w:t>Virginia</w:t>
            </w:r>
          </w:p>
        </w:tc>
        <w:tc>
          <w:tcPr>
            <w:tcW w:w="40" w:type="dxa"/>
            <w:vAlign w:val="bottom"/>
            <w:shd w:val="clear" w:color="auto" w:fill="CCEEFF"/>
          </w:tcPr>
          <w:p>
            <w:pPr>
              <w:spacing w:after="0"/>
              <w:rPr>
                <w:sz w:val="16"/>
                <w:szCs w:val="16"/>
                <w:color w:val="auto"/>
              </w:rPr>
            </w:pP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Ashburn Corporate Center Phase I Unit Owners Association</w:t>
            </w:r>
          </w:p>
        </w:tc>
        <w:tc>
          <w:tcPr>
            <w:tcW w:w="3080" w:type="dxa"/>
            <w:vAlign w:val="bottom"/>
          </w:tcPr>
          <w:p>
            <w:pPr>
              <w:jc w:val="center"/>
              <w:ind w:left="522"/>
              <w:spacing w:after="0"/>
              <w:rPr>
                <w:sz w:val="20"/>
                <w:szCs w:val="20"/>
                <w:color w:val="auto"/>
              </w:rPr>
            </w:pPr>
            <w:r>
              <w:rPr>
                <w:rFonts w:ascii="Times New Roman" w:cs="Times New Roman" w:eastAsia="Times New Roman" w:hAnsi="Times New Roman"/>
                <w:sz w:val="16"/>
                <w:szCs w:val="16"/>
                <w:color w:val="auto"/>
                <w:w w:val="97"/>
              </w:rPr>
              <w:t>Virginia</w:t>
            </w:r>
          </w:p>
        </w:tc>
        <w:tc>
          <w:tcPr>
            <w:tcW w:w="40" w:type="dxa"/>
            <w:vAlign w:val="bottom"/>
          </w:tcPr>
          <w:p>
            <w:pPr>
              <w:spacing w:after="0"/>
              <w:rPr>
                <w:sz w:val="16"/>
                <w:szCs w:val="16"/>
                <w:color w:val="auto"/>
              </w:rPr>
            </w:pP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BAM DLR Chennai Private Limited</w:t>
            </w:r>
          </w:p>
        </w:tc>
        <w:tc>
          <w:tcPr>
            <w:tcW w:w="3080" w:type="dxa"/>
            <w:vAlign w:val="bottom"/>
            <w:shd w:val="clear" w:color="auto" w:fill="CCEEFF"/>
          </w:tcPr>
          <w:p>
            <w:pPr>
              <w:jc w:val="center"/>
              <w:ind w:left="522"/>
              <w:spacing w:after="0"/>
              <w:rPr>
                <w:sz w:val="20"/>
                <w:szCs w:val="20"/>
                <w:color w:val="auto"/>
              </w:rPr>
            </w:pPr>
            <w:r>
              <w:rPr>
                <w:rFonts w:ascii="Times New Roman" w:cs="Times New Roman" w:eastAsia="Times New Roman" w:hAnsi="Times New Roman"/>
                <w:sz w:val="16"/>
                <w:szCs w:val="16"/>
                <w:color w:val="auto"/>
                <w:w w:val="97"/>
              </w:rPr>
              <w:t>India</w:t>
            </w:r>
          </w:p>
        </w:tc>
        <w:tc>
          <w:tcPr>
            <w:tcW w:w="40" w:type="dxa"/>
            <w:vAlign w:val="bottom"/>
            <w:shd w:val="clear" w:color="auto" w:fill="CCEEFF"/>
          </w:tcPr>
          <w:p>
            <w:pPr>
              <w:spacing w:after="0"/>
              <w:rPr>
                <w:sz w:val="16"/>
                <w:szCs w:val="16"/>
                <w:color w:val="auto"/>
              </w:rPr>
            </w:pP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BAM DLR Data Center Services Private Limited</w:t>
            </w:r>
          </w:p>
        </w:tc>
        <w:tc>
          <w:tcPr>
            <w:tcW w:w="3080" w:type="dxa"/>
            <w:vAlign w:val="bottom"/>
          </w:tcPr>
          <w:p>
            <w:pPr>
              <w:jc w:val="center"/>
              <w:ind w:left="522"/>
              <w:spacing w:after="0"/>
              <w:rPr>
                <w:sz w:val="20"/>
                <w:szCs w:val="20"/>
                <w:color w:val="auto"/>
              </w:rPr>
            </w:pPr>
            <w:r>
              <w:rPr>
                <w:rFonts w:ascii="Times New Roman" w:cs="Times New Roman" w:eastAsia="Times New Roman" w:hAnsi="Times New Roman"/>
                <w:sz w:val="16"/>
                <w:szCs w:val="16"/>
                <w:color w:val="auto"/>
                <w:w w:val="97"/>
              </w:rPr>
              <w:t>India</w:t>
            </w:r>
          </w:p>
        </w:tc>
        <w:tc>
          <w:tcPr>
            <w:tcW w:w="40" w:type="dxa"/>
            <w:vAlign w:val="bottom"/>
          </w:tcPr>
          <w:p>
            <w:pPr>
              <w:spacing w:after="0"/>
              <w:rPr>
                <w:sz w:val="16"/>
                <w:szCs w:val="16"/>
                <w:color w:val="auto"/>
              </w:rPr>
            </w:pP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BAM DLR Kolkata Private Limited</w:t>
            </w:r>
          </w:p>
        </w:tc>
        <w:tc>
          <w:tcPr>
            <w:tcW w:w="3080" w:type="dxa"/>
            <w:vAlign w:val="bottom"/>
            <w:shd w:val="clear" w:color="auto" w:fill="CCEEFF"/>
          </w:tcPr>
          <w:p>
            <w:pPr>
              <w:jc w:val="center"/>
              <w:ind w:left="522"/>
              <w:spacing w:after="0"/>
              <w:rPr>
                <w:sz w:val="20"/>
                <w:szCs w:val="20"/>
                <w:color w:val="auto"/>
              </w:rPr>
            </w:pPr>
            <w:r>
              <w:rPr>
                <w:rFonts w:ascii="Times New Roman" w:cs="Times New Roman" w:eastAsia="Times New Roman" w:hAnsi="Times New Roman"/>
                <w:sz w:val="16"/>
                <w:szCs w:val="16"/>
                <w:color w:val="auto"/>
                <w:w w:val="97"/>
              </w:rPr>
              <w:t>India</w:t>
            </w:r>
          </w:p>
        </w:tc>
        <w:tc>
          <w:tcPr>
            <w:tcW w:w="40" w:type="dxa"/>
            <w:vAlign w:val="bottom"/>
            <w:shd w:val="clear" w:color="auto" w:fill="CCEEFF"/>
          </w:tcPr>
          <w:p>
            <w:pPr>
              <w:spacing w:after="0"/>
              <w:rPr>
                <w:sz w:val="16"/>
                <w:szCs w:val="16"/>
                <w:color w:val="auto"/>
              </w:rPr>
            </w:pP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BAM DLR Mumbai Private Limited</w:t>
            </w:r>
          </w:p>
        </w:tc>
        <w:tc>
          <w:tcPr>
            <w:tcW w:w="3080" w:type="dxa"/>
            <w:vAlign w:val="bottom"/>
          </w:tcPr>
          <w:p>
            <w:pPr>
              <w:jc w:val="center"/>
              <w:ind w:left="522"/>
              <w:spacing w:after="0"/>
              <w:rPr>
                <w:sz w:val="20"/>
                <w:szCs w:val="20"/>
                <w:color w:val="auto"/>
              </w:rPr>
            </w:pPr>
            <w:r>
              <w:rPr>
                <w:rFonts w:ascii="Times New Roman" w:cs="Times New Roman" w:eastAsia="Times New Roman" w:hAnsi="Times New Roman"/>
                <w:sz w:val="16"/>
                <w:szCs w:val="16"/>
                <w:color w:val="auto"/>
                <w:w w:val="97"/>
              </w:rPr>
              <w:t>India</w:t>
            </w:r>
          </w:p>
        </w:tc>
        <w:tc>
          <w:tcPr>
            <w:tcW w:w="40" w:type="dxa"/>
            <w:vAlign w:val="bottom"/>
          </w:tcPr>
          <w:p>
            <w:pPr>
              <w:spacing w:after="0"/>
              <w:rPr>
                <w:sz w:val="16"/>
                <w:szCs w:val="16"/>
                <w:color w:val="auto"/>
              </w:rPr>
            </w:pP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BAM DLR Network Services Private Limited</w:t>
            </w:r>
          </w:p>
        </w:tc>
        <w:tc>
          <w:tcPr>
            <w:tcW w:w="3080" w:type="dxa"/>
            <w:vAlign w:val="bottom"/>
            <w:shd w:val="clear" w:color="auto" w:fill="CCEEFF"/>
          </w:tcPr>
          <w:p>
            <w:pPr>
              <w:jc w:val="center"/>
              <w:ind w:left="522"/>
              <w:spacing w:after="0"/>
              <w:rPr>
                <w:sz w:val="20"/>
                <w:szCs w:val="20"/>
                <w:color w:val="auto"/>
              </w:rPr>
            </w:pPr>
            <w:r>
              <w:rPr>
                <w:rFonts w:ascii="Times New Roman" w:cs="Times New Roman" w:eastAsia="Times New Roman" w:hAnsi="Times New Roman"/>
                <w:sz w:val="16"/>
                <w:szCs w:val="16"/>
                <w:color w:val="auto"/>
                <w:w w:val="97"/>
              </w:rPr>
              <w:t>India</w:t>
            </w:r>
          </w:p>
        </w:tc>
        <w:tc>
          <w:tcPr>
            <w:tcW w:w="40" w:type="dxa"/>
            <w:vAlign w:val="bottom"/>
            <w:shd w:val="clear" w:color="auto" w:fill="CCEEFF"/>
          </w:tcPr>
          <w:p>
            <w:pPr>
              <w:spacing w:after="0"/>
              <w:rPr>
                <w:sz w:val="16"/>
                <w:szCs w:val="16"/>
                <w:color w:val="auto"/>
              </w:rPr>
            </w:pP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Beaver Ventures LLC</w:t>
            </w:r>
          </w:p>
        </w:tc>
        <w:tc>
          <w:tcPr>
            <w:tcW w:w="3080" w:type="dxa"/>
            <w:vAlign w:val="bottom"/>
          </w:tcPr>
          <w:p>
            <w:pPr>
              <w:jc w:val="center"/>
              <w:ind w:left="5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Blue Sling ACC 10, LLC</w:t>
            </w:r>
          </w:p>
        </w:tc>
        <w:tc>
          <w:tcPr>
            <w:tcW w:w="3080" w:type="dxa"/>
            <w:vAlign w:val="bottom"/>
            <w:shd w:val="clear" w:color="auto" w:fill="CCEEFF"/>
          </w:tcPr>
          <w:p>
            <w:pPr>
              <w:jc w:val="center"/>
              <w:ind w:left="5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Blue Sling ACC 2, LLC</w:t>
            </w:r>
          </w:p>
        </w:tc>
        <w:tc>
          <w:tcPr>
            <w:tcW w:w="3080" w:type="dxa"/>
            <w:vAlign w:val="bottom"/>
          </w:tcPr>
          <w:p>
            <w:pPr>
              <w:jc w:val="center"/>
              <w:ind w:left="5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Blue Sling ACC 9, LLC</w:t>
            </w:r>
          </w:p>
        </w:tc>
        <w:tc>
          <w:tcPr>
            <w:tcW w:w="3080" w:type="dxa"/>
            <w:vAlign w:val="bottom"/>
            <w:shd w:val="clear" w:color="auto" w:fill="CCEEFF"/>
          </w:tcPr>
          <w:p>
            <w:pPr>
              <w:jc w:val="center"/>
              <w:ind w:left="5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Blue Sling Ventures, LLC</w:t>
            </w:r>
          </w:p>
        </w:tc>
        <w:tc>
          <w:tcPr>
            <w:tcW w:w="3080" w:type="dxa"/>
            <w:vAlign w:val="bottom"/>
          </w:tcPr>
          <w:p>
            <w:pPr>
              <w:jc w:val="center"/>
              <w:ind w:left="5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Collins Technology Park Partners, LLC</w:t>
            </w:r>
          </w:p>
        </w:tc>
        <w:tc>
          <w:tcPr>
            <w:tcW w:w="3080" w:type="dxa"/>
            <w:vAlign w:val="bottom"/>
            <w:shd w:val="clear" w:color="auto" w:fill="CCEEFF"/>
          </w:tcPr>
          <w:p>
            <w:pPr>
              <w:jc w:val="center"/>
              <w:ind w:left="5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Colo Properties Atlanta, LLC</w:t>
            </w:r>
          </w:p>
        </w:tc>
        <w:tc>
          <w:tcPr>
            <w:tcW w:w="3080" w:type="dxa"/>
            <w:vAlign w:val="bottom"/>
          </w:tcPr>
          <w:p>
            <w:pPr>
              <w:jc w:val="center"/>
              <w:ind w:left="5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Cosmic Ventures LLC</w:t>
            </w:r>
          </w:p>
        </w:tc>
        <w:tc>
          <w:tcPr>
            <w:tcW w:w="3080" w:type="dxa"/>
            <w:vAlign w:val="bottom"/>
            <w:shd w:val="clear" w:color="auto" w:fill="CCEEFF"/>
          </w:tcPr>
          <w:p>
            <w:pPr>
              <w:jc w:val="center"/>
              <w:ind w:left="5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DBT, LLC</w:t>
            </w:r>
          </w:p>
        </w:tc>
        <w:tc>
          <w:tcPr>
            <w:tcW w:w="3080" w:type="dxa"/>
            <w:vAlign w:val="bottom"/>
          </w:tcPr>
          <w:p>
            <w:pPr>
              <w:jc w:val="center"/>
              <w:ind w:left="502"/>
              <w:spacing w:after="0"/>
              <w:rPr>
                <w:sz w:val="20"/>
                <w:szCs w:val="20"/>
                <w:color w:val="auto"/>
              </w:rPr>
            </w:pPr>
            <w:r>
              <w:rPr>
                <w:rFonts w:ascii="Times New Roman" w:cs="Times New Roman" w:eastAsia="Times New Roman" w:hAnsi="Times New Roman"/>
                <w:sz w:val="16"/>
                <w:szCs w:val="16"/>
                <w:color w:val="auto"/>
                <w:w w:val="99"/>
              </w:rPr>
              <w:t>Maryland</w:t>
            </w:r>
          </w:p>
        </w:tc>
        <w:tc>
          <w:tcPr>
            <w:tcW w:w="40" w:type="dxa"/>
            <w:vAlign w:val="bottom"/>
          </w:tcPr>
          <w:p>
            <w:pPr>
              <w:spacing w:after="0"/>
              <w:rPr>
                <w:sz w:val="16"/>
                <w:szCs w:val="16"/>
                <w:color w:val="auto"/>
              </w:rPr>
            </w:pP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DDI Dallas 1, LLC</w:t>
            </w:r>
          </w:p>
        </w:tc>
        <w:tc>
          <w:tcPr>
            <w:tcW w:w="3080" w:type="dxa"/>
            <w:vAlign w:val="bottom"/>
            <w:shd w:val="clear" w:color="auto" w:fill="CCEEFF"/>
          </w:tcPr>
          <w:p>
            <w:pPr>
              <w:jc w:val="center"/>
              <w:ind w:left="5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DDI Garland, LLC</w:t>
            </w:r>
          </w:p>
        </w:tc>
        <w:tc>
          <w:tcPr>
            <w:tcW w:w="3080" w:type="dxa"/>
            <w:vAlign w:val="bottom"/>
          </w:tcPr>
          <w:p>
            <w:pPr>
              <w:jc w:val="center"/>
              <w:ind w:left="5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DDI Lewisville, LLC</w:t>
            </w:r>
          </w:p>
        </w:tc>
        <w:tc>
          <w:tcPr>
            <w:tcW w:w="3080" w:type="dxa"/>
            <w:vAlign w:val="bottom"/>
            <w:shd w:val="clear" w:color="auto" w:fill="CCEEFF"/>
          </w:tcPr>
          <w:p>
            <w:pPr>
              <w:jc w:val="center"/>
              <w:ind w:left="5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Devin Shafron E and F Land Condominium Owners Association, Inc.</w:t>
            </w:r>
          </w:p>
        </w:tc>
        <w:tc>
          <w:tcPr>
            <w:tcW w:w="3080" w:type="dxa"/>
            <w:vAlign w:val="bottom"/>
          </w:tcPr>
          <w:p>
            <w:pPr>
              <w:jc w:val="center"/>
              <w:ind w:left="522"/>
              <w:spacing w:after="0"/>
              <w:rPr>
                <w:sz w:val="20"/>
                <w:szCs w:val="20"/>
                <w:color w:val="auto"/>
              </w:rPr>
            </w:pPr>
            <w:r>
              <w:rPr>
                <w:rFonts w:ascii="Times New Roman" w:cs="Times New Roman" w:eastAsia="Times New Roman" w:hAnsi="Times New Roman"/>
                <w:sz w:val="16"/>
                <w:szCs w:val="16"/>
                <w:color w:val="auto"/>
                <w:w w:val="97"/>
              </w:rPr>
              <w:t>Virginia</w:t>
            </w:r>
          </w:p>
        </w:tc>
        <w:tc>
          <w:tcPr>
            <w:tcW w:w="40" w:type="dxa"/>
            <w:vAlign w:val="bottom"/>
          </w:tcPr>
          <w:p>
            <w:pPr>
              <w:spacing w:after="0"/>
              <w:rPr>
                <w:sz w:val="16"/>
                <w:szCs w:val="16"/>
                <w:color w:val="auto"/>
              </w:rPr>
            </w:pP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DF Property Manangement LLC</w:t>
            </w:r>
          </w:p>
        </w:tc>
        <w:tc>
          <w:tcPr>
            <w:tcW w:w="3080" w:type="dxa"/>
            <w:vAlign w:val="bottom"/>
            <w:shd w:val="clear" w:color="auto" w:fill="CCEEFF"/>
          </w:tcPr>
          <w:p>
            <w:pPr>
              <w:jc w:val="center"/>
              <w:ind w:left="5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484"/>
        </w:trPr>
        <w:tc>
          <w:tcPr>
            <w:tcW w:w="49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40" w:orient="portrait"/>
          <w:cols w:equalWidth="0" w:num="1">
            <w:col w:w="9020"/>
          </w:cols>
          <w:pgMar w:left="1440" w:top="555" w:right="1440" w:bottom="1440" w:gutter="0" w:footer="0" w:header="0"/>
        </w:sectPr>
      </w:pPr>
    </w:p>
    <w:bookmarkStart w:id="524" w:name="page525"/>
    <w:bookmarkEnd w:id="524"/>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Exhibit 21.1</w:t>
      </w:r>
    </w:p>
    <w:p>
      <w:pPr>
        <w:spacing w:after="0" w:line="16" w:lineRule="exact"/>
        <w:rPr>
          <w:sz w:val="20"/>
          <w:szCs w:val="20"/>
          <w:color w:val="auto"/>
        </w:rPr>
      </w:pPr>
    </w:p>
    <w:tbl>
      <w:tblPr>
        <w:tblLayout w:type="fixed"/>
        <w:tblInd w:w="460" w:type="dxa"/>
        <w:tblCellMar>
          <w:top w:w="0" w:type="dxa"/>
          <w:left w:w="0" w:type="dxa"/>
          <w:bottom w:w="0" w:type="dxa"/>
          <w:right w:w="0" w:type="dxa"/>
        </w:tblCellMar>
      </w:tblPr>
      <w:tr>
        <w:trPr>
          <w:trHeight w:val="205"/>
        </w:trPr>
        <w:tc>
          <w:tcPr>
            <w:tcW w:w="6040" w:type="dxa"/>
            <w:vAlign w:val="bottom"/>
          </w:tcPr>
          <w:p>
            <w:pPr>
              <w:ind w:left="2480"/>
              <w:spacing w:after="0"/>
              <w:rPr>
                <w:sz w:val="20"/>
                <w:szCs w:val="20"/>
                <w:color w:val="auto"/>
              </w:rPr>
            </w:pPr>
            <w:r>
              <w:rPr>
                <w:rFonts w:ascii="Times New Roman" w:cs="Times New Roman" w:eastAsia="Times New Roman" w:hAnsi="Times New Roman"/>
                <w:sz w:val="16"/>
                <w:szCs w:val="16"/>
                <w:b w:val="1"/>
                <w:bCs w:val="1"/>
                <w:color w:val="auto"/>
              </w:rPr>
              <w:t>List of Subsidiaries of Digital Realty Trust, Inc.</w:t>
            </w:r>
          </w:p>
        </w:tc>
        <w:tc>
          <w:tcPr>
            <w:tcW w:w="20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77"/>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DFT Canada LP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24"/>
                <w:szCs w:val="24"/>
                <w:color w:val="auto"/>
              </w:rPr>
            </w:pPr>
          </w:p>
        </w:tc>
      </w:tr>
      <w:tr>
        <w:trPr>
          <w:trHeight w:val="193"/>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DFT Moose GP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DGA Centennial Holding,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DGA Centennial,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 Bryan Street Partnership, L.P.</w:t>
            </w:r>
          </w:p>
        </w:tc>
        <w:tc>
          <w:tcPr>
            <w:tcW w:w="2020" w:type="dxa"/>
            <w:vAlign w:val="bottom"/>
          </w:tcPr>
          <w:p>
            <w:pPr>
              <w:jc w:val="center"/>
              <w:ind w:right="402"/>
              <w:spacing w:after="0"/>
              <w:rPr>
                <w:sz w:val="20"/>
                <w:szCs w:val="20"/>
                <w:color w:val="auto"/>
              </w:rPr>
            </w:pPr>
            <w:r>
              <w:rPr>
                <w:rFonts w:ascii="Times New Roman" w:cs="Times New Roman" w:eastAsia="Times New Roman" w:hAnsi="Times New Roman"/>
                <w:sz w:val="16"/>
                <w:szCs w:val="16"/>
                <w:color w:val="auto"/>
                <w:w w:val="99"/>
              </w:rPr>
              <w:t>Texas</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113 N. Myers,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1201 Comstock,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1231 Comstock,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125 N. Myers,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128 First Avenue,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1350 Duane,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1550 Space Park,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1725 Comstock,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2020 Fifth Avenue Investor,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2121 South Price,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2260 East El Segundo,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365 Main,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3825 NW Aloclek Place,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55 Middlesex,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60 &amp; 80 Merritt,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717 GP,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717 Leonard, L.P.</w:t>
            </w:r>
          </w:p>
        </w:tc>
        <w:tc>
          <w:tcPr>
            <w:tcW w:w="2020" w:type="dxa"/>
            <w:vAlign w:val="bottom"/>
            <w:shd w:val="clear" w:color="auto" w:fill="CCEEFF"/>
          </w:tcPr>
          <w:p>
            <w:pPr>
              <w:jc w:val="center"/>
              <w:ind w:right="402"/>
              <w:spacing w:after="0"/>
              <w:rPr>
                <w:sz w:val="20"/>
                <w:szCs w:val="20"/>
                <w:color w:val="auto"/>
              </w:rPr>
            </w:pPr>
            <w:r>
              <w:rPr>
                <w:rFonts w:ascii="Times New Roman" w:cs="Times New Roman" w:eastAsia="Times New Roman" w:hAnsi="Times New Roman"/>
                <w:sz w:val="16"/>
                <w:szCs w:val="16"/>
                <w:color w:val="auto"/>
                <w:w w:val="99"/>
              </w:rPr>
              <w:t>Texas</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717 LP,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720 2nd,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89th Place,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Africa JV B.V.</w:t>
            </w:r>
          </w:p>
        </w:tc>
        <w:tc>
          <w:tcPr>
            <w:tcW w:w="2020" w:type="dxa"/>
            <w:vAlign w:val="bottom"/>
            <w:shd w:val="clear" w:color="auto" w:fill="CCEEFF"/>
          </w:tcPr>
          <w:p>
            <w:pPr>
              <w:jc w:val="center"/>
              <w:ind w:right="40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Akard,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Alfred,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Alma Road, L.P.</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Aquila 101 Holding, L.P.</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Aquila 101 REIT,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Aquila 101,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Aquila 2,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Aquila,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Ashburn CS,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Asia,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Australia Finco Pty Ltd</w:t>
            </w:r>
          </w:p>
        </w:tc>
        <w:tc>
          <w:tcPr>
            <w:tcW w:w="2020" w:type="dxa"/>
            <w:vAlign w:val="bottom"/>
          </w:tcPr>
          <w:p>
            <w:pPr>
              <w:jc w:val="center"/>
              <w:ind w:right="402"/>
              <w:spacing w:after="0"/>
              <w:rPr>
                <w:sz w:val="20"/>
                <w:szCs w:val="20"/>
                <w:color w:val="auto"/>
              </w:rPr>
            </w:pPr>
            <w:r>
              <w:rPr>
                <w:rFonts w:ascii="Times New Roman" w:cs="Times New Roman" w:eastAsia="Times New Roman" w:hAnsi="Times New Roman"/>
                <w:sz w:val="16"/>
                <w:szCs w:val="16"/>
                <w:color w:val="auto"/>
                <w:w w:val="98"/>
              </w:rPr>
              <w:t>Australia</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Australia Investment Management Pty Limited</w:t>
            </w:r>
          </w:p>
        </w:tc>
        <w:tc>
          <w:tcPr>
            <w:tcW w:w="2020" w:type="dxa"/>
            <w:vAlign w:val="bottom"/>
            <w:shd w:val="clear" w:color="auto" w:fill="CCEEFF"/>
          </w:tcPr>
          <w:p>
            <w:pPr>
              <w:jc w:val="center"/>
              <w:ind w:right="402"/>
              <w:spacing w:after="0"/>
              <w:rPr>
                <w:sz w:val="20"/>
                <w:szCs w:val="20"/>
                <w:color w:val="auto"/>
              </w:rPr>
            </w:pPr>
            <w:r>
              <w:rPr>
                <w:rFonts w:ascii="Times New Roman" w:cs="Times New Roman" w:eastAsia="Times New Roman" w:hAnsi="Times New Roman"/>
                <w:sz w:val="16"/>
                <w:szCs w:val="16"/>
                <w:color w:val="auto"/>
                <w:w w:val="98"/>
              </w:rPr>
              <w:t>Australia</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Barcelona RE 1 S.L.U.</w:t>
            </w:r>
          </w:p>
        </w:tc>
        <w:tc>
          <w:tcPr>
            <w:tcW w:w="2020" w:type="dxa"/>
            <w:vAlign w:val="bottom"/>
          </w:tcPr>
          <w:p>
            <w:pPr>
              <w:jc w:val="center"/>
              <w:ind w:right="402"/>
              <w:spacing w:after="0"/>
              <w:rPr>
                <w:sz w:val="20"/>
                <w:szCs w:val="20"/>
                <w:color w:val="auto"/>
              </w:rPr>
            </w:pPr>
            <w:r>
              <w:rPr>
                <w:rFonts w:ascii="Times New Roman" w:cs="Times New Roman" w:eastAsia="Times New Roman" w:hAnsi="Times New Roman"/>
                <w:sz w:val="16"/>
                <w:szCs w:val="16"/>
                <w:color w:val="auto"/>
                <w:w w:val="93"/>
              </w:rPr>
              <w:t>Spain</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BH 800 Holdco,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BH 800 M,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BH 800,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Bowser,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Cabot,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Cadillac Services,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Carver Brickyard Holding,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Carver Brickyard Investor,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Carver Brickyard JV,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203"/>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Carver Brickyard Manager,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7"/>
                <w:szCs w:val="17"/>
                <w:color w:val="auto"/>
              </w:rPr>
            </w:pPr>
          </w:p>
        </w:tc>
      </w:tr>
      <w:tr>
        <w:trPr>
          <w:trHeight w:val="473"/>
        </w:trPr>
        <w:tc>
          <w:tcPr>
            <w:tcW w:w="60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40" w:orient="portrait"/>
          <w:cols w:equalWidth="0" w:num="1">
            <w:col w:w="9020"/>
          </w:cols>
          <w:pgMar w:left="1440" w:top="555" w:right="1440" w:bottom="1440" w:gutter="0" w:footer="0" w:header="0"/>
        </w:sectPr>
      </w:pPr>
    </w:p>
    <w:bookmarkStart w:id="525" w:name="page526"/>
    <w:bookmarkEnd w:id="525"/>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Exhibit 21.1</w:t>
      </w:r>
    </w:p>
    <w:p>
      <w:pPr>
        <w:spacing w:after="0" w:line="16" w:lineRule="exact"/>
        <w:rPr>
          <w:sz w:val="20"/>
          <w:szCs w:val="20"/>
          <w:color w:val="auto"/>
        </w:rPr>
      </w:pPr>
    </w:p>
    <w:tbl>
      <w:tblPr>
        <w:tblLayout w:type="fixed"/>
        <w:tblInd w:w="460" w:type="dxa"/>
        <w:tblCellMar>
          <w:top w:w="0" w:type="dxa"/>
          <w:left w:w="0" w:type="dxa"/>
          <w:bottom w:w="0" w:type="dxa"/>
          <w:right w:w="0" w:type="dxa"/>
        </w:tblCellMar>
      </w:tblPr>
      <w:tr>
        <w:trPr>
          <w:trHeight w:val="205"/>
        </w:trPr>
        <w:tc>
          <w:tcPr>
            <w:tcW w:w="6040" w:type="dxa"/>
            <w:vAlign w:val="bottom"/>
          </w:tcPr>
          <w:p>
            <w:pPr>
              <w:ind w:left="2480"/>
              <w:spacing w:after="0"/>
              <w:rPr>
                <w:sz w:val="20"/>
                <w:szCs w:val="20"/>
                <w:color w:val="auto"/>
              </w:rPr>
            </w:pPr>
            <w:r>
              <w:rPr>
                <w:rFonts w:ascii="Times New Roman" w:cs="Times New Roman" w:eastAsia="Times New Roman" w:hAnsi="Times New Roman"/>
                <w:sz w:val="16"/>
                <w:szCs w:val="16"/>
                <w:b w:val="1"/>
                <w:bCs w:val="1"/>
                <w:color w:val="auto"/>
              </w:rPr>
              <w:t>List of Subsidiaries of Digital Realty Trust, Inc.</w:t>
            </w:r>
          </w:p>
        </w:tc>
        <w:tc>
          <w:tcPr>
            <w:tcW w:w="20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86"/>
        </w:trPr>
        <w:tc>
          <w:tcPr>
            <w:tcW w:w="60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Carver Brickyard,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Carver Dulles 5 Holding,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Carver Dulles 5 Investor,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Carver Dulles 5 JV,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Carver Dulles 5,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Carver Dulles Manager,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Carver Fechenheim 23 B.V.</w:t>
            </w:r>
          </w:p>
        </w:tc>
        <w:tc>
          <w:tcPr>
            <w:tcW w:w="2020" w:type="dxa"/>
            <w:vAlign w:val="bottom"/>
            <w:shd w:val="clear" w:color="auto" w:fill="CCEEFF"/>
          </w:tcPr>
          <w:p>
            <w:pPr>
              <w:jc w:val="center"/>
              <w:ind w:right="40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Carver Fechenheim 23 Holding B.V.</w:t>
            </w:r>
          </w:p>
        </w:tc>
        <w:tc>
          <w:tcPr>
            <w:tcW w:w="2020" w:type="dxa"/>
            <w:vAlign w:val="bottom"/>
          </w:tcPr>
          <w:p>
            <w:pPr>
              <w:jc w:val="center"/>
              <w:ind w:right="40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Carver Fechenheim 23 OpCo GmbH</w:t>
            </w:r>
          </w:p>
        </w:tc>
        <w:tc>
          <w:tcPr>
            <w:tcW w:w="2020" w:type="dxa"/>
            <w:vAlign w:val="bottom"/>
            <w:shd w:val="clear" w:color="auto" w:fill="CCEEFF"/>
          </w:tcPr>
          <w:p>
            <w:pPr>
              <w:jc w:val="center"/>
              <w:ind w:right="402"/>
              <w:spacing w:after="0"/>
              <w:rPr>
                <w:sz w:val="20"/>
                <w:szCs w:val="20"/>
                <w:color w:val="auto"/>
              </w:rPr>
            </w:pPr>
            <w:r>
              <w:rPr>
                <w:rFonts w:ascii="Times New Roman" w:cs="Times New Roman" w:eastAsia="Times New Roman" w:hAnsi="Times New Roman"/>
                <w:sz w:val="16"/>
                <w:szCs w:val="16"/>
                <w:color w:val="auto"/>
                <w:w w:val="97"/>
              </w:rPr>
              <w:t>Germany</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Carver Fechenheim 23 Pledgeco B.V.</w:t>
            </w:r>
          </w:p>
        </w:tc>
        <w:tc>
          <w:tcPr>
            <w:tcW w:w="2020" w:type="dxa"/>
            <w:vAlign w:val="bottom"/>
          </w:tcPr>
          <w:p>
            <w:pPr>
              <w:jc w:val="center"/>
              <w:ind w:right="40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Carver Fechenheim 24 B.V.</w:t>
            </w:r>
          </w:p>
        </w:tc>
        <w:tc>
          <w:tcPr>
            <w:tcW w:w="2020" w:type="dxa"/>
            <w:vAlign w:val="bottom"/>
            <w:shd w:val="clear" w:color="auto" w:fill="CCEEFF"/>
          </w:tcPr>
          <w:p>
            <w:pPr>
              <w:jc w:val="center"/>
              <w:ind w:right="40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Carver Fechenheim 24 Holding B.V.</w:t>
            </w:r>
          </w:p>
        </w:tc>
        <w:tc>
          <w:tcPr>
            <w:tcW w:w="2020" w:type="dxa"/>
            <w:vAlign w:val="bottom"/>
          </w:tcPr>
          <w:p>
            <w:pPr>
              <w:jc w:val="center"/>
              <w:ind w:right="40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Carver Fechenheim 24 OpCo GmbH</w:t>
            </w:r>
          </w:p>
        </w:tc>
        <w:tc>
          <w:tcPr>
            <w:tcW w:w="2020" w:type="dxa"/>
            <w:vAlign w:val="bottom"/>
            <w:shd w:val="clear" w:color="auto" w:fill="CCEEFF"/>
          </w:tcPr>
          <w:p>
            <w:pPr>
              <w:jc w:val="center"/>
              <w:ind w:right="402"/>
              <w:spacing w:after="0"/>
              <w:rPr>
                <w:sz w:val="20"/>
                <w:szCs w:val="20"/>
                <w:color w:val="auto"/>
              </w:rPr>
            </w:pPr>
            <w:r>
              <w:rPr>
                <w:rFonts w:ascii="Times New Roman" w:cs="Times New Roman" w:eastAsia="Times New Roman" w:hAnsi="Times New Roman"/>
                <w:sz w:val="16"/>
                <w:szCs w:val="16"/>
                <w:color w:val="auto"/>
                <w:w w:val="97"/>
              </w:rPr>
              <w:t>Germany</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Carver Fechenheim 24 Pledgeco B.V.</w:t>
            </w:r>
          </w:p>
        </w:tc>
        <w:tc>
          <w:tcPr>
            <w:tcW w:w="2020" w:type="dxa"/>
            <w:vAlign w:val="bottom"/>
          </w:tcPr>
          <w:p>
            <w:pPr>
              <w:jc w:val="center"/>
              <w:ind w:right="40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Carver Fechenheim 25 B.V.</w:t>
            </w:r>
          </w:p>
        </w:tc>
        <w:tc>
          <w:tcPr>
            <w:tcW w:w="2020" w:type="dxa"/>
            <w:vAlign w:val="bottom"/>
            <w:shd w:val="clear" w:color="auto" w:fill="CCEEFF"/>
          </w:tcPr>
          <w:p>
            <w:pPr>
              <w:jc w:val="center"/>
              <w:ind w:right="40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Carver Fechenheim 25 Holding B.V.</w:t>
            </w:r>
          </w:p>
        </w:tc>
        <w:tc>
          <w:tcPr>
            <w:tcW w:w="2020" w:type="dxa"/>
            <w:vAlign w:val="bottom"/>
          </w:tcPr>
          <w:p>
            <w:pPr>
              <w:jc w:val="center"/>
              <w:ind w:right="40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Carver Fechenheim 25 OpCo GmbH</w:t>
            </w:r>
          </w:p>
        </w:tc>
        <w:tc>
          <w:tcPr>
            <w:tcW w:w="2020" w:type="dxa"/>
            <w:vAlign w:val="bottom"/>
            <w:shd w:val="clear" w:color="auto" w:fill="CCEEFF"/>
          </w:tcPr>
          <w:p>
            <w:pPr>
              <w:jc w:val="center"/>
              <w:ind w:right="402"/>
              <w:spacing w:after="0"/>
              <w:rPr>
                <w:sz w:val="20"/>
                <w:szCs w:val="20"/>
                <w:color w:val="auto"/>
              </w:rPr>
            </w:pPr>
            <w:r>
              <w:rPr>
                <w:rFonts w:ascii="Times New Roman" w:cs="Times New Roman" w:eastAsia="Times New Roman" w:hAnsi="Times New Roman"/>
                <w:sz w:val="16"/>
                <w:szCs w:val="16"/>
                <w:color w:val="auto"/>
                <w:w w:val="97"/>
              </w:rPr>
              <w:t>Germany</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Carver Fechenheim 25 Pledgeco B.V.</w:t>
            </w:r>
          </w:p>
        </w:tc>
        <w:tc>
          <w:tcPr>
            <w:tcW w:w="2020" w:type="dxa"/>
            <w:vAlign w:val="bottom"/>
          </w:tcPr>
          <w:p>
            <w:pPr>
              <w:jc w:val="center"/>
              <w:ind w:right="40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Carver Fechenheim 26 B.V.</w:t>
            </w:r>
          </w:p>
        </w:tc>
        <w:tc>
          <w:tcPr>
            <w:tcW w:w="2020" w:type="dxa"/>
            <w:vAlign w:val="bottom"/>
            <w:shd w:val="clear" w:color="auto" w:fill="CCEEFF"/>
          </w:tcPr>
          <w:p>
            <w:pPr>
              <w:jc w:val="center"/>
              <w:ind w:right="40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Carver Fechenheim 26 Holding B.V.</w:t>
            </w:r>
          </w:p>
        </w:tc>
        <w:tc>
          <w:tcPr>
            <w:tcW w:w="2020" w:type="dxa"/>
            <w:vAlign w:val="bottom"/>
          </w:tcPr>
          <w:p>
            <w:pPr>
              <w:jc w:val="center"/>
              <w:ind w:right="40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Carver Fechenheim 26 OpCo GmbH</w:t>
            </w:r>
          </w:p>
        </w:tc>
        <w:tc>
          <w:tcPr>
            <w:tcW w:w="2020" w:type="dxa"/>
            <w:vAlign w:val="bottom"/>
            <w:shd w:val="clear" w:color="auto" w:fill="CCEEFF"/>
          </w:tcPr>
          <w:p>
            <w:pPr>
              <w:jc w:val="center"/>
              <w:ind w:right="402"/>
              <w:spacing w:after="0"/>
              <w:rPr>
                <w:sz w:val="20"/>
                <w:szCs w:val="20"/>
                <w:color w:val="auto"/>
              </w:rPr>
            </w:pPr>
            <w:r>
              <w:rPr>
                <w:rFonts w:ascii="Times New Roman" w:cs="Times New Roman" w:eastAsia="Times New Roman" w:hAnsi="Times New Roman"/>
                <w:sz w:val="16"/>
                <w:szCs w:val="16"/>
                <w:color w:val="auto"/>
                <w:w w:val="97"/>
              </w:rPr>
              <w:t>Germany</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Carver Fechenheim 26 Pledgeco B.V.</w:t>
            </w:r>
          </w:p>
        </w:tc>
        <w:tc>
          <w:tcPr>
            <w:tcW w:w="2020" w:type="dxa"/>
            <w:vAlign w:val="bottom"/>
          </w:tcPr>
          <w:p>
            <w:pPr>
              <w:jc w:val="center"/>
              <w:ind w:right="40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Carver Fechenheim 27 B.V.</w:t>
            </w:r>
          </w:p>
        </w:tc>
        <w:tc>
          <w:tcPr>
            <w:tcW w:w="2020" w:type="dxa"/>
            <w:vAlign w:val="bottom"/>
            <w:shd w:val="clear" w:color="auto" w:fill="CCEEFF"/>
          </w:tcPr>
          <w:p>
            <w:pPr>
              <w:jc w:val="center"/>
              <w:ind w:right="40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Carver Fechenheim 27 Holding B.V.</w:t>
            </w:r>
          </w:p>
        </w:tc>
        <w:tc>
          <w:tcPr>
            <w:tcW w:w="2020" w:type="dxa"/>
            <w:vAlign w:val="bottom"/>
          </w:tcPr>
          <w:p>
            <w:pPr>
              <w:jc w:val="center"/>
              <w:ind w:right="40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Carver Fechenheim 27 OpCo GmbH</w:t>
            </w:r>
          </w:p>
        </w:tc>
        <w:tc>
          <w:tcPr>
            <w:tcW w:w="2020" w:type="dxa"/>
            <w:vAlign w:val="bottom"/>
            <w:shd w:val="clear" w:color="auto" w:fill="CCEEFF"/>
          </w:tcPr>
          <w:p>
            <w:pPr>
              <w:jc w:val="center"/>
              <w:ind w:right="402"/>
              <w:spacing w:after="0"/>
              <w:rPr>
                <w:sz w:val="20"/>
                <w:szCs w:val="20"/>
                <w:color w:val="auto"/>
              </w:rPr>
            </w:pPr>
            <w:r>
              <w:rPr>
                <w:rFonts w:ascii="Times New Roman" w:cs="Times New Roman" w:eastAsia="Times New Roman" w:hAnsi="Times New Roman"/>
                <w:sz w:val="16"/>
                <w:szCs w:val="16"/>
                <w:color w:val="auto"/>
                <w:w w:val="97"/>
              </w:rPr>
              <w:t>Germany</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Carver Fechenheim 27 Pledgeco B.V.</w:t>
            </w:r>
          </w:p>
        </w:tc>
        <w:tc>
          <w:tcPr>
            <w:tcW w:w="2020" w:type="dxa"/>
            <w:vAlign w:val="bottom"/>
          </w:tcPr>
          <w:p>
            <w:pPr>
              <w:jc w:val="center"/>
              <w:ind w:right="40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Carver Fechenheim Holding B.V.</w:t>
            </w:r>
          </w:p>
        </w:tc>
        <w:tc>
          <w:tcPr>
            <w:tcW w:w="2020" w:type="dxa"/>
            <w:vAlign w:val="bottom"/>
            <w:shd w:val="clear" w:color="auto" w:fill="CCEEFF"/>
          </w:tcPr>
          <w:p>
            <w:pPr>
              <w:jc w:val="center"/>
              <w:ind w:right="40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Carver Fechenheim Investor B.V.</w:t>
            </w:r>
          </w:p>
        </w:tc>
        <w:tc>
          <w:tcPr>
            <w:tcW w:w="2020" w:type="dxa"/>
            <w:vAlign w:val="bottom"/>
          </w:tcPr>
          <w:p>
            <w:pPr>
              <w:jc w:val="center"/>
              <w:ind w:right="40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Carver Fechenheim JV B.V.</w:t>
            </w:r>
          </w:p>
        </w:tc>
        <w:tc>
          <w:tcPr>
            <w:tcW w:w="2020" w:type="dxa"/>
            <w:vAlign w:val="bottom"/>
            <w:shd w:val="clear" w:color="auto" w:fill="CCEEFF"/>
          </w:tcPr>
          <w:p>
            <w:pPr>
              <w:jc w:val="center"/>
              <w:ind w:right="40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Carver Fechenheim,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Carver Les Ulis Holding 2 B.V.</w:t>
            </w:r>
          </w:p>
        </w:tc>
        <w:tc>
          <w:tcPr>
            <w:tcW w:w="2020" w:type="dxa"/>
            <w:vAlign w:val="bottom"/>
            <w:shd w:val="clear" w:color="auto" w:fill="CCEEFF"/>
          </w:tcPr>
          <w:p>
            <w:pPr>
              <w:jc w:val="center"/>
              <w:ind w:right="40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Carver Les Ulis Holding B.V.</w:t>
            </w:r>
          </w:p>
        </w:tc>
        <w:tc>
          <w:tcPr>
            <w:tcW w:w="2020" w:type="dxa"/>
            <w:vAlign w:val="bottom"/>
          </w:tcPr>
          <w:p>
            <w:pPr>
              <w:jc w:val="center"/>
              <w:ind w:right="40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Carver Les Ulis Investor B.V.</w:t>
            </w:r>
          </w:p>
        </w:tc>
        <w:tc>
          <w:tcPr>
            <w:tcW w:w="2020" w:type="dxa"/>
            <w:vAlign w:val="bottom"/>
            <w:shd w:val="clear" w:color="auto" w:fill="CCEEFF"/>
          </w:tcPr>
          <w:p>
            <w:pPr>
              <w:jc w:val="center"/>
              <w:ind w:right="40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Carver Les Ulis JV B.V.</w:t>
            </w:r>
          </w:p>
        </w:tc>
        <w:tc>
          <w:tcPr>
            <w:tcW w:w="2020" w:type="dxa"/>
            <w:vAlign w:val="bottom"/>
          </w:tcPr>
          <w:p>
            <w:pPr>
              <w:jc w:val="center"/>
              <w:ind w:right="40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Carver Les Ulis Mezzco B.V.</w:t>
            </w:r>
          </w:p>
        </w:tc>
        <w:tc>
          <w:tcPr>
            <w:tcW w:w="2020" w:type="dxa"/>
            <w:vAlign w:val="bottom"/>
            <w:shd w:val="clear" w:color="auto" w:fill="CCEEFF"/>
          </w:tcPr>
          <w:p>
            <w:pPr>
              <w:jc w:val="center"/>
              <w:ind w:right="40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Carver Les Ulis Pledgeco B.V.</w:t>
            </w:r>
          </w:p>
        </w:tc>
        <w:tc>
          <w:tcPr>
            <w:tcW w:w="2020" w:type="dxa"/>
            <w:vAlign w:val="bottom"/>
          </w:tcPr>
          <w:p>
            <w:pPr>
              <w:jc w:val="center"/>
              <w:ind w:right="40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Cavalier Holding,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Cavalier Investor,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Cavalier Manager,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Cavalier Venture,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Cedar Park,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Chelsea,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Chestnut 1,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Chestnut 2,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Chestnut 3,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Chestnut 4,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Chestnut 5,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Chestnut Holding,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China,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484"/>
        </w:trPr>
        <w:tc>
          <w:tcPr>
            <w:tcW w:w="60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40" w:orient="portrait"/>
          <w:cols w:equalWidth="0" w:num="1">
            <w:col w:w="9020"/>
          </w:cols>
          <w:pgMar w:left="1440" w:top="555" w:right="1440" w:bottom="1440" w:gutter="0" w:footer="0" w:header="0"/>
        </w:sectPr>
      </w:pPr>
    </w:p>
    <w:bookmarkStart w:id="526" w:name="page527"/>
    <w:bookmarkEnd w:id="526"/>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Exhibit 21.1</w:t>
      </w:r>
    </w:p>
    <w:p>
      <w:pPr>
        <w:spacing w:after="0" w:line="16" w:lineRule="exact"/>
        <w:rPr>
          <w:sz w:val="20"/>
          <w:szCs w:val="20"/>
          <w:color w:val="auto"/>
        </w:rPr>
      </w:pPr>
    </w:p>
    <w:tbl>
      <w:tblPr>
        <w:tblLayout w:type="fixed"/>
        <w:tblInd w:w="460" w:type="dxa"/>
        <w:tblCellMar>
          <w:top w:w="0" w:type="dxa"/>
          <w:left w:w="0" w:type="dxa"/>
          <w:bottom w:w="0" w:type="dxa"/>
          <w:right w:w="0" w:type="dxa"/>
        </w:tblCellMar>
      </w:tblPr>
      <w:tr>
        <w:trPr>
          <w:trHeight w:val="205"/>
        </w:trPr>
        <w:tc>
          <w:tcPr>
            <w:tcW w:w="6040" w:type="dxa"/>
            <w:vAlign w:val="bottom"/>
          </w:tcPr>
          <w:p>
            <w:pPr>
              <w:ind w:left="2480"/>
              <w:spacing w:after="0"/>
              <w:rPr>
                <w:sz w:val="20"/>
                <w:szCs w:val="20"/>
                <w:color w:val="auto"/>
              </w:rPr>
            </w:pPr>
            <w:r>
              <w:rPr>
                <w:rFonts w:ascii="Times New Roman" w:cs="Times New Roman" w:eastAsia="Times New Roman" w:hAnsi="Times New Roman"/>
                <w:sz w:val="16"/>
                <w:szCs w:val="16"/>
                <w:b w:val="1"/>
                <w:bCs w:val="1"/>
                <w:color w:val="auto"/>
              </w:rPr>
              <w:t>List of Subsidiaries of Digital Realty Trust, Inc.</w:t>
            </w:r>
          </w:p>
        </w:tc>
        <w:tc>
          <w:tcPr>
            <w:tcW w:w="20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77"/>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Collins 908 GP,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24"/>
                <w:szCs w:val="24"/>
                <w:color w:val="auto"/>
              </w:rPr>
            </w:pPr>
          </w:p>
        </w:tc>
      </w:tr>
      <w:tr>
        <w:trPr>
          <w:trHeight w:val="193"/>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Collins 908 Holding, L.P.</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Collins 908 REIT,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Collins 908, L.P.</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Collins Technology Park Investor,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Commerce Boulevard,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Connect,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Constellation B.V.</w:t>
            </w:r>
          </w:p>
        </w:tc>
        <w:tc>
          <w:tcPr>
            <w:tcW w:w="2020" w:type="dxa"/>
            <w:vAlign w:val="bottom"/>
            <w:shd w:val="clear" w:color="auto" w:fill="CCEEFF"/>
          </w:tcPr>
          <w:p>
            <w:pPr>
              <w:jc w:val="center"/>
              <w:ind w:right="40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Copenhagen 1 ApS</w:t>
            </w:r>
          </w:p>
        </w:tc>
        <w:tc>
          <w:tcPr>
            <w:tcW w:w="2020" w:type="dxa"/>
            <w:vAlign w:val="bottom"/>
          </w:tcPr>
          <w:p>
            <w:pPr>
              <w:jc w:val="center"/>
              <w:ind w:right="402"/>
              <w:spacing w:after="0"/>
              <w:rPr>
                <w:sz w:val="20"/>
                <w:szCs w:val="20"/>
                <w:color w:val="auto"/>
              </w:rPr>
            </w:pPr>
            <w:r>
              <w:rPr>
                <w:rFonts w:ascii="Times New Roman" w:cs="Times New Roman" w:eastAsia="Times New Roman" w:hAnsi="Times New Roman"/>
                <w:sz w:val="16"/>
                <w:szCs w:val="16"/>
                <w:color w:val="auto"/>
                <w:w w:val="97"/>
              </w:rPr>
              <w:t>Denmark</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Copenhagen 2 ApS</w:t>
            </w:r>
          </w:p>
        </w:tc>
        <w:tc>
          <w:tcPr>
            <w:tcW w:w="2020" w:type="dxa"/>
            <w:vAlign w:val="bottom"/>
            <w:shd w:val="clear" w:color="auto" w:fill="CCEEFF"/>
          </w:tcPr>
          <w:p>
            <w:pPr>
              <w:jc w:val="center"/>
              <w:ind w:right="402"/>
              <w:spacing w:after="0"/>
              <w:rPr>
                <w:sz w:val="20"/>
                <w:szCs w:val="20"/>
                <w:color w:val="auto"/>
              </w:rPr>
            </w:pPr>
            <w:r>
              <w:rPr>
                <w:rFonts w:ascii="Times New Roman" w:cs="Times New Roman" w:eastAsia="Times New Roman" w:hAnsi="Times New Roman"/>
                <w:sz w:val="16"/>
                <w:szCs w:val="16"/>
                <w:color w:val="auto"/>
                <w:w w:val="97"/>
              </w:rPr>
              <w:t>Denmark</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Copenhagen 3 ApS</w:t>
            </w:r>
          </w:p>
        </w:tc>
        <w:tc>
          <w:tcPr>
            <w:tcW w:w="2020" w:type="dxa"/>
            <w:vAlign w:val="bottom"/>
          </w:tcPr>
          <w:p>
            <w:pPr>
              <w:jc w:val="center"/>
              <w:ind w:right="402"/>
              <w:spacing w:after="0"/>
              <w:rPr>
                <w:sz w:val="20"/>
                <w:szCs w:val="20"/>
                <w:color w:val="auto"/>
              </w:rPr>
            </w:pPr>
            <w:r>
              <w:rPr>
                <w:rFonts w:ascii="Times New Roman" w:cs="Times New Roman" w:eastAsia="Times New Roman" w:hAnsi="Times New Roman"/>
                <w:sz w:val="16"/>
                <w:szCs w:val="16"/>
                <w:color w:val="auto"/>
                <w:w w:val="97"/>
              </w:rPr>
              <w:t>Denmark</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Core REIT</w:t>
            </w:r>
          </w:p>
        </w:tc>
        <w:tc>
          <w:tcPr>
            <w:tcW w:w="2020" w:type="dxa"/>
            <w:vAlign w:val="bottom"/>
            <w:shd w:val="clear" w:color="auto" w:fill="CCEEFF"/>
          </w:tcPr>
          <w:p>
            <w:pPr>
              <w:jc w:val="center"/>
              <w:ind w:right="402"/>
              <w:spacing w:after="0"/>
              <w:rPr>
                <w:sz w:val="20"/>
                <w:szCs w:val="20"/>
                <w:color w:val="auto"/>
              </w:rPr>
            </w:pPr>
            <w:r>
              <w:rPr>
                <w:rFonts w:ascii="Times New Roman" w:cs="Times New Roman" w:eastAsia="Times New Roman" w:hAnsi="Times New Roman"/>
                <w:sz w:val="16"/>
                <w:szCs w:val="16"/>
                <w:color w:val="auto"/>
                <w:w w:val="95"/>
              </w:rPr>
              <w:t>Singapore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Core REIT Management Pte. Ltd.</w:t>
            </w:r>
          </w:p>
        </w:tc>
        <w:tc>
          <w:tcPr>
            <w:tcW w:w="2020" w:type="dxa"/>
            <w:vAlign w:val="bottom"/>
          </w:tcPr>
          <w:p>
            <w:pPr>
              <w:jc w:val="center"/>
              <w:ind w:right="402"/>
              <w:spacing w:after="0"/>
              <w:rPr>
                <w:sz w:val="20"/>
                <w:szCs w:val="20"/>
                <w:color w:val="auto"/>
              </w:rPr>
            </w:pPr>
            <w:r>
              <w:rPr>
                <w:rFonts w:ascii="Times New Roman" w:cs="Times New Roman" w:eastAsia="Times New Roman" w:hAnsi="Times New Roman"/>
                <w:sz w:val="16"/>
                <w:szCs w:val="16"/>
                <w:color w:val="auto"/>
                <w:w w:val="95"/>
              </w:rPr>
              <w:t>Singapore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CR Singapore 1 Pte. Ltd.</w:t>
            </w:r>
          </w:p>
        </w:tc>
        <w:tc>
          <w:tcPr>
            <w:tcW w:w="2020" w:type="dxa"/>
            <w:vAlign w:val="bottom"/>
            <w:shd w:val="clear" w:color="auto" w:fill="CCEEFF"/>
          </w:tcPr>
          <w:p>
            <w:pPr>
              <w:jc w:val="center"/>
              <w:ind w:right="402"/>
              <w:spacing w:after="0"/>
              <w:rPr>
                <w:sz w:val="20"/>
                <w:szCs w:val="20"/>
                <w:color w:val="auto"/>
              </w:rPr>
            </w:pPr>
            <w:r>
              <w:rPr>
                <w:rFonts w:ascii="Times New Roman" w:cs="Times New Roman" w:eastAsia="Times New Roman" w:hAnsi="Times New Roman"/>
                <w:sz w:val="16"/>
                <w:szCs w:val="16"/>
                <w:color w:val="auto"/>
                <w:w w:val="95"/>
              </w:rPr>
              <w:t>Singapore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CR Singapore 2 Pte. Ltd.</w:t>
            </w:r>
          </w:p>
        </w:tc>
        <w:tc>
          <w:tcPr>
            <w:tcW w:w="2020" w:type="dxa"/>
            <w:vAlign w:val="bottom"/>
          </w:tcPr>
          <w:p>
            <w:pPr>
              <w:jc w:val="center"/>
              <w:ind w:right="402"/>
              <w:spacing w:after="0"/>
              <w:rPr>
                <w:sz w:val="20"/>
                <w:szCs w:val="20"/>
                <w:color w:val="auto"/>
              </w:rPr>
            </w:pPr>
            <w:r>
              <w:rPr>
                <w:rFonts w:ascii="Times New Roman" w:cs="Times New Roman" w:eastAsia="Times New Roman" w:hAnsi="Times New Roman"/>
                <w:sz w:val="16"/>
                <w:szCs w:val="16"/>
                <w:color w:val="auto"/>
                <w:w w:val="95"/>
              </w:rPr>
              <w:t>Singapore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CR Singapore 3 Pte. Ltd.</w:t>
            </w:r>
          </w:p>
        </w:tc>
        <w:tc>
          <w:tcPr>
            <w:tcW w:w="2020" w:type="dxa"/>
            <w:vAlign w:val="bottom"/>
            <w:shd w:val="clear" w:color="auto" w:fill="CCEEFF"/>
          </w:tcPr>
          <w:p>
            <w:pPr>
              <w:jc w:val="center"/>
              <w:ind w:right="402"/>
              <w:spacing w:after="0"/>
              <w:rPr>
                <w:sz w:val="20"/>
                <w:szCs w:val="20"/>
                <w:color w:val="auto"/>
              </w:rPr>
            </w:pPr>
            <w:r>
              <w:rPr>
                <w:rFonts w:ascii="Times New Roman" w:cs="Times New Roman" w:eastAsia="Times New Roman" w:hAnsi="Times New Roman"/>
                <w:sz w:val="16"/>
                <w:szCs w:val="16"/>
                <w:color w:val="auto"/>
                <w:w w:val="95"/>
              </w:rPr>
              <w:t>Singapore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CR Singapore 4 Pte. Ltd.</w:t>
            </w:r>
          </w:p>
        </w:tc>
        <w:tc>
          <w:tcPr>
            <w:tcW w:w="2020" w:type="dxa"/>
            <w:vAlign w:val="bottom"/>
          </w:tcPr>
          <w:p>
            <w:pPr>
              <w:jc w:val="center"/>
              <w:ind w:right="402"/>
              <w:spacing w:after="0"/>
              <w:rPr>
                <w:sz w:val="20"/>
                <w:szCs w:val="20"/>
                <w:color w:val="auto"/>
              </w:rPr>
            </w:pPr>
            <w:r>
              <w:rPr>
                <w:rFonts w:ascii="Times New Roman" w:cs="Times New Roman" w:eastAsia="Times New Roman" w:hAnsi="Times New Roman"/>
                <w:sz w:val="16"/>
                <w:szCs w:val="16"/>
                <w:color w:val="auto"/>
                <w:w w:val="95"/>
              </w:rPr>
              <w:t>Singapore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CR Singapore 5 Pte. Ltd.</w:t>
            </w:r>
          </w:p>
        </w:tc>
        <w:tc>
          <w:tcPr>
            <w:tcW w:w="2020" w:type="dxa"/>
            <w:vAlign w:val="bottom"/>
            <w:shd w:val="clear" w:color="auto" w:fill="CCEEFF"/>
          </w:tcPr>
          <w:p>
            <w:pPr>
              <w:jc w:val="center"/>
              <w:ind w:right="402"/>
              <w:spacing w:after="0"/>
              <w:rPr>
                <w:sz w:val="20"/>
                <w:szCs w:val="20"/>
                <w:color w:val="auto"/>
              </w:rPr>
            </w:pPr>
            <w:r>
              <w:rPr>
                <w:rFonts w:ascii="Times New Roman" w:cs="Times New Roman" w:eastAsia="Times New Roman" w:hAnsi="Times New Roman"/>
                <w:sz w:val="16"/>
                <w:szCs w:val="16"/>
                <w:color w:val="auto"/>
                <w:w w:val="95"/>
              </w:rPr>
              <w:t>Singapore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CR Singapore 6 Pte. Ltd.</w:t>
            </w:r>
          </w:p>
        </w:tc>
        <w:tc>
          <w:tcPr>
            <w:tcW w:w="2020" w:type="dxa"/>
            <w:vAlign w:val="bottom"/>
          </w:tcPr>
          <w:p>
            <w:pPr>
              <w:jc w:val="center"/>
              <w:ind w:right="402"/>
              <w:spacing w:after="0"/>
              <w:rPr>
                <w:sz w:val="20"/>
                <w:szCs w:val="20"/>
                <w:color w:val="auto"/>
              </w:rPr>
            </w:pPr>
            <w:r>
              <w:rPr>
                <w:rFonts w:ascii="Times New Roman" w:cs="Times New Roman" w:eastAsia="Times New Roman" w:hAnsi="Times New Roman"/>
                <w:sz w:val="16"/>
                <w:szCs w:val="16"/>
                <w:color w:val="auto"/>
                <w:w w:val="95"/>
              </w:rPr>
              <w:t>Singapore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CR Singapore Holding,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CR Singapore Investor,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CR US Employer,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CR US REIT, Inc.</w:t>
            </w:r>
          </w:p>
        </w:tc>
        <w:tc>
          <w:tcPr>
            <w:tcW w:w="2020" w:type="dxa"/>
            <w:vAlign w:val="bottom"/>
          </w:tcPr>
          <w:p>
            <w:pPr>
              <w:jc w:val="center"/>
              <w:ind w:right="402"/>
              <w:spacing w:after="0"/>
              <w:rPr>
                <w:sz w:val="20"/>
                <w:szCs w:val="20"/>
                <w:color w:val="auto"/>
              </w:rPr>
            </w:pPr>
            <w:r>
              <w:rPr>
                <w:rFonts w:ascii="Times New Roman" w:cs="Times New Roman" w:eastAsia="Times New Roman" w:hAnsi="Times New Roman"/>
                <w:sz w:val="16"/>
                <w:szCs w:val="16"/>
                <w:color w:val="auto"/>
                <w:w w:val="99"/>
              </w:rPr>
              <w:t>Maryland</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Crawley 1 Limited</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9"/>
              </w:rPr>
              <w:t>Jersey</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Crawley 2 Limited</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9"/>
              </w:rPr>
              <w:t>Jersey</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Crawley 3 Limited</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9"/>
              </w:rPr>
              <w:t>Jersey</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Crete 1 Single Member P.C.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Greece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Data Centres Ghana Ltd.</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5"/>
              </w:rPr>
              <w:t>Ghana</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Deer Park 2,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Deer Park 3,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Devin Shafron B,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Devin Shafron D,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Doug Davis,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DSE Investor,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DSE Manager,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Dugny SAS</w:t>
            </w:r>
          </w:p>
        </w:tc>
        <w:tc>
          <w:tcPr>
            <w:tcW w:w="2020" w:type="dxa"/>
            <w:vAlign w:val="bottom"/>
            <w:shd w:val="clear" w:color="auto" w:fill="CCEEFF"/>
          </w:tcPr>
          <w:p>
            <w:pPr>
              <w:jc w:val="center"/>
              <w:ind w:right="402"/>
              <w:spacing w:after="0"/>
              <w:rPr>
                <w:sz w:val="20"/>
                <w:szCs w:val="20"/>
                <w:color w:val="auto"/>
              </w:rPr>
            </w:pPr>
            <w:r>
              <w:rPr>
                <w:rFonts w:ascii="Times New Roman" w:cs="Times New Roman" w:eastAsia="Times New Roman" w:hAnsi="Times New Roman"/>
                <w:sz w:val="16"/>
                <w:szCs w:val="16"/>
                <w:color w:val="auto"/>
                <w:w w:val="96"/>
              </w:rPr>
              <w:t>France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Dulles Land Condominium Unit Owners Association, Inc.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Virginia</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Dutch Finco B.V.</w:t>
            </w:r>
          </w:p>
        </w:tc>
        <w:tc>
          <w:tcPr>
            <w:tcW w:w="2020" w:type="dxa"/>
            <w:vAlign w:val="bottom"/>
            <w:shd w:val="clear" w:color="auto" w:fill="CCEEFF"/>
          </w:tcPr>
          <w:p>
            <w:pPr>
              <w:jc w:val="center"/>
              <w:ind w:right="40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Elk Grove 1,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Elk Grove 2,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Elk Grove 3,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Elk Grove Investor 2,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Elk Grove Investor,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Elk Grove Manager,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Elk Grove Venture 2,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Elk Grove Venture,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Erskine Park 2,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Erskine Park 3,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203"/>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Erskine Park 4,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7"/>
                <w:szCs w:val="17"/>
                <w:color w:val="auto"/>
              </w:rPr>
            </w:pPr>
          </w:p>
        </w:tc>
      </w:tr>
      <w:tr>
        <w:trPr>
          <w:trHeight w:val="473"/>
        </w:trPr>
        <w:tc>
          <w:tcPr>
            <w:tcW w:w="60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40" w:orient="portrait"/>
          <w:cols w:equalWidth="0" w:num="1">
            <w:col w:w="9020"/>
          </w:cols>
          <w:pgMar w:left="1440" w:top="555" w:right="1440" w:bottom="1440" w:gutter="0" w:footer="0" w:header="0"/>
        </w:sectPr>
      </w:pPr>
    </w:p>
    <w:bookmarkStart w:id="527" w:name="page528"/>
    <w:bookmarkEnd w:id="527"/>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184"/>
        </w:trPr>
        <w:tc>
          <w:tcPr>
            <w:tcW w:w="2340" w:type="dxa"/>
            <w:vAlign w:val="bottom"/>
          </w:tcPr>
          <w:p>
            <w:pPr>
              <w:spacing w:after="0"/>
              <w:rPr>
                <w:sz w:val="16"/>
                <w:szCs w:val="16"/>
                <w:color w:val="auto"/>
              </w:rPr>
            </w:pPr>
          </w:p>
        </w:tc>
        <w:tc>
          <w:tcPr>
            <w:tcW w:w="5780" w:type="dxa"/>
            <w:vAlign w:val="bottom"/>
            <w:gridSpan w:val="3"/>
          </w:tcPr>
          <w:p>
            <w:pPr>
              <w:ind w:left="4940"/>
              <w:spacing w:after="0"/>
              <w:rPr>
                <w:sz w:val="20"/>
                <w:szCs w:val="20"/>
                <w:color w:val="auto"/>
              </w:rPr>
            </w:pPr>
            <w:r>
              <w:rPr>
                <w:rFonts w:ascii="Times New Roman" w:cs="Times New Roman" w:eastAsia="Times New Roman" w:hAnsi="Times New Roman"/>
                <w:sz w:val="16"/>
                <w:szCs w:val="16"/>
                <w:b w:val="1"/>
                <w:bCs w:val="1"/>
                <w:color w:val="auto"/>
                <w:w w:val="99"/>
              </w:rPr>
              <w:t>Exhibit 21.1</w:t>
            </w:r>
          </w:p>
        </w:tc>
        <w:tc>
          <w:tcPr>
            <w:tcW w:w="0" w:type="dxa"/>
            <w:vAlign w:val="bottom"/>
          </w:tcPr>
          <w:p>
            <w:pPr>
              <w:spacing w:after="0"/>
              <w:rPr>
                <w:sz w:val="1"/>
                <w:szCs w:val="1"/>
                <w:color w:val="auto"/>
              </w:rPr>
            </w:pPr>
          </w:p>
        </w:tc>
      </w:tr>
      <w:tr>
        <w:trPr>
          <w:trHeight w:val="205"/>
        </w:trPr>
        <w:tc>
          <w:tcPr>
            <w:tcW w:w="2340" w:type="dxa"/>
            <w:vAlign w:val="bottom"/>
          </w:tcPr>
          <w:p>
            <w:pPr>
              <w:spacing w:after="0"/>
              <w:rPr>
                <w:sz w:val="17"/>
                <w:szCs w:val="17"/>
                <w:color w:val="auto"/>
              </w:rPr>
            </w:pPr>
          </w:p>
        </w:tc>
        <w:tc>
          <w:tcPr>
            <w:tcW w:w="578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List of Subsidiaries of Digital Realty Trust, Inc.</w:t>
            </w:r>
          </w:p>
        </w:tc>
        <w:tc>
          <w:tcPr>
            <w:tcW w:w="0" w:type="dxa"/>
            <w:vAlign w:val="bottom"/>
          </w:tcPr>
          <w:p>
            <w:pPr>
              <w:spacing w:after="0"/>
              <w:rPr>
                <w:sz w:val="1"/>
                <w:szCs w:val="1"/>
                <w:color w:val="auto"/>
              </w:rPr>
            </w:pPr>
          </w:p>
        </w:tc>
      </w:tr>
      <w:tr>
        <w:trPr>
          <w:trHeight w:val="206"/>
        </w:trPr>
        <w:tc>
          <w:tcPr>
            <w:tcW w:w="2340" w:type="dxa"/>
            <w:vAlign w:val="bottom"/>
          </w:tcPr>
          <w:p>
            <w:pPr>
              <w:spacing w:after="0"/>
              <w:rPr>
                <w:sz w:val="17"/>
                <w:szCs w:val="17"/>
                <w:color w:val="auto"/>
              </w:rPr>
            </w:pPr>
          </w:p>
        </w:tc>
        <w:tc>
          <w:tcPr>
            <w:tcW w:w="5760" w:type="dxa"/>
            <w:vAlign w:val="bottom"/>
            <w:gridSpan w:val="2"/>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Euro Finco GP, LLC</w:t>
            </w:r>
          </w:p>
        </w:tc>
        <w:tc>
          <w:tcPr>
            <w:tcW w:w="5760" w:type="dxa"/>
            <w:vAlign w:val="bottom"/>
            <w:gridSpan w:val="2"/>
            <w:shd w:val="clear" w:color="auto" w:fill="CCEEFF"/>
          </w:tcPr>
          <w:p>
            <w:pPr>
              <w:jc w:val="center"/>
              <w:ind w:left="3122"/>
              <w:spacing w:after="0"/>
              <w:rPr>
                <w:sz w:val="20"/>
                <w:szCs w:val="20"/>
                <w:color w:val="auto"/>
              </w:rPr>
            </w:pPr>
            <w:r>
              <w:rPr>
                <w:rFonts w:ascii="Times New Roman" w:cs="Times New Roman" w:eastAsia="Times New Roman" w:hAnsi="Times New Roman"/>
                <w:sz w:val="16"/>
                <w:szCs w:val="16"/>
                <w:color w:val="auto"/>
                <w:w w:val="97"/>
              </w:rPr>
              <w:t>Delaware</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Digital Euro Finco Partner Limited</w:t>
            </w:r>
          </w:p>
        </w:tc>
        <w:tc>
          <w:tcPr>
            <w:tcW w:w="5760" w:type="dxa"/>
            <w:vAlign w:val="bottom"/>
            <w:gridSpan w:val="2"/>
          </w:tcPr>
          <w:p>
            <w:pPr>
              <w:jc w:val="center"/>
              <w:ind w:left="3122"/>
              <w:spacing w:after="0"/>
              <w:rPr>
                <w:sz w:val="20"/>
                <w:szCs w:val="20"/>
                <w:color w:val="auto"/>
              </w:rPr>
            </w:pPr>
            <w:r>
              <w:rPr>
                <w:rFonts w:ascii="Times New Roman" w:cs="Times New Roman" w:eastAsia="Times New Roman" w:hAnsi="Times New Roman"/>
                <w:sz w:val="16"/>
                <w:szCs w:val="16"/>
                <w:color w:val="auto"/>
                <w:w w:val="98"/>
              </w:rPr>
              <w:t>British Virgin Islands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Euro Finco, L.P.</w:t>
            </w:r>
          </w:p>
        </w:tc>
        <w:tc>
          <w:tcPr>
            <w:tcW w:w="5760" w:type="dxa"/>
            <w:vAlign w:val="bottom"/>
            <w:gridSpan w:val="2"/>
            <w:shd w:val="clear" w:color="auto" w:fill="CCEEFF"/>
          </w:tcPr>
          <w:p>
            <w:pPr>
              <w:jc w:val="center"/>
              <w:ind w:left="3142"/>
              <w:spacing w:after="0"/>
              <w:rPr>
                <w:sz w:val="20"/>
                <w:szCs w:val="20"/>
                <w:color w:val="auto"/>
              </w:rPr>
            </w:pPr>
            <w:r>
              <w:rPr>
                <w:rFonts w:ascii="Times New Roman" w:cs="Times New Roman" w:eastAsia="Times New Roman" w:hAnsi="Times New Roman"/>
                <w:sz w:val="16"/>
                <w:szCs w:val="16"/>
                <w:color w:val="auto"/>
                <w:w w:val="97"/>
              </w:rPr>
              <w:t>United Kingdom (Scotland)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Digital Euro Finco, LLC</w:t>
            </w:r>
          </w:p>
        </w:tc>
        <w:tc>
          <w:tcPr>
            <w:tcW w:w="5760" w:type="dxa"/>
            <w:vAlign w:val="bottom"/>
            <w:gridSpan w:val="2"/>
          </w:tcPr>
          <w:p>
            <w:pPr>
              <w:jc w:val="center"/>
              <w:ind w:left="3122"/>
              <w:spacing w:after="0"/>
              <w:rPr>
                <w:sz w:val="20"/>
                <w:szCs w:val="20"/>
                <w:color w:val="auto"/>
              </w:rPr>
            </w:pPr>
            <w:r>
              <w:rPr>
                <w:rFonts w:ascii="Times New Roman" w:cs="Times New Roman" w:eastAsia="Times New Roman" w:hAnsi="Times New Roman"/>
                <w:sz w:val="16"/>
                <w:szCs w:val="16"/>
                <w:color w:val="auto"/>
                <w:w w:val="97"/>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Federal Systems, LLC</w:t>
            </w:r>
          </w:p>
        </w:tc>
        <w:tc>
          <w:tcPr>
            <w:tcW w:w="5760" w:type="dxa"/>
            <w:vAlign w:val="bottom"/>
            <w:gridSpan w:val="2"/>
            <w:shd w:val="clear" w:color="auto" w:fill="CCEEFF"/>
          </w:tcPr>
          <w:p>
            <w:pPr>
              <w:jc w:val="center"/>
              <w:ind w:left="3122"/>
              <w:spacing w:after="0"/>
              <w:rPr>
                <w:sz w:val="20"/>
                <w:szCs w:val="20"/>
                <w:color w:val="auto"/>
              </w:rPr>
            </w:pPr>
            <w:r>
              <w:rPr>
                <w:rFonts w:ascii="Times New Roman" w:cs="Times New Roman" w:eastAsia="Times New Roman" w:hAnsi="Times New Roman"/>
                <w:sz w:val="16"/>
                <w:szCs w:val="16"/>
                <w:color w:val="auto"/>
                <w:w w:val="97"/>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Digital Filigree Holding, L.P.</w:t>
            </w:r>
          </w:p>
        </w:tc>
        <w:tc>
          <w:tcPr>
            <w:tcW w:w="5760" w:type="dxa"/>
            <w:vAlign w:val="bottom"/>
            <w:gridSpan w:val="2"/>
          </w:tcPr>
          <w:p>
            <w:pPr>
              <w:jc w:val="center"/>
              <w:ind w:left="3122"/>
              <w:spacing w:after="0"/>
              <w:rPr>
                <w:sz w:val="20"/>
                <w:szCs w:val="20"/>
                <w:color w:val="auto"/>
              </w:rPr>
            </w:pPr>
            <w:r>
              <w:rPr>
                <w:rFonts w:ascii="Times New Roman" w:cs="Times New Roman" w:eastAsia="Times New Roman" w:hAnsi="Times New Roman"/>
                <w:sz w:val="16"/>
                <w:szCs w:val="16"/>
                <w:color w:val="auto"/>
                <w:w w:val="97"/>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Filigree REIT, LLC</w:t>
            </w:r>
          </w:p>
        </w:tc>
        <w:tc>
          <w:tcPr>
            <w:tcW w:w="5760" w:type="dxa"/>
            <w:vAlign w:val="bottom"/>
            <w:gridSpan w:val="2"/>
            <w:shd w:val="clear" w:color="auto" w:fill="CCEEFF"/>
          </w:tcPr>
          <w:p>
            <w:pPr>
              <w:jc w:val="center"/>
              <w:ind w:left="3122"/>
              <w:spacing w:after="0"/>
              <w:rPr>
                <w:sz w:val="20"/>
                <w:szCs w:val="20"/>
                <w:color w:val="auto"/>
              </w:rPr>
            </w:pPr>
            <w:r>
              <w:rPr>
                <w:rFonts w:ascii="Times New Roman" w:cs="Times New Roman" w:eastAsia="Times New Roman" w:hAnsi="Times New Roman"/>
                <w:sz w:val="16"/>
                <w:szCs w:val="16"/>
                <w:color w:val="auto"/>
                <w:w w:val="97"/>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Digital Filigree, LLC</w:t>
            </w:r>
          </w:p>
        </w:tc>
        <w:tc>
          <w:tcPr>
            <w:tcW w:w="5760" w:type="dxa"/>
            <w:vAlign w:val="bottom"/>
            <w:gridSpan w:val="2"/>
          </w:tcPr>
          <w:p>
            <w:pPr>
              <w:jc w:val="center"/>
              <w:ind w:left="3122"/>
              <w:spacing w:after="0"/>
              <w:rPr>
                <w:sz w:val="20"/>
                <w:szCs w:val="20"/>
                <w:color w:val="auto"/>
              </w:rPr>
            </w:pPr>
            <w:r>
              <w:rPr>
                <w:rFonts w:ascii="Times New Roman" w:cs="Times New Roman" w:eastAsia="Times New Roman" w:hAnsi="Times New Roman"/>
                <w:sz w:val="16"/>
                <w:szCs w:val="16"/>
                <w:color w:val="auto"/>
                <w:w w:val="97"/>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Forney, LLC</w:t>
            </w:r>
          </w:p>
        </w:tc>
        <w:tc>
          <w:tcPr>
            <w:tcW w:w="5760" w:type="dxa"/>
            <w:vAlign w:val="bottom"/>
            <w:gridSpan w:val="2"/>
            <w:shd w:val="clear" w:color="auto" w:fill="CCEEFF"/>
          </w:tcPr>
          <w:p>
            <w:pPr>
              <w:jc w:val="center"/>
              <w:ind w:left="3122"/>
              <w:spacing w:after="0"/>
              <w:rPr>
                <w:sz w:val="20"/>
                <w:szCs w:val="20"/>
                <w:color w:val="auto"/>
              </w:rPr>
            </w:pPr>
            <w:r>
              <w:rPr>
                <w:rFonts w:ascii="Times New Roman" w:cs="Times New Roman" w:eastAsia="Times New Roman" w:hAnsi="Times New Roman"/>
                <w:sz w:val="16"/>
                <w:szCs w:val="16"/>
                <w:color w:val="auto"/>
                <w:w w:val="97"/>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Digital Fort Gillem, LLC</w:t>
            </w:r>
          </w:p>
        </w:tc>
        <w:tc>
          <w:tcPr>
            <w:tcW w:w="5760" w:type="dxa"/>
            <w:vAlign w:val="bottom"/>
            <w:gridSpan w:val="2"/>
          </w:tcPr>
          <w:p>
            <w:pPr>
              <w:jc w:val="center"/>
              <w:ind w:left="3122"/>
              <w:spacing w:after="0"/>
              <w:rPr>
                <w:sz w:val="20"/>
                <w:szCs w:val="20"/>
                <w:color w:val="auto"/>
              </w:rPr>
            </w:pPr>
            <w:r>
              <w:rPr>
                <w:rFonts w:ascii="Times New Roman" w:cs="Times New Roman" w:eastAsia="Times New Roman" w:hAnsi="Times New Roman"/>
                <w:sz w:val="16"/>
                <w:szCs w:val="16"/>
                <w:color w:val="auto"/>
                <w:w w:val="97"/>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Frankfurt 2 B.V.</w:t>
            </w:r>
          </w:p>
        </w:tc>
        <w:tc>
          <w:tcPr>
            <w:tcW w:w="5760" w:type="dxa"/>
            <w:vAlign w:val="bottom"/>
            <w:gridSpan w:val="2"/>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5"/>
              </w:rPr>
              <w:t>Netherlands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Digital Frankfurt GmbH</w:t>
            </w:r>
          </w:p>
        </w:tc>
        <w:tc>
          <w:tcPr>
            <w:tcW w:w="5760" w:type="dxa"/>
            <w:vAlign w:val="bottom"/>
            <w:gridSpan w:val="2"/>
          </w:tcPr>
          <w:p>
            <w:pPr>
              <w:jc w:val="center"/>
              <w:ind w:left="3102"/>
              <w:spacing w:after="0"/>
              <w:rPr>
                <w:sz w:val="20"/>
                <w:szCs w:val="20"/>
                <w:color w:val="auto"/>
              </w:rPr>
            </w:pPr>
            <w:r>
              <w:rPr>
                <w:rFonts w:ascii="Times New Roman" w:cs="Times New Roman" w:eastAsia="Times New Roman" w:hAnsi="Times New Roman"/>
                <w:sz w:val="16"/>
                <w:szCs w:val="16"/>
                <w:color w:val="auto"/>
                <w:w w:val="97"/>
              </w:rPr>
              <w:t>Germany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Front, LLC</w:t>
            </w:r>
          </w:p>
        </w:tc>
        <w:tc>
          <w:tcPr>
            <w:tcW w:w="5760" w:type="dxa"/>
            <w:vAlign w:val="bottom"/>
            <w:gridSpan w:val="2"/>
            <w:shd w:val="clear" w:color="auto" w:fill="CCEEFF"/>
          </w:tcPr>
          <w:p>
            <w:pPr>
              <w:jc w:val="center"/>
              <w:ind w:left="3122"/>
              <w:spacing w:after="0"/>
              <w:rPr>
                <w:sz w:val="20"/>
                <w:szCs w:val="20"/>
                <w:color w:val="auto"/>
              </w:rPr>
            </w:pPr>
            <w:r>
              <w:rPr>
                <w:rFonts w:ascii="Times New Roman" w:cs="Times New Roman" w:eastAsia="Times New Roman" w:hAnsi="Times New Roman"/>
                <w:sz w:val="16"/>
                <w:szCs w:val="16"/>
                <w:color w:val="auto"/>
                <w:w w:val="97"/>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Digital Fullerton, LLC</w:t>
            </w:r>
          </w:p>
        </w:tc>
        <w:tc>
          <w:tcPr>
            <w:tcW w:w="5760" w:type="dxa"/>
            <w:vAlign w:val="bottom"/>
            <w:gridSpan w:val="2"/>
          </w:tcPr>
          <w:p>
            <w:pPr>
              <w:jc w:val="center"/>
              <w:ind w:left="3122"/>
              <w:spacing w:after="0"/>
              <w:rPr>
                <w:sz w:val="20"/>
                <w:szCs w:val="20"/>
                <w:color w:val="auto"/>
              </w:rPr>
            </w:pPr>
            <w:r>
              <w:rPr>
                <w:rFonts w:ascii="Times New Roman" w:cs="Times New Roman" w:eastAsia="Times New Roman" w:hAnsi="Times New Roman"/>
                <w:sz w:val="16"/>
                <w:szCs w:val="16"/>
                <w:color w:val="auto"/>
                <w:w w:val="97"/>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Garland 2B GP, LLC</w:t>
            </w:r>
          </w:p>
        </w:tc>
        <w:tc>
          <w:tcPr>
            <w:tcW w:w="5760" w:type="dxa"/>
            <w:vAlign w:val="bottom"/>
            <w:gridSpan w:val="2"/>
            <w:shd w:val="clear" w:color="auto" w:fill="CCEEFF"/>
          </w:tcPr>
          <w:p>
            <w:pPr>
              <w:jc w:val="center"/>
              <w:ind w:left="3122"/>
              <w:spacing w:after="0"/>
              <w:rPr>
                <w:sz w:val="20"/>
                <w:szCs w:val="20"/>
                <w:color w:val="auto"/>
              </w:rPr>
            </w:pPr>
            <w:r>
              <w:rPr>
                <w:rFonts w:ascii="Times New Roman" w:cs="Times New Roman" w:eastAsia="Times New Roman" w:hAnsi="Times New Roman"/>
                <w:sz w:val="16"/>
                <w:szCs w:val="16"/>
                <w:color w:val="auto"/>
                <w:w w:val="97"/>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Digital Garland 2B Holding, L.P.</w:t>
            </w:r>
          </w:p>
        </w:tc>
        <w:tc>
          <w:tcPr>
            <w:tcW w:w="5760" w:type="dxa"/>
            <w:vAlign w:val="bottom"/>
            <w:gridSpan w:val="2"/>
          </w:tcPr>
          <w:p>
            <w:pPr>
              <w:jc w:val="center"/>
              <w:ind w:left="3122"/>
              <w:spacing w:after="0"/>
              <w:rPr>
                <w:sz w:val="20"/>
                <w:szCs w:val="20"/>
                <w:color w:val="auto"/>
              </w:rPr>
            </w:pPr>
            <w:r>
              <w:rPr>
                <w:rFonts w:ascii="Times New Roman" w:cs="Times New Roman" w:eastAsia="Times New Roman" w:hAnsi="Times New Roman"/>
                <w:sz w:val="16"/>
                <w:szCs w:val="16"/>
                <w:color w:val="auto"/>
                <w:w w:val="97"/>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Garland 2B L.P.</w:t>
            </w:r>
          </w:p>
        </w:tc>
        <w:tc>
          <w:tcPr>
            <w:tcW w:w="5760" w:type="dxa"/>
            <w:vAlign w:val="bottom"/>
            <w:gridSpan w:val="2"/>
            <w:shd w:val="clear" w:color="auto" w:fill="CCEEFF"/>
          </w:tcPr>
          <w:p>
            <w:pPr>
              <w:jc w:val="center"/>
              <w:ind w:left="3122"/>
              <w:spacing w:after="0"/>
              <w:rPr>
                <w:sz w:val="20"/>
                <w:szCs w:val="20"/>
                <w:color w:val="auto"/>
              </w:rPr>
            </w:pPr>
            <w:r>
              <w:rPr>
                <w:rFonts w:ascii="Times New Roman" w:cs="Times New Roman" w:eastAsia="Times New Roman" w:hAnsi="Times New Roman"/>
                <w:sz w:val="16"/>
                <w:szCs w:val="16"/>
                <w:color w:val="auto"/>
                <w:w w:val="97"/>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Digital Garland 2B REIT, LLC</w:t>
            </w:r>
          </w:p>
        </w:tc>
        <w:tc>
          <w:tcPr>
            <w:tcW w:w="5760" w:type="dxa"/>
            <w:vAlign w:val="bottom"/>
            <w:gridSpan w:val="2"/>
          </w:tcPr>
          <w:p>
            <w:pPr>
              <w:jc w:val="center"/>
              <w:ind w:left="3122"/>
              <w:spacing w:after="0"/>
              <w:rPr>
                <w:sz w:val="20"/>
                <w:szCs w:val="20"/>
                <w:color w:val="auto"/>
              </w:rPr>
            </w:pPr>
            <w:r>
              <w:rPr>
                <w:rFonts w:ascii="Times New Roman" w:cs="Times New Roman" w:eastAsia="Times New Roman" w:hAnsi="Times New Roman"/>
                <w:sz w:val="16"/>
                <w:szCs w:val="16"/>
                <w:color w:val="auto"/>
                <w:w w:val="97"/>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Garland 2C GP, LLC</w:t>
            </w:r>
          </w:p>
        </w:tc>
        <w:tc>
          <w:tcPr>
            <w:tcW w:w="5760" w:type="dxa"/>
            <w:vAlign w:val="bottom"/>
            <w:gridSpan w:val="2"/>
            <w:shd w:val="clear" w:color="auto" w:fill="CCEEFF"/>
          </w:tcPr>
          <w:p>
            <w:pPr>
              <w:jc w:val="center"/>
              <w:ind w:left="3122"/>
              <w:spacing w:after="0"/>
              <w:rPr>
                <w:sz w:val="20"/>
                <w:szCs w:val="20"/>
                <w:color w:val="auto"/>
              </w:rPr>
            </w:pPr>
            <w:r>
              <w:rPr>
                <w:rFonts w:ascii="Times New Roman" w:cs="Times New Roman" w:eastAsia="Times New Roman" w:hAnsi="Times New Roman"/>
                <w:sz w:val="16"/>
                <w:szCs w:val="16"/>
                <w:color w:val="auto"/>
                <w:w w:val="97"/>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Digital Garland 2C Holding, L.P.</w:t>
            </w:r>
          </w:p>
        </w:tc>
        <w:tc>
          <w:tcPr>
            <w:tcW w:w="5760" w:type="dxa"/>
            <w:vAlign w:val="bottom"/>
            <w:gridSpan w:val="2"/>
          </w:tcPr>
          <w:p>
            <w:pPr>
              <w:jc w:val="center"/>
              <w:ind w:left="3122"/>
              <w:spacing w:after="0"/>
              <w:rPr>
                <w:sz w:val="20"/>
                <w:szCs w:val="20"/>
                <w:color w:val="auto"/>
              </w:rPr>
            </w:pPr>
            <w:r>
              <w:rPr>
                <w:rFonts w:ascii="Times New Roman" w:cs="Times New Roman" w:eastAsia="Times New Roman" w:hAnsi="Times New Roman"/>
                <w:sz w:val="16"/>
                <w:szCs w:val="16"/>
                <w:color w:val="auto"/>
                <w:w w:val="97"/>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Garland 2C REIT, LLC</w:t>
            </w:r>
          </w:p>
        </w:tc>
        <w:tc>
          <w:tcPr>
            <w:tcW w:w="5760" w:type="dxa"/>
            <w:vAlign w:val="bottom"/>
            <w:gridSpan w:val="2"/>
            <w:shd w:val="clear" w:color="auto" w:fill="CCEEFF"/>
          </w:tcPr>
          <w:p>
            <w:pPr>
              <w:jc w:val="center"/>
              <w:ind w:left="3122"/>
              <w:spacing w:after="0"/>
              <w:rPr>
                <w:sz w:val="20"/>
                <w:szCs w:val="20"/>
                <w:color w:val="auto"/>
              </w:rPr>
            </w:pPr>
            <w:r>
              <w:rPr>
                <w:rFonts w:ascii="Times New Roman" w:cs="Times New Roman" w:eastAsia="Times New Roman" w:hAnsi="Times New Roman"/>
                <w:sz w:val="16"/>
                <w:szCs w:val="16"/>
                <w:color w:val="auto"/>
                <w:w w:val="97"/>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Digital Garland 2C, L.P.</w:t>
            </w:r>
          </w:p>
        </w:tc>
        <w:tc>
          <w:tcPr>
            <w:tcW w:w="5760" w:type="dxa"/>
            <w:vAlign w:val="bottom"/>
            <w:gridSpan w:val="2"/>
          </w:tcPr>
          <w:p>
            <w:pPr>
              <w:jc w:val="center"/>
              <w:ind w:left="3122"/>
              <w:spacing w:after="0"/>
              <w:rPr>
                <w:sz w:val="20"/>
                <w:szCs w:val="20"/>
                <w:color w:val="auto"/>
              </w:rPr>
            </w:pPr>
            <w:r>
              <w:rPr>
                <w:rFonts w:ascii="Times New Roman" w:cs="Times New Roman" w:eastAsia="Times New Roman" w:hAnsi="Times New Roman"/>
                <w:sz w:val="16"/>
                <w:szCs w:val="16"/>
                <w:color w:val="auto"/>
                <w:w w:val="97"/>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Garland Campbell, L.P.</w:t>
            </w:r>
          </w:p>
        </w:tc>
        <w:tc>
          <w:tcPr>
            <w:tcW w:w="5760" w:type="dxa"/>
            <w:vAlign w:val="bottom"/>
            <w:gridSpan w:val="2"/>
            <w:shd w:val="clear" w:color="auto" w:fill="CCEEFF"/>
          </w:tcPr>
          <w:p>
            <w:pPr>
              <w:jc w:val="center"/>
              <w:ind w:left="3122"/>
              <w:spacing w:after="0"/>
              <w:rPr>
                <w:sz w:val="20"/>
                <w:szCs w:val="20"/>
                <w:color w:val="auto"/>
              </w:rPr>
            </w:pPr>
            <w:r>
              <w:rPr>
                <w:rFonts w:ascii="Times New Roman" w:cs="Times New Roman" w:eastAsia="Times New Roman" w:hAnsi="Times New Roman"/>
                <w:sz w:val="16"/>
                <w:szCs w:val="16"/>
                <w:color w:val="auto"/>
                <w:w w:val="97"/>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Digital Garland Ferris, L.P,</w:t>
            </w:r>
          </w:p>
        </w:tc>
        <w:tc>
          <w:tcPr>
            <w:tcW w:w="5760" w:type="dxa"/>
            <w:vAlign w:val="bottom"/>
            <w:gridSpan w:val="2"/>
          </w:tcPr>
          <w:p>
            <w:pPr>
              <w:jc w:val="center"/>
              <w:ind w:left="3122"/>
              <w:spacing w:after="0"/>
              <w:rPr>
                <w:sz w:val="20"/>
                <w:szCs w:val="20"/>
                <w:color w:val="auto"/>
              </w:rPr>
            </w:pPr>
            <w:r>
              <w:rPr>
                <w:rFonts w:ascii="Times New Roman" w:cs="Times New Roman" w:eastAsia="Times New Roman" w:hAnsi="Times New Roman"/>
                <w:sz w:val="16"/>
                <w:szCs w:val="16"/>
                <w:color w:val="auto"/>
                <w:w w:val="97"/>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Garland, LLC</w:t>
            </w:r>
          </w:p>
        </w:tc>
        <w:tc>
          <w:tcPr>
            <w:tcW w:w="5760" w:type="dxa"/>
            <w:vAlign w:val="bottom"/>
            <w:gridSpan w:val="2"/>
            <w:shd w:val="clear" w:color="auto" w:fill="CCEEFF"/>
          </w:tcPr>
          <w:p>
            <w:pPr>
              <w:jc w:val="center"/>
              <w:ind w:left="3122"/>
              <w:spacing w:after="0"/>
              <w:rPr>
                <w:sz w:val="20"/>
                <w:szCs w:val="20"/>
                <w:color w:val="auto"/>
              </w:rPr>
            </w:pPr>
            <w:r>
              <w:rPr>
                <w:rFonts w:ascii="Times New Roman" w:cs="Times New Roman" w:eastAsia="Times New Roman" w:hAnsi="Times New Roman"/>
                <w:sz w:val="16"/>
                <w:szCs w:val="16"/>
                <w:color w:val="auto"/>
                <w:w w:val="97"/>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Digital Germany Cheetah GmbH</w:t>
            </w:r>
          </w:p>
        </w:tc>
        <w:tc>
          <w:tcPr>
            <w:tcW w:w="5760" w:type="dxa"/>
            <w:vAlign w:val="bottom"/>
            <w:gridSpan w:val="2"/>
          </w:tcPr>
          <w:p>
            <w:pPr>
              <w:jc w:val="center"/>
              <w:ind w:left="3102"/>
              <w:spacing w:after="0"/>
              <w:rPr>
                <w:sz w:val="20"/>
                <w:szCs w:val="20"/>
                <w:color w:val="auto"/>
              </w:rPr>
            </w:pPr>
            <w:r>
              <w:rPr>
                <w:rFonts w:ascii="Times New Roman" w:cs="Times New Roman" w:eastAsia="Times New Roman" w:hAnsi="Times New Roman"/>
                <w:sz w:val="16"/>
                <w:szCs w:val="16"/>
                <w:color w:val="auto"/>
                <w:w w:val="97"/>
              </w:rPr>
              <w:t>Germany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Germany Holding, LLC</w:t>
            </w:r>
          </w:p>
        </w:tc>
        <w:tc>
          <w:tcPr>
            <w:tcW w:w="5760" w:type="dxa"/>
            <w:vAlign w:val="bottom"/>
            <w:gridSpan w:val="2"/>
            <w:shd w:val="clear" w:color="auto" w:fill="CCEEFF"/>
          </w:tcPr>
          <w:p>
            <w:pPr>
              <w:jc w:val="center"/>
              <w:ind w:left="3122"/>
              <w:spacing w:after="0"/>
              <w:rPr>
                <w:sz w:val="20"/>
                <w:szCs w:val="20"/>
                <w:color w:val="auto"/>
              </w:rPr>
            </w:pPr>
            <w:r>
              <w:rPr>
                <w:rFonts w:ascii="Times New Roman" w:cs="Times New Roman" w:eastAsia="Times New Roman" w:hAnsi="Times New Roman"/>
                <w:sz w:val="16"/>
                <w:szCs w:val="16"/>
                <w:color w:val="auto"/>
                <w:w w:val="97"/>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Digital Gold Investor, LLC</w:t>
            </w:r>
          </w:p>
        </w:tc>
        <w:tc>
          <w:tcPr>
            <w:tcW w:w="5760" w:type="dxa"/>
            <w:vAlign w:val="bottom"/>
            <w:gridSpan w:val="2"/>
          </w:tcPr>
          <w:p>
            <w:pPr>
              <w:jc w:val="center"/>
              <w:ind w:left="3122"/>
              <w:spacing w:after="0"/>
              <w:rPr>
                <w:sz w:val="20"/>
                <w:szCs w:val="20"/>
                <w:color w:val="auto"/>
              </w:rPr>
            </w:pPr>
            <w:r>
              <w:rPr>
                <w:rFonts w:ascii="Times New Roman" w:cs="Times New Roman" w:eastAsia="Times New Roman" w:hAnsi="Times New Roman"/>
                <w:sz w:val="16"/>
                <w:szCs w:val="16"/>
                <w:color w:val="auto"/>
                <w:w w:val="97"/>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Gold Manager, LLC</w:t>
            </w:r>
          </w:p>
        </w:tc>
        <w:tc>
          <w:tcPr>
            <w:tcW w:w="5760" w:type="dxa"/>
            <w:vAlign w:val="bottom"/>
            <w:gridSpan w:val="2"/>
            <w:shd w:val="clear" w:color="auto" w:fill="CCEEFF"/>
          </w:tcPr>
          <w:p>
            <w:pPr>
              <w:jc w:val="center"/>
              <w:ind w:left="3122"/>
              <w:spacing w:after="0"/>
              <w:rPr>
                <w:sz w:val="20"/>
                <w:szCs w:val="20"/>
                <w:color w:val="auto"/>
              </w:rPr>
            </w:pPr>
            <w:r>
              <w:rPr>
                <w:rFonts w:ascii="Times New Roman" w:cs="Times New Roman" w:eastAsia="Times New Roman" w:hAnsi="Times New Roman"/>
                <w:sz w:val="16"/>
                <w:szCs w:val="16"/>
                <w:color w:val="auto"/>
                <w:w w:val="97"/>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Digital Gold Sterling, LLC</w:t>
            </w:r>
          </w:p>
        </w:tc>
        <w:tc>
          <w:tcPr>
            <w:tcW w:w="5760" w:type="dxa"/>
            <w:vAlign w:val="bottom"/>
            <w:gridSpan w:val="2"/>
          </w:tcPr>
          <w:p>
            <w:pPr>
              <w:jc w:val="center"/>
              <w:ind w:left="3122"/>
              <w:spacing w:after="0"/>
              <w:rPr>
                <w:sz w:val="20"/>
                <w:szCs w:val="20"/>
                <w:color w:val="auto"/>
              </w:rPr>
            </w:pPr>
            <w:r>
              <w:rPr>
                <w:rFonts w:ascii="Times New Roman" w:cs="Times New Roman" w:eastAsia="Times New Roman" w:hAnsi="Times New Roman"/>
                <w:sz w:val="16"/>
                <w:szCs w:val="16"/>
                <w:color w:val="auto"/>
                <w:w w:val="97"/>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Gold Venture, LLC</w:t>
            </w:r>
          </w:p>
        </w:tc>
        <w:tc>
          <w:tcPr>
            <w:tcW w:w="5760" w:type="dxa"/>
            <w:vAlign w:val="bottom"/>
            <w:gridSpan w:val="2"/>
            <w:shd w:val="clear" w:color="auto" w:fill="CCEEFF"/>
          </w:tcPr>
          <w:p>
            <w:pPr>
              <w:jc w:val="center"/>
              <w:ind w:left="3122"/>
              <w:spacing w:after="0"/>
              <w:rPr>
                <w:sz w:val="20"/>
                <w:szCs w:val="20"/>
                <w:color w:val="auto"/>
              </w:rPr>
            </w:pPr>
            <w:r>
              <w:rPr>
                <w:rFonts w:ascii="Times New Roman" w:cs="Times New Roman" w:eastAsia="Times New Roman" w:hAnsi="Times New Roman"/>
                <w:sz w:val="16"/>
                <w:szCs w:val="16"/>
                <w:color w:val="auto"/>
                <w:w w:val="97"/>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Digital Gough, LLC</w:t>
            </w:r>
          </w:p>
        </w:tc>
        <w:tc>
          <w:tcPr>
            <w:tcW w:w="5760" w:type="dxa"/>
            <w:vAlign w:val="bottom"/>
            <w:gridSpan w:val="2"/>
          </w:tcPr>
          <w:p>
            <w:pPr>
              <w:jc w:val="center"/>
              <w:ind w:left="3122"/>
              <w:spacing w:after="0"/>
              <w:rPr>
                <w:sz w:val="20"/>
                <w:szCs w:val="20"/>
                <w:color w:val="auto"/>
              </w:rPr>
            </w:pPr>
            <w:r>
              <w:rPr>
                <w:rFonts w:ascii="Times New Roman" w:cs="Times New Roman" w:eastAsia="Times New Roman" w:hAnsi="Times New Roman"/>
                <w:sz w:val="16"/>
                <w:szCs w:val="16"/>
                <w:color w:val="auto"/>
                <w:w w:val="97"/>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Grand Avenue 2, LLC</w:t>
            </w:r>
          </w:p>
        </w:tc>
        <w:tc>
          <w:tcPr>
            <w:tcW w:w="5760" w:type="dxa"/>
            <w:vAlign w:val="bottom"/>
            <w:gridSpan w:val="2"/>
            <w:shd w:val="clear" w:color="auto" w:fill="CCEEFF"/>
          </w:tcPr>
          <w:p>
            <w:pPr>
              <w:jc w:val="center"/>
              <w:ind w:left="3122"/>
              <w:spacing w:after="0"/>
              <w:rPr>
                <w:sz w:val="20"/>
                <w:szCs w:val="20"/>
                <w:color w:val="auto"/>
              </w:rPr>
            </w:pPr>
            <w:r>
              <w:rPr>
                <w:rFonts w:ascii="Times New Roman" w:cs="Times New Roman" w:eastAsia="Times New Roman" w:hAnsi="Times New Roman"/>
                <w:sz w:val="16"/>
                <w:szCs w:val="16"/>
                <w:color w:val="auto"/>
                <w:w w:val="97"/>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Digital Grand Avenue 3, LLC</w:t>
            </w:r>
          </w:p>
        </w:tc>
        <w:tc>
          <w:tcPr>
            <w:tcW w:w="5760" w:type="dxa"/>
            <w:vAlign w:val="bottom"/>
            <w:gridSpan w:val="2"/>
          </w:tcPr>
          <w:p>
            <w:pPr>
              <w:jc w:val="center"/>
              <w:ind w:left="3122"/>
              <w:spacing w:after="0"/>
              <w:rPr>
                <w:sz w:val="20"/>
                <w:szCs w:val="20"/>
                <w:color w:val="auto"/>
              </w:rPr>
            </w:pPr>
            <w:r>
              <w:rPr>
                <w:rFonts w:ascii="Times New Roman" w:cs="Times New Roman" w:eastAsia="Times New Roman" w:hAnsi="Times New Roman"/>
                <w:sz w:val="16"/>
                <w:szCs w:val="16"/>
                <w:color w:val="auto"/>
                <w:w w:val="97"/>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Grand Avenue, LLC</w:t>
            </w:r>
          </w:p>
        </w:tc>
        <w:tc>
          <w:tcPr>
            <w:tcW w:w="5760" w:type="dxa"/>
            <w:vAlign w:val="bottom"/>
            <w:gridSpan w:val="2"/>
            <w:shd w:val="clear" w:color="auto" w:fill="CCEEFF"/>
          </w:tcPr>
          <w:p>
            <w:pPr>
              <w:jc w:val="center"/>
              <w:ind w:left="3122"/>
              <w:spacing w:after="0"/>
              <w:rPr>
                <w:sz w:val="20"/>
                <w:szCs w:val="20"/>
                <w:color w:val="auto"/>
              </w:rPr>
            </w:pPr>
            <w:r>
              <w:rPr>
                <w:rFonts w:ascii="Times New Roman" w:cs="Times New Roman" w:eastAsia="Times New Roman" w:hAnsi="Times New Roman"/>
                <w:sz w:val="16"/>
                <w:szCs w:val="16"/>
                <w:color w:val="auto"/>
                <w:w w:val="97"/>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Digital Grange Castle B.V.</w:t>
            </w:r>
          </w:p>
        </w:tc>
        <w:tc>
          <w:tcPr>
            <w:tcW w:w="5760" w:type="dxa"/>
            <w:vAlign w:val="bottom"/>
            <w:gridSpan w:val="2"/>
          </w:tcPr>
          <w:p>
            <w:pPr>
              <w:jc w:val="center"/>
              <w:ind w:left="3102"/>
              <w:spacing w:after="0"/>
              <w:rPr>
                <w:sz w:val="20"/>
                <w:szCs w:val="20"/>
                <w:color w:val="auto"/>
              </w:rPr>
            </w:pPr>
            <w:r>
              <w:rPr>
                <w:rFonts w:ascii="Times New Roman" w:cs="Times New Roman" w:eastAsia="Times New Roman" w:hAnsi="Times New Roman"/>
                <w:sz w:val="16"/>
                <w:szCs w:val="16"/>
                <w:color w:val="auto"/>
                <w:w w:val="95"/>
              </w:rPr>
              <w:t>Netherlands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Greenfield B.V.</w:t>
            </w:r>
          </w:p>
        </w:tc>
        <w:tc>
          <w:tcPr>
            <w:tcW w:w="5760" w:type="dxa"/>
            <w:vAlign w:val="bottom"/>
            <w:gridSpan w:val="2"/>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5"/>
              </w:rPr>
              <w:t>Netherlands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Digital Greenspoint, L.P.</w:t>
            </w:r>
          </w:p>
        </w:tc>
        <w:tc>
          <w:tcPr>
            <w:tcW w:w="5760" w:type="dxa"/>
            <w:vAlign w:val="bottom"/>
            <w:gridSpan w:val="2"/>
          </w:tcPr>
          <w:p>
            <w:pPr>
              <w:jc w:val="center"/>
              <w:ind w:left="3102"/>
              <w:spacing w:after="0"/>
              <w:rPr>
                <w:sz w:val="20"/>
                <w:szCs w:val="20"/>
                <w:color w:val="auto"/>
              </w:rPr>
            </w:pPr>
            <w:r>
              <w:rPr>
                <w:rFonts w:ascii="Times New Roman" w:cs="Times New Roman" w:eastAsia="Times New Roman" w:hAnsi="Times New Roman"/>
                <w:sz w:val="16"/>
                <w:szCs w:val="16"/>
                <w:color w:val="auto"/>
                <w:w w:val="99"/>
              </w:rPr>
              <w:t>Texas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Greenspoint, LLC</w:t>
            </w:r>
          </w:p>
        </w:tc>
        <w:tc>
          <w:tcPr>
            <w:tcW w:w="5760" w:type="dxa"/>
            <w:vAlign w:val="bottom"/>
            <w:gridSpan w:val="2"/>
            <w:shd w:val="clear" w:color="auto" w:fill="CCEEFF"/>
          </w:tcPr>
          <w:p>
            <w:pPr>
              <w:jc w:val="center"/>
              <w:ind w:left="3122"/>
              <w:spacing w:after="0"/>
              <w:rPr>
                <w:sz w:val="20"/>
                <w:szCs w:val="20"/>
                <w:color w:val="auto"/>
              </w:rPr>
            </w:pPr>
            <w:r>
              <w:rPr>
                <w:rFonts w:ascii="Times New Roman" w:cs="Times New Roman" w:eastAsia="Times New Roman" w:hAnsi="Times New Roman"/>
                <w:sz w:val="16"/>
                <w:szCs w:val="16"/>
                <w:color w:val="auto"/>
                <w:w w:val="97"/>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Digital Grizzly Holding, L.P.</w:t>
            </w:r>
          </w:p>
        </w:tc>
        <w:tc>
          <w:tcPr>
            <w:tcW w:w="5760" w:type="dxa"/>
            <w:vAlign w:val="bottom"/>
            <w:gridSpan w:val="2"/>
          </w:tcPr>
          <w:p>
            <w:pPr>
              <w:jc w:val="center"/>
              <w:ind w:left="3122"/>
              <w:spacing w:after="0"/>
              <w:rPr>
                <w:sz w:val="20"/>
                <w:szCs w:val="20"/>
                <w:color w:val="auto"/>
              </w:rPr>
            </w:pPr>
            <w:r>
              <w:rPr>
                <w:rFonts w:ascii="Times New Roman" w:cs="Times New Roman" w:eastAsia="Times New Roman" w:hAnsi="Times New Roman"/>
                <w:sz w:val="16"/>
                <w:szCs w:val="16"/>
                <w:color w:val="auto"/>
                <w:w w:val="97"/>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Grizzly REIT, LLC</w:t>
            </w:r>
          </w:p>
        </w:tc>
        <w:tc>
          <w:tcPr>
            <w:tcW w:w="5760" w:type="dxa"/>
            <w:vAlign w:val="bottom"/>
            <w:gridSpan w:val="2"/>
            <w:shd w:val="clear" w:color="auto" w:fill="CCEEFF"/>
          </w:tcPr>
          <w:p>
            <w:pPr>
              <w:jc w:val="center"/>
              <w:ind w:left="3122"/>
              <w:spacing w:after="0"/>
              <w:rPr>
                <w:sz w:val="20"/>
                <w:szCs w:val="20"/>
                <w:color w:val="auto"/>
              </w:rPr>
            </w:pPr>
            <w:r>
              <w:rPr>
                <w:rFonts w:ascii="Times New Roman" w:cs="Times New Roman" w:eastAsia="Times New Roman" w:hAnsi="Times New Roman"/>
                <w:sz w:val="16"/>
                <w:szCs w:val="16"/>
                <w:color w:val="auto"/>
                <w:w w:val="97"/>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Digital HK JV Holding Limited</w:t>
            </w:r>
          </w:p>
        </w:tc>
        <w:tc>
          <w:tcPr>
            <w:tcW w:w="5760" w:type="dxa"/>
            <w:vAlign w:val="bottom"/>
            <w:gridSpan w:val="2"/>
          </w:tcPr>
          <w:p>
            <w:pPr>
              <w:jc w:val="center"/>
              <w:ind w:left="3122"/>
              <w:spacing w:after="0"/>
              <w:rPr>
                <w:sz w:val="20"/>
                <w:szCs w:val="20"/>
                <w:color w:val="auto"/>
              </w:rPr>
            </w:pPr>
            <w:r>
              <w:rPr>
                <w:rFonts w:ascii="Times New Roman" w:cs="Times New Roman" w:eastAsia="Times New Roman" w:hAnsi="Times New Roman"/>
                <w:sz w:val="16"/>
                <w:szCs w:val="16"/>
                <w:color w:val="auto"/>
                <w:w w:val="98"/>
              </w:rPr>
              <w:t>British Virgin Islands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HK Kin Chuen Limited</w:t>
            </w:r>
          </w:p>
        </w:tc>
        <w:tc>
          <w:tcPr>
            <w:tcW w:w="5760" w:type="dxa"/>
            <w:vAlign w:val="bottom"/>
            <w:gridSpan w:val="2"/>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8"/>
              </w:rPr>
              <w:t>Hong Kong</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Digital Hong Kong, LLC</w:t>
            </w:r>
          </w:p>
        </w:tc>
        <w:tc>
          <w:tcPr>
            <w:tcW w:w="5760" w:type="dxa"/>
            <w:vAlign w:val="bottom"/>
            <w:gridSpan w:val="2"/>
          </w:tcPr>
          <w:p>
            <w:pPr>
              <w:jc w:val="center"/>
              <w:ind w:left="3122"/>
              <w:spacing w:after="0"/>
              <w:rPr>
                <w:sz w:val="20"/>
                <w:szCs w:val="20"/>
                <w:color w:val="auto"/>
              </w:rPr>
            </w:pPr>
            <w:r>
              <w:rPr>
                <w:rFonts w:ascii="Times New Roman" w:cs="Times New Roman" w:eastAsia="Times New Roman" w:hAnsi="Times New Roman"/>
                <w:sz w:val="16"/>
                <w:szCs w:val="16"/>
                <w:color w:val="auto"/>
                <w:w w:val="97"/>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Hoofddorp 2 B.V.</w:t>
            </w:r>
          </w:p>
        </w:tc>
        <w:tc>
          <w:tcPr>
            <w:tcW w:w="5760" w:type="dxa"/>
            <w:vAlign w:val="bottom"/>
            <w:gridSpan w:val="2"/>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5"/>
              </w:rPr>
              <w:t>Netherlands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Digital Hoofddorp B.V.</w:t>
            </w:r>
          </w:p>
        </w:tc>
        <w:tc>
          <w:tcPr>
            <w:tcW w:w="5760" w:type="dxa"/>
            <w:vAlign w:val="bottom"/>
            <w:gridSpan w:val="2"/>
          </w:tcPr>
          <w:p>
            <w:pPr>
              <w:jc w:val="center"/>
              <w:ind w:left="3102"/>
              <w:spacing w:after="0"/>
              <w:rPr>
                <w:sz w:val="20"/>
                <w:szCs w:val="20"/>
                <w:color w:val="auto"/>
              </w:rPr>
            </w:pPr>
            <w:r>
              <w:rPr>
                <w:rFonts w:ascii="Times New Roman" w:cs="Times New Roman" w:eastAsia="Times New Roman" w:hAnsi="Times New Roman"/>
                <w:sz w:val="16"/>
                <w:szCs w:val="16"/>
                <w:color w:val="auto"/>
                <w:w w:val="95"/>
              </w:rPr>
              <w:t>Netherlands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India 2, LLC</w:t>
            </w:r>
          </w:p>
        </w:tc>
        <w:tc>
          <w:tcPr>
            <w:tcW w:w="5760" w:type="dxa"/>
            <w:vAlign w:val="bottom"/>
            <w:gridSpan w:val="2"/>
            <w:shd w:val="clear" w:color="auto" w:fill="CCEEFF"/>
          </w:tcPr>
          <w:p>
            <w:pPr>
              <w:jc w:val="center"/>
              <w:ind w:left="3122"/>
              <w:spacing w:after="0"/>
              <w:rPr>
                <w:sz w:val="20"/>
                <w:szCs w:val="20"/>
                <w:color w:val="auto"/>
              </w:rPr>
            </w:pPr>
            <w:r>
              <w:rPr>
                <w:rFonts w:ascii="Times New Roman" w:cs="Times New Roman" w:eastAsia="Times New Roman" w:hAnsi="Times New Roman"/>
                <w:sz w:val="16"/>
                <w:szCs w:val="16"/>
                <w:color w:val="auto"/>
                <w:w w:val="97"/>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Digital India, LLC</w:t>
            </w:r>
          </w:p>
        </w:tc>
        <w:tc>
          <w:tcPr>
            <w:tcW w:w="5760" w:type="dxa"/>
            <w:vAlign w:val="bottom"/>
            <w:gridSpan w:val="2"/>
          </w:tcPr>
          <w:p>
            <w:pPr>
              <w:jc w:val="center"/>
              <w:ind w:left="3122"/>
              <w:spacing w:after="0"/>
              <w:rPr>
                <w:sz w:val="20"/>
                <w:szCs w:val="20"/>
                <w:color w:val="auto"/>
              </w:rPr>
            </w:pPr>
            <w:r>
              <w:rPr>
                <w:rFonts w:ascii="Times New Roman" w:cs="Times New Roman" w:eastAsia="Times New Roman" w:hAnsi="Times New Roman"/>
                <w:sz w:val="16"/>
                <w:szCs w:val="16"/>
                <w:color w:val="auto"/>
                <w:w w:val="97"/>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Indonesia Holding Pte. Ltd.</w:t>
            </w:r>
          </w:p>
        </w:tc>
        <w:tc>
          <w:tcPr>
            <w:tcW w:w="5760" w:type="dxa"/>
            <w:vAlign w:val="bottom"/>
            <w:gridSpan w:val="2"/>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5"/>
              </w:rPr>
              <w:t>Singapore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4"/>
        </w:trPr>
        <w:tc>
          <w:tcPr>
            <w:tcW w:w="234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020"/>
          </w:cols>
          <w:pgMar w:left="1440" w:top="551" w:right="1440" w:bottom="1440" w:gutter="0" w:footer="0" w:header="0"/>
        </w:sectPr>
      </w:pPr>
    </w:p>
    <w:bookmarkStart w:id="528" w:name="page529"/>
    <w:bookmarkEnd w:id="528"/>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Exhibit 21.1</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List of Subsidiaries of Digital Realty Trust, Inc.</w:t>
      </w:r>
    </w:p>
    <w:p>
      <w:pPr>
        <w:spacing w:after="0" w:line="194" w:lineRule="exact"/>
        <w:rPr>
          <w:sz w:val="20"/>
          <w:szCs w:val="20"/>
          <w:color w:val="auto"/>
        </w:rPr>
      </w:pPr>
    </w:p>
    <w:tbl>
      <w:tblPr>
        <w:tblLayout w:type="fixed"/>
        <w:tblInd w:w="460" w:type="dxa"/>
        <w:tblCellMar>
          <w:top w:w="0" w:type="dxa"/>
          <w:left w:w="0" w:type="dxa"/>
          <w:bottom w:w="0" w:type="dxa"/>
          <w:right w:w="0" w:type="dxa"/>
        </w:tblCellMar>
      </w:tblPr>
      <w:tr>
        <w:trPr>
          <w:trHeight w:val="204"/>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Indonesia Investor Pte. Ltd.</w:t>
            </w:r>
          </w:p>
        </w:tc>
        <w:tc>
          <w:tcPr>
            <w:tcW w:w="3820" w:type="dxa"/>
            <w:vAlign w:val="bottom"/>
          </w:tcPr>
          <w:p>
            <w:pPr>
              <w:jc w:val="center"/>
              <w:ind w:left="1242"/>
              <w:spacing w:after="0"/>
              <w:rPr>
                <w:sz w:val="20"/>
                <w:szCs w:val="20"/>
                <w:color w:val="auto"/>
              </w:rPr>
            </w:pPr>
            <w:r>
              <w:rPr>
                <w:rFonts w:ascii="Times New Roman" w:cs="Times New Roman" w:eastAsia="Times New Roman" w:hAnsi="Times New Roman"/>
                <w:sz w:val="16"/>
                <w:szCs w:val="16"/>
                <w:color w:val="auto"/>
                <w:w w:val="95"/>
              </w:rPr>
              <w:t>Singapore</w:t>
            </w:r>
          </w:p>
        </w:tc>
        <w:tc>
          <w:tcPr>
            <w:tcW w:w="40" w:type="dxa"/>
            <w:vAlign w:val="bottom"/>
          </w:tcPr>
          <w:p>
            <w:pPr>
              <w:spacing w:after="0"/>
              <w:rPr>
                <w:sz w:val="17"/>
                <w:szCs w:val="17"/>
                <w:color w:val="auto"/>
              </w:rPr>
            </w:pPr>
          </w:p>
        </w:tc>
      </w:tr>
      <w:tr>
        <w:trPr>
          <w:trHeight w:val="193"/>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InterXion Holding, LLC</w:t>
            </w:r>
          </w:p>
        </w:tc>
        <w:tc>
          <w:tcPr>
            <w:tcW w:w="382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Intrepid Holding B.V.</w:t>
            </w:r>
          </w:p>
        </w:tc>
        <w:tc>
          <w:tcPr>
            <w:tcW w:w="3820" w:type="dxa"/>
            <w:vAlign w:val="bottom"/>
          </w:tcPr>
          <w:p>
            <w:pPr>
              <w:jc w:val="center"/>
              <w:ind w:left="124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Investment Management Pte. Ltd.</w:t>
            </w:r>
          </w:p>
        </w:tc>
        <w:tc>
          <w:tcPr>
            <w:tcW w:w="3820" w:type="dxa"/>
            <w:vAlign w:val="bottom"/>
            <w:shd w:val="clear" w:color="auto" w:fill="CCEEFF"/>
          </w:tcPr>
          <w:p>
            <w:pPr>
              <w:jc w:val="center"/>
              <w:ind w:left="1242"/>
              <w:spacing w:after="0"/>
              <w:rPr>
                <w:sz w:val="20"/>
                <w:szCs w:val="20"/>
                <w:color w:val="auto"/>
              </w:rPr>
            </w:pPr>
            <w:r>
              <w:rPr>
                <w:rFonts w:ascii="Times New Roman" w:cs="Times New Roman" w:eastAsia="Times New Roman" w:hAnsi="Times New Roman"/>
                <w:sz w:val="16"/>
                <w:szCs w:val="16"/>
                <w:color w:val="auto"/>
                <w:w w:val="95"/>
              </w:rPr>
              <w:t>Singapore</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Investments EMEA, LLC</w:t>
            </w:r>
          </w:p>
        </w:tc>
        <w:tc>
          <w:tcPr>
            <w:tcW w:w="382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Investments Holding, LLC</w:t>
            </w:r>
          </w:p>
        </w:tc>
        <w:tc>
          <w:tcPr>
            <w:tcW w:w="382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Israel Holding B.V.</w:t>
            </w:r>
          </w:p>
        </w:tc>
        <w:tc>
          <w:tcPr>
            <w:tcW w:w="3820" w:type="dxa"/>
            <w:vAlign w:val="bottom"/>
          </w:tcPr>
          <w:p>
            <w:pPr>
              <w:jc w:val="center"/>
              <w:ind w:left="124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Japan 1 Pte. Ltd.</w:t>
            </w:r>
          </w:p>
        </w:tc>
        <w:tc>
          <w:tcPr>
            <w:tcW w:w="3820" w:type="dxa"/>
            <w:vAlign w:val="bottom"/>
            <w:shd w:val="clear" w:color="auto" w:fill="CCEEFF"/>
          </w:tcPr>
          <w:p>
            <w:pPr>
              <w:jc w:val="center"/>
              <w:ind w:left="1242"/>
              <w:spacing w:after="0"/>
              <w:rPr>
                <w:sz w:val="20"/>
                <w:szCs w:val="20"/>
                <w:color w:val="auto"/>
              </w:rPr>
            </w:pPr>
            <w:r>
              <w:rPr>
                <w:rFonts w:ascii="Times New Roman" w:cs="Times New Roman" w:eastAsia="Times New Roman" w:hAnsi="Times New Roman"/>
                <w:sz w:val="16"/>
                <w:szCs w:val="16"/>
                <w:color w:val="auto"/>
                <w:w w:val="95"/>
              </w:rPr>
              <w:t>Singapore</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Japan 2 Pte. Ltd.</w:t>
            </w:r>
          </w:p>
        </w:tc>
        <w:tc>
          <w:tcPr>
            <w:tcW w:w="3820" w:type="dxa"/>
            <w:vAlign w:val="bottom"/>
          </w:tcPr>
          <w:p>
            <w:pPr>
              <w:jc w:val="center"/>
              <w:ind w:left="1242"/>
              <w:spacing w:after="0"/>
              <w:rPr>
                <w:sz w:val="20"/>
                <w:szCs w:val="20"/>
                <w:color w:val="auto"/>
              </w:rPr>
            </w:pPr>
            <w:r>
              <w:rPr>
                <w:rFonts w:ascii="Times New Roman" w:cs="Times New Roman" w:eastAsia="Times New Roman" w:hAnsi="Times New Roman"/>
                <w:sz w:val="16"/>
                <w:szCs w:val="16"/>
                <w:color w:val="auto"/>
                <w:w w:val="95"/>
              </w:rPr>
              <w:t>Singapore</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Japan Holding Pte. Ltd.</w:t>
            </w:r>
          </w:p>
        </w:tc>
        <w:tc>
          <w:tcPr>
            <w:tcW w:w="3820" w:type="dxa"/>
            <w:vAlign w:val="bottom"/>
            <w:shd w:val="clear" w:color="auto" w:fill="CCEEFF"/>
          </w:tcPr>
          <w:p>
            <w:pPr>
              <w:jc w:val="center"/>
              <w:ind w:left="1242"/>
              <w:spacing w:after="0"/>
              <w:rPr>
                <w:sz w:val="20"/>
                <w:szCs w:val="20"/>
                <w:color w:val="auto"/>
              </w:rPr>
            </w:pPr>
            <w:r>
              <w:rPr>
                <w:rFonts w:ascii="Times New Roman" w:cs="Times New Roman" w:eastAsia="Times New Roman" w:hAnsi="Times New Roman"/>
                <w:sz w:val="16"/>
                <w:szCs w:val="16"/>
                <w:color w:val="auto"/>
                <w:w w:val="95"/>
              </w:rPr>
              <w:t>Singapore</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Japan Investment Management GK</w:t>
            </w:r>
          </w:p>
        </w:tc>
        <w:tc>
          <w:tcPr>
            <w:tcW w:w="3820" w:type="dxa"/>
            <w:vAlign w:val="bottom"/>
          </w:tcPr>
          <w:p>
            <w:pPr>
              <w:jc w:val="center"/>
              <w:ind w:left="1242"/>
              <w:spacing w:after="0"/>
              <w:rPr>
                <w:sz w:val="20"/>
                <w:szCs w:val="20"/>
                <w:color w:val="auto"/>
              </w:rPr>
            </w:pPr>
            <w:r>
              <w:rPr>
                <w:rFonts w:ascii="Times New Roman" w:cs="Times New Roman" w:eastAsia="Times New Roman" w:hAnsi="Times New Roman"/>
                <w:sz w:val="16"/>
                <w:szCs w:val="16"/>
                <w:color w:val="auto"/>
                <w:w w:val="93"/>
              </w:rPr>
              <w:t>Japan</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Japan, LLC</w:t>
            </w:r>
          </w:p>
        </w:tc>
        <w:tc>
          <w:tcPr>
            <w:tcW w:w="382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Jordan Holding, LLC</w:t>
            </w:r>
          </w:p>
        </w:tc>
        <w:tc>
          <w:tcPr>
            <w:tcW w:w="382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Jubilee, LLC</w:t>
            </w:r>
          </w:p>
        </w:tc>
        <w:tc>
          <w:tcPr>
            <w:tcW w:w="382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Korea, LLC</w:t>
            </w:r>
          </w:p>
        </w:tc>
        <w:tc>
          <w:tcPr>
            <w:tcW w:w="382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La Courneuve SCI</w:t>
            </w:r>
          </w:p>
        </w:tc>
        <w:tc>
          <w:tcPr>
            <w:tcW w:w="3820" w:type="dxa"/>
            <w:vAlign w:val="bottom"/>
            <w:shd w:val="clear" w:color="auto" w:fill="CCEEFF"/>
          </w:tcPr>
          <w:p>
            <w:pPr>
              <w:jc w:val="center"/>
              <w:ind w:left="1242"/>
              <w:spacing w:after="0"/>
              <w:rPr>
                <w:sz w:val="20"/>
                <w:szCs w:val="20"/>
                <w:color w:val="auto"/>
              </w:rPr>
            </w:pPr>
            <w:r>
              <w:rPr>
                <w:rFonts w:ascii="Times New Roman" w:cs="Times New Roman" w:eastAsia="Times New Roman" w:hAnsi="Times New Roman"/>
                <w:sz w:val="16"/>
                <w:szCs w:val="16"/>
                <w:color w:val="auto"/>
                <w:w w:val="96"/>
              </w:rPr>
              <w:t>France</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Lafayette 2 JV, LLC</w:t>
            </w:r>
          </w:p>
        </w:tc>
        <w:tc>
          <w:tcPr>
            <w:tcW w:w="382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Lafayette 2, LLC</w:t>
            </w:r>
          </w:p>
        </w:tc>
        <w:tc>
          <w:tcPr>
            <w:tcW w:w="382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Lafayette 2045 Holding, L.P.</w:t>
            </w:r>
          </w:p>
        </w:tc>
        <w:tc>
          <w:tcPr>
            <w:tcW w:w="382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Lafayette 2045 REIT, LLC</w:t>
            </w:r>
          </w:p>
        </w:tc>
        <w:tc>
          <w:tcPr>
            <w:tcW w:w="382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Lafayette 2045, LLC</w:t>
            </w:r>
          </w:p>
        </w:tc>
        <w:tc>
          <w:tcPr>
            <w:tcW w:w="382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Lafayette Chantilly, LLC</w:t>
            </w:r>
          </w:p>
        </w:tc>
        <w:tc>
          <w:tcPr>
            <w:tcW w:w="382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Lafayette, LLC</w:t>
            </w:r>
          </w:p>
        </w:tc>
        <w:tc>
          <w:tcPr>
            <w:tcW w:w="382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Lakeside 2, LLC</w:t>
            </w:r>
          </w:p>
        </w:tc>
        <w:tc>
          <w:tcPr>
            <w:tcW w:w="382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Lakeside 3, LLC</w:t>
            </w:r>
          </w:p>
        </w:tc>
        <w:tc>
          <w:tcPr>
            <w:tcW w:w="382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Lakeside Holdings, LLC</w:t>
            </w:r>
          </w:p>
        </w:tc>
        <w:tc>
          <w:tcPr>
            <w:tcW w:w="382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Lakeside, LLC</w:t>
            </w:r>
          </w:p>
        </w:tc>
        <w:tc>
          <w:tcPr>
            <w:tcW w:w="382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Les Ulis 2 SAS</w:t>
            </w:r>
          </w:p>
        </w:tc>
        <w:tc>
          <w:tcPr>
            <w:tcW w:w="3820" w:type="dxa"/>
            <w:vAlign w:val="bottom"/>
            <w:shd w:val="clear" w:color="auto" w:fill="CCEEFF"/>
          </w:tcPr>
          <w:p>
            <w:pPr>
              <w:jc w:val="center"/>
              <w:ind w:left="1242"/>
              <w:spacing w:after="0"/>
              <w:rPr>
                <w:sz w:val="20"/>
                <w:szCs w:val="20"/>
                <w:color w:val="auto"/>
              </w:rPr>
            </w:pPr>
            <w:r>
              <w:rPr>
                <w:rFonts w:ascii="Times New Roman" w:cs="Times New Roman" w:eastAsia="Times New Roman" w:hAnsi="Times New Roman"/>
                <w:sz w:val="16"/>
                <w:szCs w:val="16"/>
                <w:color w:val="auto"/>
                <w:w w:val="96"/>
              </w:rPr>
              <w:t>France</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Les Ulis Holding 2 SAS</w:t>
            </w:r>
          </w:p>
        </w:tc>
        <w:tc>
          <w:tcPr>
            <w:tcW w:w="3820" w:type="dxa"/>
            <w:vAlign w:val="bottom"/>
          </w:tcPr>
          <w:p>
            <w:pPr>
              <w:jc w:val="center"/>
              <w:ind w:left="1242"/>
              <w:spacing w:after="0"/>
              <w:rPr>
                <w:sz w:val="20"/>
                <w:szCs w:val="20"/>
                <w:color w:val="auto"/>
              </w:rPr>
            </w:pPr>
            <w:r>
              <w:rPr>
                <w:rFonts w:ascii="Times New Roman" w:cs="Times New Roman" w:eastAsia="Times New Roman" w:hAnsi="Times New Roman"/>
                <w:sz w:val="16"/>
                <w:szCs w:val="16"/>
                <w:color w:val="auto"/>
                <w:w w:val="96"/>
              </w:rPr>
              <w:t>France</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Les Ulis Holding SAS</w:t>
            </w:r>
          </w:p>
        </w:tc>
        <w:tc>
          <w:tcPr>
            <w:tcW w:w="3820" w:type="dxa"/>
            <w:vAlign w:val="bottom"/>
            <w:shd w:val="clear" w:color="auto" w:fill="CCEEFF"/>
          </w:tcPr>
          <w:p>
            <w:pPr>
              <w:jc w:val="center"/>
              <w:ind w:left="1242"/>
              <w:spacing w:after="0"/>
              <w:rPr>
                <w:sz w:val="20"/>
                <w:szCs w:val="20"/>
                <w:color w:val="auto"/>
              </w:rPr>
            </w:pPr>
            <w:r>
              <w:rPr>
                <w:rFonts w:ascii="Times New Roman" w:cs="Times New Roman" w:eastAsia="Times New Roman" w:hAnsi="Times New Roman"/>
                <w:sz w:val="16"/>
                <w:szCs w:val="16"/>
                <w:color w:val="auto"/>
                <w:w w:val="96"/>
              </w:rPr>
              <w:t>France</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Les Ulis SNC</w:t>
            </w:r>
          </w:p>
        </w:tc>
        <w:tc>
          <w:tcPr>
            <w:tcW w:w="3820" w:type="dxa"/>
            <w:vAlign w:val="bottom"/>
          </w:tcPr>
          <w:p>
            <w:pPr>
              <w:jc w:val="center"/>
              <w:ind w:left="1242"/>
              <w:spacing w:after="0"/>
              <w:rPr>
                <w:sz w:val="20"/>
                <w:szCs w:val="20"/>
                <w:color w:val="auto"/>
              </w:rPr>
            </w:pPr>
            <w:r>
              <w:rPr>
                <w:rFonts w:ascii="Times New Roman" w:cs="Times New Roman" w:eastAsia="Times New Roman" w:hAnsi="Times New Roman"/>
                <w:sz w:val="16"/>
                <w:szCs w:val="16"/>
                <w:color w:val="auto"/>
                <w:w w:val="96"/>
              </w:rPr>
              <w:t>France</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Lewisville, LLC</w:t>
            </w:r>
          </w:p>
        </w:tc>
        <w:tc>
          <w:tcPr>
            <w:tcW w:w="382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London Limited</w:t>
            </w:r>
          </w:p>
        </w:tc>
        <w:tc>
          <w:tcPr>
            <w:tcW w:w="382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7"/>
              </w:rPr>
              <w:t>United Kingdom (England and Wales)</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Loudoun 3, LLC</w:t>
            </w:r>
          </w:p>
        </w:tc>
        <w:tc>
          <w:tcPr>
            <w:tcW w:w="382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Loudoun II, LLC</w:t>
            </w:r>
          </w:p>
        </w:tc>
        <w:tc>
          <w:tcPr>
            <w:tcW w:w="382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Loudoun IV, LLC</w:t>
            </w:r>
          </w:p>
        </w:tc>
        <w:tc>
          <w:tcPr>
            <w:tcW w:w="382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Loudoun Parkway Center North, LLC</w:t>
            </w:r>
          </w:p>
        </w:tc>
        <w:tc>
          <w:tcPr>
            <w:tcW w:w="382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Luxembourg II S.à r.l.</w:t>
            </w:r>
          </w:p>
        </w:tc>
        <w:tc>
          <w:tcPr>
            <w:tcW w:w="382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6"/>
              </w:rPr>
              <w:t>Luxembourg</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Luxembourg III Limited</w:t>
            </w:r>
          </w:p>
        </w:tc>
        <w:tc>
          <w:tcPr>
            <w:tcW w:w="382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9"/>
              </w:rPr>
              <w:t>Jersey</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Macquarie Park, LLC</w:t>
            </w:r>
          </w:p>
        </w:tc>
        <w:tc>
          <w:tcPr>
            <w:tcW w:w="382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Midway GP, LLC</w:t>
            </w:r>
          </w:p>
        </w:tc>
        <w:tc>
          <w:tcPr>
            <w:tcW w:w="382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Midway, L.P.</w:t>
            </w:r>
          </w:p>
        </w:tc>
        <w:tc>
          <w:tcPr>
            <w:tcW w:w="3820" w:type="dxa"/>
            <w:vAlign w:val="bottom"/>
            <w:shd w:val="clear" w:color="auto" w:fill="CCEEFF"/>
          </w:tcPr>
          <w:p>
            <w:pPr>
              <w:jc w:val="center"/>
              <w:ind w:left="1242"/>
              <w:spacing w:after="0"/>
              <w:rPr>
                <w:sz w:val="20"/>
                <w:szCs w:val="20"/>
                <w:color w:val="auto"/>
              </w:rPr>
            </w:pPr>
            <w:r>
              <w:rPr>
                <w:rFonts w:ascii="Times New Roman" w:cs="Times New Roman" w:eastAsia="Times New Roman" w:hAnsi="Times New Roman"/>
                <w:sz w:val="16"/>
                <w:szCs w:val="16"/>
                <w:color w:val="auto"/>
                <w:w w:val="99"/>
              </w:rPr>
              <w:t>Texas</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Moores Chapel 2, LLC</w:t>
            </w:r>
          </w:p>
        </w:tc>
        <w:tc>
          <w:tcPr>
            <w:tcW w:w="382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Moores Chapel, LLC</w:t>
            </w:r>
          </w:p>
        </w:tc>
        <w:tc>
          <w:tcPr>
            <w:tcW w:w="382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Moran Holdings, LLC</w:t>
            </w:r>
          </w:p>
        </w:tc>
        <w:tc>
          <w:tcPr>
            <w:tcW w:w="382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MP, LLC</w:t>
            </w:r>
          </w:p>
        </w:tc>
        <w:tc>
          <w:tcPr>
            <w:tcW w:w="382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MRS5 SAS</w:t>
            </w:r>
          </w:p>
        </w:tc>
        <w:tc>
          <w:tcPr>
            <w:tcW w:w="3820" w:type="dxa"/>
            <w:vAlign w:val="bottom"/>
          </w:tcPr>
          <w:p>
            <w:pPr>
              <w:jc w:val="center"/>
              <w:ind w:left="1242"/>
              <w:spacing w:after="0"/>
              <w:rPr>
                <w:sz w:val="20"/>
                <w:szCs w:val="20"/>
                <w:color w:val="auto"/>
              </w:rPr>
            </w:pPr>
            <w:r>
              <w:rPr>
                <w:rFonts w:ascii="Times New Roman" w:cs="Times New Roman" w:eastAsia="Times New Roman" w:hAnsi="Times New Roman"/>
                <w:sz w:val="16"/>
                <w:szCs w:val="16"/>
                <w:color w:val="auto"/>
                <w:w w:val="96"/>
              </w:rPr>
              <w:t>France</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MRS6 SAS</w:t>
            </w:r>
          </w:p>
        </w:tc>
        <w:tc>
          <w:tcPr>
            <w:tcW w:w="3820" w:type="dxa"/>
            <w:vAlign w:val="bottom"/>
            <w:shd w:val="clear" w:color="auto" w:fill="CCEEFF"/>
          </w:tcPr>
          <w:p>
            <w:pPr>
              <w:jc w:val="center"/>
              <w:ind w:left="1242"/>
              <w:spacing w:after="0"/>
              <w:rPr>
                <w:sz w:val="20"/>
                <w:szCs w:val="20"/>
                <w:color w:val="auto"/>
              </w:rPr>
            </w:pPr>
            <w:r>
              <w:rPr>
                <w:rFonts w:ascii="Times New Roman" w:cs="Times New Roman" w:eastAsia="Times New Roman" w:hAnsi="Times New Roman"/>
                <w:sz w:val="16"/>
                <w:szCs w:val="16"/>
                <w:color w:val="auto"/>
                <w:w w:val="96"/>
              </w:rPr>
              <w:t>France</w:t>
            </w:r>
          </w:p>
        </w:tc>
        <w:tc>
          <w:tcPr>
            <w:tcW w:w="40" w:type="dxa"/>
            <w:vAlign w:val="bottom"/>
            <w:shd w:val="clear" w:color="auto" w:fill="CCEEFF"/>
          </w:tcPr>
          <w:p>
            <w:pPr>
              <w:spacing w:after="0"/>
              <w:rPr>
                <w:sz w:val="16"/>
                <w:szCs w:val="16"/>
                <w:color w:val="auto"/>
              </w:rPr>
            </w:pPr>
          </w:p>
        </w:tc>
      </w:tr>
      <w:tr>
        <w:trPr>
          <w:trHeight w:val="484"/>
        </w:trPr>
        <w:tc>
          <w:tcPr>
            <w:tcW w:w="424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40" w:orient="portrait"/>
          <w:cols w:equalWidth="0" w:num="1">
            <w:col w:w="9020"/>
          </w:cols>
          <w:pgMar w:left="1440" w:top="555" w:right="1440" w:bottom="1440" w:gutter="0" w:footer="0" w:header="0"/>
        </w:sectPr>
      </w:pPr>
    </w:p>
    <w:bookmarkStart w:id="529" w:name="page530"/>
    <w:bookmarkEnd w:id="529"/>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Exhibit 21.1</w:t>
      </w:r>
    </w:p>
    <w:p>
      <w:pPr>
        <w:spacing w:after="0" w:line="16" w:lineRule="exact"/>
        <w:rPr>
          <w:sz w:val="20"/>
          <w:szCs w:val="20"/>
          <w:color w:val="auto"/>
        </w:rPr>
      </w:pPr>
    </w:p>
    <w:tbl>
      <w:tblPr>
        <w:tblLayout w:type="fixed"/>
        <w:tblInd w:w="460" w:type="dxa"/>
        <w:tblCellMar>
          <w:top w:w="0" w:type="dxa"/>
          <w:left w:w="0" w:type="dxa"/>
          <w:bottom w:w="0" w:type="dxa"/>
          <w:right w:w="0" w:type="dxa"/>
        </w:tblCellMar>
      </w:tblPr>
      <w:tr>
        <w:trPr>
          <w:trHeight w:val="205"/>
        </w:trPr>
        <w:tc>
          <w:tcPr>
            <w:tcW w:w="8060" w:type="dxa"/>
            <w:vAlign w:val="bottom"/>
            <w:gridSpan w:val="2"/>
          </w:tcPr>
          <w:p>
            <w:pPr>
              <w:ind w:left="2480"/>
              <w:spacing w:after="0"/>
              <w:rPr>
                <w:sz w:val="20"/>
                <w:szCs w:val="20"/>
                <w:color w:val="auto"/>
              </w:rPr>
            </w:pPr>
            <w:r>
              <w:rPr>
                <w:rFonts w:ascii="Times New Roman" w:cs="Times New Roman" w:eastAsia="Times New Roman" w:hAnsi="Times New Roman"/>
                <w:sz w:val="16"/>
                <w:szCs w:val="16"/>
                <w:b w:val="1"/>
                <w:bCs w:val="1"/>
                <w:color w:val="auto"/>
              </w:rPr>
              <w:t>List of Subsidiaries of Digital Realty Trust, Inc.</w:t>
            </w:r>
          </w:p>
        </w:tc>
        <w:tc>
          <w:tcPr>
            <w:tcW w:w="40" w:type="dxa"/>
            <w:vAlign w:val="bottom"/>
          </w:tcPr>
          <w:p>
            <w:pPr>
              <w:spacing w:after="0"/>
              <w:rPr>
                <w:sz w:val="17"/>
                <w:szCs w:val="17"/>
                <w:color w:val="auto"/>
              </w:rPr>
            </w:pPr>
          </w:p>
        </w:tc>
      </w:tr>
      <w:tr>
        <w:trPr>
          <w:trHeight w:val="377"/>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Digital Nash JV, LLC</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24"/>
                <w:szCs w:val="24"/>
                <w:color w:val="auto"/>
              </w:rPr>
            </w:pPr>
          </w:p>
        </w:tc>
      </w:tr>
      <w:tr>
        <w:trPr>
          <w:trHeight w:val="19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Nash, LLC</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Digital Netherlands 11 B.V.</w:t>
            </w:r>
          </w:p>
        </w:tc>
        <w:tc>
          <w:tcPr>
            <w:tcW w:w="3740" w:type="dxa"/>
            <w:vAlign w:val="bottom"/>
          </w:tcPr>
          <w:p>
            <w:pPr>
              <w:jc w:val="center"/>
              <w:ind w:left="11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Netherlands 12 B.V.</w:t>
            </w:r>
          </w:p>
        </w:tc>
        <w:tc>
          <w:tcPr>
            <w:tcW w:w="3740" w:type="dxa"/>
            <w:vAlign w:val="bottom"/>
            <w:shd w:val="clear" w:color="auto" w:fill="CCEEFF"/>
          </w:tcPr>
          <w:p>
            <w:pPr>
              <w:jc w:val="center"/>
              <w:ind w:left="11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Digital Netherlands 13 B.V.</w:t>
            </w:r>
          </w:p>
        </w:tc>
        <w:tc>
          <w:tcPr>
            <w:tcW w:w="3740" w:type="dxa"/>
            <w:vAlign w:val="bottom"/>
          </w:tcPr>
          <w:p>
            <w:pPr>
              <w:jc w:val="center"/>
              <w:ind w:left="11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Netherlands Holding B.V.</w:t>
            </w:r>
          </w:p>
        </w:tc>
        <w:tc>
          <w:tcPr>
            <w:tcW w:w="3740" w:type="dxa"/>
            <w:vAlign w:val="bottom"/>
            <w:shd w:val="clear" w:color="auto" w:fill="CCEEFF"/>
          </w:tcPr>
          <w:p>
            <w:pPr>
              <w:jc w:val="center"/>
              <w:ind w:left="11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Digital Netherlands I B.V.</w:t>
            </w:r>
          </w:p>
        </w:tc>
        <w:tc>
          <w:tcPr>
            <w:tcW w:w="3740" w:type="dxa"/>
            <w:vAlign w:val="bottom"/>
          </w:tcPr>
          <w:p>
            <w:pPr>
              <w:jc w:val="center"/>
              <w:ind w:left="11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Netherlands III (Dublin) B.V.</w:t>
            </w:r>
          </w:p>
        </w:tc>
        <w:tc>
          <w:tcPr>
            <w:tcW w:w="3740" w:type="dxa"/>
            <w:vAlign w:val="bottom"/>
            <w:shd w:val="clear" w:color="auto" w:fill="CCEEFF"/>
          </w:tcPr>
          <w:p>
            <w:pPr>
              <w:jc w:val="center"/>
              <w:ind w:left="11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Digital Netherlands Investor B.V.</w:t>
            </w:r>
          </w:p>
        </w:tc>
        <w:tc>
          <w:tcPr>
            <w:tcW w:w="3740" w:type="dxa"/>
            <w:vAlign w:val="bottom"/>
          </w:tcPr>
          <w:p>
            <w:pPr>
              <w:jc w:val="center"/>
              <w:ind w:left="11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Netherlands IV B.V.</w:t>
            </w:r>
          </w:p>
        </w:tc>
        <w:tc>
          <w:tcPr>
            <w:tcW w:w="3740" w:type="dxa"/>
            <w:vAlign w:val="bottom"/>
            <w:shd w:val="clear" w:color="auto" w:fill="CCEEFF"/>
          </w:tcPr>
          <w:p>
            <w:pPr>
              <w:jc w:val="center"/>
              <w:ind w:left="11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Digital Netherlands IV Holdings B.V.</w:t>
            </w:r>
          </w:p>
        </w:tc>
        <w:tc>
          <w:tcPr>
            <w:tcW w:w="3740" w:type="dxa"/>
            <w:vAlign w:val="bottom"/>
          </w:tcPr>
          <w:p>
            <w:pPr>
              <w:jc w:val="center"/>
              <w:ind w:left="11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Netherlands VIII B.V.</w:t>
            </w:r>
          </w:p>
        </w:tc>
        <w:tc>
          <w:tcPr>
            <w:tcW w:w="3740" w:type="dxa"/>
            <w:vAlign w:val="bottom"/>
            <w:shd w:val="clear" w:color="auto" w:fill="CCEEFF"/>
          </w:tcPr>
          <w:p>
            <w:pPr>
              <w:jc w:val="center"/>
              <w:ind w:left="11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Digital Network Services, LLC</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North Myers 3, LLC</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Digital Northlake, LLC</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Norwood Park 2, LLC</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Digital Nova Investor, LLC</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Nova Manager, LLC</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Digital Omega IV, LLC</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Osaka 1 TMK</w:t>
            </w:r>
          </w:p>
        </w:tc>
        <w:tc>
          <w:tcPr>
            <w:tcW w:w="3740" w:type="dxa"/>
            <w:vAlign w:val="bottom"/>
            <w:shd w:val="clear" w:color="auto" w:fill="CCEEFF"/>
          </w:tcPr>
          <w:p>
            <w:pPr>
              <w:jc w:val="center"/>
              <w:ind w:left="1162"/>
              <w:spacing w:after="0"/>
              <w:rPr>
                <w:sz w:val="20"/>
                <w:szCs w:val="20"/>
                <w:color w:val="auto"/>
              </w:rPr>
            </w:pPr>
            <w:r>
              <w:rPr>
                <w:rFonts w:ascii="Times New Roman" w:cs="Times New Roman" w:eastAsia="Times New Roman" w:hAnsi="Times New Roman"/>
                <w:sz w:val="16"/>
                <w:szCs w:val="16"/>
                <w:color w:val="auto"/>
                <w:w w:val="93"/>
              </w:rPr>
              <w:t>Japan</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Digital Osaka 2 TMK</w:t>
            </w:r>
          </w:p>
        </w:tc>
        <w:tc>
          <w:tcPr>
            <w:tcW w:w="3740" w:type="dxa"/>
            <w:vAlign w:val="bottom"/>
          </w:tcPr>
          <w:p>
            <w:pPr>
              <w:jc w:val="center"/>
              <w:ind w:left="1162"/>
              <w:spacing w:after="0"/>
              <w:rPr>
                <w:sz w:val="20"/>
                <w:szCs w:val="20"/>
                <w:color w:val="auto"/>
              </w:rPr>
            </w:pPr>
            <w:r>
              <w:rPr>
                <w:rFonts w:ascii="Times New Roman" w:cs="Times New Roman" w:eastAsia="Times New Roman" w:hAnsi="Times New Roman"/>
                <w:sz w:val="16"/>
                <w:szCs w:val="16"/>
                <w:color w:val="auto"/>
                <w:w w:val="93"/>
              </w:rPr>
              <w:t>Japan</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Osaka 3 TMK</w:t>
            </w:r>
          </w:p>
        </w:tc>
        <w:tc>
          <w:tcPr>
            <w:tcW w:w="3740" w:type="dxa"/>
            <w:vAlign w:val="bottom"/>
            <w:shd w:val="clear" w:color="auto" w:fill="CCEEFF"/>
          </w:tcPr>
          <w:p>
            <w:pPr>
              <w:jc w:val="center"/>
              <w:ind w:left="1162"/>
              <w:spacing w:after="0"/>
              <w:rPr>
                <w:sz w:val="20"/>
                <w:szCs w:val="20"/>
                <w:color w:val="auto"/>
              </w:rPr>
            </w:pPr>
            <w:r>
              <w:rPr>
                <w:rFonts w:ascii="Times New Roman" w:cs="Times New Roman" w:eastAsia="Times New Roman" w:hAnsi="Times New Roman"/>
                <w:sz w:val="16"/>
                <w:szCs w:val="16"/>
                <w:color w:val="auto"/>
                <w:w w:val="93"/>
              </w:rPr>
              <w:t>Japan</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Digital Osaka 4 TMK</w:t>
            </w:r>
          </w:p>
        </w:tc>
        <w:tc>
          <w:tcPr>
            <w:tcW w:w="3740" w:type="dxa"/>
            <w:vAlign w:val="bottom"/>
          </w:tcPr>
          <w:p>
            <w:pPr>
              <w:jc w:val="center"/>
              <w:ind w:left="1162"/>
              <w:spacing w:after="0"/>
              <w:rPr>
                <w:sz w:val="20"/>
                <w:szCs w:val="20"/>
                <w:color w:val="auto"/>
              </w:rPr>
            </w:pPr>
            <w:r>
              <w:rPr>
                <w:rFonts w:ascii="Times New Roman" w:cs="Times New Roman" w:eastAsia="Times New Roman" w:hAnsi="Times New Roman"/>
                <w:sz w:val="16"/>
                <w:szCs w:val="16"/>
                <w:color w:val="auto"/>
                <w:w w:val="93"/>
              </w:rPr>
              <w:t>Japan</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Osaka 5 TMK</w:t>
            </w:r>
          </w:p>
        </w:tc>
        <w:tc>
          <w:tcPr>
            <w:tcW w:w="3740" w:type="dxa"/>
            <w:vAlign w:val="bottom"/>
            <w:shd w:val="clear" w:color="auto" w:fill="CCEEFF"/>
          </w:tcPr>
          <w:p>
            <w:pPr>
              <w:jc w:val="center"/>
              <w:ind w:left="1162"/>
              <w:spacing w:after="0"/>
              <w:rPr>
                <w:sz w:val="20"/>
                <w:szCs w:val="20"/>
                <w:color w:val="auto"/>
              </w:rPr>
            </w:pPr>
            <w:r>
              <w:rPr>
                <w:rFonts w:ascii="Times New Roman" w:cs="Times New Roman" w:eastAsia="Times New Roman" w:hAnsi="Times New Roman"/>
                <w:sz w:val="16"/>
                <w:szCs w:val="16"/>
                <w:color w:val="auto"/>
                <w:w w:val="93"/>
              </w:rPr>
              <w:t>Japan</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Digital Osaka 6 TMK</w:t>
            </w:r>
          </w:p>
        </w:tc>
        <w:tc>
          <w:tcPr>
            <w:tcW w:w="3740" w:type="dxa"/>
            <w:vAlign w:val="bottom"/>
          </w:tcPr>
          <w:p>
            <w:pPr>
              <w:jc w:val="center"/>
              <w:ind w:left="1162"/>
              <w:spacing w:after="0"/>
              <w:rPr>
                <w:sz w:val="20"/>
                <w:szCs w:val="20"/>
                <w:color w:val="auto"/>
              </w:rPr>
            </w:pPr>
            <w:r>
              <w:rPr>
                <w:rFonts w:ascii="Times New Roman" w:cs="Times New Roman" w:eastAsia="Times New Roman" w:hAnsi="Times New Roman"/>
                <w:sz w:val="16"/>
                <w:szCs w:val="16"/>
                <w:color w:val="auto"/>
                <w:w w:val="93"/>
              </w:rPr>
              <w:t>Japan</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Phoenix Van Buren, LLC</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Digital Piscataway, LLC</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Porpoise JV, LLC</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Digital Porpoise, LLC</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Printers Square, LLC</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Digital Quill JV, LLC</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Realty (Blanchardstown) Limited</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6"/>
              </w:rPr>
              <w:t>Ireland</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Digital Realty (Management Company) Limited</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6"/>
              </w:rPr>
              <w:t>Ireland</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Realty (UK) Limited</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United Kingdom (England and Wales)</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Digital Realty Austria GmbH</w:t>
            </w:r>
          </w:p>
        </w:tc>
        <w:tc>
          <w:tcPr>
            <w:tcW w:w="3740" w:type="dxa"/>
            <w:vAlign w:val="bottom"/>
          </w:tcPr>
          <w:p>
            <w:pPr>
              <w:jc w:val="center"/>
              <w:ind w:left="1162"/>
              <w:spacing w:after="0"/>
              <w:rPr>
                <w:sz w:val="20"/>
                <w:szCs w:val="20"/>
                <w:color w:val="auto"/>
              </w:rPr>
            </w:pPr>
            <w:r>
              <w:rPr>
                <w:rFonts w:ascii="Times New Roman" w:cs="Times New Roman" w:eastAsia="Times New Roman" w:hAnsi="Times New Roman"/>
                <w:sz w:val="16"/>
                <w:szCs w:val="16"/>
                <w:color w:val="auto"/>
                <w:w w:val="97"/>
              </w:rPr>
              <w:t>Austria</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Realty Canada, Inc.</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British Columbia</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Digital Realty Consulting Shanghai Limited</w:t>
            </w:r>
          </w:p>
        </w:tc>
        <w:tc>
          <w:tcPr>
            <w:tcW w:w="3740" w:type="dxa"/>
            <w:vAlign w:val="bottom"/>
          </w:tcPr>
          <w:p>
            <w:pPr>
              <w:jc w:val="center"/>
              <w:ind w:left="1162"/>
              <w:spacing w:after="0"/>
              <w:rPr>
                <w:sz w:val="20"/>
                <w:szCs w:val="20"/>
                <w:color w:val="auto"/>
              </w:rPr>
            </w:pPr>
            <w:r>
              <w:rPr>
                <w:rFonts w:ascii="Times New Roman" w:cs="Times New Roman" w:eastAsia="Times New Roman" w:hAnsi="Times New Roman"/>
                <w:sz w:val="16"/>
                <w:szCs w:val="16"/>
                <w:color w:val="auto"/>
                <w:w w:val="99"/>
              </w:rPr>
              <w:t>China</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Realty Core Properties 1 Investor, LLC</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Digital Realty Core Properties 1 Manager, LLC</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Realty Datafirm 2, LLC</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Digital Realty Datafirm, LLC</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Realty DC Management GP, LLC</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Digital Realty DC Management, LP</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Realty DC Partners NA Fund-A, LP</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Digital Realty DC Partners NA Fund-B, LP</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Realty DC Partners NA GP, LP</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Digital Realty DC Partners NA UGP, LLC</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Realty Denmark ApS</w:t>
            </w:r>
          </w:p>
        </w:tc>
        <w:tc>
          <w:tcPr>
            <w:tcW w:w="3740" w:type="dxa"/>
            <w:vAlign w:val="bottom"/>
            <w:shd w:val="clear" w:color="auto" w:fill="CCEEFF"/>
          </w:tcPr>
          <w:p>
            <w:pPr>
              <w:jc w:val="center"/>
              <w:ind w:left="1162"/>
              <w:spacing w:after="0"/>
              <w:rPr>
                <w:sz w:val="20"/>
                <w:szCs w:val="20"/>
                <w:color w:val="auto"/>
              </w:rPr>
            </w:pPr>
            <w:r>
              <w:rPr>
                <w:rFonts w:ascii="Times New Roman" w:cs="Times New Roman" w:eastAsia="Times New Roman" w:hAnsi="Times New Roman"/>
                <w:sz w:val="16"/>
                <w:szCs w:val="16"/>
                <w:color w:val="auto"/>
                <w:w w:val="97"/>
              </w:rPr>
              <w:t>Denmark</w:t>
            </w:r>
          </w:p>
        </w:tc>
        <w:tc>
          <w:tcPr>
            <w:tcW w:w="40" w:type="dxa"/>
            <w:vAlign w:val="bottom"/>
            <w:shd w:val="clear" w:color="auto" w:fill="CCEEFF"/>
          </w:tcPr>
          <w:p>
            <w:pPr>
              <w:spacing w:after="0"/>
              <w:rPr>
                <w:sz w:val="16"/>
                <w:szCs w:val="16"/>
                <w:color w:val="auto"/>
              </w:rPr>
            </w:pPr>
          </w:p>
        </w:tc>
      </w:tr>
      <w:tr>
        <w:trPr>
          <w:trHeight w:val="484"/>
        </w:trPr>
        <w:tc>
          <w:tcPr>
            <w:tcW w:w="43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40" w:orient="portrait"/>
          <w:cols w:equalWidth="0" w:num="1">
            <w:col w:w="9020"/>
          </w:cols>
          <w:pgMar w:left="1440" w:top="555" w:right="1440" w:bottom="1440" w:gutter="0" w:footer="0" w:header="0"/>
        </w:sectPr>
      </w:pPr>
    </w:p>
    <w:bookmarkStart w:id="530" w:name="page531"/>
    <w:bookmarkEnd w:id="530"/>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Exhibit 21.1</w:t>
      </w:r>
    </w:p>
    <w:p>
      <w:pPr>
        <w:spacing w:after="0" w:line="16" w:lineRule="exact"/>
        <w:rPr>
          <w:sz w:val="20"/>
          <w:szCs w:val="20"/>
          <w:color w:val="auto"/>
        </w:rPr>
      </w:pPr>
    </w:p>
    <w:tbl>
      <w:tblPr>
        <w:tblLayout w:type="fixed"/>
        <w:tblInd w:w="460" w:type="dxa"/>
        <w:tblCellMar>
          <w:top w:w="0" w:type="dxa"/>
          <w:left w:w="0" w:type="dxa"/>
          <w:bottom w:w="0" w:type="dxa"/>
          <w:right w:w="0" w:type="dxa"/>
        </w:tblCellMar>
      </w:tblPr>
      <w:tr>
        <w:trPr>
          <w:trHeight w:val="205"/>
        </w:trPr>
        <w:tc>
          <w:tcPr>
            <w:tcW w:w="5880" w:type="dxa"/>
            <w:vAlign w:val="bottom"/>
          </w:tcPr>
          <w:p>
            <w:pPr>
              <w:ind w:left="2480"/>
              <w:spacing w:after="0"/>
              <w:rPr>
                <w:sz w:val="20"/>
                <w:szCs w:val="20"/>
                <w:color w:val="auto"/>
              </w:rPr>
            </w:pPr>
            <w:r>
              <w:rPr>
                <w:rFonts w:ascii="Times New Roman" w:cs="Times New Roman" w:eastAsia="Times New Roman" w:hAnsi="Times New Roman"/>
                <w:sz w:val="16"/>
                <w:szCs w:val="16"/>
                <w:b w:val="1"/>
                <w:bCs w:val="1"/>
                <w:color w:val="auto"/>
              </w:rPr>
              <w:t>List of Subsidiaries of Digital Realty Trust, Inc.</w:t>
            </w:r>
          </w:p>
        </w:tc>
        <w:tc>
          <w:tcPr>
            <w:tcW w:w="2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77"/>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Digital Realty Germany GmbH</w:t>
            </w:r>
          </w:p>
        </w:tc>
        <w:tc>
          <w:tcPr>
            <w:tcW w:w="218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7"/>
              </w:rPr>
              <w:t>Germany</w:t>
            </w:r>
          </w:p>
        </w:tc>
        <w:tc>
          <w:tcPr>
            <w:tcW w:w="40" w:type="dxa"/>
            <w:vAlign w:val="bottom"/>
          </w:tcPr>
          <w:p>
            <w:pPr>
              <w:spacing w:after="0"/>
              <w:rPr>
                <w:sz w:val="24"/>
                <w:szCs w:val="24"/>
                <w:color w:val="auto"/>
              </w:rPr>
            </w:pPr>
          </w:p>
        </w:tc>
      </w:tr>
      <w:tr>
        <w:trPr>
          <w:trHeight w:val="193"/>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Realty Hellas Single Member S.A.</w:t>
            </w:r>
          </w:p>
        </w:tc>
        <w:tc>
          <w:tcPr>
            <w:tcW w:w="2180" w:type="dxa"/>
            <w:vAlign w:val="bottom"/>
            <w:shd w:val="clear" w:color="auto" w:fill="CCEEFF"/>
          </w:tcPr>
          <w:p>
            <w:pPr>
              <w:jc w:val="center"/>
              <w:ind w:right="222"/>
              <w:spacing w:after="0"/>
              <w:rPr>
                <w:sz w:val="20"/>
                <w:szCs w:val="20"/>
                <w:color w:val="auto"/>
              </w:rPr>
            </w:pPr>
            <w:r>
              <w:rPr>
                <w:rFonts w:ascii="Times New Roman" w:cs="Times New Roman" w:eastAsia="Times New Roman" w:hAnsi="Times New Roman"/>
                <w:sz w:val="16"/>
                <w:szCs w:val="16"/>
                <w:color w:val="auto"/>
                <w:w w:val="97"/>
              </w:rPr>
              <w:t>Greece</w:t>
            </w:r>
          </w:p>
        </w:tc>
        <w:tc>
          <w:tcPr>
            <w:tcW w:w="40" w:type="dxa"/>
            <w:vAlign w:val="bottom"/>
            <w:shd w:val="clear" w:color="auto" w:fill="CCEEFF"/>
          </w:tcPr>
          <w:p>
            <w:pPr>
              <w:spacing w:after="0"/>
              <w:rPr>
                <w:sz w:val="16"/>
                <w:szCs w:val="16"/>
                <w:color w:val="auto"/>
              </w:rPr>
            </w:pPr>
          </w:p>
        </w:tc>
      </w:tr>
      <w:tr>
        <w:trPr>
          <w:trHeight w:val="192"/>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Digital Realty Holdings US, LLC</w:t>
            </w:r>
          </w:p>
        </w:tc>
        <w:tc>
          <w:tcPr>
            <w:tcW w:w="218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Realty Korea Ltd.</w:t>
            </w:r>
          </w:p>
        </w:tc>
        <w:tc>
          <w:tcPr>
            <w:tcW w:w="2180" w:type="dxa"/>
            <w:vAlign w:val="bottom"/>
            <w:shd w:val="clear" w:color="auto" w:fill="CCEEFF"/>
          </w:tcPr>
          <w:p>
            <w:pPr>
              <w:jc w:val="center"/>
              <w:ind w:right="242"/>
              <w:spacing w:after="0"/>
              <w:rPr>
                <w:sz w:val="20"/>
                <w:szCs w:val="20"/>
                <w:color w:val="auto"/>
              </w:rPr>
            </w:pPr>
            <w:r>
              <w:rPr>
                <w:rFonts w:ascii="Times New Roman" w:cs="Times New Roman" w:eastAsia="Times New Roman" w:hAnsi="Times New Roman"/>
                <w:sz w:val="16"/>
                <w:szCs w:val="16"/>
                <w:color w:val="auto"/>
                <w:w w:val="97"/>
              </w:rPr>
              <w:t>Korea, South</w:t>
            </w:r>
          </w:p>
        </w:tc>
        <w:tc>
          <w:tcPr>
            <w:tcW w:w="40" w:type="dxa"/>
            <w:vAlign w:val="bottom"/>
            <w:shd w:val="clear" w:color="auto" w:fill="CCEEFF"/>
          </w:tcPr>
          <w:p>
            <w:pPr>
              <w:spacing w:after="0"/>
              <w:rPr>
                <w:sz w:val="16"/>
                <w:szCs w:val="16"/>
                <w:color w:val="auto"/>
              </w:rPr>
            </w:pPr>
          </w:p>
        </w:tc>
      </w:tr>
      <w:tr>
        <w:trPr>
          <w:trHeight w:val="192"/>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Digital Realty Management France SARL</w:t>
            </w:r>
          </w:p>
        </w:tc>
        <w:tc>
          <w:tcPr>
            <w:tcW w:w="218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6"/>
              </w:rPr>
              <w:t>France</w:t>
            </w:r>
          </w:p>
        </w:tc>
        <w:tc>
          <w:tcPr>
            <w:tcW w:w="40" w:type="dxa"/>
            <w:vAlign w:val="bottom"/>
          </w:tcPr>
          <w:p>
            <w:pPr>
              <w:spacing w:after="0"/>
              <w:rPr>
                <w:sz w:val="16"/>
                <w:szCs w:val="16"/>
                <w:color w:val="auto"/>
              </w:rPr>
            </w:pPr>
          </w:p>
        </w:tc>
      </w:tr>
      <w:tr>
        <w:trPr>
          <w:trHeight w:val="19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Realty Management Services, LLC</w:t>
            </w:r>
          </w:p>
        </w:tc>
        <w:tc>
          <w:tcPr>
            <w:tcW w:w="2180" w:type="dxa"/>
            <w:vAlign w:val="bottom"/>
            <w:shd w:val="clear" w:color="auto" w:fill="CCEEFF"/>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Digital Realty Mauritius Holdings Limited</w:t>
            </w:r>
          </w:p>
        </w:tc>
        <w:tc>
          <w:tcPr>
            <w:tcW w:w="218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9"/>
              </w:rPr>
              <w:t>Mauritius</w:t>
            </w:r>
          </w:p>
        </w:tc>
        <w:tc>
          <w:tcPr>
            <w:tcW w:w="40" w:type="dxa"/>
            <w:vAlign w:val="bottom"/>
          </w:tcPr>
          <w:p>
            <w:pPr>
              <w:spacing w:after="0"/>
              <w:rPr>
                <w:sz w:val="16"/>
                <w:szCs w:val="16"/>
                <w:color w:val="auto"/>
              </w:rPr>
            </w:pPr>
          </w:p>
        </w:tc>
      </w:tr>
      <w:tr>
        <w:trPr>
          <w:trHeight w:val="19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Realty Netherlands B.V.</w:t>
            </w:r>
          </w:p>
        </w:tc>
        <w:tc>
          <w:tcPr>
            <w:tcW w:w="2180" w:type="dxa"/>
            <w:vAlign w:val="bottom"/>
            <w:shd w:val="clear" w:color="auto" w:fill="CCEEFF"/>
          </w:tcPr>
          <w:p>
            <w:pPr>
              <w:jc w:val="center"/>
              <w:ind w:right="24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Digital Realty Property Manager, LLC</w:t>
            </w:r>
          </w:p>
        </w:tc>
        <w:tc>
          <w:tcPr>
            <w:tcW w:w="218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Realty Spain RE S.L.U.</w:t>
            </w:r>
          </w:p>
        </w:tc>
        <w:tc>
          <w:tcPr>
            <w:tcW w:w="2180" w:type="dxa"/>
            <w:vAlign w:val="bottom"/>
            <w:shd w:val="clear" w:color="auto" w:fill="CCEEFF"/>
          </w:tcPr>
          <w:p>
            <w:pPr>
              <w:jc w:val="center"/>
              <w:ind w:right="242"/>
              <w:spacing w:after="0"/>
              <w:rPr>
                <w:sz w:val="20"/>
                <w:szCs w:val="20"/>
                <w:color w:val="auto"/>
              </w:rPr>
            </w:pPr>
            <w:r>
              <w:rPr>
                <w:rFonts w:ascii="Times New Roman" w:cs="Times New Roman" w:eastAsia="Times New Roman" w:hAnsi="Times New Roman"/>
                <w:sz w:val="16"/>
                <w:szCs w:val="16"/>
                <w:color w:val="auto"/>
                <w:w w:val="93"/>
              </w:rPr>
              <w:t>Spain</w:t>
            </w:r>
          </w:p>
        </w:tc>
        <w:tc>
          <w:tcPr>
            <w:tcW w:w="40" w:type="dxa"/>
            <w:vAlign w:val="bottom"/>
            <w:shd w:val="clear" w:color="auto" w:fill="CCEEFF"/>
          </w:tcPr>
          <w:p>
            <w:pPr>
              <w:spacing w:after="0"/>
              <w:rPr>
                <w:sz w:val="16"/>
                <w:szCs w:val="16"/>
                <w:color w:val="auto"/>
              </w:rPr>
            </w:pPr>
          </w:p>
        </w:tc>
      </w:tr>
      <w:tr>
        <w:trPr>
          <w:trHeight w:val="192"/>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Digital Realty Sweden AB</w:t>
            </w:r>
          </w:p>
        </w:tc>
        <w:tc>
          <w:tcPr>
            <w:tcW w:w="218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8"/>
              </w:rPr>
              <w:t>Sweden</w:t>
            </w:r>
          </w:p>
        </w:tc>
        <w:tc>
          <w:tcPr>
            <w:tcW w:w="40" w:type="dxa"/>
            <w:vAlign w:val="bottom"/>
          </w:tcPr>
          <w:p>
            <w:pPr>
              <w:spacing w:after="0"/>
              <w:rPr>
                <w:sz w:val="16"/>
                <w:szCs w:val="16"/>
                <w:color w:val="auto"/>
              </w:rPr>
            </w:pPr>
          </w:p>
        </w:tc>
      </w:tr>
      <w:tr>
        <w:trPr>
          <w:trHeight w:val="19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Realty Switzerland GmbH</w:t>
            </w:r>
          </w:p>
        </w:tc>
        <w:tc>
          <w:tcPr>
            <w:tcW w:w="2180" w:type="dxa"/>
            <w:vAlign w:val="bottom"/>
            <w:shd w:val="clear" w:color="auto" w:fill="CCEEFF"/>
          </w:tcPr>
          <w:p>
            <w:pPr>
              <w:jc w:val="center"/>
              <w:ind w:right="242"/>
              <w:spacing w:after="0"/>
              <w:rPr>
                <w:sz w:val="20"/>
                <w:szCs w:val="20"/>
                <w:color w:val="auto"/>
              </w:rPr>
            </w:pPr>
            <w:r>
              <w:rPr>
                <w:rFonts w:ascii="Times New Roman" w:cs="Times New Roman" w:eastAsia="Times New Roman" w:hAnsi="Times New Roman"/>
                <w:sz w:val="16"/>
                <w:szCs w:val="16"/>
                <w:color w:val="auto"/>
                <w:w w:val="96"/>
              </w:rPr>
              <w:t>Switzerland</w:t>
            </w:r>
          </w:p>
        </w:tc>
        <w:tc>
          <w:tcPr>
            <w:tcW w:w="40" w:type="dxa"/>
            <w:vAlign w:val="bottom"/>
            <w:shd w:val="clear" w:color="auto" w:fill="CCEEFF"/>
          </w:tcPr>
          <w:p>
            <w:pPr>
              <w:spacing w:after="0"/>
              <w:rPr>
                <w:sz w:val="16"/>
                <w:szCs w:val="16"/>
                <w:color w:val="auto"/>
              </w:rPr>
            </w:pPr>
          </w:p>
        </w:tc>
      </w:tr>
      <w:tr>
        <w:trPr>
          <w:trHeight w:val="192"/>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Digital Realty Trust, L.P.</w:t>
            </w:r>
          </w:p>
        </w:tc>
        <w:tc>
          <w:tcPr>
            <w:tcW w:w="218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9"/>
              </w:rPr>
              <w:t>Maryland</w:t>
            </w:r>
          </w:p>
        </w:tc>
        <w:tc>
          <w:tcPr>
            <w:tcW w:w="40" w:type="dxa"/>
            <w:vAlign w:val="bottom"/>
          </w:tcPr>
          <w:p>
            <w:pPr>
              <w:spacing w:after="0"/>
              <w:rPr>
                <w:sz w:val="16"/>
                <w:szCs w:val="16"/>
                <w:color w:val="auto"/>
              </w:rPr>
            </w:pPr>
          </w:p>
        </w:tc>
      </w:tr>
      <w:tr>
        <w:trPr>
          <w:trHeight w:val="19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Realty Trust, LLC</w:t>
            </w:r>
          </w:p>
        </w:tc>
        <w:tc>
          <w:tcPr>
            <w:tcW w:w="2180" w:type="dxa"/>
            <w:vAlign w:val="bottom"/>
            <w:shd w:val="clear" w:color="auto" w:fill="CCEEFF"/>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Digital Realty Vienna 2 GmbH</w:t>
            </w:r>
          </w:p>
        </w:tc>
        <w:tc>
          <w:tcPr>
            <w:tcW w:w="218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7"/>
              </w:rPr>
              <w:t>Austria</w:t>
            </w:r>
          </w:p>
        </w:tc>
        <w:tc>
          <w:tcPr>
            <w:tcW w:w="40" w:type="dxa"/>
            <w:vAlign w:val="bottom"/>
          </w:tcPr>
          <w:p>
            <w:pPr>
              <w:spacing w:after="0"/>
              <w:rPr>
                <w:sz w:val="16"/>
                <w:szCs w:val="16"/>
                <w:color w:val="auto"/>
              </w:rPr>
            </w:pPr>
          </w:p>
        </w:tc>
      </w:tr>
      <w:tr>
        <w:trPr>
          <w:trHeight w:val="19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Relocation Drive, LLC</w:t>
            </w:r>
          </w:p>
        </w:tc>
        <w:tc>
          <w:tcPr>
            <w:tcW w:w="2180" w:type="dxa"/>
            <w:vAlign w:val="bottom"/>
            <w:shd w:val="clear" w:color="auto" w:fill="CCEEFF"/>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Digital Ringo Investor, LLC</w:t>
            </w:r>
          </w:p>
        </w:tc>
        <w:tc>
          <w:tcPr>
            <w:tcW w:w="218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Ringo Manager, LLC</w:t>
            </w:r>
          </w:p>
        </w:tc>
        <w:tc>
          <w:tcPr>
            <w:tcW w:w="2180" w:type="dxa"/>
            <w:vAlign w:val="bottom"/>
            <w:shd w:val="clear" w:color="auto" w:fill="CCEEFF"/>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Digital San Jacinto, L.P.</w:t>
            </w:r>
          </w:p>
        </w:tc>
        <w:tc>
          <w:tcPr>
            <w:tcW w:w="218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Savvis HK Holding 1 Limited</w:t>
            </w:r>
          </w:p>
        </w:tc>
        <w:tc>
          <w:tcPr>
            <w:tcW w:w="2180" w:type="dxa"/>
            <w:vAlign w:val="bottom"/>
            <w:shd w:val="clear" w:color="auto" w:fill="CCEEFF"/>
          </w:tcPr>
          <w:p>
            <w:pPr>
              <w:jc w:val="center"/>
              <w:ind w:right="222"/>
              <w:spacing w:after="0"/>
              <w:rPr>
                <w:sz w:val="20"/>
                <w:szCs w:val="20"/>
                <w:color w:val="auto"/>
              </w:rPr>
            </w:pPr>
            <w:r>
              <w:rPr>
                <w:rFonts w:ascii="Times New Roman" w:cs="Times New Roman" w:eastAsia="Times New Roman" w:hAnsi="Times New Roman"/>
                <w:sz w:val="16"/>
                <w:szCs w:val="16"/>
                <w:color w:val="auto"/>
                <w:w w:val="98"/>
              </w:rPr>
              <w:t>British Virgin Islands</w:t>
            </w:r>
          </w:p>
        </w:tc>
        <w:tc>
          <w:tcPr>
            <w:tcW w:w="40" w:type="dxa"/>
            <w:vAlign w:val="bottom"/>
            <w:shd w:val="clear" w:color="auto" w:fill="CCEEFF"/>
          </w:tcPr>
          <w:p>
            <w:pPr>
              <w:spacing w:after="0"/>
              <w:rPr>
                <w:sz w:val="16"/>
                <w:szCs w:val="16"/>
                <w:color w:val="auto"/>
              </w:rPr>
            </w:pPr>
          </w:p>
        </w:tc>
      </w:tr>
      <w:tr>
        <w:trPr>
          <w:trHeight w:val="192"/>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Digital Savvis HK JV Limited</w:t>
            </w:r>
          </w:p>
        </w:tc>
        <w:tc>
          <w:tcPr>
            <w:tcW w:w="218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8"/>
              </w:rPr>
              <w:t>British Virgin Islands</w:t>
            </w:r>
          </w:p>
        </w:tc>
        <w:tc>
          <w:tcPr>
            <w:tcW w:w="40" w:type="dxa"/>
            <w:vAlign w:val="bottom"/>
          </w:tcPr>
          <w:p>
            <w:pPr>
              <w:spacing w:after="0"/>
              <w:rPr>
                <w:sz w:val="16"/>
                <w:szCs w:val="16"/>
                <w:color w:val="auto"/>
              </w:rPr>
            </w:pPr>
          </w:p>
        </w:tc>
      </w:tr>
      <w:tr>
        <w:trPr>
          <w:trHeight w:val="19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Savvis Investment Management HK Limited</w:t>
            </w:r>
          </w:p>
        </w:tc>
        <w:tc>
          <w:tcPr>
            <w:tcW w:w="2180" w:type="dxa"/>
            <w:vAlign w:val="bottom"/>
            <w:shd w:val="clear" w:color="auto" w:fill="CCEEFF"/>
          </w:tcPr>
          <w:p>
            <w:pPr>
              <w:jc w:val="center"/>
              <w:ind w:right="242"/>
              <w:spacing w:after="0"/>
              <w:rPr>
                <w:sz w:val="20"/>
                <w:szCs w:val="20"/>
                <w:color w:val="auto"/>
              </w:rPr>
            </w:pPr>
            <w:r>
              <w:rPr>
                <w:rFonts w:ascii="Times New Roman" w:cs="Times New Roman" w:eastAsia="Times New Roman" w:hAnsi="Times New Roman"/>
                <w:sz w:val="16"/>
                <w:szCs w:val="16"/>
                <w:color w:val="auto"/>
                <w:w w:val="98"/>
              </w:rPr>
              <w:t>Hong Kong</w:t>
            </w:r>
          </w:p>
        </w:tc>
        <w:tc>
          <w:tcPr>
            <w:tcW w:w="40" w:type="dxa"/>
            <w:vAlign w:val="bottom"/>
            <w:shd w:val="clear" w:color="auto" w:fill="CCEEFF"/>
          </w:tcPr>
          <w:p>
            <w:pPr>
              <w:spacing w:after="0"/>
              <w:rPr>
                <w:sz w:val="16"/>
                <w:szCs w:val="16"/>
                <w:color w:val="auto"/>
              </w:rPr>
            </w:pPr>
          </w:p>
        </w:tc>
      </w:tr>
      <w:tr>
        <w:trPr>
          <w:trHeight w:val="192"/>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Digital Savvis Management Subsidiary Limited</w:t>
            </w:r>
          </w:p>
        </w:tc>
        <w:tc>
          <w:tcPr>
            <w:tcW w:w="218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8"/>
              </w:rPr>
              <w:t>Hong Kong</w:t>
            </w:r>
          </w:p>
        </w:tc>
        <w:tc>
          <w:tcPr>
            <w:tcW w:w="40" w:type="dxa"/>
            <w:vAlign w:val="bottom"/>
          </w:tcPr>
          <w:p>
            <w:pPr>
              <w:spacing w:after="0"/>
              <w:rPr>
                <w:sz w:val="16"/>
                <w:szCs w:val="16"/>
                <w:color w:val="auto"/>
              </w:rPr>
            </w:pPr>
          </w:p>
        </w:tc>
      </w:tr>
      <w:tr>
        <w:trPr>
          <w:trHeight w:val="19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Schweiz Real Estate 4 GmbH</w:t>
            </w:r>
          </w:p>
        </w:tc>
        <w:tc>
          <w:tcPr>
            <w:tcW w:w="2180" w:type="dxa"/>
            <w:vAlign w:val="bottom"/>
            <w:shd w:val="clear" w:color="auto" w:fill="CCEEFF"/>
          </w:tcPr>
          <w:p>
            <w:pPr>
              <w:jc w:val="center"/>
              <w:ind w:right="242"/>
              <w:spacing w:after="0"/>
              <w:rPr>
                <w:sz w:val="20"/>
                <w:szCs w:val="20"/>
                <w:color w:val="auto"/>
              </w:rPr>
            </w:pPr>
            <w:r>
              <w:rPr>
                <w:rFonts w:ascii="Times New Roman" w:cs="Times New Roman" w:eastAsia="Times New Roman" w:hAnsi="Times New Roman"/>
                <w:sz w:val="16"/>
                <w:szCs w:val="16"/>
                <w:color w:val="auto"/>
                <w:w w:val="96"/>
              </w:rPr>
              <w:t>Switzerland</w:t>
            </w:r>
          </w:p>
        </w:tc>
        <w:tc>
          <w:tcPr>
            <w:tcW w:w="40" w:type="dxa"/>
            <w:vAlign w:val="bottom"/>
            <w:shd w:val="clear" w:color="auto" w:fill="CCEEFF"/>
          </w:tcPr>
          <w:p>
            <w:pPr>
              <w:spacing w:after="0"/>
              <w:rPr>
                <w:sz w:val="16"/>
                <w:szCs w:val="16"/>
                <w:color w:val="auto"/>
              </w:rPr>
            </w:pPr>
          </w:p>
        </w:tc>
      </w:tr>
      <w:tr>
        <w:trPr>
          <w:trHeight w:val="192"/>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Digital Second Manassas 2, LLC</w:t>
            </w:r>
          </w:p>
        </w:tc>
        <w:tc>
          <w:tcPr>
            <w:tcW w:w="218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Second Manassas, LLC</w:t>
            </w:r>
          </w:p>
        </w:tc>
        <w:tc>
          <w:tcPr>
            <w:tcW w:w="2180" w:type="dxa"/>
            <w:vAlign w:val="bottom"/>
            <w:shd w:val="clear" w:color="auto" w:fill="CCEEFF"/>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Digital Seoul 2 Ltd.</w:t>
            </w:r>
          </w:p>
        </w:tc>
        <w:tc>
          <w:tcPr>
            <w:tcW w:w="218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7"/>
              </w:rPr>
              <w:t>Korea, South</w:t>
            </w:r>
          </w:p>
        </w:tc>
        <w:tc>
          <w:tcPr>
            <w:tcW w:w="40" w:type="dxa"/>
            <w:vAlign w:val="bottom"/>
          </w:tcPr>
          <w:p>
            <w:pPr>
              <w:spacing w:after="0"/>
              <w:rPr>
                <w:sz w:val="16"/>
                <w:szCs w:val="16"/>
                <w:color w:val="auto"/>
              </w:rPr>
            </w:pPr>
          </w:p>
        </w:tc>
      </w:tr>
      <w:tr>
        <w:trPr>
          <w:trHeight w:val="19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Seoul No. 1 PIA Professional Investors Private Real Estate Investment LLC</w:t>
            </w:r>
          </w:p>
        </w:tc>
        <w:tc>
          <w:tcPr>
            <w:tcW w:w="2180" w:type="dxa"/>
            <w:vAlign w:val="bottom"/>
            <w:shd w:val="clear" w:color="auto" w:fill="CCEEFF"/>
          </w:tcPr>
          <w:p>
            <w:pPr>
              <w:jc w:val="center"/>
              <w:ind w:right="242"/>
              <w:spacing w:after="0"/>
              <w:rPr>
                <w:sz w:val="20"/>
                <w:szCs w:val="20"/>
                <w:color w:val="auto"/>
              </w:rPr>
            </w:pPr>
            <w:r>
              <w:rPr>
                <w:rFonts w:ascii="Times New Roman" w:cs="Times New Roman" w:eastAsia="Times New Roman" w:hAnsi="Times New Roman"/>
                <w:sz w:val="16"/>
                <w:szCs w:val="16"/>
                <w:color w:val="auto"/>
                <w:w w:val="97"/>
              </w:rPr>
              <w:t>Korea, South</w:t>
            </w:r>
          </w:p>
        </w:tc>
        <w:tc>
          <w:tcPr>
            <w:tcW w:w="40" w:type="dxa"/>
            <w:vAlign w:val="bottom"/>
            <w:shd w:val="clear" w:color="auto" w:fill="CCEEFF"/>
          </w:tcPr>
          <w:p>
            <w:pPr>
              <w:spacing w:after="0"/>
              <w:rPr>
                <w:sz w:val="16"/>
                <w:szCs w:val="16"/>
                <w:color w:val="auto"/>
              </w:rPr>
            </w:pPr>
          </w:p>
        </w:tc>
      </w:tr>
      <w:tr>
        <w:trPr>
          <w:trHeight w:val="192"/>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Digital ServiceFabric 2, LLC</w:t>
            </w:r>
          </w:p>
        </w:tc>
        <w:tc>
          <w:tcPr>
            <w:tcW w:w="218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ServiceFabric, LLC</w:t>
            </w:r>
          </w:p>
        </w:tc>
        <w:tc>
          <w:tcPr>
            <w:tcW w:w="2180" w:type="dxa"/>
            <w:vAlign w:val="bottom"/>
            <w:shd w:val="clear" w:color="auto" w:fill="CCEEFF"/>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Digital Services Hong Kong Limited</w:t>
            </w:r>
          </w:p>
        </w:tc>
        <w:tc>
          <w:tcPr>
            <w:tcW w:w="218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8"/>
              </w:rPr>
              <w:t>Hong Kong</w:t>
            </w:r>
          </w:p>
        </w:tc>
        <w:tc>
          <w:tcPr>
            <w:tcW w:w="40" w:type="dxa"/>
            <w:vAlign w:val="bottom"/>
          </w:tcPr>
          <w:p>
            <w:pPr>
              <w:spacing w:after="0"/>
              <w:rPr>
                <w:sz w:val="16"/>
                <w:szCs w:val="16"/>
                <w:color w:val="auto"/>
              </w:rPr>
            </w:pPr>
          </w:p>
        </w:tc>
      </w:tr>
      <w:tr>
        <w:trPr>
          <w:trHeight w:val="19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Services Korea Ltd.</w:t>
            </w:r>
          </w:p>
        </w:tc>
        <w:tc>
          <w:tcPr>
            <w:tcW w:w="2180" w:type="dxa"/>
            <w:vAlign w:val="bottom"/>
            <w:shd w:val="clear" w:color="auto" w:fill="CCEEFF"/>
          </w:tcPr>
          <w:p>
            <w:pPr>
              <w:jc w:val="center"/>
              <w:ind w:right="242"/>
              <w:spacing w:after="0"/>
              <w:rPr>
                <w:sz w:val="20"/>
                <w:szCs w:val="20"/>
                <w:color w:val="auto"/>
              </w:rPr>
            </w:pPr>
            <w:r>
              <w:rPr>
                <w:rFonts w:ascii="Times New Roman" w:cs="Times New Roman" w:eastAsia="Times New Roman" w:hAnsi="Times New Roman"/>
                <w:sz w:val="16"/>
                <w:szCs w:val="16"/>
                <w:color w:val="auto"/>
                <w:w w:val="97"/>
              </w:rPr>
              <w:t>Korea, South</w:t>
            </w:r>
          </w:p>
        </w:tc>
        <w:tc>
          <w:tcPr>
            <w:tcW w:w="40" w:type="dxa"/>
            <w:vAlign w:val="bottom"/>
            <w:shd w:val="clear" w:color="auto" w:fill="CCEEFF"/>
          </w:tcPr>
          <w:p>
            <w:pPr>
              <w:spacing w:after="0"/>
              <w:rPr>
                <w:sz w:val="16"/>
                <w:szCs w:val="16"/>
                <w:color w:val="auto"/>
              </w:rPr>
            </w:pPr>
          </w:p>
        </w:tc>
      </w:tr>
      <w:tr>
        <w:trPr>
          <w:trHeight w:val="192"/>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Digital Services Phoenix, LLC</w:t>
            </w:r>
          </w:p>
        </w:tc>
        <w:tc>
          <w:tcPr>
            <w:tcW w:w="218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Services, Inc.</w:t>
            </w:r>
          </w:p>
        </w:tc>
        <w:tc>
          <w:tcPr>
            <w:tcW w:w="2180" w:type="dxa"/>
            <w:vAlign w:val="bottom"/>
            <w:shd w:val="clear" w:color="auto" w:fill="CCEEFF"/>
          </w:tcPr>
          <w:p>
            <w:pPr>
              <w:jc w:val="center"/>
              <w:ind w:right="242"/>
              <w:spacing w:after="0"/>
              <w:rPr>
                <w:sz w:val="20"/>
                <w:szCs w:val="20"/>
                <w:color w:val="auto"/>
              </w:rPr>
            </w:pPr>
            <w:r>
              <w:rPr>
                <w:rFonts w:ascii="Times New Roman" w:cs="Times New Roman" w:eastAsia="Times New Roman" w:hAnsi="Times New Roman"/>
                <w:sz w:val="16"/>
                <w:szCs w:val="16"/>
                <w:color w:val="auto"/>
                <w:w w:val="99"/>
              </w:rPr>
              <w:t>Maryland</w:t>
            </w:r>
          </w:p>
        </w:tc>
        <w:tc>
          <w:tcPr>
            <w:tcW w:w="40" w:type="dxa"/>
            <w:vAlign w:val="bottom"/>
            <w:shd w:val="clear" w:color="auto" w:fill="CCEEFF"/>
          </w:tcPr>
          <w:p>
            <w:pPr>
              <w:spacing w:after="0"/>
              <w:rPr>
                <w:sz w:val="16"/>
                <w:szCs w:val="16"/>
                <w:color w:val="auto"/>
              </w:rPr>
            </w:pPr>
          </w:p>
        </w:tc>
      </w:tr>
      <w:tr>
        <w:trPr>
          <w:trHeight w:val="192"/>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Digital Sierra Insurance Limited</w:t>
            </w:r>
          </w:p>
        </w:tc>
        <w:tc>
          <w:tcPr>
            <w:tcW w:w="218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9"/>
              </w:rPr>
              <w:t>Texas</w:t>
            </w:r>
          </w:p>
        </w:tc>
        <w:tc>
          <w:tcPr>
            <w:tcW w:w="40" w:type="dxa"/>
            <w:vAlign w:val="bottom"/>
          </w:tcPr>
          <w:p>
            <w:pPr>
              <w:spacing w:after="0"/>
              <w:rPr>
                <w:sz w:val="16"/>
                <w:szCs w:val="16"/>
                <w:color w:val="auto"/>
              </w:rPr>
            </w:pPr>
          </w:p>
        </w:tc>
      </w:tr>
      <w:tr>
        <w:trPr>
          <w:trHeight w:val="19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Singapore 1 Pte. Ltd.</w:t>
            </w:r>
          </w:p>
        </w:tc>
        <w:tc>
          <w:tcPr>
            <w:tcW w:w="2180" w:type="dxa"/>
            <w:vAlign w:val="bottom"/>
            <w:shd w:val="clear" w:color="auto" w:fill="CCEEFF"/>
          </w:tcPr>
          <w:p>
            <w:pPr>
              <w:jc w:val="center"/>
              <w:ind w:right="242"/>
              <w:spacing w:after="0"/>
              <w:rPr>
                <w:sz w:val="20"/>
                <w:szCs w:val="20"/>
                <w:color w:val="auto"/>
              </w:rPr>
            </w:pPr>
            <w:r>
              <w:rPr>
                <w:rFonts w:ascii="Times New Roman" w:cs="Times New Roman" w:eastAsia="Times New Roman" w:hAnsi="Times New Roman"/>
                <w:sz w:val="16"/>
                <w:szCs w:val="16"/>
                <w:color w:val="auto"/>
                <w:w w:val="95"/>
              </w:rPr>
              <w:t>Singapore</w:t>
            </w:r>
          </w:p>
        </w:tc>
        <w:tc>
          <w:tcPr>
            <w:tcW w:w="40" w:type="dxa"/>
            <w:vAlign w:val="bottom"/>
            <w:shd w:val="clear" w:color="auto" w:fill="CCEEFF"/>
          </w:tcPr>
          <w:p>
            <w:pPr>
              <w:spacing w:after="0"/>
              <w:rPr>
                <w:sz w:val="16"/>
                <w:szCs w:val="16"/>
                <w:color w:val="auto"/>
              </w:rPr>
            </w:pPr>
          </w:p>
        </w:tc>
      </w:tr>
      <w:tr>
        <w:trPr>
          <w:trHeight w:val="192"/>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Digital Singapore 2 Pte. Ltd.</w:t>
            </w:r>
          </w:p>
        </w:tc>
        <w:tc>
          <w:tcPr>
            <w:tcW w:w="218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5"/>
              </w:rPr>
              <w:t>Singapore</w:t>
            </w:r>
          </w:p>
        </w:tc>
        <w:tc>
          <w:tcPr>
            <w:tcW w:w="40" w:type="dxa"/>
            <w:vAlign w:val="bottom"/>
          </w:tcPr>
          <w:p>
            <w:pPr>
              <w:spacing w:after="0"/>
              <w:rPr>
                <w:sz w:val="16"/>
                <w:szCs w:val="16"/>
                <w:color w:val="auto"/>
              </w:rPr>
            </w:pPr>
          </w:p>
        </w:tc>
      </w:tr>
      <w:tr>
        <w:trPr>
          <w:trHeight w:val="19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Singapore Jurong East Pte. Ltd.</w:t>
            </w:r>
          </w:p>
        </w:tc>
        <w:tc>
          <w:tcPr>
            <w:tcW w:w="2180" w:type="dxa"/>
            <w:vAlign w:val="bottom"/>
            <w:shd w:val="clear" w:color="auto" w:fill="CCEEFF"/>
          </w:tcPr>
          <w:p>
            <w:pPr>
              <w:jc w:val="center"/>
              <w:ind w:right="242"/>
              <w:spacing w:after="0"/>
              <w:rPr>
                <w:sz w:val="20"/>
                <w:szCs w:val="20"/>
                <w:color w:val="auto"/>
              </w:rPr>
            </w:pPr>
            <w:r>
              <w:rPr>
                <w:rFonts w:ascii="Times New Roman" w:cs="Times New Roman" w:eastAsia="Times New Roman" w:hAnsi="Times New Roman"/>
                <w:sz w:val="16"/>
                <w:szCs w:val="16"/>
                <w:color w:val="auto"/>
                <w:w w:val="95"/>
              </w:rPr>
              <w:t>Singapore</w:t>
            </w:r>
          </w:p>
        </w:tc>
        <w:tc>
          <w:tcPr>
            <w:tcW w:w="40" w:type="dxa"/>
            <w:vAlign w:val="bottom"/>
            <w:shd w:val="clear" w:color="auto" w:fill="CCEEFF"/>
          </w:tcPr>
          <w:p>
            <w:pPr>
              <w:spacing w:after="0"/>
              <w:rPr>
                <w:sz w:val="16"/>
                <w:szCs w:val="16"/>
                <w:color w:val="auto"/>
              </w:rPr>
            </w:pPr>
          </w:p>
        </w:tc>
      </w:tr>
      <w:tr>
        <w:trPr>
          <w:trHeight w:val="192"/>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Digital Sixth &amp; Virginia, LLC</w:t>
            </w:r>
          </w:p>
        </w:tc>
        <w:tc>
          <w:tcPr>
            <w:tcW w:w="218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Sixth 2, LLC</w:t>
            </w:r>
          </w:p>
        </w:tc>
        <w:tc>
          <w:tcPr>
            <w:tcW w:w="2180" w:type="dxa"/>
            <w:vAlign w:val="bottom"/>
            <w:shd w:val="clear" w:color="auto" w:fill="CCEEFF"/>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Digital Sling Investor, LLC</w:t>
            </w:r>
          </w:p>
        </w:tc>
        <w:tc>
          <w:tcPr>
            <w:tcW w:w="218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Space Park JV, LLC</w:t>
            </w:r>
          </w:p>
        </w:tc>
        <w:tc>
          <w:tcPr>
            <w:tcW w:w="2180" w:type="dxa"/>
            <w:vAlign w:val="bottom"/>
            <w:shd w:val="clear" w:color="auto" w:fill="CCEEFF"/>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Digital Space Park, LLC</w:t>
            </w:r>
          </w:p>
        </w:tc>
        <w:tc>
          <w:tcPr>
            <w:tcW w:w="218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Speedway, LLC</w:t>
            </w:r>
          </w:p>
        </w:tc>
        <w:tc>
          <w:tcPr>
            <w:tcW w:w="2180" w:type="dxa"/>
            <w:vAlign w:val="bottom"/>
            <w:shd w:val="clear" w:color="auto" w:fill="CCEEFF"/>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Digital Stellar Holding, LLC</w:t>
            </w:r>
          </w:p>
        </w:tc>
        <w:tc>
          <w:tcPr>
            <w:tcW w:w="218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9"/>
              </w:rPr>
              <w:t>Maryland</w:t>
            </w:r>
          </w:p>
        </w:tc>
        <w:tc>
          <w:tcPr>
            <w:tcW w:w="40" w:type="dxa"/>
            <w:vAlign w:val="bottom"/>
          </w:tcPr>
          <w:p>
            <w:pPr>
              <w:spacing w:after="0"/>
              <w:rPr>
                <w:sz w:val="16"/>
                <w:szCs w:val="16"/>
                <w:color w:val="auto"/>
              </w:rPr>
            </w:pPr>
          </w:p>
        </w:tc>
      </w:tr>
      <w:tr>
        <w:trPr>
          <w:trHeight w:val="19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Stellar Newco, LLC</w:t>
            </w:r>
          </w:p>
        </w:tc>
        <w:tc>
          <w:tcPr>
            <w:tcW w:w="2180" w:type="dxa"/>
            <w:vAlign w:val="bottom"/>
            <w:shd w:val="clear" w:color="auto" w:fill="CCEEFF"/>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Digital Stellar Sub, LLC</w:t>
            </w:r>
          </w:p>
        </w:tc>
        <w:tc>
          <w:tcPr>
            <w:tcW w:w="218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9"/>
              </w:rPr>
              <w:t>Maryland</w:t>
            </w:r>
          </w:p>
        </w:tc>
        <w:tc>
          <w:tcPr>
            <w:tcW w:w="40" w:type="dxa"/>
            <w:vAlign w:val="bottom"/>
          </w:tcPr>
          <w:p>
            <w:pPr>
              <w:spacing w:after="0"/>
              <w:rPr>
                <w:sz w:val="16"/>
                <w:szCs w:val="16"/>
                <w:color w:val="auto"/>
              </w:rPr>
            </w:pPr>
          </w:p>
        </w:tc>
      </w:tr>
      <w:tr>
        <w:trPr>
          <w:trHeight w:val="19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Sterling 2 Holding, L.P.</w:t>
            </w:r>
          </w:p>
        </w:tc>
        <w:tc>
          <w:tcPr>
            <w:tcW w:w="2180" w:type="dxa"/>
            <w:vAlign w:val="bottom"/>
            <w:shd w:val="clear" w:color="auto" w:fill="CCEEFF"/>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484"/>
        </w:trPr>
        <w:tc>
          <w:tcPr>
            <w:tcW w:w="58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40" w:orient="portrait"/>
          <w:cols w:equalWidth="0" w:num="1">
            <w:col w:w="9020"/>
          </w:cols>
          <w:pgMar w:left="1440" w:top="555" w:right="1440" w:bottom="1440" w:gutter="0" w:footer="0" w:header="0"/>
        </w:sectPr>
      </w:pPr>
    </w:p>
    <w:bookmarkStart w:id="531" w:name="page532"/>
    <w:bookmarkEnd w:id="531"/>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Exhibit 21.1</w:t>
      </w:r>
    </w:p>
    <w:p>
      <w:pPr>
        <w:spacing w:after="0" w:line="16" w:lineRule="exact"/>
        <w:rPr>
          <w:sz w:val="20"/>
          <w:szCs w:val="20"/>
          <w:color w:val="auto"/>
        </w:rPr>
      </w:pPr>
    </w:p>
    <w:tbl>
      <w:tblPr>
        <w:tblLayout w:type="fixed"/>
        <w:tblInd w:w="460" w:type="dxa"/>
        <w:tblCellMar>
          <w:top w:w="0" w:type="dxa"/>
          <w:left w:w="0" w:type="dxa"/>
          <w:bottom w:w="0" w:type="dxa"/>
          <w:right w:w="0" w:type="dxa"/>
        </w:tblCellMar>
      </w:tblPr>
      <w:tr>
        <w:trPr>
          <w:trHeight w:val="205"/>
        </w:trPr>
        <w:tc>
          <w:tcPr>
            <w:tcW w:w="2400" w:type="dxa"/>
            <w:vAlign w:val="bottom"/>
          </w:tcPr>
          <w:p>
            <w:pPr>
              <w:spacing w:after="0"/>
              <w:rPr>
                <w:sz w:val="17"/>
                <w:szCs w:val="17"/>
                <w:color w:val="auto"/>
              </w:rPr>
            </w:pPr>
          </w:p>
        </w:tc>
        <w:tc>
          <w:tcPr>
            <w:tcW w:w="56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List of Subsidiaries of Digital Realty Trust, Inc.</w:t>
            </w:r>
          </w:p>
        </w:tc>
        <w:tc>
          <w:tcPr>
            <w:tcW w:w="40" w:type="dxa"/>
            <w:vAlign w:val="bottom"/>
          </w:tcPr>
          <w:p>
            <w:pPr>
              <w:spacing w:after="0"/>
              <w:rPr>
                <w:sz w:val="17"/>
                <w:szCs w:val="17"/>
                <w:color w:val="auto"/>
              </w:rPr>
            </w:pPr>
          </w:p>
        </w:tc>
      </w:tr>
      <w:tr>
        <w:trPr>
          <w:trHeight w:val="377"/>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 Sterling 2 REIT, LLC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24"/>
                <w:szCs w:val="24"/>
                <w:color w:val="auto"/>
              </w:rPr>
            </w:pPr>
          </w:p>
        </w:tc>
      </w:tr>
      <w:tr>
        <w:trPr>
          <w:trHeight w:val="193"/>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Sterling 2, LLC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 Sterling Premier, LLC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Stoughton JV, LLC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 Stout Holding, LLC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Texas GP, LLC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w w:val="99"/>
              </w:rPr>
              <w:t>Digital Third Second Manassas, LLC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Titan Holding B.V.</w:t>
            </w:r>
          </w:p>
        </w:tc>
        <w:tc>
          <w:tcPr>
            <w:tcW w:w="5660" w:type="dxa"/>
            <w:vAlign w:val="bottom"/>
            <w:shd w:val="clear" w:color="auto" w:fill="CCEEFF"/>
          </w:tcPr>
          <w:p>
            <w:pPr>
              <w:jc w:val="center"/>
              <w:ind w:left="308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 Titan Pty Ltd.</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South Africa</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Titan Services SA Pty Ltd</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South Africa</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 Tokyo 1 TMK</w:t>
            </w:r>
          </w:p>
        </w:tc>
        <w:tc>
          <w:tcPr>
            <w:tcW w:w="5660" w:type="dxa"/>
            <w:vAlign w:val="bottom"/>
          </w:tcPr>
          <w:p>
            <w:pPr>
              <w:jc w:val="center"/>
              <w:ind w:left="3082"/>
              <w:spacing w:after="0"/>
              <w:rPr>
                <w:sz w:val="20"/>
                <w:szCs w:val="20"/>
                <w:color w:val="auto"/>
              </w:rPr>
            </w:pPr>
            <w:r>
              <w:rPr>
                <w:rFonts w:ascii="Times New Roman" w:cs="Times New Roman" w:eastAsia="Times New Roman" w:hAnsi="Times New Roman"/>
                <w:sz w:val="16"/>
                <w:szCs w:val="16"/>
                <w:color w:val="auto"/>
                <w:w w:val="93"/>
              </w:rPr>
              <w:t>Japan</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Tokyo 2 TMK</w:t>
            </w:r>
          </w:p>
        </w:tc>
        <w:tc>
          <w:tcPr>
            <w:tcW w:w="5660" w:type="dxa"/>
            <w:vAlign w:val="bottom"/>
            <w:shd w:val="clear" w:color="auto" w:fill="CCEEFF"/>
          </w:tcPr>
          <w:p>
            <w:pPr>
              <w:jc w:val="center"/>
              <w:ind w:left="3082"/>
              <w:spacing w:after="0"/>
              <w:rPr>
                <w:sz w:val="20"/>
                <w:szCs w:val="20"/>
                <w:color w:val="auto"/>
              </w:rPr>
            </w:pPr>
            <w:r>
              <w:rPr>
                <w:rFonts w:ascii="Times New Roman" w:cs="Times New Roman" w:eastAsia="Times New Roman" w:hAnsi="Times New Roman"/>
                <w:sz w:val="16"/>
                <w:szCs w:val="16"/>
                <w:color w:val="auto"/>
                <w:w w:val="93"/>
              </w:rPr>
              <w:t>Japan</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 Toronto Nominee, Inc.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British Columbia</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Totowa 2 Holding, L.P.</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 Totowa 2 REIT, LLC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Totowa 2, LLC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 Totowa, LLC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Towerview, LLC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 Trade Street, LLC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Tupolevlaan B.V.</w:t>
            </w:r>
          </w:p>
        </w:tc>
        <w:tc>
          <w:tcPr>
            <w:tcW w:w="5660" w:type="dxa"/>
            <w:vAlign w:val="bottom"/>
            <w:shd w:val="clear" w:color="auto" w:fill="CCEEFF"/>
          </w:tcPr>
          <w:p>
            <w:pPr>
              <w:jc w:val="center"/>
              <w:ind w:left="308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 UK Finco, LLC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US Finco, LLC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 Venus, LLC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Vernon 2, LLC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 Vernon 3, LLC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Vernon 4, LLC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 Vernon, LLC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Walsh 1 JV, LLC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 Walsh 1, LLC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Walsh 2 JV, LLC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 Walsh 2, LLC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Walsh Holding, LLC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 WBX 2, LLC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Western Lands, LLC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 Winona JV, LLC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Winona, LLC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 WL 0419, LLC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WL 1968, LLC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 WL 2322, LLC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WL 2834, LLC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 WL 3214, LLC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WL 5459, LLC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 WL 5628, LLC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WL 9505-7891, LLC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Digital-Bryan Street, LLC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Digital-ME Devin Shafron E, LLC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DIgital-ME DSE Venture, LLC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Digital-Mivne G.P. Ltd.</w:t>
            </w:r>
          </w:p>
        </w:tc>
        <w:tc>
          <w:tcPr>
            <w:tcW w:w="5660" w:type="dxa"/>
            <w:vAlign w:val="bottom"/>
            <w:shd w:val="clear" w:color="auto" w:fill="CCEEFF"/>
          </w:tcPr>
          <w:p>
            <w:pPr>
              <w:jc w:val="center"/>
              <w:ind w:left="3082"/>
              <w:spacing w:after="0"/>
              <w:rPr>
                <w:sz w:val="20"/>
                <w:szCs w:val="20"/>
                <w:color w:val="auto"/>
              </w:rPr>
            </w:pPr>
            <w:r>
              <w:rPr>
                <w:rFonts w:ascii="Times New Roman" w:cs="Times New Roman" w:eastAsia="Times New Roman" w:hAnsi="Times New Roman"/>
                <w:sz w:val="16"/>
                <w:szCs w:val="16"/>
                <w:color w:val="auto"/>
                <w:w w:val="95"/>
              </w:rPr>
              <w:t>Israel</w:t>
            </w:r>
          </w:p>
        </w:tc>
        <w:tc>
          <w:tcPr>
            <w:tcW w:w="40" w:type="dxa"/>
            <w:vAlign w:val="bottom"/>
            <w:shd w:val="clear" w:color="auto" w:fill="CCEEFF"/>
          </w:tcPr>
          <w:p>
            <w:pPr>
              <w:spacing w:after="0"/>
              <w:rPr>
                <w:sz w:val="16"/>
                <w:szCs w:val="16"/>
                <w:color w:val="auto"/>
              </w:rPr>
            </w:pPr>
          </w:p>
        </w:tc>
      </w:tr>
      <w:tr>
        <w:trPr>
          <w:trHeight w:val="203"/>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Digital-Mivne JV, LP</w:t>
            </w:r>
          </w:p>
        </w:tc>
        <w:tc>
          <w:tcPr>
            <w:tcW w:w="5660" w:type="dxa"/>
            <w:vAlign w:val="bottom"/>
          </w:tcPr>
          <w:p>
            <w:pPr>
              <w:jc w:val="center"/>
              <w:ind w:left="3082"/>
              <w:spacing w:after="0"/>
              <w:rPr>
                <w:sz w:val="20"/>
                <w:szCs w:val="20"/>
                <w:color w:val="auto"/>
              </w:rPr>
            </w:pPr>
            <w:r>
              <w:rPr>
                <w:rFonts w:ascii="Times New Roman" w:cs="Times New Roman" w:eastAsia="Times New Roman" w:hAnsi="Times New Roman"/>
                <w:sz w:val="16"/>
                <w:szCs w:val="16"/>
                <w:color w:val="auto"/>
                <w:w w:val="95"/>
              </w:rPr>
              <w:t>Israel</w:t>
            </w:r>
          </w:p>
        </w:tc>
        <w:tc>
          <w:tcPr>
            <w:tcW w:w="40" w:type="dxa"/>
            <w:vAlign w:val="bottom"/>
          </w:tcPr>
          <w:p>
            <w:pPr>
              <w:spacing w:after="0"/>
              <w:rPr>
                <w:sz w:val="17"/>
                <w:szCs w:val="17"/>
                <w:color w:val="auto"/>
              </w:rPr>
            </w:pPr>
          </w:p>
        </w:tc>
      </w:tr>
      <w:tr>
        <w:trPr>
          <w:trHeight w:val="473"/>
        </w:trPr>
        <w:tc>
          <w:tcPr>
            <w:tcW w:w="240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40" w:orient="portrait"/>
          <w:cols w:equalWidth="0" w:num="1">
            <w:col w:w="9020"/>
          </w:cols>
          <w:pgMar w:left="1440" w:top="555" w:right="1440" w:bottom="1440" w:gutter="0" w:footer="0" w:header="0"/>
        </w:sectPr>
      </w:pPr>
    </w:p>
    <w:bookmarkStart w:id="532" w:name="page533"/>
    <w:bookmarkEnd w:id="532"/>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Exhibit 21.1</w:t>
      </w:r>
    </w:p>
    <w:p>
      <w:pPr>
        <w:spacing w:after="0" w:line="16" w:lineRule="exact"/>
        <w:rPr>
          <w:sz w:val="20"/>
          <w:szCs w:val="20"/>
          <w:color w:val="auto"/>
        </w:rPr>
      </w:pPr>
    </w:p>
    <w:tbl>
      <w:tblPr>
        <w:tblLayout w:type="fixed"/>
        <w:tblInd w:w="460" w:type="dxa"/>
        <w:tblCellMar>
          <w:top w:w="0" w:type="dxa"/>
          <w:left w:w="0" w:type="dxa"/>
          <w:bottom w:w="0" w:type="dxa"/>
          <w:right w:w="0" w:type="dxa"/>
        </w:tblCellMar>
      </w:tblPr>
      <w:tr>
        <w:trPr>
          <w:trHeight w:val="205"/>
        </w:trPr>
        <w:tc>
          <w:tcPr>
            <w:tcW w:w="8060" w:type="dxa"/>
            <w:vAlign w:val="bottom"/>
            <w:gridSpan w:val="2"/>
          </w:tcPr>
          <w:p>
            <w:pPr>
              <w:ind w:left="2480"/>
              <w:spacing w:after="0"/>
              <w:rPr>
                <w:sz w:val="20"/>
                <w:szCs w:val="20"/>
                <w:color w:val="auto"/>
              </w:rPr>
            </w:pPr>
            <w:r>
              <w:rPr>
                <w:rFonts w:ascii="Times New Roman" w:cs="Times New Roman" w:eastAsia="Times New Roman" w:hAnsi="Times New Roman"/>
                <w:sz w:val="16"/>
                <w:szCs w:val="16"/>
                <w:b w:val="1"/>
                <w:bCs w:val="1"/>
                <w:color w:val="auto"/>
              </w:rPr>
              <w:t>List of Subsidiaries of Digital Realty Trust, Inc.</w:t>
            </w:r>
          </w:p>
        </w:tc>
        <w:tc>
          <w:tcPr>
            <w:tcW w:w="40" w:type="dxa"/>
            <w:vAlign w:val="bottom"/>
          </w:tcPr>
          <w:p>
            <w:pPr>
              <w:spacing w:after="0"/>
              <w:rPr>
                <w:sz w:val="17"/>
                <w:szCs w:val="17"/>
                <w:color w:val="auto"/>
              </w:rPr>
            </w:pPr>
          </w:p>
        </w:tc>
      </w:tr>
      <w:tr>
        <w:trPr>
          <w:trHeight w:val="186"/>
        </w:trPr>
        <w:tc>
          <w:tcPr>
            <w:tcW w:w="43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Digital-PR Mason King Court, LLC</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Digital-PR Old Ironsides 1, LLC</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Digital-PR Venture, LLC</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Digital-PR Zanker, LLC</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Dipper Ventures LLC</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DLR 800 Central, LLC</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DLR LLC</w:t>
            </w:r>
          </w:p>
        </w:tc>
        <w:tc>
          <w:tcPr>
            <w:tcW w:w="3740" w:type="dxa"/>
            <w:vAlign w:val="bottom"/>
            <w:shd w:val="clear" w:color="auto" w:fill="CCEEFF"/>
          </w:tcPr>
          <w:p>
            <w:pPr>
              <w:jc w:val="center"/>
              <w:ind w:left="1162"/>
              <w:spacing w:after="0"/>
              <w:rPr>
                <w:sz w:val="20"/>
                <w:szCs w:val="20"/>
                <w:color w:val="auto"/>
              </w:rPr>
            </w:pPr>
            <w:r>
              <w:rPr>
                <w:rFonts w:ascii="Times New Roman" w:cs="Times New Roman" w:eastAsia="Times New Roman" w:hAnsi="Times New Roman"/>
                <w:sz w:val="16"/>
                <w:szCs w:val="16"/>
                <w:color w:val="auto"/>
                <w:w w:val="99"/>
              </w:rPr>
              <w:t>Maryland</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DRT Greenspoint, LLC</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DRT-Bryan Street, LLC</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DuPont Fabros Technology, L.P.</w:t>
            </w:r>
          </w:p>
        </w:tc>
        <w:tc>
          <w:tcPr>
            <w:tcW w:w="3740" w:type="dxa"/>
            <w:vAlign w:val="bottom"/>
          </w:tcPr>
          <w:p>
            <w:pPr>
              <w:jc w:val="center"/>
              <w:ind w:left="1162"/>
              <w:spacing w:after="0"/>
              <w:rPr>
                <w:sz w:val="20"/>
                <w:szCs w:val="20"/>
                <w:color w:val="auto"/>
              </w:rPr>
            </w:pPr>
            <w:r>
              <w:rPr>
                <w:rFonts w:ascii="Times New Roman" w:cs="Times New Roman" w:eastAsia="Times New Roman" w:hAnsi="Times New Roman"/>
                <w:sz w:val="16"/>
                <w:szCs w:val="16"/>
                <w:color w:val="auto"/>
                <w:w w:val="99"/>
              </w:rPr>
              <w:t>Maryland</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Fawn Ventures LLC</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Fox Properties LLC</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Gallant 1664, LLC</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GIP 7th Street Holding Company, LLC</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GIP 7th Street, LLC</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GIP Alpha General Partner, LLC</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GIP Alpha Limited Partner, LLC</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GIP Alpha, L.P.</w:t>
            </w:r>
          </w:p>
        </w:tc>
        <w:tc>
          <w:tcPr>
            <w:tcW w:w="3740" w:type="dxa"/>
            <w:vAlign w:val="bottom"/>
          </w:tcPr>
          <w:p>
            <w:pPr>
              <w:jc w:val="center"/>
              <w:ind w:left="1162"/>
              <w:spacing w:after="0"/>
              <w:rPr>
                <w:sz w:val="20"/>
                <w:szCs w:val="20"/>
                <w:color w:val="auto"/>
              </w:rPr>
            </w:pPr>
            <w:r>
              <w:rPr>
                <w:rFonts w:ascii="Times New Roman" w:cs="Times New Roman" w:eastAsia="Times New Roman" w:hAnsi="Times New Roman"/>
                <w:sz w:val="16"/>
                <w:szCs w:val="16"/>
                <w:color w:val="auto"/>
                <w:w w:val="99"/>
              </w:rPr>
              <w:t>Texas</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GIP Stoughton, LLC</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Global Lafayette Street Holding Company, LLC</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Global Marsh General Partner, LLC</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Global Marsh Limited Partner, LLC</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Global Marsh Member, LLC</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Global Marsh Property Owner, L.P.</w:t>
            </w:r>
          </w:p>
        </w:tc>
        <w:tc>
          <w:tcPr>
            <w:tcW w:w="3740" w:type="dxa"/>
            <w:vAlign w:val="bottom"/>
          </w:tcPr>
          <w:p>
            <w:pPr>
              <w:jc w:val="center"/>
              <w:ind w:left="1162"/>
              <w:spacing w:after="0"/>
              <w:rPr>
                <w:sz w:val="20"/>
                <w:szCs w:val="20"/>
                <w:color w:val="auto"/>
              </w:rPr>
            </w:pPr>
            <w:r>
              <w:rPr>
                <w:rFonts w:ascii="Times New Roman" w:cs="Times New Roman" w:eastAsia="Times New Roman" w:hAnsi="Times New Roman"/>
                <w:sz w:val="16"/>
                <w:szCs w:val="16"/>
                <w:color w:val="auto"/>
                <w:w w:val="99"/>
              </w:rPr>
              <w:t>Texas</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Global Miami Acquisition Company, LLC</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Global Miami Holding Company, LLC</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Global Stanford Place II, LLC</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Global Webb, L.P.</w:t>
            </w:r>
          </w:p>
        </w:tc>
        <w:tc>
          <w:tcPr>
            <w:tcW w:w="3740" w:type="dxa"/>
            <w:vAlign w:val="bottom"/>
          </w:tcPr>
          <w:p>
            <w:pPr>
              <w:jc w:val="center"/>
              <w:ind w:left="1162"/>
              <w:spacing w:after="0"/>
              <w:rPr>
                <w:sz w:val="20"/>
                <w:szCs w:val="20"/>
                <w:color w:val="auto"/>
              </w:rPr>
            </w:pPr>
            <w:r>
              <w:rPr>
                <w:rFonts w:ascii="Times New Roman" w:cs="Times New Roman" w:eastAsia="Times New Roman" w:hAnsi="Times New Roman"/>
                <w:sz w:val="16"/>
                <w:szCs w:val="16"/>
                <w:color w:val="auto"/>
                <w:w w:val="99"/>
              </w:rPr>
              <w:t>Texas</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Global Webb, LLC</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Global Weehawken Acquisition Company, LLC</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Global Weehawken Holding Company, LLC</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Great Westerford Holdings Proprietary Limited</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South Africa</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Grizzly Ventures LLC</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Hawk Ventures LLC</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Hood 1703, LLC</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Icolo</w:t>
            </w:r>
          </w:p>
        </w:tc>
        <w:tc>
          <w:tcPr>
            <w:tcW w:w="3740" w:type="dxa"/>
            <w:vAlign w:val="bottom"/>
          </w:tcPr>
          <w:p>
            <w:pPr>
              <w:jc w:val="center"/>
              <w:ind w:left="1162"/>
              <w:spacing w:after="0"/>
              <w:rPr>
                <w:sz w:val="20"/>
                <w:szCs w:val="20"/>
                <w:color w:val="auto"/>
              </w:rPr>
            </w:pPr>
            <w:r>
              <w:rPr>
                <w:rFonts w:ascii="Times New Roman" w:cs="Times New Roman" w:eastAsia="Times New Roman" w:hAnsi="Times New Roman"/>
                <w:sz w:val="16"/>
                <w:szCs w:val="16"/>
                <w:color w:val="auto"/>
                <w:w w:val="99"/>
              </w:rPr>
              <w:t>Mauritius</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Icolo Limited</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5"/>
              </w:rPr>
              <w:t>Kenya</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Icolo Mozambique, Limitada</w:t>
            </w:r>
          </w:p>
        </w:tc>
        <w:tc>
          <w:tcPr>
            <w:tcW w:w="3740" w:type="dxa"/>
            <w:vAlign w:val="bottom"/>
          </w:tcPr>
          <w:p>
            <w:pPr>
              <w:jc w:val="center"/>
              <w:ind w:left="1162"/>
              <w:spacing w:after="0"/>
              <w:rPr>
                <w:sz w:val="20"/>
                <w:szCs w:val="20"/>
                <w:color w:val="auto"/>
              </w:rPr>
            </w:pPr>
            <w:r>
              <w:rPr>
                <w:rFonts w:ascii="Times New Roman" w:cs="Times New Roman" w:eastAsia="Times New Roman" w:hAnsi="Times New Roman"/>
                <w:sz w:val="16"/>
                <w:szCs w:val="16"/>
                <w:color w:val="auto"/>
                <w:w w:val="97"/>
              </w:rPr>
              <w:t>Mozambique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B.V.</w:t>
            </w:r>
          </w:p>
        </w:tc>
        <w:tc>
          <w:tcPr>
            <w:tcW w:w="3740" w:type="dxa"/>
            <w:vAlign w:val="bottom"/>
            <w:shd w:val="clear" w:color="auto" w:fill="CCEEFF"/>
          </w:tcPr>
          <w:p>
            <w:pPr>
              <w:jc w:val="center"/>
              <w:ind w:left="11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InterXion Belgium B.V.</w:t>
            </w:r>
          </w:p>
        </w:tc>
        <w:tc>
          <w:tcPr>
            <w:tcW w:w="3740" w:type="dxa"/>
            <w:vAlign w:val="bottom"/>
          </w:tcPr>
          <w:p>
            <w:pPr>
              <w:jc w:val="center"/>
              <w:ind w:left="1162"/>
              <w:spacing w:after="0"/>
              <w:rPr>
                <w:sz w:val="20"/>
                <w:szCs w:val="20"/>
                <w:color w:val="auto"/>
              </w:rPr>
            </w:pPr>
            <w:r>
              <w:rPr>
                <w:rFonts w:ascii="Times New Roman" w:cs="Times New Roman" w:eastAsia="Times New Roman" w:hAnsi="Times New Roman"/>
                <w:sz w:val="16"/>
                <w:szCs w:val="16"/>
                <w:color w:val="auto"/>
                <w:w w:val="97"/>
              </w:rPr>
              <w:t>Belgium</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Carrier Hotel Limited</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United Kingdom (England and Wales)</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InterXion Consultancy Services B.V.</w:t>
            </w:r>
          </w:p>
        </w:tc>
        <w:tc>
          <w:tcPr>
            <w:tcW w:w="3740" w:type="dxa"/>
            <w:vAlign w:val="bottom"/>
          </w:tcPr>
          <w:p>
            <w:pPr>
              <w:jc w:val="center"/>
              <w:ind w:left="11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Croatia LLC</w:t>
            </w:r>
          </w:p>
        </w:tc>
        <w:tc>
          <w:tcPr>
            <w:tcW w:w="3740" w:type="dxa"/>
            <w:vAlign w:val="bottom"/>
            <w:shd w:val="clear" w:color="auto" w:fill="CCEEFF"/>
          </w:tcPr>
          <w:p>
            <w:pPr>
              <w:jc w:val="center"/>
              <w:ind w:left="1162"/>
              <w:spacing w:after="0"/>
              <w:rPr>
                <w:sz w:val="20"/>
                <w:szCs w:val="20"/>
                <w:color w:val="auto"/>
              </w:rPr>
            </w:pPr>
            <w:r>
              <w:rPr>
                <w:rFonts w:ascii="Times New Roman" w:cs="Times New Roman" w:eastAsia="Times New Roman" w:hAnsi="Times New Roman"/>
                <w:sz w:val="16"/>
                <w:szCs w:val="16"/>
                <w:color w:val="auto"/>
                <w:w w:val="97"/>
              </w:rPr>
              <w:t>Croatia</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InterXion Datacenters B.V.</w:t>
            </w:r>
          </w:p>
        </w:tc>
        <w:tc>
          <w:tcPr>
            <w:tcW w:w="3740" w:type="dxa"/>
            <w:vAlign w:val="bottom"/>
          </w:tcPr>
          <w:p>
            <w:pPr>
              <w:jc w:val="center"/>
              <w:ind w:left="11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España S.L.U.</w:t>
            </w:r>
          </w:p>
        </w:tc>
        <w:tc>
          <w:tcPr>
            <w:tcW w:w="3740" w:type="dxa"/>
            <w:vAlign w:val="bottom"/>
            <w:shd w:val="clear" w:color="auto" w:fill="CCEEFF"/>
          </w:tcPr>
          <w:p>
            <w:pPr>
              <w:jc w:val="center"/>
              <w:ind w:left="1162"/>
              <w:spacing w:after="0"/>
              <w:rPr>
                <w:sz w:val="20"/>
                <w:szCs w:val="20"/>
                <w:color w:val="auto"/>
              </w:rPr>
            </w:pPr>
            <w:r>
              <w:rPr>
                <w:rFonts w:ascii="Times New Roman" w:cs="Times New Roman" w:eastAsia="Times New Roman" w:hAnsi="Times New Roman"/>
                <w:sz w:val="16"/>
                <w:szCs w:val="16"/>
                <w:color w:val="auto"/>
                <w:w w:val="93"/>
              </w:rPr>
              <w:t>Spain</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InterXion Europe Limited</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United Kingdom (England and Wales)</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France SAS</w:t>
            </w:r>
          </w:p>
        </w:tc>
        <w:tc>
          <w:tcPr>
            <w:tcW w:w="3740" w:type="dxa"/>
            <w:vAlign w:val="bottom"/>
            <w:shd w:val="clear" w:color="auto" w:fill="CCEEFF"/>
          </w:tcPr>
          <w:p>
            <w:pPr>
              <w:jc w:val="center"/>
              <w:ind w:left="1162"/>
              <w:spacing w:after="0"/>
              <w:rPr>
                <w:sz w:val="20"/>
                <w:szCs w:val="20"/>
                <w:color w:val="auto"/>
              </w:rPr>
            </w:pPr>
            <w:r>
              <w:rPr>
                <w:rFonts w:ascii="Times New Roman" w:cs="Times New Roman" w:eastAsia="Times New Roman" w:hAnsi="Times New Roman"/>
                <w:sz w:val="16"/>
                <w:szCs w:val="16"/>
                <w:color w:val="auto"/>
                <w:w w:val="96"/>
              </w:rPr>
              <w:t>France</w:t>
            </w:r>
          </w:p>
        </w:tc>
        <w:tc>
          <w:tcPr>
            <w:tcW w:w="40" w:type="dxa"/>
            <w:vAlign w:val="bottom"/>
            <w:shd w:val="clear" w:color="auto" w:fill="CCEEFF"/>
          </w:tcPr>
          <w:p>
            <w:pPr>
              <w:spacing w:after="0"/>
              <w:rPr>
                <w:sz w:val="16"/>
                <w:szCs w:val="16"/>
                <w:color w:val="auto"/>
              </w:rPr>
            </w:pPr>
          </w:p>
        </w:tc>
      </w:tr>
      <w:tr>
        <w:trPr>
          <w:trHeight w:val="484"/>
        </w:trPr>
        <w:tc>
          <w:tcPr>
            <w:tcW w:w="43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40" w:orient="portrait"/>
          <w:cols w:equalWidth="0" w:num="1">
            <w:col w:w="9020"/>
          </w:cols>
          <w:pgMar w:left="1440" w:top="555" w:right="1440" w:bottom="1440" w:gutter="0" w:footer="0" w:header="0"/>
        </w:sectPr>
      </w:pPr>
    </w:p>
    <w:bookmarkStart w:id="533" w:name="page534"/>
    <w:bookmarkEnd w:id="533"/>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Exhibit 21.1</w:t>
      </w:r>
    </w:p>
    <w:p>
      <w:pPr>
        <w:spacing w:after="0" w:line="16" w:lineRule="exact"/>
        <w:rPr>
          <w:sz w:val="20"/>
          <w:szCs w:val="20"/>
          <w:color w:val="auto"/>
        </w:rPr>
      </w:pPr>
    </w:p>
    <w:tbl>
      <w:tblPr>
        <w:tblLayout w:type="fixed"/>
        <w:tblInd w:w="460" w:type="dxa"/>
        <w:tblCellMar>
          <w:top w:w="0" w:type="dxa"/>
          <w:left w:w="0" w:type="dxa"/>
          <w:bottom w:w="0" w:type="dxa"/>
          <w:right w:w="0" w:type="dxa"/>
        </w:tblCellMar>
      </w:tblPr>
      <w:tr>
        <w:trPr>
          <w:trHeight w:val="205"/>
        </w:trPr>
        <w:tc>
          <w:tcPr>
            <w:tcW w:w="8060" w:type="dxa"/>
            <w:vAlign w:val="bottom"/>
            <w:gridSpan w:val="2"/>
          </w:tcPr>
          <w:p>
            <w:pPr>
              <w:ind w:left="2480"/>
              <w:spacing w:after="0"/>
              <w:rPr>
                <w:sz w:val="20"/>
                <w:szCs w:val="20"/>
                <w:color w:val="auto"/>
              </w:rPr>
            </w:pPr>
            <w:r>
              <w:rPr>
                <w:rFonts w:ascii="Times New Roman" w:cs="Times New Roman" w:eastAsia="Times New Roman" w:hAnsi="Times New Roman"/>
                <w:sz w:val="16"/>
                <w:szCs w:val="16"/>
                <w:b w:val="1"/>
                <w:bCs w:val="1"/>
                <w:color w:val="auto"/>
              </w:rPr>
              <w:t>List of Subsidiaries of Digital Realty Trust, Inc.</w:t>
            </w:r>
          </w:p>
        </w:tc>
        <w:tc>
          <w:tcPr>
            <w:tcW w:w="40" w:type="dxa"/>
            <w:vAlign w:val="bottom"/>
          </w:tcPr>
          <w:p>
            <w:pPr>
              <w:spacing w:after="0"/>
              <w:rPr>
                <w:sz w:val="17"/>
                <w:szCs w:val="17"/>
                <w:color w:val="auto"/>
              </w:rPr>
            </w:pPr>
          </w:p>
        </w:tc>
      </w:tr>
      <w:tr>
        <w:trPr>
          <w:trHeight w:val="377"/>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InterXion HeadQuarters B.V.</w:t>
            </w:r>
          </w:p>
        </w:tc>
        <w:tc>
          <w:tcPr>
            <w:tcW w:w="384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24"/>
                <w:szCs w:val="24"/>
                <w:color w:val="auto"/>
              </w:rPr>
            </w:pPr>
          </w:p>
        </w:tc>
      </w:tr>
      <w:tr>
        <w:trPr>
          <w:trHeight w:val="193"/>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II B.V.</w:t>
            </w:r>
          </w:p>
        </w:tc>
        <w:tc>
          <w:tcPr>
            <w:tcW w:w="384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InterXion Ireland DAC</w:t>
            </w:r>
          </w:p>
        </w:tc>
        <w:tc>
          <w:tcPr>
            <w:tcW w:w="3840" w:type="dxa"/>
            <w:vAlign w:val="bottom"/>
          </w:tcPr>
          <w:p>
            <w:pPr>
              <w:jc w:val="center"/>
              <w:ind w:left="1282"/>
              <w:spacing w:after="0"/>
              <w:rPr>
                <w:sz w:val="20"/>
                <w:szCs w:val="20"/>
                <w:color w:val="auto"/>
              </w:rPr>
            </w:pPr>
            <w:r>
              <w:rPr>
                <w:rFonts w:ascii="Times New Roman" w:cs="Times New Roman" w:eastAsia="Times New Roman" w:hAnsi="Times New Roman"/>
                <w:sz w:val="16"/>
                <w:szCs w:val="16"/>
                <w:color w:val="auto"/>
                <w:w w:val="96"/>
              </w:rPr>
              <w:t>Ireland</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Nederland B.V.</w:t>
            </w:r>
          </w:p>
        </w:tc>
        <w:tc>
          <w:tcPr>
            <w:tcW w:w="384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InterXion Operational B.V.</w:t>
            </w:r>
          </w:p>
        </w:tc>
        <w:tc>
          <w:tcPr>
            <w:tcW w:w="384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Participation 1 B.V.</w:t>
            </w:r>
          </w:p>
        </w:tc>
        <w:tc>
          <w:tcPr>
            <w:tcW w:w="384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InterXion Real Estate Holding B.V.</w:t>
            </w:r>
          </w:p>
        </w:tc>
        <w:tc>
          <w:tcPr>
            <w:tcW w:w="384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Real Estate I B.V.</w:t>
            </w:r>
          </w:p>
        </w:tc>
        <w:tc>
          <w:tcPr>
            <w:tcW w:w="384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InterXion Real Estate II SARL</w:t>
            </w:r>
          </w:p>
        </w:tc>
        <w:tc>
          <w:tcPr>
            <w:tcW w:w="384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6"/>
              </w:rPr>
              <w:t>France</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Real Estate III SARL</w:t>
            </w:r>
          </w:p>
        </w:tc>
        <w:tc>
          <w:tcPr>
            <w:tcW w:w="384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6"/>
              </w:rPr>
              <w:t>France</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InterXion Real Estate IV B.V.</w:t>
            </w:r>
          </w:p>
        </w:tc>
        <w:tc>
          <w:tcPr>
            <w:tcW w:w="384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Real Estate IX B.V.</w:t>
            </w:r>
          </w:p>
        </w:tc>
        <w:tc>
          <w:tcPr>
            <w:tcW w:w="384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7"/>
              </w:rPr>
              <w:t>Belgium</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InterXion Real Estate Limited</w:t>
            </w:r>
          </w:p>
        </w:tc>
        <w:tc>
          <w:tcPr>
            <w:tcW w:w="3840" w:type="dxa"/>
            <w:vAlign w:val="bottom"/>
          </w:tcPr>
          <w:p>
            <w:pPr>
              <w:jc w:val="center"/>
              <w:ind w:left="1282"/>
              <w:spacing w:after="0"/>
              <w:rPr>
                <w:sz w:val="20"/>
                <w:szCs w:val="20"/>
                <w:color w:val="auto"/>
              </w:rPr>
            </w:pPr>
            <w:r>
              <w:rPr>
                <w:rFonts w:ascii="Times New Roman" w:cs="Times New Roman" w:eastAsia="Times New Roman" w:hAnsi="Times New Roman"/>
                <w:sz w:val="16"/>
                <w:szCs w:val="16"/>
                <w:color w:val="auto"/>
                <w:w w:val="95"/>
              </w:rPr>
              <w:t>Kenya</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Real Estate V B.V.</w:t>
            </w:r>
          </w:p>
        </w:tc>
        <w:tc>
          <w:tcPr>
            <w:tcW w:w="384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InterXion Real Estate VII GmbH</w:t>
            </w:r>
          </w:p>
        </w:tc>
        <w:tc>
          <w:tcPr>
            <w:tcW w:w="384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7"/>
              </w:rPr>
              <w:t>Austria</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Real Estate VIII GmbH</w:t>
            </w:r>
          </w:p>
        </w:tc>
        <w:tc>
          <w:tcPr>
            <w:tcW w:w="384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6"/>
              </w:rPr>
              <w:t>Switzerland</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InterXion Real Estate X B.V.</w:t>
            </w:r>
          </w:p>
        </w:tc>
        <w:tc>
          <w:tcPr>
            <w:tcW w:w="384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Real Estate XI SARL</w:t>
            </w:r>
          </w:p>
        </w:tc>
        <w:tc>
          <w:tcPr>
            <w:tcW w:w="384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6"/>
              </w:rPr>
              <w:t>France</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InterXion Real Estate XII B.V.</w:t>
            </w:r>
          </w:p>
        </w:tc>
        <w:tc>
          <w:tcPr>
            <w:tcW w:w="384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Real Estate XIII B.V.</w:t>
            </w:r>
          </w:p>
        </w:tc>
        <w:tc>
          <w:tcPr>
            <w:tcW w:w="384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InterXion Real Estate XIV B.V.</w:t>
            </w:r>
          </w:p>
        </w:tc>
        <w:tc>
          <w:tcPr>
            <w:tcW w:w="384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Real Estate XV S.L.U.</w:t>
            </w:r>
          </w:p>
        </w:tc>
        <w:tc>
          <w:tcPr>
            <w:tcW w:w="384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3"/>
              </w:rPr>
              <w:t>Spain</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InterXion Real Estate XVI B.V.</w:t>
            </w:r>
          </w:p>
        </w:tc>
        <w:tc>
          <w:tcPr>
            <w:tcW w:w="384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Real Estate XVIII B.V.</w:t>
            </w:r>
          </w:p>
        </w:tc>
        <w:tc>
          <w:tcPr>
            <w:tcW w:w="384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InterXion Real Estate XX SAS</w:t>
            </w:r>
          </w:p>
        </w:tc>
        <w:tc>
          <w:tcPr>
            <w:tcW w:w="384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6"/>
              </w:rPr>
              <w:t>France</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Real Estate XXI GmbH</w:t>
            </w:r>
          </w:p>
        </w:tc>
        <w:tc>
          <w:tcPr>
            <w:tcW w:w="384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6"/>
              </w:rPr>
              <w:t>Switzerland</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InterXion Real Estate XXII B.V.</w:t>
            </w:r>
          </w:p>
        </w:tc>
        <w:tc>
          <w:tcPr>
            <w:tcW w:w="384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Real Estate XXIV S.r.L.</w:t>
            </w:r>
          </w:p>
        </w:tc>
        <w:tc>
          <w:tcPr>
            <w:tcW w:w="3840" w:type="dxa"/>
            <w:vAlign w:val="bottom"/>
            <w:shd w:val="clear" w:color="auto" w:fill="CCEEFF"/>
          </w:tcPr>
          <w:p>
            <w:pPr>
              <w:jc w:val="center"/>
              <w:ind w:left="1282"/>
              <w:spacing w:after="0"/>
              <w:rPr>
                <w:sz w:val="20"/>
                <w:szCs w:val="20"/>
                <w:color w:val="auto"/>
              </w:rPr>
            </w:pPr>
            <w:r>
              <w:rPr>
                <w:rFonts w:ascii="Times New Roman" w:cs="Times New Roman" w:eastAsia="Times New Roman" w:hAnsi="Times New Roman"/>
                <w:sz w:val="16"/>
                <w:szCs w:val="16"/>
                <w:color w:val="auto"/>
                <w:w w:val="95"/>
              </w:rPr>
              <w:t>Italy</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InterXion Real Estate XXV SAS</w:t>
            </w:r>
          </w:p>
        </w:tc>
        <w:tc>
          <w:tcPr>
            <w:tcW w:w="384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6"/>
              </w:rPr>
              <w:t>France</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Science Park B.V.</w:t>
            </w:r>
          </w:p>
        </w:tc>
        <w:tc>
          <w:tcPr>
            <w:tcW w:w="384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InterXion Telecom B.V.</w:t>
            </w:r>
          </w:p>
        </w:tc>
        <w:tc>
          <w:tcPr>
            <w:tcW w:w="384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Telecom Ltd.</w:t>
            </w:r>
          </w:p>
        </w:tc>
        <w:tc>
          <w:tcPr>
            <w:tcW w:w="3840" w:type="dxa"/>
            <w:vAlign w:val="bottom"/>
            <w:shd w:val="clear" w:color="auto" w:fill="CCEEFF"/>
          </w:tcPr>
          <w:p>
            <w:pPr>
              <w:jc w:val="center"/>
              <w:ind w:left="1282"/>
              <w:spacing w:after="0"/>
              <w:rPr>
                <w:sz w:val="20"/>
                <w:szCs w:val="20"/>
                <w:color w:val="auto"/>
              </w:rPr>
            </w:pPr>
            <w:r>
              <w:rPr>
                <w:rFonts w:ascii="Times New Roman" w:cs="Times New Roman" w:eastAsia="Times New Roman" w:hAnsi="Times New Roman"/>
                <w:sz w:val="16"/>
                <w:szCs w:val="16"/>
                <w:color w:val="auto"/>
                <w:w w:val="97"/>
              </w:rPr>
              <w:t>United Kingdom (England and Wales)</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InterXion Telecom S.r.L.</w:t>
            </w:r>
          </w:p>
        </w:tc>
        <w:tc>
          <w:tcPr>
            <w:tcW w:w="3840" w:type="dxa"/>
            <w:vAlign w:val="bottom"/>
          </w:tcPr>
          <w:p>
            <w:pPr>
              <w:jc w:val="center"/>
              <w:ind w:left="1282"/>
              <w:spacing w:after="0"/>
              <w:rPr>
                <w:sz w:val="20"/>
                <w:szCs w:val="20"/>
                <w:color w:val="auto"/>
              </w:rPr>
            </w:pPr>
            <w:r>
              <w:rPr>
                <w:rFonts w:ascii="Times New Roman" w:cs="Times New Roman" w:eastAsia="Times New Roman" w:hAnsi="Times New Roman"/>
                <w:sz w:val="16"/>
                <w:szCs w:val="16"/>
                <w:color w:val="auto"/>
                <w:w w:val="95"/>
              </w:rPr>
              <w:t>Italy</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Trademarks B.V.</w:t>
            </w:r>
          </w:p>
        </w:tc>
        <w:tc>
          <w:tcPr>
            <w:tcW w:w="384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InterXion Trading B.V.</w:t>
            </w:r>
          </w:p>
        </w:tc>
        <w:tc>
          <w:tcPr>
            <w:tcW w:w="384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Lemur Properties LLC</w:t>
            </w:r>
          </w:p>
        </w:tc>
        <w:tc>
          <w:tcPr>
            <w:tcW w:w="3840" w:type="dxa"/>
            <w:vAlign w:val="bottom"/>
            <w:shd w:val="clear" w:color="auto" w:fill="CCEEFF"/>
          </w:tcPr>
          <w:p>
            <w:pPr>
              <w:jc w:val="center"/>
              <w:ind w:left="12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LHR1 Data Center Holdings Limited</w:t>
            </w:r>
          </w:p>
        </w:tc>
        <w:tc>
          <w:tcPr>
            <w:tcW w:w="3840" w:type="dxa"/>
            <w:vAlign w:val="bottom"/>
          </w:tcPr>
          <w:p>
            <w:pPr>
              <w:jc w:val="center"/>
              <w:ind w:left="1282"/>
              <w:spacing w:after="0"/>
              <w:rPr>
                <w:sz w:val="20"/>
                <w:szCs w:val="20"/>
                <w:color w:val="auto"/>
              </w:rPr>
            </w:pPr>
            <w:r>
              <w:rPr>
                <w:rFonts w:ascii="Times New Roman" w:cs="Times New Roman" w:eastAsia="Times New Roman" w:hAnsi="Times New Roman"/>
                <w:sz w:val="16"/>
                <w:szCs w:val="16"/>
                <w:color w:val="auto"/>
                <w:w w:val="99"/>
              </w:rPr>
              <w:t>Jersey</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Loudoun Exchange Owners Association, Inc.</w:t>
            </w:r>
          </w:p>
        </w:tc>
        <w:tc>
          <w:tcPr>
            <w:tcW w:w="3840" w:type="dxa"/>
            <w:vAlign w:val="bottom"/>
            <w:shd w:val="clear" w:color="auto" w:fill="CCEEFF"/>
          </w:tcPr>
          <w:p>
            <w:pPr>
              <w:jc w:val="center"/>
              <w:ind w:left="1282"/>
              <w:spacing w:after="0"/>
              <w:rPr>
                <w:sz w:val="20"/>
                <w:szCs w:val="20"/>
                <w:color w:val="auto"/>
              </w:rPr>
            </w:pPr>
            <w:r>
              <w:rPr>
                <w:rFonts w:ascii="Times New Roman" w:cs="Times New Roman" w:eastAsia="Times New Roman" w:hAnsi="Times New Roman"/>
                <w:sz w:val="16"/>
                <w:szCs w:val="16"/>
                <w:color w:val="auto"/>
                <w:w w:val="97"/>
              </w:rPr>
              <w:t>Virginia</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MC Digital Realty Inc.</w:t>
            </w:r>
          </w:p>
        </w:tc>
        <w:tc>
          <w:tcPr>
            <w:tcW w:w="384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3"/>
              </w:rPr>
              <w:t>Japan</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MDC TRS Company Limited</w:t>
            </w:r>
          </w:p>
        </w:tc>
        <w:tc>
          <w:tcPr>
            <w:tcW w:w="384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5"/>
              </w:rPr>
              <w:t>Nigeria</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Medallion Data Centres Limited</w:t>
            </w:r>
          </w:p>
        </w:tc>
        <w:tc>
          <w:tcPr>
            <w:tcW w:w="384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5"/>
              </w:rPr>
              <w:t>Nigeria</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Medallion Netherlands B.V.</w:t>
            </w:r>
          </w:p>
        </w:tc>
        <w:tc>
          <w:tcPr>
            <w:tcW w:w="384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Medicor d.o.o</w:t>
            </w:r>
          </w:p>
        </w:tc>
        <w:tc>
          <w:tcPr>
            <w:tcW w:w="384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7"/>
              </w:rPr>
              <w:t>Croatia</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Mercury Holdings SG Pte. Ltd.</w:t>
            </w:r>
          </w:p>
        </w:tc>
        <w:tc>
          <w:tcPr>
            <w:tcW w:w="384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5"/>
              </w:rPr>
              <w:t>Singapore</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Mercury India SG FDI Pte. Ltd.</w:t>
            </w:r>
          </w:p>
        </w:tc>
        <w:tc>
          <w:tcPr>
            <w:tcW w:w="384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5"/>
              </w:rPr>
              <w:t>Singapore</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Mercury India SG FPI Pte. Ltd.</w:t>
            </w:r>
          </w:p>
        </w:tc>
        <w:tc>
          <w:tcPr>
            <w:tcW w:w="384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5"/>
              </w:rPr>
              <w:t>Singapore</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Moose Ventures LP</w:t>
            </w:r>
          </w:p>
        </w:tc>
        <w:tc>
          <w:tcPr>
            <w:tcW w:w="3840" w:type="dxa"/>
            <w:vAlign w:val="bottom"/>
          </w:tcPr>
          <w:p>
            <w:pPr>
              <w:jc w:val="center"/>
              <w:ind w:left="12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Moran Road Partners, LLC</w:t>
            </w:r>
          </w:p>
        </w:tc>
        <w:tc>
          <w:tcPr>
            <w:tcW w:w="3840" w:type="dxa"/>
            <w:vAlign w:val="bottom"/>
            <w:shd w:val="clear" w:color="auto" w:fill="CCEEFF"/>
          </w:tcPr>
          <w:p>
            <w:pPr>
              <w:jc w:val="center"/>
              <w:ind w:left="12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484"/>
        </w:trPr>
        <w:tc>
          <w:tcPr>
            <w:tcW w:w="42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40" w:orient="portrait"/>
          <w:cols w:equalWidth="0" w:num="1">
            <w:col w:w="9020"/>
          </w:cols>
          <w:pgMar w:left="1440" w:top="555" w:right="1440" w:bottom="1440" w:gutter="0" w:footer="0" w:header="0"/>
        </w:sectPr>
      </w:pPr>
    </w:p>
    <w:bookmarkStart w:id="534" w:name="page535"/>
    <w:bookmarkEnd w:id="534"/>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Exhibit 21.1</w:t>
      </w:r>
    </w:p>
    <w:p>
      <w:pPr>
        <w:spacing w:after="0" w:line="16" w:lineRule="exact"/>
        <w:rPr>
          <w:sz w:val="20"/>
          <w:szCs w:val="20"/>
          <w:color w:val="auto"/>
        </w:rPr>
      </w:pPr>
    </w:p>
    <w:tbl>
      <w:tblPr>
        <w:tblLayout w:type="fixed"/>
        <w:tblInd w:w="460" w:type="dxa"/>
        <w:tblCellMar>
          <w:top w:w="0" w:type="dxa"/>
          <w:left w:w="0" w:type="dxa"/>
          <w:bottom w:w="0" w:type="dxa"/>
          <w:right w:w="0" w:type="dxa"/>
        </w:tblCellMar>
      </w:tblPr>
      <w:tr>
        <w:trPr>
          <w:trHeight w:val="205"/>
        </w:trPr>
        <w:tc>
          <w:tcPr>
            <w:tcW w:w="5880" w:type="dxa"/>
            <w:vAlign w:val="bottom"/>
          </w:tcPr>
          <w:p>
            <w:pPr>
              <w:ind w:left="2480"/>
              <w:spacing w:after="0"/>
              <w:rPr>
                <w:sz w:val="20"/>
                <w:szCs w:val="20"/>
                <w:color w:val="auto"/>
              </w:rPr>
            </w:pPr>
            <w:r>
              <w:rPr>
                <w:rFonts w:ascii="Times New Roman" w:cs="Times New Roman" w:eastAsia="Times New Roman" w:hAnsi="Times New Roman"/>
                <w:sz w:val="16"/>
                <w:szCs w:val="16"/>
                <w:b w:val="1"/>
                <w:bCs w:val="1"/>
                <w:color w:val="auto"/>
              </w:rPr>
              <w:t>List of Subsidiaries of Digital Realty Trust, Inc.</w:t>
            </w:r>
          </w:p>
        </w:tc>
        <w:tc>
          <w:tcPr>
            <w:tcW w:w="2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77"/>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NAP Africa Exchange Proprietary Limited</w:t>
            </w:r>
          </w:p>
        </w:tc>
        <w:tc>
          <w:tcPr>
            <w:tcW w:w="218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7"/>
              </w:rPr>
              <w:t>South Africa</w:t>
            </w:r>
          </w:p>
        </w:tc>
        <w:tc>
          <w:tcPr>
            <w:tcW w:w="40" w:type="dxa"/>
            <w:vAlign w:val="bottom"/>
          </w:tcPr>
          <w:p>
            <w:pPr>
              <w:spacing w:after="0"/>
              <w:rPr>
                <w:sz w:val="24"/>
                <w:szCs w:val="24"/>
                <w:color w:val="auto"/>
              </w:rPr>
            </w:pPr>
          </w:p>
        </w:tc>
      </w:tr>
      <w:tr>
        <w:trPr>
          <w:trHeight w:val="193"/>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Nova DC Fee Owner GP, LLC</w:t>
            </w:r>
          </w:p>
        </w:tc>
        <w:tc>
          <w:tcPr>
            <w:tcW w:w="2180" w:type="dxa"/>
            <w:vAlign w:val="bottom"/>
            <w:shd w:val="clear" w:color="auto" w:fill="CCEEFF"/>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Nova DC Fee Owner, L.P.</w:t>
            </w:r>
          </w:p>
        </w:tc>
        <w:tc>
          <w:tcPr>
            <w:tcW w:w="218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Nova DC Funding , L.P.</w:t>
            </w:r>
          </w:p>
        </w:tc>
        <w:tc>
          <w:tcPr>
            <w:tcW w:w="2180" w:type="dxa"/>
            <w:vAlign w:val="bottom"/>
            <w:shd w:val="clear" w:color="auto" w:fill="CCEEFF"/>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Nova DC Funding GP, LLC</w:t>
            </w:r>
          </w:p>
        </w:tc>
        <w:tc>
          <w:tcPr>
            <w:tcW w:w="218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Nova DC Holdings GP LLC</w:t>
            </w:r>
          </w:p>
        </w:tc>
        <w:tc>
          <w:tcPr>
            <w:tcW w:w="2180" w:type="dxa"/>
            <w:vAlign w:val="bottom"/>
            <w:shd w:val="clear" w:color="auto" w:fill="CCEEFF"/>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Nova DC Holdings, L.P.</w:t>
            </w:r>
          </w:p>
        </w:tc>
        <w:tc>
          <w:tcPr>
            <w:tcW w:w="218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Nova DC Mezz Owner GP, LLC</w:t>
            </w:r>
          </w:p>
        </w:tc>
        <w:tc>
          <w:tcPr>
            <w:tcW w:w="2180" w:type="dxa"/>
            <w:vAlign w:val="bottom"/>
            <w:shd w:val="clear" w:color="auto" w:fill="CCEEFF"/>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Nova DC Mezz Owner, L.P.</w:t>
            </w:r>
          </w:p>
        </w:tc>
        <w:tc>
          <w:tcPr>
            <w:tcW w:w="218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Nova DC TRS, L.L.C.</w:t>
            </w:r>
          </w:p>
        </w:tc>
        <w:tc>
          <w:tcPr>
            <w:tcW w:w="2180" w:type="dxa"/>
            <w:vAlign w:val="bottom"/>
            <w:shd w:val="clear" w:color="auto" w:fill="CCEEFF"/>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Nova DC Ventures, L.P.</w:t>
            </w:r>
          </w:p>
        </w:tc>
        <w:tc>
          <w:tcPr>
            <w:tcW w:w="218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Penguins OP Sub 2, LLC</w:t>
            </w:r>
          </w:p>
        </w:tc>
        <w:tc>
          <w:tcPr>
            <w:tcW w:w="2180" w:type="dxa"/>
            <w:vAlign w:val="bottom"/>
            <w:shd w:val="clear" w:color="auto" w:fill="CCEEFF"/>
          </w:tcPr>
          <w:p>
            <w:pPr>
              <w:jc w:val="center"/>
              <w:ind w:right="242"/>
              <w:spacing w:after="0"/>
              <w:rPr>
                <w:sz w:val="20"/>
                <w:szCs w:val="20"/>
                <w:color w:val="auto"/>
              </w:rPr>
            </w:pPr>
            <w:r>
              <w:rPr>
                <w:rFonts w:ascii="Times New Roman" w:cs="Times New Roman" w:eastAsia="Times New Roman" w:hAnsi="Times New Roman"/>
                <w:sz w:val="16"/>
                <w:szCs w:val="16"/>
                <w:color w:val="auto"/>
                <w:w w:val="99"/>
              </w:rPr>
              <w:t>Maryland</w:t>
            </w:r>
          </w:p>
        </w:tc>
        <w:tc>
          <w:tcPr>
            <w:tcW w:w="40" w:type="dxa"/>
            <w:vAlign w:val="bottom"/>
            <w:shd w:val="clear" w:color="auto" w:fill="CCEEFF"/>
          </w:tcPr>
          <w:p>
            <w:pPr>
              <w:spacing w:after="0"/>
              <w:rPr>
                <w:sz w:val="16"/>
                <w:szCs w:val="16"/>
                <w:color w:val="auto"/>
              </w:rPr>
            </w:pPr>
          </w:p>
        </w:tc>
      </w:tr>
      <w:tr>
        <w:trPr>
          <w:trHeight w:val="192"/>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Porpoise Ventures LLC</w:t>
            </w:r>
          </w:p>
        </w:tc>
        <w:tc>
          <w:tcPr>
            <w:tcW w:w="218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PT Digital Jakarta One</w:t>
            </w:r>
          </w:p>
        </w:tc>
        <w:tc>
          <w:tcPr>
            <w:tcW w:w="2180" w:type="dxa"/>
            <w:vAlign w:val="bottom"/>
            <w:shd w:val="clear" w:color="auto" w:fill="CCEEFF"/>
          </w:tcPr>
          <w:p>
            <w:pPr>
              <w:jc w:val="center"/>
              <w:ind w:right="242"/>
              <w:spacing w:after="0"/>
              <w:rPr>
                <w:sz w:val="20"/>
                <w:szCs w:val="20"/>
                <w:color w:val="auto"/>
              </w:rPr>
            </w:pPr>
            <w:r>
              <w:rPr>
                <w:rFonts w:ascii="Times New Roman" w:cs="Times New Roman" w:eastAsia="Times New Roman" w:hAnsi="Times New Roman"/>
                <w:sz w:val="16"/>
                <w:szCs w:val="16"/>
                <w:color w:val="auto"/>
                <w:w w:val="99"/>
              </w:rPr>
              <w:t>Indonesia</w:t>
            </w:r>
          </w:p>
        </w:tc>
        <w:tc>
          <w:tcPr>
            <w:tcW w:w="40" w:type="dxa"/>
            <w:vAlign w:val="bottom"/>
            <w:shd w:val="clear" w:color="auto" w:fill="CCEEFF"/>
          </w:tcPr>
          <w:p>
            <w:pPr>
              <w:spacing w:after="0"/>
              <w:rPr>
                <w:sz w:val="16"/>
                <w:szCs w:val="16"/>
                <w:color w:val="auto"/>
              </w:rPr>
            </w:pPr>
          </w:p>
        </w:tc>
      </w:tr>
      <w:tr>
        <w:trPr>
          <w:trHeight w:val="192"/>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PT Digital Realty Indonesia</w:t>
            </w:r>
          </w:p>
        </w:tc>
        <w:tc>
          <w:tcPr>
            <w:tcW w:w="218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9"/>
              </w:rPr>
              <w:t>Indonesia</w:t>
            </w:r>
          </w:p>
        </w:tc>
        <w:tc>
          <w:tcPr>
            <w:tcW w:w="40" w:type="dxa"/>
            <w:vAlign w:val="bottom"/>
          </w:tcPr>
          <w:p>
            <w:pPr>
              <w:spacing w:after="0"/>
              <w:rPr>
                <w:sz w:val="16"/>
                <w:szCs w:val="16"/>
                <w:color w:val="auto"/>
              </w:rPr>
            </w:pPr>
          </w:p>
        </w:tc>
      </w:tr>
      <w:tr>
        <w:trPr>
          <w:trHeight w:val="19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PT DLR Indonesia Venture</w:t>
            </w:r>
          </w:p>
        </w:tc>
        <w:tc>
          <w:tcPr>
            <w:tcW w:w="2180" w:type="dxa"/>
            <w:vAlign w:val="bottom"/>
            <w:shd w:val="clear" w:color="auto" w:fill="CCEEFF"/>
          </w:tcPr>
          <w:p>
            <w:pPr>
              <w:jc w:val="center"/>
              <w:ind w:right="242"/>
              <w:spacing w:after="0"/>
              <w:rPr>
                <w:sz w:val="20"/>
                <w:szCs w:val="20"/>
                <w:color w:val="auto"/>
              </w:rPr>
            </w:pPr>
            <w:r>
              <w:rPr>
                <w:rFonts w:ascii="Times New Roman" w:cs="Times New Roman" w:eastAsia="Times New Roman" w:hAnsi="Times New Roman"/>
                <w:sz w:val="16"/>
                <w:szCs w:val="16"/>
                <w:color w:val="auto"/>
                <w:w w:val="99"/>
              </w:rPr>
              <w:t>Indonesia</w:t>
            </w:r>
          </w:p>
        </w:tc>
        <w:tc>
          <w:tcPr>
            <w:tcW w:w="40" w:type="dxa"/>
            <w:vAlign w:val="bottom"/>
            <w:shd w:val="clear" w:color="auto" w:fill="CCEEFF"/>
          </w:tcPr>
          <w:p>
            <w:pPr>
              <w:spacing w:after="0"/>
              <w:rPr>
                <w:sz w:val="16"/>
                <w:szCs w:val="16"/>
                <w:color w:val="auto"/>
              </w:rPr>
            </w:pPr>
          </w:p>
        </w:tc>
      </w:tr>
      <w:tr>
        <w:trPr>
          <w:trHeight w:val="192"/>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Quill Equity LLC</w:t>
            </w:r>
          </w:p>
        </w:tc>
        <w:tc>
          <w:tcPr>
            <w:tcW w:w="218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RNZ 5027, LLC</w:t>
            </w:r>
          </w:p>
        </w:tc>
        <w:tc>
          <w:tcPr>
            <w:tcW w:w="2180" w:type="dxa"/>
            <w:vAlign w:val="bottom"/>
            <w:shd w:val="clear" w:color="auto" w:fill="CCEEFF"/>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Sentrum Holdings Limited</w:t>
            </w:r>
          </w:p>
        </w:tc>
        <w:tc>
          <w:tcPr>
            <w:tcW w:w="218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8"/>
              </w:rPr>
              <w:t>British Virgin Islands</w:t>
            </w:r>
          </w:p>
        </w:tc>
        <w:tc>
          <w:tcPr>
            <w:tcW w:w="40" w:type="dxa"/>
            <w:vAlign w:val="bottom"/>
          </w:tcPr>
          <w:p>
            <w:pPr>
              <w:spacing w:after="0"/>
              <w:rPr>
                <w:sz w:val="16"/>
                <w:szCs w:val="16"/>
                <w:color w:val="auto"/>
              </w:rPr>
            </w:pPr>
          </w:p>
        </w:tc>
      </w:tr>
      <w:tr>
        <w:trPr>
          <w:trHeight w:val="19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Sentrum IV Limited</w:t>
            </w:r>
          </w:p>
        </w:tc>
        <w:tc>
          <w:tcPr>
            <w:tcW w:w="2180" w:type="dxa"/>
            <w:vAlign w:val="bottom"/>
            <w:shd w:val="clear" w:color="auto" w:fill="CCEEFF"/>
          </w:tcPr>
          <w:p>
            <w:pPr>
              <w:jc w:val="center"/>
              <w:ind w:right="222"/>
              <w:spacing w:after="0"/>
              <w:rPr>
                <w:sz w:val="20"/>
                <w:szCs w:val="20"/>
                <w:color w:val="auto"/>
              </w:rPr>
            </w:pPr>
            <w:r>
              <w:rPr>
                <w:rFonts w:ascii="Times New Roman" w:cs="Times New Roman" w:eastAsia="Times New Roman" w:hAnsi="Times New Roman"/>
                <w:sz w:val="16"/>
                <w:szCs w:val="16"/>
                <w:color w:val="auto"/>
                <w:w w:val="98"/>
              </w:rPr>
              <w:t>British Virgin Islands</w:t>
            </w:r>
          </w:p>
        </w:tc>
        <w:tc>
          <w:tcPr>
            <w:tcW w:w="40" w:type="dxa"/>
            <w:vAlign w:val="bottom"/>
            <w:shd w:val="clear" w:color="auto" w:fill="CCEEFF"/>
          </w:tcPr>
          <w:p>
            <w:pPr>
              <w:spacing w:after="0"/>
              <w:rPr>
                <w:sz w:val="16"/>
                <w:szCs w:val="16"/>
                <w:color w:val="auto"/>
              </w:rPr>
            </w:pPr>
          </w:p>
        </w:tc>
      </w:tr>
      <w:tr>
        <w:trPr>
          <w:trHeight w:val="192"/>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Sixth &amp; Virginia Holdings, LLC</w:t>
            </w:r>
          </w:p>
        </w:tc>
        <w:tc>
          <w:tcPr>
            <w:tcW w:w="218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Sixth &amp; Virginia Properties</w:t>
            </w:r>
          </w:p>
        </w:tc>
        <w:tc>
          <w:tcPr>
            <w:tcW w:w="2180" w:type="dxa"/>
            <w:vAlign w:val="bottom"/>
            <w:shd w:val="clear" w:color="auto" w:fill="CCEEFF"/>
          </w:tcPr>
          <w:p>
            <w:pPr>
              <w:jc w:val="center"/>
              <w:ind w:right="242"/>
              <w:spacing w:after="0"/>
              <w:rPr>
                <w:sz w:val="20"/>
                <w:szCs w:val="20"/>
                <w:color w:val="auto"/>
              </w:rPr>
            </w:pPr>
            <w:r>
              <w:rPr>
                <w:rFonts w:ascii="Times New Roman" w:cs="Times New Roman" w:eastAsia="Times New Roman" w:hAnsi="Times New Roman"/>
                <w:sz w:val="16"/>
                <w:szCs w:val="16"/>
                <w:color w:val="auto"/>
                <w:w w:val="95"/>
              </w:rPr>
              <w:t>Washington</w:t>
            </w:r>
          </w:p>
        </w:tc>
        <w:tc>
          <w:tcPr>
            <w:tcW w:w="40" w:type="dxa"/>
            <w:vAlign w:val="bottom"/>
            <w:shd w:val="clear" w:color="auto" w:fill="CCEEFF"/>
          </w:tcPr>
          <w:p>
            <w:pPr>
              <w:spacing w:after="0"/>
              <w:rPr>
                <w:sz w:val="16"/>
                <w:szCs w:val="16"/>
                <w:color w:val="auto"/>
              </w:rPr>
            </w:pPr>
          </w:p>
        </w:tc>
      </w:tr>
      <w:tr>
        <w:trPr>
          <w:trHeight w:val="192"/>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Sovereign House Jersey Limited</w:t>
            </w:r>
          </w:p>
        </w:tc>
        <w:tc>
          <w:tcPr>
            <w:tcW w:w="218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9"/>
              </w:rPr>
              <w:t>Jersey</w:t>
            </w:r>
          </w:p>
        </w:tc>
        <w:tc>
          <w:tcPr>
            <w:tcW w:w="40" w:type="dxa"/>
            <w:vAlign w:val="bottom"/>
          </w:tcPr>
          <w:p>
            <w:pPr>
              <w:spacing w:after="0"/>
              <w:rPr>
                <w:sz w:val="16"/>
                <w:szCs w:val="16"/>
                <w:color w:val="auto"/>
              </w:rPr>
            </w:pPr>
          </w:p>
        </w:tc>
      </w:tr>
      <w:tr>
        <w:trPr>
          <w:trHeight w:val="19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Spring Investco 2014 (RF) Proprietary Limited</w:t>
            </w:r>
          </w:p>
        </w:tc>
        <w:tc>
          <w:tcPr>
            <w:tcW w:w="2180" w:type="dxa"/>
            <w:vAlign w:val="bottom"/>
            <w:shd w:val="clear" w:color="auto" w:fill="CCEEFF"/>
          </w:tcPr>
          <w:p>
            <w:pPr>
              <w:jc w:val="center"/>
              <w:ind w:right="222"/>
              <w:spacing w:after="0"/>
              <w:rPr>
                <w:sz w:val="20"/>
                <w:szCs w:val="20"/>
                <w:color w:val="auto"/>
              </w:rPr>
            </w:pPr>
            <w:r>
              <w:rPr>
                <w:rFonts w:ascii="Times New Roman" w:cs="Times New Roman" w:eastAsia="Times New Roman" w:hAnsi="Times New Roman"/>
                <w:sz w:val="16"/>
                <w:szCs w:val="16"/>
                <w:color w:val="auto"/>
                <w:w w:val="97"/>
              </w:rPr>
              <w:t>South Africa</w:t>
            </w:r>
          </w:p>
        </w:tc>
        <w:tc>
          <w:tcPr>
            <w:tcW w:w="40" w:type="dxa"/>
            <w:vAlign w:val="bottom"/>
            <w:shd w:val="clear" w:color="auto" w:fill="CCEEFF"/>
          </w:tcPr>
          <w:p>
            <w:pPr>
              <w:spacing w:after="0"/>
              <w:rPr>
                <w:sz w:val="16"/>
                <w:szCs w:val="16"/>
                <w:color w:val="auto"/>
              </w:rPr>
            </w:pPr>
          </w:p>
        </w:tc>
      </w:tr>
      <w:tr>
        <w:trPr>
          <w:trHeight w:val="192"/>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Stellar Canada Holding, LLC</w:t>
            </w:r>
          </w:p>
        </w:tc>
        <w:tc>
          <w:tcPr>
            <w:tcW w:w="218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9"/>
              </w:rPr>
              <w:t>Maryland</w:t>
            </w:r>
          </w:p>
        </w:tc>
        <w:tc>
          <w:tcPr>
            <w:tcW w:w="40" w:type="dxa"/>
            <w:vAlign w:val="bottom"/>
          </w:tcPr>
          <w:p>
            <w:pPr>
              <w:spacing w:after="0"/>
              <w:rPr>
                <w:sz w:val="16"/>
                <w:szCs w:val="16"/>
                <w:color w:val="auto"/>
              </w:rPr>
            </w:pPr>
          </w:p>
        </w:tc>
      </w:tr>
      <w:tr>
        <w:trPr>
          <w:trHeight w:val="19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Stellar JV GP, LLC</w:t>
            </w:r>
          </w:p>
        </w:tc>
        <w:tc>
          <w:tcPr>
            <w:tcW w:w="2180" w:type="dxa"/>
            <w:vAlign w:val="bottom"/>
            <w:shd w:val="clear" w:color="auto" w:fill="CCEEFF"/>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Stellar JV, LP</w:t>
            </w:r>
          </w:p>
        </w:tc>
        <w:tc>
          <w:tcPr>
            <w:tcW w:w="218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8"/>
              </w:rPr>
              <w:t>Ontario</w:t>
            </w:r>
          </w:p>
        </w:tc>
        <w:tc>
          <w:tcPr>
            <w:tcW w:w="40" w:type="dxa"/>
            <w:vAlign w:val="bottom"/>
          </w:tcPr>
          <w:p>
            <w:pPr>
              <w:spacing w:after="0"/>
              <w:rPr>
                <w:sz w:val="16"/>
                <w:szCs w:val="16"/>
                <w:color w:val="auto"/>
              </w:rPr>
            </w:pPr>
          </w:p>
        </w:tc>
      </w:tr>
      <w:tr>
        <w:trPr>
          <w:trHeight w:val="19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Storm ICT Outsourcing S.A.</w:t>
            </w:r>
          </w:p>
        </w:tc>
        <w:tc>
          <w:tcPr>
            <w:tcW w:w="2180" w:type="dxa"/>
            <w:vAlign w:val="bottom"/>
            <w:shd w:val="clear" w:color="auto" w:fill="CCEEFF"/>
          </w:tcPr>
          <w:p>
            <w:pPr>
              <w:jc w:val="center"/>
              <w:ind w:right="222"/>
              <w:spacing w:after="0"/>
              <w:rPr>
                <w:sz w:val="20"/>
                <w:szCs w:val="20"/>
                <w:color w:val="auto"/>
              </w:rPr>
            </w:pPr>
            <w:r>
              <w:rPr>
                <w:rFonts w:ascii="Times New Roman" w:cs="Times New Roman" w:eastAsia="Times New Roman" w:hAnsi="Times New Roman"/>
                <w:sz w:val="16"/>
                <w:szCs w:val="16"/>
                <w:color w:val="auto"/>
                <w:w w:val="97"/>
              </w:rPr>
              <w:t>Greece</w:t>
            </w:r>
          </w:p>
        </w:tc>
        <w:tc>
          <w:tcPr>
            <w:tcW w:w="40" w:type="dxa"/>
            <w:vAlign w:val="bottom"/>
            <w:shd w:val="clear" w:color="auto" w:fill="CCEEFF"/>
          </w:tcPr>
          <w:p>
            <w:pPr>
              <w:spacing w:after="0"/>
              <w:rPr>
                <w:sz w:val="16"/>
                <w:szCs w:val="16"/>
                <w:color w:val="auto"/>
              </w:rPr>
            </w:pPr>
          </w:p>
        </w:tc>
      </w:tr>
      <w:tr>
        <w:trPr>
          <w:trHeight w:val="192"/>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Tarantula Ventures LLC</w:t>
            </w:r>
          </w:p>
        </w:tc>
        <w:tc>
          <w:tcPr>
            <w:tcW w:w="218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TDE Investments Proprietary Limited</w:t>
            </w:r>
          </w:p>
        </w:tc>
        <w:tc>
          <w:tcPr>
            <w:tcW w:w="2180" w:type="dxa"/>
            <w:vAlign w:val="bottom"/>
            <w:shd w:val="clear" w:color="auto" w:fill="CCEEFF"/>
          </w:tcPr>
          <w:p>
            <w:pPr>
              <w:jc w:val="center"/>
              <w:ind w:right="222"/>
              <w:spacing w:after="0"/>
              <w:rPr>
                <w:sz w:val="20"/>
                <w:szCs w:val="20"/>
                <w:color w:val="auto"/>
              </w:rPr>
            </w:pPr>
            <w:r>
              <w:rPr>
                <w:rFonts w:ascii="Times New Roman" w:cs="Times New Roman" w:eastAsia="Times New Roman" w:hAnsi="Times New Roman"/>
                <w:sz w:val="16"/>
                <w:szCs w:val="16"/>
                <w:color w:val="auto"/>
                <w:w w:val="97"/>
              </w:rPr>
              <w:t>South Africa</w:t>
            </w:r>
          </w:p>
        </w:tc>
        <w:tc>
          <w:tcPr>
            <w:tcW w:w="40" w:type="dxa"/>
            <w:vAlign w:val="bottom"/>
            <w:shd w:val="clear" w:color="auto" w:fill="CCEEFF"/>
          </w:tcPr>
          <w:p>
            <w:pPr>
              <w:spacing w:after="0"/>
              <w:rPr>
                <w:sz w:val="16"/>
                <w:szCs w:val="16"/>
                <w:color w:val="auto"/>
              </w:rPr>
            </w:pPr>
          </w:p>
        </w:tc>
      </w:tr>
      <w:tr>
        <w:trPr>
          <w:trHeight w:val="192"/>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Technologies Company LLC</w:t>
            </w:r>
          </w:p>
        </w:tc>
        <w:tc>
          <w:tcPr>
            <w:tcW w:w="218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5"/>
              </w:rPr>
              <w:t>Washington</w:t>
            </w:r>
          </w:p>
        </w:tc>
        <w:tc>
          <w:tcPr>
            <w:tcW w:w="40" w:type="dxa"/>
            <w:vAlign w:val="bottom"/>
          </w:tcPr>
          <w:p>
            <w:pPr>
              <w:spacing w:after="0"/>
              <w:rPr>
                <w:sz w:val="16"/>
                <w:szCs w:val="16"/>
                <w:color w:val="auto"/>
              </w:rPr>
            </w:pPr>
          </w:p>
        </w:tc>
      </w:tr>
      <w:tr>
        <w:trPr>
          <w:trHeight w:val="19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Telx - Charlotte, LLC</w:t>
            </w:r>
          </w:p>
        </w:tc>
        <w:tc>
          <w:tcPr>
            <w:tcW w:w="2180" w:type="dxa"/>
            <w:vAlign w:val="bottom"/>
            <w:shd w:val="clear" w:color="auto" w:fill="CCEEFF"/>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Telx - Chicago Federal, LLC</w:t>
            </w:r>
          </w:p>
        </w:tc>
        <w:tc>
          <w:tcPr>
            <w:tcW w:w="218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Telx - Chicago Lakeside, LLC</w:t>
            </w:r>
          </w:p>
        </w:tc>
        <w:tc>
          <w:tcPr>
            <w:tcW w:w="2180" w:type="dxa"/>
            <w:vAlign w:val="bottom"/>
            <w:shd w:val="clear" w:color="auto" w:fill="CCEEFF"/>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Telx - Clifton, LLC</w:t>
            </w:r>
          </w:p>
        </w:tc>
        <w:tc>
          <w:tcPr>
            <w:tcW w:w="218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Telx - Clifton-I, LLC</w:t>
            </w:r>
          </w:p>
        </w:tc>
        <w:tc>
          <w:tcPr>
            <w:tcW w:w="2180" w:type="dxa"/>
            <w:vAlign w:val="bottom"/>
            <w:shd w:val="clear" w:color="auto" w:fill="CCEEFF"/>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Telx - Dallas, LLC</w:t>
            </w:r>
          </w:p>
        </w:tc>
        <w:tc>
          <w:tcPr>
            <w:tcW w:w="218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Telx - Los Angeles, LLC</w:t>
            </w:r>
          </w:p>
        </w:tc>
        <w:tc>
          <w:tcPr>
            <w:tcW w:w="2180" w:type="dxa"/>
            <w:vAlign w:val="bottom"/>
            <w:shd w:val="clear" w:color="auto" w:fill="CCEEFF"/>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Telx - Miami, LLC</w:t>
            </w:r>
          </w:p>
        </w:tc>
        <w:tc>
          <w:tcPr>
            <w:tcW w:w="218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Telx - New York 6th Ave LLC</w:t>
            </w:r>
          </w:p>
        </w:tc>
        <w:tc>
          <w:tcPr>
            <w:tcW w:w="2180" w:type="dxa"/>
            <w:vAlign w:val="bottom"/>
            <w:shd w:val="clear" w:color="auto" w:fill="CCEEFF"/>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telx - New York, LLC</w:t>
            </w:r>
          </w:p>
        </w:tc>
        <w:tc>
          <w:tcPr>
            <w:tcW w:w="218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Telx - Phoenix, LLC</w:t>
            </w:r>
          </w:p>
        </w:tc>
        <w:tc>
          <w:tcPr>
            <w:tcW w:w="2180" w:type="dxa"/>
            <w:vAlign w:val="bottom"/>
            <w:shd w:val="clear" w:color="auto" w:fill="CCEEFF"/>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Telx - Portland, LLC</w:t>
            </w:r>
          </w:p>
        </w:tc>
        <w:tc>
          <w:tcPr>
            <w:tcW w:w="218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Telx - San Francisco, LLC</w:t>
            </w:r>
          </w:p>
        </w:tc>
        <w:tc>
          <w:tcPr>
            <w:tcW w:w="2180" w:type="dxa"/>
            <w:vAlign w:val="bottom"/>
            <w:shd w:val="clear" w:color="auto" w:fill="CCEEFF"/>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Telx - Santa Clara, LLC</w:t>
            </w:r>
          </w:p>
        </w:tc>
        <w:tc>
          <w:tcPr>
            <w:tcW w:w="218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Telx - Weehawken, LLC</w:t>
            </w:r>
          </w:p>
        </w:tc>
        <w:tc>
          <w:tcPr>
            <w:tcW w:w="2180" w:type="dxa"/>
            <w:vAlign w:val="bottom"/>
            <w:shd w:val="clear" w:color="auto" w:fill="CCEEFF"/>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Telx Ashburn, LLC</w:t>
            </w:r>
          </w:p>
        </w:tc>
        <w:tc>
          <w:tcPr>
            <w:tcW w:w="218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Telx Atlanta 2, LLC</w:t>
            </w:r>
          </w:p>
        </w:tc>
        <w:tc>
          <w:tcPr>
            <w:tcW w:w="2180" w:type="dxa"/>
            <w:vAlign w:val="bottom"/>
            <w:shd w:val="clear" w:color="auto" w:fill="CCEEFF"/>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203"/>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Telx Boston, LLC</w:t>
            </w:r>
          </w:p>
        </w:tc>
        <w:tc>
          <w:tcPr>
            <w:tcW w:w="218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7"/>
                <w:szCs w:val="17"/>
                <w:color w:val="auto"/>
              </w:rPr>
            </w:pPr>
          </w:p>
        </w:tc>
      </w:tr>
      <w:tr>
        <w:trPr>
          <w:trHeight w:val="473"/>
        </w:trPr>
        <w:tc>
          <w:tcPr>
            <w:tcW w:w="58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40" w:orient="portrait"/>
          <w:cols w:equalWidth="0" w:num="1">
            <w:col w:w="9020"/>
          </w:cols>
          <w:pgMar w:left="1440" w:top="555" w:right="1440" w:bottom="1440" w:gutter="0" w:footer="0" w:header="0"/>
        </w:sectPr>
      </w:pPr>
    </w:p>
    <w:bookmarkStart w:id="535" w:name="page536"/>
    <w:bookmarkEnd w:id="535"/>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Exhibit 21.1</w:t>
      </w:r>
    </w:p>
    <w:p>
      <w:pPr>
        <w:spacing w:after="0" w:line="16" w:lineRule="exact"/>
        <w:rPr>
          <w:sz w:val="20"/>
          <w:szCs w:val="20"/>
          <w:color w:val="auto"/>
        </w:rPr>
      </w:pPr>
    </w:p>
    <w:tbl>
      <w:tblPr>
        <w:tblLayout w:type="fixed"/>
        <w:tblInd w:w="460" w:type="dxa"/>
        <w:tblCellMar>
          <w:top w:w="0" w:type="dxa"/>
          <w:left w:w="0" w:type="dxa"/>
          <w:bottom w:w="0" w:type="dxa"/>
          <w:right w:w="0" w:type="dxa"/>
        </w:tblCellMar>
      </w:tblPr>
      <w:tr>
        <w:trPr>
          <w:trHeight w:val="205"/>
        </w:trPr>
        <w:tc>
          <w:tcPr>
            <w:tcW w:w="6000" w:type="dxa"/>
            <w:vAlign w:val="bottom"/>
          </w:tcPr>
          <w:p>
            <w:pPr>
              <w:ind w:left="2480"/>
              <w:spacing w:after="0"/>
              <w:rPr>
                <w:sz w:val="20"/>
                <w:szCs w:val="20"/>
                <w:color w:val="auto"/>
              </w:rPr>
            </w:pPr>
            <w:r>
              <w:rPr>
                <w:rFonts w:ascii="Times New Roman" w:cs="Times New Roman" w:eastAsia="Times New Roman" w:hAnsi="Times New Roman"/>
                <w:sz w:val="16"/>
                <w:szCs w:val="16"/>
                <w:b w:val="1"/>
                <w:bCs w:val="1"/>
                <w:color w:val="auto"/>
              </w:rPr>
              <w:t>List of Subsidiaries of Digital Realty Trust, Inc.</w:t>
            </w:r>
          </w:p>
        </w:tc>
        <w:tc>
          <w:tcPr>
            <w:tcW w:w="20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86"/>
        </w:trPr>
        <w:tc>
          <w:tcPr>
            <w:tcW w:w="60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2"/>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Telx Grand Avenue, LLC</w:t>
            </w:r>
          </w:p>
        </w:tc>
        <w:tc>
          <w:tcPr>
            <w:tcW w:w="2060" w:type="dxa"/>
            <w:vAlign w:val="bottom"/>
            <w:shd w:val="clear" w:color="auto" w:fill="CCEEFF"/>
          </w:tcPr>
          <w:p>
            <w:pPr>
              <w:jc w:val="center"/>
              <w:ind w:right="3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Telx New York 111 8th, LLC</w:t>
            </w:r>
          </w:p>
        </w:tc>
        <w:tc>
          <w:tcPr>
            <w:tcW w:w="2060" w:type="dxa"/>
            <w:vAlign w:val="bottom"/>
          </w:tcPr>
          <w:p>
            <w:pPr>
              <w:jc w:val="center"/>
              <w:ind w:right="3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Telx Real Estate Holdings, LLC</w:t>
            </w:r>
          </w:p>
        </w:tc>
        <w:tc>
          <w:tcPr>
            <w:tcW w:w="2060" w:type="dxa"/>
            <w:vAlign w:val="bottom"/>
            <w:shd w:val="clear" w:color="auto" w:fill="CCEEFF"/>
          </w:tcPr>
          <w:p>
            <w:pPr>
              <w:jc w:val="center"/>
              <w:ind w:right="3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Telx Richardson, LLC</w:t>
            </w:r>
          </w:p>
        </w:tc>
        <w:tc>
          <w:tcPr>
            <w:tcW w:w="2060" w:type="dxa"/>
            <w:vAlign w:val="bottom"/>
          </w:tcPr>
          <w:p>
            <w:pPr>
              <w:jc w:val="center"/>
              <w:ind w:right="3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Telx, LLC</w:t>
            </w:r>
          </w:p>
        </w:tc>
        <w:tc>
          <w:tcPr>
            <w:tcW w:w="2060" w:type="dxa"/>
            <w:vAlign w:val="bottom"/>
            <w:shd w:val="clear" w:color="auto" w:fill="CCEEFF"/>
          </w:tcPr>
          <w:p>
            <w:pPr>
              <w:jc w:val="center"/>
              <w:ind w:right="3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Teraco Connect Holdco (RF) Proprietary Limited</w:t>
            </w:r>
          </w:p>
        </w:tc>
        <w:tc>
          <w:tcPr>
            <w:tcW w:w="2060" w:type="dxa"/>
            <w:vAlign w:val="bottom"/>
          </w:tcPr>
          <w:p>
            <w:pPr>
              <w:jc w:val="center"/>
              <w:ind w:right="342"/>
              <w:spacing w:after="0"/>
              <w:rPr>
                <w:sz w:val="20"/>
                <w:szCs w:val="20"/>
                <w:color w:val="auto"/>
              </w:rPr>
            </w:pPr>
            <w:r>
              <w:rPr>
                <w:rFonts w:ascii="Times New Roman" w:cs="Times New Roman" w:eastAsia="Times New Roman" w:hAnsi="Times New Roman"/>
                <w:sz w:val="16"/>
                <w:szCs w:val="16"/>
                <w:color w:val="auto"/>
                <w:w w:val="97"/>
              </w:rPr>
              <w:t>South Africa</w:t>
            </w:r>
          </w:p>
        </w:tc>
        <w:tc>
          <w:tcPr>
            <w:tcW w:w="40" w:type="dxa"/>
            <w:vAlign w:val="bottom"/>
          </w:tcPr>
          <w:p>
            <w:pPr>
              <w:spacing w:after="0"/>
              <w:rPr>
                <w:sz w:val="16"/>
                <w:szCs w:val="16"/>
                <w:color w:val="auto"/>
              </w:rPr>
            </w:pPr>
          </w:p>
        </w:tc>
      </w:tr>
      <w:tr>
        <w:trPr>
          <w:trHeight w:val="192"/>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Teraco Connect SubCo (RF) Proprietary Limited</w:t>
            </w:r>
          </w:p>
        </w:tc>
        <w:tc>
          <w:tcPr>
            <w:tcW w:w="2060" w:type="dxa"/>
            <w:vAlign w:val="bottom"/>
            <w:shd w:val="clear" w:color="auto" w:fill="CCEEFF"/>
          </w:tcPr>
          <w:p>
            <w:pPr>
              <w:jc w:val="center"/>
              <w:ind w:right="342"/>
              <w:spacing w:after="0"/>
              <w:rPr>
                <w:sz w:val="20"/>
                <w:szCs w:val="20"/>
                <w:color w:val="auto"/>
              </w:rPr>
            </w:pPr>
            <w:r>
              <w:rPr>
                <w:rFonts w:ascii="Times New Roman" w:cs="Times New Roman" w:eastAsia="Times New Roman" w:hAnsi="Times New Roman"/>
                <w:sz w:val="16"/>
                <w:szCs w:val="16"/>
                <w:color w:val="auto"/>
                <w:w w:val="97"/>
              </w:rPr>
              <w:t>South Africa</w:t>
            </w:r>
          </w:p>
        </w:tc>
        <w:tc>
          <w:tcPr>
            <w:tcW w:w="40" w:type="dxa"/>
            <w:vAlign w:val="bottom"/>
            <w:shd w:val="clear" w:color="auto" w:fill="CCEEFF"/>
          </w:tcPr>
          <w:p>
            <w:pPr>
              <w:spacing w:after="0"/>
              <w:rPr>
                <w:sz w:val="16"/>
                <w:szCs w:val="16"/>
                <w:color w:val="auto"/>
              </w:rPr>
            </w:pPr>
          </w:p>
        </w:tc>
      </w:tr>
      <w:tr>
        <w:trPr>
          <w:trHeight w:val="192"/>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Teraco Data Environments Proprietary Limited</w:t>
            </w:r>
          </w:p>
        </w:tc>
        <w:tc>
          <w:tcPr>
            <w:tcW w:w="2060" w:type="dxa"/>
            <w:vAlign w:val="bottom"/>
          </w:tcPr>
          <w:p>
            <w:pPr>
              <w:jc w:val="center"/>
              <w:ind w:right="342"/>
              <w:spacing w:after="0"/>
              <w:rPr>
                <w:sz w:val="20"/>
                <w:szCs w:val="20"/>
                <w:color w:val="auto"/>
              </w:rPr>
            </w:pPr>
            <w:r>
              <w:rPr>
                <w:rFonts w:ascii="Times New Roman" w:cs="Times New Roman" w:eastAsia="Times New Roman" w:hAnsi="Times New Roman"/>
                <w:sz w:val="16"/>
                <w:szCs w:val="16"/>
                <w:color w:val="auto"/>
                <w:w w:val="97"/>
              </w:rPr>
              <w:t>South Africa</w:t>
            </w:r>
          </w:p>
        </w:tc>
        <w:tc>
          <w:tcPr>
            <w:tcW w:w="40" w:type="dxa"/>
            <w:vAlign w:val="bottom"/>
          </w:tcPr>
          <w:p>
            <w:pPr>
              <w:spacing w:after="0"/>
              <w:rPr>
                <w:sz w:val="16"/>
                <w:szCs w:val="16"/>
                <w:color w:val="auto"/>
              </w:rPr>
            </w:pPr>
          </w:p>
        </w:tc>
      </w:tr>
      <w:tr>
        <w:trPr>
          <w:trHeight w:val="192"/>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Teraco Properties Proprietary Limited</w:t>
            </w:r>
          </w:p>
        </w:tc>
        <w:tc>
          <w:tcPr>
            <w:tcW w:w="2060" w:type="dxa"/>
            <w:vAlign w:val="bottom"/>
            <w:shd w:val="clear" w:color="auto" w:fill="CCEEFF"/>
          </w:tcPr>
          <w:p>
            <w:pPr>
              <w:jc w:val="center"/>
              <w:ind w:right="342"/>
              <w:spacing w:after="0"/>
              <w:rPr>
                <w:sz w:val="20"/>
                <w:szCs w:val="20"/>
                <w:color w:val="auto"/>
              </w:rPr>
            </w:pPr>
            <w:r>
              <w:rPr>
                <w:rFonts w:ascii="Times New Roman" w:cs="Times New Roman" w:eastAsia="Times New Roman" w:hAnsi="Times New Roman"/>
                <w:sz w:val="16"/>
                <w:szCs w:val="16"/>
                <w:color w:val="auto"/>
                <w:w w:val="97"/>
              </w:rPr>
              <w:t>South Africa</w:t>
            </w:r>
          </w:p>
        </w:tc>
        <w:tc>
          <w:tcPr>
            <w:tcW w:w="40" w:type="dxa"/>
            <w:vAlign w:val="bottom"/>
            <w:shd w:val="clear" w:color="auto" w:fill="CCEEFF"/>
          </w:tcPr>
          <w:p>
            <w:pPr>
              <w:spacing w:after="0"/>
              <w:rPr>
                <w:sz w:val="16"/>
                <w:szCs w:val="16"/>
                <w:color w:val="auto"/>
              </w:rPr>
            </w:pPr>
          </w:p>
        </w:tc>
      </w:tr>
      <w:tr>
        <w:trPr>
          <w:trHeight w:val="192"/>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The Sentinel-Needham Primary Condominium Trust</w:t>
            </w:r>
          </w:p>
        </w:tc>
        <w:tc>
          <w:tcPr>
            <w:tcW w:w="2060" w:type="dxa"/>
            <w:vAlign w:val="bottom"/>
          </w:tcPr>
          <w:p>
            <w:pPr>
              <w:jc w:val="center"/>
              <w:ind w:right="362"/>
              <w:spacing w:after="0"/>
              <w:rPr>
                <w:sz w:val="20"/>
                <w:szCs w:val="20"/>
                <w:color w:val="auto"/>
              </w:rPr>
            </w:pPr>
            <w:r>
              <w:rPr>
                <w:rFonts w:ascii="Times New Roman" w:cs="Times New Roman" w:eastAsia="Times New Roman" w:hAnsi="Times New Roman"/>
                <w:sz w:val="16"/>
                <w:szCs w:val="16"/>
                <w:color w:val="auto"/>
                <w:w w:val="97"/>
              </w:rPr>
              <w:t>Massachusetts</w:t>
            </w:r>
          </w:p>
        </w:tc>
        <w:tc>
          <w:tcPr>
            <w:tcW w:w="40" w:type="dxa"/>
            <w:vAlign w:val="bottom"/>
          </w:tcPr>
          <w:p>
            <w:pPr>
              <w:spacing w:after="0"/>
              <w:rPr>
                <w:sz w:val="16"/>
                <w:szCs w:val="16"/>
                <w:color w:val="auto"/>
              </w:rPr>
            </w:pPr>
          </w:p>
        </w:tc>
      </w:tr>
      <w:tr>
        <w:trPr>
          <w:trHeight w:val="192"/>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Troyius, LLC</w:t>
            </w:r>
          </w:p>
        </w:tc>
        <w:tc>
          <w:tcPr>
            <w:tcW w:w="2060" w:type="dxa"/>
            <w:vAlign w:val="bottom"/>
            <w:shd w:val="clear" w:color="auto" w:fill="CCEEFF"/>
          </w:tcPr>
          <w:p>
            <w:pPr>
              <w:jc w:val="center"/>
              <w:ind w:right="3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Viridi Data Paris 2 SAS</w:t>
            </w:r>
          </w:p>
        </w:tc>
        <w:tc>
          <w:tcPr>
            <w:tcW w:w="2060" w:type="dxa"/>
            <w:vAlign w:val="bottom"/>
          </w:tcPr>
          <w:p>
            <w:pPr>
              <w:jc w:val="center"/>
              <w:ind w:right="362"/>
              <w:spacing w:after="0"/>
              <w:rPr>
                <w:sz w:val="20"/>
                <w:szCs w:val="20"/>
                <w:color w:val="auto"/>
              </w:rPr>
            </w:pPr>
            <w:r>
              <w:rPr>
                <w:rFonts w:ascii="Times New Roman" w:cs="Times New Roman" w:eastAsia="Times New Roman" w:hAnsi="Times New Roman"/>
                <w:sz w:val="16"/>
                <w:szCs w:val="16"/>
                <w:color w:val="auto"/>
                <w:w w:val="96"/>
              </w:rPr>
              <w:t>France</w:t>
            </w:r>
          </w:p>
        </w:tc>
        <w:tc>
          <w:tcPr>
            <w:tcW w:w="40" w:type="dxa"/>
            <w:vAlign w:val="bottom"/>
          </w:tcPr>
          <w:p>
            <w:pPr>
              <w:spacing w:after="0"/>
              <w:rPr>
                <w:sz w:val="16"/>
                <w:szCs w:val="16"/>
                <w:color w:val="auto"/>
              </w:rPr>
            </w:pPr>
          </w:p>
        </w:tc>
      </w:tr>
      <w:tr>
        <w:trPr>
          <w:trHeight w:val="192"/>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Waspar Limited</w:t>
            </w:r>
          </w:p>
        </w:tc>
        <w:tc>
          <w:tcPr>
            <w:tcW w:w="2060" w:type="dxa"/>
            <w:vAlign w:val="bottom"/>
            <w:shd w:val="clear" w:color="auto" w:fill="CCEEFF"/>
          </w:tcPr>
          <w:p>
            <w:pPr>
              <w:jc w:val="center"/>
              <w:ind w:right="342"/>
              <w:spacing w:after="0"/>
              <w:rPr>
                <w:sz w:val="20"/>
                <w:szCs w:val="20"/>
                <w:color w:val="auto"/>
              </w:rPr>
            </w:pPr>
            <w:r>
              <w:rPr>
                <w:rFonts w:ascii="Times New Roman" w:cs="Times New Roman" w:eastAsia="Times New Roman" w:hAnsi="Times New Roman"/>
                <w:sz w:val="16"/>
                <w:szCs w:val="16"/>
                <w:color w:val="auto"/>
                <w:w w:val="96"/>
              </w:rPr>
              <w:t>Ireland</w:t>
            </w:r>
          </w:p>
        </w:tc>
        <w:tc>
          <w:tcPr>
            <w:tcW w:w="40" w:type="dxa"/>
            <w:vAlign w:val="bottom"/>
            <w:shd w:val="clear" w:color="auto" w:fill="CCEEFF"/>
          </w:tcPr>
          <w:p>
            <w:pPr>
              <w:spacing w:after="0"/>
              <w:rPr>
                <w:sz w:val="16"/>
                <w:szCs w:val="16"/>
                <w:color w:val="auto"/>
              </w:rPr>
            </w:pPr>
          </w:p>
        </w:tc>
      </w:tr>
      <w:tr>
        <w:trPr>
          <w:trHeight w:val="192"/>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Xeres Management LLC</w:t>
            </w:r>
          </w:p>
        </w:tc>
        <w:tc>
          <w:tcPr>
            <w:tcW w:w="2060" w:type="dxa"/>
            <w:vAlign w:val="bottom"/>
          </w:tcPr>
          <w:p>
            <w:pPr>
              <w:jc w:val="center"/>
              <w:ind w:right="3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Xeres Ventures LP</w:t>
            </w:r>
          </w:p>
        </w:tc>
        <w:tc>
          <w:tcPr>
            <w:tcW w:w="2060" w:type="dxa"/>
            <w:vAlign w:val="bottom"/>
            <w:shd w:val="clear" w:color="auto" w:fill="CCEEFF"/>
          </w:tcPr>
          <w:p>
            <w:pPr>
              <w:jc w:val="center"/>
              <w:ind w:right="3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203"/>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Yak Ventures LLC</w:t>
            </w:r>
          </w:p>
        </w:tc>
        <w:tc>
          <w:tcPr>
            <w:tcW w:w="2060" w:type="dxa"/>
            <w:vAlign w:val="bottom"/>
          </w:tcPr>
          <w:p>
            <w:pPr>
              <w:jc w:val="center"/>
              <w:ind w:right="3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7"/>
                <w:szCs w:val="17"/>
                <w:color w:val="auto"/>
              </w:rPr>
            </w:pPr>
          </w:p>
        </w:tc>
      </w:tr>
      <w:tr>
        <w:trPr>
          <w:trHeight w:val="701"/>
        </w:trPr>
        <w:tc>
          <w:tcPr>
            <w:tcW w:w="60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40" w:orient="portrait"/>
          <w:cols w:equalWidth="0" w:num="1">
            <w:col w:w="9020"/>
          </w:cols>
          <w:pgMar w:left="1440" w:top="555" w:right="1440" w:bottom="1440" w:gutter="0" w:footer="0" w:header="0"/>
        </w:sectPr>
      </w:pPr>
    </w:p>
    <w:bookmarkStart w:id="536" w:name="page537"/>
    <w:bookmarkEnd w:id="536"/>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184"/>
        </w:trPr>
        <w:tc>
          <w:tcPr>
            <w:tcW w:w="4980" w:type="dxa"/>
            <w:vAlign w:val="bottom"/>
          </w:tcPr>
          <w:p>
            <w:pPr>
              <w:spacing w:after="0"/>
              <w:rPr>
                <w:sz w:val="16"/>
                <w:szCs w:val="16"/>
                <w:color w:val="auto"/>
              </w:rPr>
            </w:pPr>
          </w:p>
        </w:tc>
        <w:tc>
          <w:tcPr>
            <w:tcW w:w="3120" w:type="dxa"/>
            <w:vAlign w:val="bottom"/>
            <w:gridSpan w:val="2"/>
          </w:tcPr>
          <w:p>
            <w:pPr>
              <w:ind w:left="2300"/>
              <w:spacing w:after="0"/>
              <w:rPr>
                <w:sz w:val="20"/>
                <w:szCs w:val="20"/>
                <w:color w:val="auto"/>
              </w:rPr>
            </w:pPr>
            <w:r>
              <w:rPr>
                <w:rFonts w:ascii="Times New Roman" w:cs="Times New Roman" w:eastAsia="Times New Roman" w:hAnsi="Times New Roman"/>
                <w:sz w:val="16"/>
                <w:szCs w:val="16"/>
                <w:b w:val="1"/>
                <w:bCs w:val="1"/>
                <w:color w:val="auto"/>
                <w:w w:val="96"/>
              </w:rPr>
              <w:t>Exhibit 21.2</w:t>
            </w:r>
          </w:p>
        </w:tc>
      </w:tr>
      <w:tr>
        <w:trPr>
          <w:trHeight w:val="205"/>
        </w:trPr>
        <w:tc>
          <w:tcPr>
            <w:tcW w:w="8100" w:type="dxa"/>
            <w:vAlign w:val="bottom"/>
            <w:gridSpan w:val="3"/>
          </w:tcPr>
          <w:p>
            <w:pPr>
              <w:ind w:left="2460"/>
              <w:spacing w:after="0"/>
              <w:rPr>
                <w:sz w:val="20"/>
                <w:szCs w:val="20"/>
                <w:color w:val="auto"/>
              </w:rPr>
            </w:pPr>
            <w:r>
              <w:rPr>
                <w:rFonts w:ascii="Times New Roman" w:cs="Times New Roman" w:eastAsia="Times New Roman" w:hAnsi="Times New Roman"/>
                <w:sz w:val="16"/>
                <w:szCs w:val="16"/>
                <w:b w:val="1"/>
                <w:bCs w:val="1"/>
                <w:color w:val="auto"/>
              </w:rPr>
              <w:t>List of Subsidiaries of Digital Realty Trust, L.P.</w:t>
            </w:r>
          </w:p>
        </w:tc>
      </w:tr>
      <w:tr>
        <w:trPr>
          <w:trHeight w:val="420"/>
        </w:trPr>
        <w:tc>
          <w:tcPr>
            <w:tcW w:w="4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Entity Name</w:t>
            </w:r>
          </w:p>
        </w:tc>
        <w:tc>
          <w:tcPr>
            <w:tcW w:w="3120" w:type="dxa"/>
            <w:vAlign w:val="bottom"/>
            <w:gridSpan w:val="2"/>
          </w:tcPr>
          <w:p>
            <w:pPr>
              <w:jc w:val="center"/>
              <w:ind w:left="462"/>
              <w:spacing w:after="0"/>
              <w:rPr>
                <w:sz w:val="20"/>
                <w:szCs w:val="20"/>
                <w:color w:val="auto"/>
              </w:rPr>
            </w:pPr>
            <w:r>
              <w:rPr>
                <w:rFonts w:ascii="Times New Roman" w:cs="Times New Roman" w:eastAsia="Times New Roman" w:hAnsi="Times New Roman"/>
                <w:sz w:val="16"/>
                <w:szCs w:val="16"/>
                <w:b w:val="1"/>
                <w:bCs w:val="1"/>
                <w:color w:val="auto"/>
                <w:w w:val="97"/>
              </w:rPr>
              <w:t>Jurisdiction of Incorporation</w:t>
            </w:r>
          </w:p>
        </w:tc>
      </w:tr>
      <w:tr>
        <w:trPr>
          <w:trHeight w:val="194"/>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1100 Space Park Holding Company LLC</w:t>
            </w:r>
          </w:p>
        </w:tc>
        <w:tc>
          <w:tcPr>
            <w:tcW w:w="3120" w:type="dxa"/>
            <w:vAlign w:val="bottom"/>
            <w:gridSpan w:val="2"/>
            <w:shd w:val="clear" w:color="auto" w:fill="CCEEFF"/>
          </w:tcPr>
          <w:p>
            <w:pPr>
              <w:jc w:val="center"/>
              <w:ind w:left="48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1100 Space Park LLC</w:t>
            </w:r>
          </w:p>
        </w:tc>
        <w:tc>
          <w:tcPr>
            <w:tcW w:w="3120" w:type="dxa"/>
            <w:vAlign w:val="bottom"/>
            <w:gridSpan w:val="2"/>
          </w:tcPr>
          <w:p>
            <w:pPr>
              <w:jc w:val="center"/>
              <w:ind w:left="48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1525 Comstock Partners, LLC</w:t>
            </w:r>
          </w:p>
        </w:tc>
        <w:tc>
          <w:tcPr>
            <w:tcW w:w="3120" w:type="dxa"/>
            <w:vAlign w:val="bottom"/>
            <w:gridSpan w:val="2"/>
            <w:shd w:val="clear" w:color="auto" w:fill="CCEEFF"/>
          </w:tcPr>
          <w:p>
            <w:pPr>
              <w:jc w:val="center"/>
              <w:ind w:left="462"/>
              <w:spacing w:after="0"/>
              <w:rPr>
                <w:sz w:val="20"/>
                <w:szCs w:val="20"/>
                <w:color w:val="auto"/>
              </w:rPr>
            </w:pPr>
            <w:r>
              <w:rPr>
                <w:rFonts w:ascii="Times New Roman" w:cs="Times New Roman" w:eastAsia="Times New Roman" w:hAnsi="Times New Roman"/>
                <w:sz w:val="16"/>
                <w:szCs w:val="16"/>
                <w:color w:val="auto"/>
                <w:w w:val="95"/>
              </w:rPr>
              <w:t>California</w:t>
            </w: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1550 Space Park Partners, LLC</w:t>
            </w:r>
          </w:p>
        </w:tc>
        <w:tc>
          <w:tcPr>
            <w:tcW w:w="3120" w:type="dxa"/>
            <w:vAlign w:val="bottom"/>
            <w:gridSpan w:val="2"/>
          </w:tcPr>
          <w:p>
            <w:pPr>
              <w:jc w:val="center"/>
              <w:ind w:left="48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200 Paul Holding Company, LLC</w:t>
            </w:r>
          </w:p>
        </w:tc>
        <w:tc>
          <w:tcPr>
            <w:tcW w:w="3120" w:type="dxa"/>
            <w:vAlign w:val="bottom"/>
            <w:gridSpan w:val="2"/>
            <w:shd w:val="clear" w:color="auto" w:fill="CCEEFF"/>
          </w:tcPr>
          <w:p>
            <w:pPr>
              <w:jc w:val="center"/>
              <w:ind w:left="48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200 Paul, LLC</w:t>
            </w:r>
          </w:p>
        </w:tc>
        <w:tc>
          <w:tcPr>
            <w:tcW w:w="3120" w:type="dxa"/>
            <w:vAlign w:val="bottom"/>
            <w:gridSpan w:val="2"/>
          </w:tcPr>
          <w:p>
            <w:pPr>
              <w:jc w:val="center"/>
              <w:ind w:left="48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2001 Sixth Holdings LLC</w:t>
            </w:r>
          </w:p>
        </w:tc>
        <w:tc>
          <w:tcPr>
            <w:tcW w:w="3120" w:type="dxa"/>
            <w:vAlign w:val="bottom"/>
            <w:gridSpan w:val="2"/>
            <w:shd w:val="clear" w:color="auto" w:fill="CCEEFF"/>
          </w:tcPr>
          <w:p>
            <w:pPr>
              <w:jc w:val="center"/>
              <w:ind w:left="48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2001 Sixth LLC</w:t>
            </w:r>
          </w:p>
        </w:tc>
        <w:tc>
          <w:tcPr>
            <w:tcW w:w="3120" w:type="dxa"/>
            <w:vAlign w:val="bottom"/>
            <w:gridSpan w:val="2"/>
          </w:tcPr>
          <w:p>
            <w:pPr>
              <w:jc w:val="center"/>
              <w:ind w:left="48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2020 Fifth Avenue LLC</w:t>
            </w:r>
          </w:p>
        </w:tc>
        <w:tc>
          <w:tcPr>
            <w:tcW w:w="3120" w:type="dxa"/>
            <w:vAlign w:val="bottom"/>
            <w:gridSpan w:val="2"/>
            <w:shd w:val="clear" w:color="auto" w:fill="CCEEFF"/>
          </w:tcPr>
          <w:p>
            <w:pPr>
              <w:jc w:val="center"/>
              <w:ind w:left="48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2020 Fifth Holdings LLC</w:t>
            </w:r>
          </w:p>
        </w:tc>
        <w:tc>
          <w:tcPr>
            <w:tcW w:w="3120" w:type="dxa"/>
            <w:vAlign w:val="bottom"/>
            <w:gridSpan w:val="2"/>
          </w:tcPr>
          <w:p>
            <w:pPr>
              <w:jc w:val="center"/>
              <w:ind w:left="48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2045-2055 LaFayette Street, LLC</w:t>
            </w:r>
          </w:p>
        </w:tc>
        <w:tc>
          <w:tcPr>
            <w:tcW w:w="3120" w:type="dxa"/>
            <w:vAlign w:val="bottom"/>
            <w:gridSpan w:val="2"/>
            <w:shd w:val="clear" w:color="auto" w:fill="CCEEFF"/>
          </w:tcPr>
          <w:p>
            <w:pPr>
              <w:jc w:val="center"/>
              <w:ind w:left="48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2334 Lundy Holding Company LLC</w:t>
            </w:r>
          </w:p>
        </w:tc>
        <w:tc>
          <w:tcPr>
            <w:tcW w:w="3120" w:type="dxa"/>
            <w:vAlign w:val="bottom"/>
            <w:gridSpan w:val="2"/>
          </w:tcPr>
          <w:p>
            <w:pPr>
              <w:jc w:val="center"/>
              <w:ind w:left="48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2334 Lundy LLC</w:t>
            </w:r>
          </w:p>
        </w:tc>
        <w:tc>
          <w:tcPr>
            <w:tcW w:w="3120" w:type="dxa"/>
            <w:vAlign w:val="bottom"/>
            <w:gridSpan w:val="2"/>
            <w:shd w:val="clear" w:color="auto" w:fill="CCEEFF"/>
          </w:tcPr>
          <w:p>
            <w:pPr>
              <w:jc w:val="center"/>
              <w:ind w:left="48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651 Walsh Partners, LLC</w:t>
            </w:r>
          </w:p>
        </w:tc>
        <w:tc>
          <w:tcPr>
            <w:tcW w:w="3120" w:type="dxa"/>
            <w:vAlign w:val="bottom"/>
            <w:gridSpan w:val="2"/>
          </w:tcPr>
          <w:p>
            <w:pPr>
              <w:jc w:val="center"/>
              <w:ind w:left="48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Alshain Ventures LLC</w:t>
            </w:r>
          </w:p>
        </w:tc>
        <w:tc>
          <w:tcPr>
            <w:tcW w:w="3120" w:type="dxa"/>
            <w:vAlign w:val="bottom"/>
            <w:gridSpan w:val="2"/>
            <w:shd w:val="clear" w:color="auto" w:fill="CCEEFF"/>
          </w:tcPr>
          <w:p>
            <w:pPr>
              <w:jc w:val="center"/>
              <w:ind w:left="48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Ascenty Cayman Holding Ltd</w:t>
            </w:r>
          </w:p>
        </w:tc>
        <w:tc>
          <w:tcPr>
            <w:tcW w:w="3120" w:type="dxa"/>
            <w:vAlign w:val="bottom"/>
            <w:gridSpan w:val="2"/>
          </w:tcPr>
          <w:p>
            <w:pPr>
              <w:jc w:val="center"/>
              <w:ind w:left="482"/>
              <w:spacing w:after="0"/>
              <w:rPr>
                <w:sz w:val="20"/>
                <w:szCs w:val="20"/>
                <w:color w:val="auto"/>
              </w:rPr>
            </w:pPr>
            <w:r>
              <w:rPr>
                <w:rFonts w:ascii="Times New Roman" w:cs="Times New Roman" w:eastAsia="Times New Roman" w:hAnsi="Times New Roman"/>
                <w:sz w:val="16"/>
                <w:szCs w:val="16"/>
                <w:color w:val="auto"/>
                <w:w w:val="97"/>
              </w:rPr>
              <w:t>Cayman Islands</w:t>
            </w: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Ascenty Chile SpA</w:t>
            </w:r>
          </w:p>
        </w:tc>
        <w:tc>
          <w:tcPr>
            <w:tcW w:w="3120" w:type="dxa"/>
            <w:vAlign w:val="bottom"/>
            <w:gridSpan w:val="2"/>
            <w:shd w:val="clear" w:color="auto" w:fill="CCEEFF"/>
          </w:tcPr>
          <w:p>
            <w:pPr>
              <w:jc w:val="center"/>
              <w:ind w:left="462"/>
              <w:spacing w:after="0"/>
              <w:rPr>
                <w:sz w:val="20"/>
                <w:szCs w:val="20"/>
                <w:color w:val="auto"/>
              </w:rPr>
            </w:pPr>
            <w:r>
              <w:rPr>
                <w:rFonts w:ascii="Times New Roman" w:cs="Times New Roman" w:eastAsia="Times New Roman" w:hAnsi="Times New Roman"/>
                <w:sz w:val="16"/>
                <w:szCs w:val="16"/>
                <w:color w:val="auto"/>
                <w:w w:val="97"/>
              </w:rPr>
              <w:t>Chile</w:t>
            </w: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Ascenty Colombia S.A.S.</w:t>
            </w:r>
          </w:p>
        </w:tc>
        <w:tc>
          <w:tcPr>
            <w:tcW w:w="3120" w:type="dxa"/>
            <w:vAlign w:val="bottom"/>
            <w:gridSpan w:val="2"/>
          </w:tcPr>
          <w:p>
            <w:pPr>
              <w:jc w:val="center"/>
              <w:ind w:left="462"/>
              <w:spacing w:after="0"/>
              <w:rPr>
                <w:sz w:val="20"/>
                <w:szCs w:val="20"/>
                <w:color w:val="auto"/>
              </w:rPr>
            </w:pPr>
            <w:r>
              <w:rPr>
                <w:rFonts w:ascii="Times New Roman" w:cs="Times New Roman" w:eastAsia="Times New Roman" w:hAnsi="Times New Roman"/>
                <w:sz w:val="16"/>
                <w:szCs w:val="16"/>
                <w:color w:val="auto"/>
                <w:w w:val="98"/>
              </w:rPr>
              <w:t>Colombia</w:t>
            </w: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Ascenty Data Centers e Telecomunicoes S.A.</w:t>
            </w:r>
          </w:p>
        </w:tc>
        <w:tc>
          <w:tcPr>
            <w:tcW w:w="3120" w:type="dxa"/>
            <w:vAlign w:val="bottom"/>
            <w:gridSpan w:val="2"/>
            <w:shd w:val="clear" w:color="auto" w:fill="CCEEFF"/>
          </w:tcPr>
          <w:p>
            <w:pPr>
              <w:jc w:val="center"/>
              <w:ind w:left="462"/>
              <w:spacing w:after="0"/>
              <w:rPr>
                <w:sz w:val="20"/>
                <w:szCs w:val="20"/>
                <w:color w:val="auto"/>
              </w:rPr>
            </w:pPr>
            <w:r>
              <w:rPr>
                <w:rFonts w:ascii="Times New Roman" w:cs="Times New Roman" w:eastAsia="Times New Roman" w:hAnsi="Times New Roman"/>
                <w:sz w:val="16"/>
                <w:szCs w:val="16"/>
                <w:color w:val="auto"/>
                <w:w w:val="97"/>
              </w:rPr>
              <w:t>Brazil</w:t>
            </w: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Ascenty DC US LLC</w:t>
            </w:r>
          </w:p>
        </w:tc>
        <w:tc>
          <w:tcPr>
            <w:tcW w:w="3120" w:type="dxa"/>
            <w:vAlign w:val="bottom"/>
            <w:gridSpan w:val="2"/>
          </w:tcPr>
          <w:p>
            <w:pPr>
              <w:jc w:val="center"/>
              <w:ind w:left="48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Ascenty Holding Brasil S.A.</w:t>
            </w:r>
          </w:p>
        </w:tc>
        <w:tc>
          <w:tcPr>
            <w:tcW w:w="3120" w:type="dxa"/>
            <w:vAlign w:val="bottom"/>
            <w:gridSpan w:val="2"/>
            <w:shd w:val="clear" w:color="auto" w:fill="CCEEFF"/>
          </w:tcPr>
          <w:p>
            <w:pPr>
              <w:jc w:val="center"/>
              <w:ind w:left="462"/>
              <w:spacing w:after="0"/>
              <w:rPr>
                <w:sz w:val="20"/>
                <w:szCs w:val="20"/>
                <w:color w:val="auto"/>
              </w:rPr>
            </w:pPr>
            <w:r>
              <w:rPr>
                <w:rFonts w:ascii="Times New Roman" w:cs="Times New Roman" w:eastAsia="Times New Roman" w:hAnsi="Times New Roman"/>
                <w:sz w:val="16"/>
                <w:szCs w:val="16"/>
                <w:color w:val="auto"/>
                <w:w w:val="97"/>
              </w:rPr>
              <w:t>Brazil</w:t>
            </w: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Ascenty Latam Holding Ltd</w:t>
            </w:r>
          </w:p>
        </w:tc>
        <w:tc>
          <w:tcPr>
            <w:tcW w:w="3120" w:type="dxa"/>
            <w:vAlign w:val="bottom"/>
            <w:gridSpan w:val="2"/>
          </w:tcPr>
          <w:p>
            <w:pPr>
              <w:jc w:val="center"/>
              <w:ind w:left="482"/>
              <w:spacing w:after="0"/>
              <w:rPr>
                <w:sz w:val="20"/>
                <w:szCs w:val="20"/>
                <w:color w:val="auto"/>
              </w:rPr>
            </w:pPr>
            <w:r>
              <w:rPr>
                <w:rFonts w:ascii="Times New Roman" w:cs="Times New Roman" w:eastAsia="Times New Roman" w:hAnsi="Times New Roman"/>
                <w:sz w:val="16"/>
                <w:szCs w:val="16"/>
                <w:color w:val="auto"/>
                <w:w w:val="97"/>
              </w:rPr>
              <w:t>United Kingdom (England and Wales)</w:t>
            </w: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Ascenty Mexico, S. de R.L. de C.V.</w:t>
            </w:r>
          </w:p>
        </w:tc>
        <w:tc>
          <w:tcPr>
            <w:tcW w:w="3120" w:type="dxa"/>
            <w:vAlign w:val="bottom"/>
            <w:gridSpan w:val="2"/>
            <w:shd w:val="clear" w:color="auto" w:fill="CCEEFF"/>
          </w:tcPr>
          <w:p>
            <w:pPr>
              <w:jc w:val="center"/>
              <w:ind w:left="482"/>
              <w:spacing w:after="0"/>
              <w:rPr>
                <w:sz w:val="20"/>
                <w:szCs w:val="20"/>
                <w:color w:val="auto"/>
              </w:rPr>
            </w:pPr>
            <w:r>
              <w:rPr>
                <w:rFonts w:ascii="Times New Roman" w:cs="Times New Roman" w:eastAsia="Times New Roman" w:hAnsi="Times New Roman"/>
                <w:sz w:val="16"/>
                <w:szCs w:val="16"/>
                <w:color w:val="auto"/>
                <w:w w:val="98"/>
              </w:rPr>
              <w:t>Mexico</w:t>
            </w: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Ascenty U.S. Holding, LLC</w:t>
            </w:r>
          </w:p>
        </w:tc>
        <w:tc>
          <w:tcPr>
            <w:tcW w:w="3120" w:type="dxa"/>
            <w:vAlign w:val="bottom"/>
            <w:gridSpan w:val="2"/>
          </w:tcPr>
          <w:p>
            <w:pPr>
              <w:jc w:val="center"/>
              <w:ind w:left="48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Ashburn Corporate Center Owners Association, Inc.</w:t>
            </w:r>
          </w:p>
        </w:tc>
        <w:tc>
          <w:tcPr>
            <w:tcW w:w="3120" w:type="dxa"/>
            <w:vAlign w:val="bottom"/>
            <w:gridSpan w:val="2"/>
            <w:shd w:val="clear" w:color="auto" w:fill="CCEEFF"/>
          </w:tcPr>
          <w:p>
            <w:pPr>
              <w:jc w:val="center"/>
              <w:ind w:left="482"/>
              <w:spacing w:after="0"/>
              <w:rPr>
                <w:sz w:val="20"/>
                <w:szCs w:val="20"/>
                <w:color w:val="auto"/>
              </w:rPr>
            </w:pPr>
            <w:r>
              <w:rPr>
                <w:rFonts w:ascii="Times New Roman" w:cs="Times New Roman" w:eastAsia="Times New Roman" w:hAnsi="Times New Roman"/>
                <w:sz w:val="16"/>
                <w:szCs w:val="16"/>
                <w:color w:val="auto"/>
                <w:w w:val="97"/>
              </w:rPr>
              <w:t>Virginia</w:t>
            </w: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Ashburn Corporate Center Phase I Unit Owners Association</w:t>
            </w:r>
          </w:p>
        </w:tc>
        <w:tc>
          <w:tcPr>
            <w:tcW w:w="3120" w:type="dxa"/>
            <w:vAlign w:val="bottom"/>
            <w:gridSpan w:val="2"/>
          </w:tcPr>
          <w:p>
            <w:pPr>
              <w:jc w:val="center"/>
              <w:ind w:left="482"/>
              <w:spacing w:after="0"/>
              <w:rPr>
                <w:sz w:val="20"/>
                <w:szCs w:val="20"/>
                <w:color w:val="auto"/>
              </w:rPr>
            </w:pPr>
            <w:r>
              <w:rPr>
                <w:rFonts w:ascii="Times New Roman" w:cs="Times New Roman" w:eastAsia="Times New Roman" w:hAnsi="Times New Roman"/>
                <w:sz w:val="16"/>
                <w:szCs w:val="16"/>
                <w:color w:val="auto"/>
                <w:w w:val="97"/>
              </w:rPr>
              <w:t>Virginia</w:t>
            </w: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BAM DLR Chennai Private Limited</w:t>
            </w:r>
          </w:p>
        </w:tc>
        <w:tc>
          <w:tcPr>
            <w:tcW w:w="3120" w:type="dxa"/>
            <w:vAlign w:val="bottom"/>
            <w:gridSpan w:val="2"/>
            <w:shd w:val="clear" w:color="auto" w:fill="CCEEFF"/>
          </w:tcPr>
          <w:p>
            <w:pPr>
              <w:jc w:val="center"/>
              <w:ind w:left="482"/>
              <w:spacing w:after="0"/>
              <w:rPr>
                <w:sz w:val="20"/>
                <w:szCs w:val="20"/>
                <w:color w:val="auto"/>
              </w:rPr>
            </w:pPr>
            <w:r>
              <w:rPr>
                <w:rFonts w:ascii="Times New Roman" w:cs="Times New Roman" w:eastAsia="Times New Roman" w:hAnsi="Times New Roman"/>
                <w:sz w:val="16"/>
                <w:szCs w:val="16"/>
                <w:color w:val="auto"/>
                <w:w w:val="97"/>
              </w:rPr>
              <w:t>India</w:t>
            </w: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BAM DLR Data Center Services Private Limited</w:t>
            </w:r>
          </w:p>
        </w:tc>
        <w:tc>
          <w:tcPr>
            <w:tcW w:w="3120" w:type="dxa"/>
            <w:vAlign w:val="bottom"/>
            <w:gridSpan w:val="2"/>
          </w:tcPr>
          <w:p>
            <w:pPr>
              <w:jc w:val="center"/>
              <w:ind w:left="482"/>
              <w:spacing w:after="0"/>
              <w:rPr>
                <w:sz w:val="20"/>
                <w:szCs w:val="20"/>
                <w:color w:val="auto"/>
              </w:rPr>
            </w:pPr>
            <w:r>
              <w:rPr>
                <w:rFonts w:ascii="Times New Roman" w:cs="Times New Roman" w:eastAsia="Times New Roman" w:hAnsi="Times New Roman"/>
                <w:sz w:val="16"/>
                <w:szCs w:val="16"/>
                <w:color w:val="auto"/>
                <w:w w:val="97"/>
              </w:rPr>
              <w:t>India</w:t>
            </w: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BAM DLR Kolkata Private Limited</w:t>
            </w:r>
          </w:p>
        </w:tc>
        <w:tc>
          <w:tcPr>
            <w:tcW w:w="3120" w:type="dxa"/>
            <w:vAlign w:val="bottom"/>
            <w:gridSpan w:val="2"/>
            <w:shd w:val="clear" w:color="auto" w:fill="CCEEFF"/>
          </w:tcPr>
          <w:p>
            <w:pPr>
              <w:jc w:val="center"/>
              <w:ind w:left="482"/>
              <w:spacing w:after="0"/>
              <w:rPr>
                <w:sz w:val="20"/>
                <w:szCs w:val="20"/>
                <w:color w:val="auto"/>
              </w:rPr>
            </w:pPr>
            <w:r>
              <w:rPr>
                <w:rFonts w:ascii="Times New Roman" w:cs="Times New Roman" w:eastAsia="Times New Roman" w:hAnsi="Times New Roman"/>
                <w:sz w:val="16"/>
                <w:szCs w:val="16"/>
                <w:color w:val="auto"/>
                <w:w w:val="97"/>
              </w:rPr>
              <w:t>India</w:t>
            </w: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BAM DLR Mumbai Private Limited</w:t>
            </w:r>
          </w:p>
        </w:tc>
        <w:tc>
          <w:tcPr>
            <w:tcW w:w="3120" w:type="dxa"/>
            <w:vAlign w:val="bottom"/>
            <w:gridSpan w:val="2"/>
          </w:tcPr>
          <w:p>
            <w:pPr>
              <w:jc w:val="center"/>
              <w:ind w:left="482"/>
              <w:spacing w:after="0"/>
              <w:rPr>
                <w:sz w:val="20"/>
                <w:szCs w:val="20"/>
                <w:color w:val="auto"/>
              </w:rPr>
            </w:pPr>
            <w:r>
              <w:rPr>
                <w:rFonts w:ascii="Times New Roman" w:cs="Times New Roman" w:eastAsia="Times New Roman" w:hAnsi="Times New Roman"/>
                <w:sz w:val="16"/>
                <w:szCs w:val="16"/>
                <w:color w:val="auto"/>
                <w:w w:val="97"/>
              </w:rPr>
              <w:t>India</w:t>
            </w: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BAM DLR Network Services Private Limited</w:t>
            </w:r>
          </w:p>
        </w:tc>
        <w:tc>
          <w:tcPr>
            <w:tcW w:w="3120" w:type="dxa"/>
            <w:vAlign w:val="bottom"/>
            <w:gridSpan w:val="2"/>
            <w:shd w:val="clear" w:color="auto" w:fill="CCEEFF"/>
          </w:tcPr>
          <w:p>
            <w:pPr>
              <w:jc w:val="center"/>
              <w:ind w:left="482"/>
              <w:spacing w:after="0"/>
              <w:rPr>
                <w:sz w:val="20"/>
                <w:szCs w:val="20"/>
                <w:color w:val="auto"/>
              </w:rPr>
            </w:pPr>
            <w:r>
              <w:rPr>
                <w:rFonts w:ascii="Times New Roman" w:cs="Times New Roman" w:eastAsia="Times New Roman" w:hAnsi="Times New Roman"/>
                <w:sz w:val="16"/>
                <w:szCs w:val="16"/>
                <w:color w:val="auto"/>
                <w:w w:val="97"/>
              </w:rPr>
              <w:t>India</w:t>
            </w: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Beaver Ventures LLC</w:t>
            </w:r>
          </w:p>
        </w:tc>
        <w:tc>
          <w:tcPr>
            <w:tcW w:w="3120" w:type="dxa"/>
            <w:vAlign w:val="bottom"/>
            <w:gridSpan w:val="2"/>
          </w:tcPr>
          <w:p>
            <w:pPr>
              <w:jc w:val="center"/>
              <w:ind w:left="48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Blue Sling ACC 10, LLC</w:t>
            </w:r>
          </w:p>
        </w:tc>
        <w:tc>
          <w:tcPr>
            <w:tcW w:w="3120" w:type="dxa"/>
            <w:vAlign w:val="bottom"/>
            <w:gridSpan w:val="2"/>
            <w:shd w:val="clear" w:color="auto" w:fill="CCEEFF"/>
          </w:tcPr>
          <w:p>
            <w:pPr>
              <w:jc w:val="center"/>
              <w:ind w:left="48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Blue Sling ACC 2, LLC</w:t>
            </w:r>
          </w:p>
        </w:tc>
        <w:tc>
          <w:tcPr>
            <w:tcW w:w="3120" w:type="dxa"/>
            <w:vAlign w:val="bottom"/>
            <w:gridSpan w:val="2"/>
          </w:tcPr>
          <w:p>
            <w:pPr>
              <w:jc w:val="center"/>
              <w:ind w:left="48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Blue Sling ACC 9, LLC</w:t>
            </w:r>
          </w:p>
        </w:tc>
        <w:tc>
          <w:tcPr>
            <w:tcW w:w="3120" w:type="dxa"/>
            <w:vAlign w:val="bottom"/>
            <w:gridSpan w:val="2"/>
            <w:shd w:val="clear" w:color="auto" w:fill="CCEEFF"/>
          </w:tcPr>
          <w:p>
            <w:pPr>
              <w:jc w:val="center"/>
              <w:ind w:left="48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Blue Sling Ventures, LLC</w:t>
            </w:r>
          </w:p>
        </w:tc>
        <w:tc>
          <w:tcPr>
            <w:tcW w:w="3120" w:type="dxa"/>
            <w:vAlign w:val="bottom"/>
            <w:gridSpan w:val="2"/>
          </w:tcPr>
          <w:p>
            <w:pPr>
              <w:jc w:val="center"/>
              <w:ind w:left="48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Collins Technology Park Partners, LLC</w:t>
            </w:r>
          </w:p>
        </w:tc>
        <w:tc>
          <w:tcPr>
            <w:tcW w:w="3120" w:type="dxa"/>
            <w:vAlign w:val="bottom"/>
            <w:gridSpan w:val="2"/>
            <w:shd w:val="clear" w:color="auto" w:fill="CCEEFF"/>
          </w:tcPr>
          <w:p>
            <w:pPr>
              <w:jc w:val="center"/>
              <w:ind w:left="48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Colo Properties Atlanta, LLC</w:t>
            </w:r>
          </w:p>
        </w:tc>
        <w:tc>
          <w:tcPr>
            <w:tcW w:w="3120" w:type="dxa"/>
            <w:vAlign w:val="bottom"/>
            <w:gridSpan w:val="2"/>
          </w:tcPr>
          <w:p>
            <w:pPr>
              <w:jc w:val="center"/>
              <w:ind w:left="48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Cosmic Ventures LLC</w:t>
            </w:r>
          </w:p>
        </w:tc>
        <w:tc>
          <w:tcPr>
            <w:tcW w:w="3120" w:type="dxa"/>
            <w:vAlign w:val="bottom"/>
            <w:gridSpan w:val="2"/>
            <w:shd w:val="clear" w:color="auto" w:fill="CCEEFF"/>
          </w:tcPr>
          <w:p>
            <w:pPr>
              <w:jc w:val="center"/>
              <w:ind w:left="48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DBT, LLC</w:t>
            </w:r>
          </w:p>
        </w:tc>
        <w:tc>
          <w:tcPr>
            <w:tcW w:w="3120" w:type="dxa"/>
            <w:vAlign w:val="bottom"/>
            <w:gridSpan w:val="2"/>
          </w:tcPr>
          <w:p>
            <w:pPr>
              <w:jc w:val="center"/>
              <w:ind w:left="462"/>
              <w:spacing w:after="0"/>
              <w:rPr>
                <w:sz w:val="20"/>
                <w:szCs w:val="20"/>
                <w:color w:val="auto"/>
              </w:rPr>
            </w:pPr>
            <w:r>
              <w:rPr>
                <w:rFonts w:ascii="Times New Roman" w:cs="Times New Roman" w:eastAsia="Times New Roman" w:hAnsi="Times New Roman"/>
                <w:sz w:val="16"/>
                <w:szCs w:val="16"/>
                <w:color w:val="auto"/>
                <w:w w:val="99"/>
              </w:rPr>
              <w:t>Maryland</w:t>
            </w: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DDI Dallas 1, LLC</w:t>
            </w:r>
          </w:p>
        </w:tc>
        <w:tc>
          <w:tcPr>
            <w:tcW w:w="3120" w:type="dxa"/>
            <w:vAlign w:val="bottom"/>
            <w:gridSpan w:val="2"/>
            <w:shd w:val="clear" w:color="auto" w:fill="CCEEFF"/>
          </w:tcPr>
          <w:p>
            <w:pPr>
              <w:jc w:val="center"/>
              <w:ind w:left="48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DDI Garland, LLC</w:t>
            </w:r>
          </w:p>
        </w:tc>
        <w:tc>
          <w:tcPr>
            <w:tcW w:w="3120" w:type="dxa"/>
            <w:vAlign w:val="bottom"/>
            <w:gridSpan w:val="2"/>
          </w:tcPr>
          <w:p>
            <w:pPr>
              <w:jc w:val="center"/>
              <w:ind w:left="48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DDI Lewisville, LLC</w:t>
            </w:r>
          </w:p>
        </w:tc>
        <w:tc>
          <w:tcPr>
            <w:tcW w:w="3120" w:type="dxa"/>
            <w:vAlign w:val="bottom"/>
            <w:gridSpan w:val="2"/>
            <w:shd w:val="clear" w:color="auto" w:fill="CCEEFF"/>
          </w:tcPr>
          <w:p>
            <w:pPr>
              <w:jc w:val="center"/>
              <w:ind w:left="48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Devin Shafron E and F Land Condominium Owners Association, Inc.</w:t>
            </w:r>
          </w:p>
        </w:tc>
        <w:tc>
          <w:tcPr>
            <w:tcW w:w="3120" w:type="dxa"/>
            <w:vAlign w:val="bottom"/>
            <w:gridSpan w:val="2"/>
          </w:tcPr>
          <w:p>
            <w:pPr>
              <w:jc w:val="center"/>
              <w:ind w:left="482"/>
              <w:spacing w:after="0"/>
              <w:rPr>
                <w:sz w:val="20"/>
                <w:szCs w:val="20"/>
                <w:color w:val="auto"/>
              </w:rPr>
            </w:pPr>
            <w:r>
              <w:rPr>
                <w:rFonts w:ascii="Times New Roman" w:cs="Times New Roman" w:eastAsia="Times New Roman" w:hAnsi="Times New Roman"/>
                <w:sz w:val="16"/>
                <w:szCs w:val="16"/>
                <w:color w:val="auto"/>
                <w:w w:val="97"/>
              </w:rPr>
              <w:t>Virginia</w:t>
            </w: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DF Property Manangement LLC</w:t>
            </w:r>
          </w:p>
        </w:tc>
        <w:tc>
          <w:tcPr>
            <w:tcW w:w="3120" w:type="dxa"/>
            <w:vAlign w:val="bottom"/>
            <w:gridSpan w:val="2"/>
            <w:shd w:val="clear" w:color="auto" w:fill="CCEEFF"/>
          </w:tcPr>
          <w:p>
            <w:pPr>
              <w:jc w:val="center"/>
              <w:ind w:left="48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203"/>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DFT Canada LP LLC</w:t>
            </w:r>
          </w:p>
        </w:tc>
        <w:tc>
          <w:tcPr>
            <w:tcW w:w="3120" w:type="dxa"/>
            <w:vAlign w:val="bottom"/>
            <w:gridSpan w:val="2"/>
          </w:tcPr>
          <w:p>
            <w:pPr>
              <w:jc w:val="center"/>
              <w:ind w:left="48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473"/>
        </w:trPr>
        <w:tc>
          <w:tcPr>
            <w:tcW w:w="49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40" w:orient="portrait"/>
          <w:cols w:equalWidth="0" w:num="1">
            <w:col w:w="9020"/>
          </w:cols>
          <w:pgMar w:left="1440" w:top="551" w:right="1440" w:bottom="1440" w:gutter="0" w:footer="0" w:header="0"/>
        </w:sectPr>
      </w:pPr>
    </w:p>
    <w:bookmarkStart w:id="537" w:name="page538"/>
    <w:bookmarkEnd w:id="537"/>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Exhibit 21.2</w:t>
      </w:r>
    </w:p>
    <w:p>
      <w:pPr>
        <w:spacing w:after="0" w:line="16" w:lineRule="exact"/>
        <w:rPr>
          <w:sz w:val="20"/>
          <w:szCs w:val="20"/>
          <w:color w:val="auto"/>
        </w:rPr>
      </w:pPr>
    </w:p>
    <w:tbl>
      <w:tblPr>
        <w:tblLayout w:type="fixed"/>
        <w:tblInd w:w="460" w:type="dxa"/>
        <w:tblCellMar>
          <w:top w:w="0" w:type="dxa"/>
          <w:left w:w="0" w:type="dxa"/>
          <w:bottom w:w="0" w:type="dxa"/>
          <w:right w:w="0" w:type="dxa"/>
        </w:tblCellMar>
      </w:tblPr>
      <w:tr>
        <w:trPr>
          <w:trHeight w:val="205"/>
        </w:trPr>
        <w:tc>
          <w:tcPr>
            <w:tcW w:w="6040" w:type="dxa"/>
            <w:vAlign w:val="bottom"/>
          </w:tcPr>
          <w:p>
            <w:pPr>
              <w:ind w:left="2460"/>
              <w:spacing w:after="0"/>
              <w:rPr>
                <w:sz w:val="20"/>
                <w:szCs w:val="20"/>
                <w:color w:val="auto"/>
              </w:rPr>
            </w:pPr>
            <w:r>
              <w:rPr>
                <w:rFonts w:ascii="Times New Roman" w:cs="Times New Roman" w:eastAsia="Times New Roman" w:hAnsi="Times New Roman"/>
                <w:sz w:val="16"/>
                <w:szCs w:val="16"/>
                <w:b w:val="1"/>
                <w:bCs w:val="1"/>
                <w:color w:val="auto"/>
              </w:rPr>
              <w:t>List of Subsidiaries of Digital Realty Trust, L.P.</w:t>
            </w:r>
          </w:p>
        </w:tc>
        <w:tc>
          <w:tcPr>
            <w:tcW w:w="20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86"/>
        </w:trPr>
        <w:tc>
          <w:tcPr>
            <w:tcW w:w="60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DFT Moose GP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DGA Centennial Holding,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DGA Centennial,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 Bryan Street Partnership, L.P.</w:t>
            </w:r>
          </w:p>
        </w:tc>
        <w:tc>
          <w:tcPr>
            <w:tcW w:w="2020" w:type="dxa"/>
            <w:vAlign w:val="bottom"/>
          </w:tcPr>
          <w:p>
            <w:pPr>
              <w:jc w:val="center"/>
              <w:ind w:right="402"/>
              <w:spacing w:after="0"/>
              <w:rPr>
                <w:sz w:val="20"/>
                <w:szCs w:val="20"/>
                <w:color w:val="auto"/>
              </w:rPr>
            </w:pPr>
            <w:r>
              <w:rPr>
                <w:rFonts w:ascii="Times New Roman" w:cs="Times New Roman" w:eastAsia="Times New Roman" w:hAnsi="Times New Roman"/>
                <w:sz w:val="16"/>
                <w:szCs w:val="16"/>
                <w:color w:val="auto"/>
                <w:w w:val="99"/>
              </w:rPr>
              <w:t>Texas</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113 N. Myers,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1201 Comstock,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1231 Comstock,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125 N. Myers,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128 First Avenue,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1350 Duane,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1550 Space Park,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1725 Comstock,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2020 Fifth Avenue Investor,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2121 South Price,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2260 East El Segundo,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365 Main,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3825 NW Aloclek Place,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55 Middlesex,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60 &amp; 80 Merritt,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717 GP,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717 Leonard, L.P.</w:t>
            </w:r>
          </w:p>
        </w:tc>
        <w:tc>
          <w:tcPr>
            <w:tcW w:w="2020" w:type="dxa"/>
            <w:vAlign w:val="bottom"/>
            <w:shd w:val="clear" w:color="auto" w:fill="CCEEFF"/>
          </w:tcPr>
          <w:p>
            <w:pPr>
              <w:jc w:val="center"/>
              <w:ind w:right="402"/>
              <w:spacing w:after="0"/>
              <w:rPr>
                <w:sz w:val="20"/>
                <w:szCs w:val="20"/>
                <w:color w:val="auto"/>
              </w:rPr>
            </w:pPr>
            <w:r>
              <w:rPr>
                <w:rFonts w:ascii="Times New Roman" w:cs="Times New Roman" w:eastAsia="Times New Roman" w:hAnsi="Times New Roman"/>
                <w:sz w:val="16"/>
                <w:szCs w:val="16"/>
                <w:color w:val="auto"/>
                <w:w w:val="99"/>
              </w:rPr>
              <w:t>Texas</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717 LP,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720 2nd,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89th Place,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Africa JV B.V.</w:t>
            </w:r>
          </w:p>
        </w:tc>
        <w:tc>
          <w:tcPr>
            <w:tcW w:w="2020" w:type="dxa"/>
            <w:vAlign w:val="bottom"/>
            <w:shd w:val="clear" w:color="auto" w:fill="CCEEFF"/>
          </w:tcPr>
          <w:p>
            <w:pPr>
              <w:jc w:val="center"/>
              <w:ind w:right="40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Akard,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Alfred,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Alma Road, L.P.</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Aquila 101 Holding, L.P.</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Aquila 101 REIT,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Aquila 101,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Aquila 2,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Aquila,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Ashburn CS,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Asia,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Australia Finco Pty Ltd</w:t>
            </w:r>
          </w:p>
        </w:tc>
        <w:tc>
          <w:tcPr>
            <w:tcW w:w="2020" w:type="dxa"/>
            <w:vAlign w:val="bottom"/>
          </w:tcPr>
          <w:p>
            <w:pPr>
              <w:jc w:val="center"/>
              <w:ind w:right="402"/>
              <w:spacing w:after="0"/>
              <w:rPr>
                <w:sz w:val="20"/>
                <w:szCs w:val="20"/>
                <w:color w:val="auto"/>
              </w:rPr>
            </w:pPr>
            <w:r>
              <w:rPr>
                <w:rFonts w:ascii="Times New Roman" w:cs="Times New Roman" w:eastAsia="Times New Roman" w:hAnsi="Times New Roman"/>
                <w:sz w:val="16"/>
                <w:szCs w:val="16"/>
                <w:color w:val="auto"/>
                <w:w w:val="98"/>
              </w:rPr>
              <w:t>Australia</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Australia Investment Management Pty Limited</w:t>
            </w:r>
          </w:p>
        </w:tc>
        <w:tc>
          <w:tcPr>
            <w:tcW w:w="2020" w:type="dxa"/>
            <w:vAlign w:val="bottom"/>
            <w:shd w:val="clear" w:color="auto" w:fill="CCEEFF"/>
          </w:tcPr>
          <w:p>
            <w:pPr>
              <w:jc w:val="center"/>
              <w:ind w:right="402"/>
              <w:spacing w:after="0"/>
              <w:rPr>
                <w:sz w:val="20"/>
                <w:szCs w:val="20"/>
                <w:color w:val="auto"/>
              </w:rPr>
            </w:pPr>
            <w:r>
              <w:rPr>
                <w:rFonts w:ascii="Times New Roman" w:cs="Times New Roman" w:eastAsia="Times New Roman" w:hAnsi="Times New Roman"/>
                <w:sz w:val="16"/>
                <w:szCs w:val="16"/>
                <w:color w:val="auto"/>
                <w:w w:val="98"/>
              </w:rPr>
              <w:t>Australia</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Barcelona RE 1 S.L.U.</w:t>
            </w:r>
          </w:p>
        </w:tc>
        <w:tc>
          <w:tcPr>
            <w:tcW w:w="2020" w:type="dxa"/>
            <w:vAlign w:val="bottom"/>
          </w:tcPr>
          <w:p>
            <w:pPr>
              <w:jc w:val="center"/>
              <w:ind w:right="402"/>
              <w:spacing w:after="0"/>
              <w:rPr>
                <w:sz w:val="20"/>
                <w:szCs w:val="20"/>
                <w:color w:val="auto"/>
              </w:rPr>
            </w:pPr>
            <w:r>
              <w:rPr>
                <w:rFonts w:ascii="Times New Roman" w:cs="Times New Roman" w:eastAsia="Times New Roman" w:hAnsi="Times New Roman"/>
                <w:sz w:val="16"/>
                <w:szCs w:val="16"/>
                <w:color w:val="auto"/>
                <w:w w:val="93"/>
              </w:rPr>
              <w:t>Spain</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BH 800 Holdco,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BH 800 M,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BH 800,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Bowser,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Cabot,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Cadillac Services,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Carver Brickyard Holding,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Carver Brickyard Investor,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Carver Brickyard JV,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Carver Brickyard Manager,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Carver Brickyard,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484"/>
        </w:trPr>
        <w:tc>
          <w:tcPr>
            <w:tcW w:w="60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40" w:orient="portrait"/>
          <w:cols w:equalWidth="0" w:num="1">
            <w:col w:w="9020"/>
          </w:cols>
          <w:pgMar w:left="1440" w:top="555" w:right="1440" w:bottom="1440" w:gutter="0" w:footer="0" w:header="0"/>
        </w:sectPr>
      </w:pPr>
    </w:p>
    <w:bookmarkStart w:id="538" w:name="page539"/>
    <w:bookmarkEnd w:id="538"/>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Exhibit 21.2</w:t>
      </w:r>
    </w:p>
    <w:p>
      <w:pPr>
        <w:spacing w:after="0" w:line="16" w:lineRule="exact"/>
        <w:rPr>
          <w:sz w:val="20"/>
          <w:szCs w:val="20"/>
          <w:color w:val="auto"/>
        </w:rPr>
      </w:pPr>
    </w:p>
    <w:tbl>
      <w:tblPr>
        <w:tblLayout w:type="fixed"/>
        <w:tblInd w:w="460" w:type="dxa"/>
        <w:tblCellMar>
          <w:top w:w="0" w:type="dxa"/>
          <w:left w:w="0" w:type="dxa"/>
          <w:bottom w:w="0" w:type="dxa"/>
          <w:right w:w="0" w:type="dxa"/>
        </w:tblCellMar>
      </w:tblPr>
      <w:tr>
        <w:trPr>
          <w:trHeight w:val="205"/>
        </w:trPr>
        <w:tc>
          <w:tcPr>
            <w:tcW w:w="6040" w:type="dxa"/>
            <w:vAlign w:val="bottom"/>
          </w:tcPr>
          <w:p>
            <w:pPr>
              <w:ind w:left="2460"/>
              <w:spacing w:after="0"/>
              <w:rPr>
                <w:sz w:val="20"/>
                <w:szCs w:val="20"/>
                <w:color w:val="auto"/>
              </w:rPr>
            </w:pPr>
            <w:r>
              <w:rPr>
                <w:rFonts w:ascii="Times New Roman" w:cs="Times New Roman" w:eastAsia="Times New Roman" w:hAnsi="Times New Roman"/>
                <w:sz w:val="16"/>
                <w:szCs w:val="16"/>
                <w:b w:val="1"/>
                <w:bCs w:val="1"/>
                <w:color w:val="auto"/>
              </w:rPr>
              <w:t>List of Subsidiaries of Digital Realty Trust, L.P.</w:t>
            </w:r>
          </w:p>
        </w:tc>
        <w:tc>
          <w:tcPr>
            <w:tcW w:w="20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77"/>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Carver Dulles 5 Holding,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24"/>
                <w:szCs w:val="24"/>
                <w:color w:val="auto"/>
              </w:rPr>
            </w:pPr>
          </w:p>
        </w:tc>
      </w:tr>
      <w:tr>
        <w:trPr>
          <w:trHeight w:val="193"/>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Carver Dulles 5 Investor,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Carver Dulles 5 JV,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Carver Dulles 5,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Carver Dulles Manager,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Carver Fechenheim 23 B.V.</w:t>
            </w:r>
          </w:p>
        </w:tc>
        <w:tc>
          <w:tcPr>
            <w:tcW w:w="2020" w:type="dxa"/>
            <w:vAlign w:val="bottom"/>
            <w:shd w:val="clear" w:color="auto" w:fill="CCEEFF"/>
          </w:tcPr>
          <w:p>
            <w:pPr>
              <w:jc w:val="center"/>
              <w:ind w:right="40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Carver Fechenheim 23 Holding B.V.</w:t>
            </w:r>
          </w:p>
        </w:tc>
        <w:tc>
          <w:tcPr>
            <w:tcW w:w="2020" w:type="dxa"/>
            <w:vAlign w:val="bottom"/>
          </w:tcPr>
          <w:p>
            <w:pPr>
              <w:jc w:val="center"/>
              <w:ind w:right="40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Carver Fechenheim 23 OpCo GmbH</w:t>
            </w:r>
          </w:p>
        </w:tc>
        <w:tc>
          <w:tcPr>
            <w:tcW w:w="2020" w:type="dxa"/>
            <w:vAlign w:val="bottom"/>
            <w:shd w:val="clear" w:color="auto" w:fill="CCEEFF"/>
          </w:tcPr>
          <w:p>
            <w:pPr>
              <w:jc w:val="center"/>
              <w:ind w:right="402"/>
              <w:spacing w:after="0"/>
              <w:rPr>
                <w:sz w:val="20"/>
                <w:szCs w:val="20"/>
                <w:color w:val="auto"/>
              </w:rPr>
            </w:pPr>
            <w:r>
              <w:rPr>
                <w:rFonts w:ascii="Times New Roman" w:cs="Times New Roman" w:eastAsia="Times New Roman" w:hAnsi="Times New Roman"/>
                <w:sz w:val="16"/>
                <w:szCs w:val="16"/>
                <w:color w:val="auto"/>
                <w:w w:val="97"/>
              </w:rPr>
              <w:t>Germany</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Carver Fechenheim 23 Pledgeco B.V.</w:t>
            </w:r>
          </w:p>
        </w:tc>
        <w:tc>
          <w:tcPr>
            <w:tcW w:w="2020" w:type="dxa"/>
            <w:vAlign w:val="bottom"/>
          </w:tcPr>
          <w:p>
            <w:pPr>
              <w:jc w:val="center"/>
              <w:ind w:right="40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Carver Fechenheim 24 B.V.</w:t>
            </w:r>
          </w:p>
        </w:tc>
        <w:tc>
          <w:tcPr>
            <w:tcW w:w="2020" w:type="dxa"/>
            <w:vAlign w:val="bottom"/>
            <w:shd w:val="clear" w:color="auto" w:fill="CCEEFF"/>
          </w:tcPr>
          <w:p>
            <w:pPr>
              <w:jc w:val="center"/>
              <w:ind w:right="40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Carver Fechenheim 24 Holding B.V.</w:t>
            </w:r>
          </w:p>
        </w:tc>
        <w:tc>
          <w:tcPr>
            <w:tcW w:w="2020" w:type="dxa"/>
            <w:vAlign w:val="bottom"/>
          </w:tcPr>
          <w:p>
            <w:pPr>
              <w:jc w:val="center"/>
              <w:ind w:right="40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Carver Fechenheim 24 OpCo GmbH</w:t>
            </w:r>
          </w:p>
        </w:tc>
        <w:tc>
          <w:tcPr>
            <w:tcW w:w="2020" w:type="dxa"/>
            <w:vAlign w:val="bottom"/>
            <w:shd w:val="clear" w:color="auto" w:fill="CCEEFF"/>
          </w:tcPr>
          <w:p>
            <w:pPr>
              <w:jc w:val="center"/>
              <w:ind w:right="402"/>
              <w:spacing w:after="0"/>
              <w:rPr>
                <w:sz w:val="20"/>
                <w:szCs w:val="20"/>
                <w:color w:val="auto"/>
              </w:rPr>
            </w:pPr>
            <w:r>
              <w:rPr>
                <w:rFonts w:ascii="Times New Roman" w:cs="Times New Roman" w:eastAsia="Times New Roman" w:hAnsi="Times New Roman"/>
                <w:sz w:val="16"/>
                <w:szCs w:val="16"/>
                <w:color w:val="auto"/>
                <w:w w:val="97"/>
              </w:rPr>
              <w:t>Germany</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Carver Fechenheim 24 Pledgeco B.V.</w:t>
            </w:r>
          </w:p>
        </w:tc>
        <w:tc>
          <w:tcPr>
            <w:tcW w:w="2020" w:type="dxa"/>
            <w:vAlign w:val="bottom"/>
          </w:tcPr>
          <w:p>
            <w:pPr>
              <w:jc w:val="center"/>
              <w:ind w:right="40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Carver Fechenheim 25 B.V.</w:t>
            </w:r>
          </w:p>
        </w:tc>
        <w:tc>
          <w:tcPr>
            <w:tcW w:w="2020" w:type="dxa"/>
            <w:vAlign w:val="bottom"/>
            <w:shd w:val="clear" w:color="auto" w:fill="CCEEFF"/>
          </w:tcPr>
          <w:p>
            <w:pPr>
              <w:jc w:val="center"/>
              <w:ind w:right="40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Carver Fechenheim 25 Holding B.V.</w:t>
            </w:r>
          </w:p>
        </w:tc>
        <w:tc>
          <w:tcPr>
            <w:tcW w:w="2020" w:type="dxa"/>
            <w:vAlign w:val="bottom"/>
          </w:tcPr>
          <w:p>
            <w:pPr>
              <w:jc w:val="center"/>
              <w:ind w:right="40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Carver Fechenheim 25 OpCo GmbH</w:t>
            </w:r>
          </w:p>
        </w:tc>
        <w:tc>
          <w:tcPr>
            <w:tcW w:w="2020" w:type="dxa"/>
            <w:vAlign w:val="bottom"/>
            <w:shd w:val="clear" w:color="auto" w:fill="CCEEFF"/>
          </w:tcPr>
          <w:p>
            <w:pPr>
              <w:jc w:val="center"/>
              <w:ind w:right="402"/>
              <w:spacing w:after="0"/>
              <w:rPr>
                <w:sz w:val="20"/>
                <w:szCs w:val="20"/>
                <w:color w:val="auto"/>
              </w:rPr>
            </w:pPr>
            <w:r>
              <w:rPr>
                <w:rFonts w:ascii="Times New Roman" w:cs="Times New Roman" w:eastAsia="Times New Roman" w:hAnsi="Times New Roman"/>
                <w:sz w:val="16"/>
                <w:szCs w:val="16"/>
                <w:color w:val="auto"/>
                <w:w w:val="97"/>
              </w:rPr>
              <w:t>Germany</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Carver Fechenheim 25 Pledgeco B.V.</w:t>
            </w:r>
          </w:p>
        </w:tc>
        <w:tc>
          <w:tcPr>
            <w:tcW w:w="2020" w:type="dxa"/>
            <w:vAlign w:val="bottom"/>
          </w:tcPr>
          <w:p>
            <w:pPr>
              <w:jc w:val="center"/>
              <w:ind w:right="40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Carver Fechenheim 26 B.V.</w:t>
            </w:r>
          </w:p>
        </w:tc>
        <w:tc>
          <w:tcPr>
            <w:tcW w:w="2020" w:type="dxa"/>
            <w:vAlign w:val="bottom"/>
            <w:shd w:val="clear" w:color="auto" w:fill="CCEEFF"/>
          </w:tcPr>
          <w:p>
            <w:pPr>
              <w:jc w:val="center"/>
              <w:ind w:right="40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Carver Fechenheim 26 Holding B.V.</w:t>
            </w:r>
          </w:p>
        </w:tc>
        <w:tc>
          <w:tcPr>
            <w:tcW w:w="2020" w:type="dxa"/>
            <w:vAlign w:val="bottom"/>
          </w:tcPr>
          <w:p>
            <w:pPr>
              <w:jc w:val="center"/>
              <w:ind w:right="40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Carver Fechenheim 26 OpCo GmbH</w:t>
            </w:r>
          </w:p>
        </w:tc>
        <w:tc>
          <w:tcPr>
            <w:tcW w:w="2020" w:type="dxa"/>
            <w:vAlign w:val="bottom"/>
            <w:shd w:val="clear" w:color="auto" w:fill="CCEEFF"/>
          </w:tcPr>
          <w:p>
            <w:pPr>
              <w:jc w:val="center"/>
              <w:ind w:right="402"/>
              <w:spacing w:after="0"/>
              <w:rPr>
                <w:sz w:val="20"/>
                <w:szCs w:val="20"/>
                <w:color w:val="auto"/>
              </w:rPr>
            </w:pPr>
            <w:r>
              <w:rPr>
                <w:rFonts w:ascii="Times New Roman" w:cs="Times New Roman" w:eastAsia="Times New Roman" w:hAnsi="Times New Roman"/>
                <w:sz w:val="16"/>
                <w:szCs w:val="16"/>
                <w:color w:val="auto"/>
                <w:w w:val="97"/>
              </w:rPr>
              <w:t>Germany</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Carver Fechenheim 26 Pledgeco B.V.</w:t>
            </w:r>
          </w:p>
        </w:tc>
        <w:tc>
          <w:tcPr>
            <w:tcW w:w="2020" w:type="dxa"/>
            <w:vAlign w:val="bottom"/>
          </w:tcPr>
          <w:p>
            <w:pPr>
              <w:jc w:val="center"/>
              <w:ind w:right="40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Carver Fechenheim 27 B.V.</w:t>
            </w:r>
          </w:p>
        </w:tc>
        <w:tc>
          <w:tcPr>
            <w:tcW w:w="2020" w:type="dxa"/>
            <w:vAlign w:val="bottom"/>
            <w:shd w:val="clear" w:color="auto" w:fill="CCEEFF"/>
          </w:tcPr>
          <w:p>
            <w:pPr>
              <w:jc w:val="center"/>
              <w:ind w:right="40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Carver Fechenheim 27 Holding B.V.</w:t>
            </w:r>
          </w:p>
        </w:tc>
        <w:tc>
          <w:tcPr>
            <w:tcW w:w="2020" w:type="dxa"/>
            <w:vAlign w:val="bottom"/>
          </w:tcPr>
          <w:p>
            <w:pPr>
              <w:jc w:val="center"/>
              <w:ind w:right="40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Carver Fechenheim 27 OpCo GmbH</w:t>
            </w:r>
          </w:p>
        </w:tc>
        <w:tc>
          <w:tcPr>
            <w:tcW w:w="2020" w:type="dxa"/>
            <w:vAlign w:val="bottom"/>
            <w:shd w:val="clear" w:color="auto" w:fill="CCEEFF"/>
          </w:tcPr>
          <w:p>
            <w:pPr>
              <w:jc w:val="center"/>
              <w:ind w:right="402"/>
              <w:spacing w:after="0"/>
              <w:rPr>
                <w:sz w:val="20"/>
                <w:szCs w:val="20"/>
                <w:color w:val="auto"/>
              </w:rPr>
            </w:pPr>
            <w:r>
              <w:rPr>
                <w:rFonts w:ascii="Times New Roman" w:cs="Times New Roman" w:eastAsia="Times New Roman" w:hAnsi="Times New Roman"/>
                <w:sz w:val="16"/>
                <w:szCs w:val="16"/>
                <w:color w:val="auto"/>
                <w:w w:val="97"/>
              </w:rPr>
              <w:t>Germany</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Carver Fechenheim 27 Pledgeco B.V.</w:t>
            </w:r>
          </w:p>
        </w:tc>
        <w:tc>
          <w:tcPr>
            <w:tcW w:w="2020" w:type="dxa"/>
            <w:vAlign w:val="bottom"/>
          </w:tcPr>
          <w:p>
            <w:pPr>
              <w:jc w:val="center"/>
              <w:ind w:right="40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Carver Fechenheim Holding B.V.</w:t>
            </w:r>
          </w:p>
        </w:tc>
        <w:tc>
          <w:tcPr>
            <w:tcW w:w="2020" w:type="dxa"/>
            <w:vAlign w:val="bottom"/>
            <w:shd w:val="clear" w:color="auto" w:fill="CCEEFF"/>
          </w:tcPr>
          <w:p>
            <w:pPr>
              <w:jc w:val="center"/>
              <w:ind w:right="40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Carver Fechenheim Investor B.V.</w:t>
            </w:r>
          </w:p>
        </w:tc>
        <w:tc>
          <w:tcPr>
            <w:tcW w:w="2020" w:type="dxa"/>
            <w:vAlign w:val="bottom"/>
          </w:tcPr>
          <w:p>
            <w:pPr>
              <w:jc w:val="center"/>
              <w:ind w:right="40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Carver Fechenheim JV B.V.</w:t>
            </w:r>
          </w:p>
        </w:tc>
        <w:tc>
          <w:tcPr>
            <w:tcW w:w="2020" w:type="dxa"/>
            <w:vAlign w:val="bottom"/>
            <w:shd w:val="clear" w:color="auto" w:fill="CCEEFF"/>
          </w:tcPr>
          <w:p>
            <w:pPr>
              <w:jc w:val="center"/>
              <w:ind w:right="40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Carver Fechenheim,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Carver Les Ulis Holding 2 B.V.</w:t>
            </w:r>
          </w:p>
        </w:tc>
        <w:tc>
          <w:tcPr>
            <w:tcW w:w="2020" w:type="dxa"/>
            <w:vAlign w:val="bottom"/>
            <w:shd w:val="clear" w:color="auto" w:fill="CCEEFF"/>
          </w:tcPr>
          <w:p>
            <w:pPr>
              <w:jc w:val="center"/>
              <w:ind w:right="40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Carver Les Ulis Holding B.V.</w:t>
            </w:r>
          </w:p>
        </w:tc>
        <w:tc>
          <w:tcPr>
            <w:tcW w:w="2020" w:type="dxa"/>
            <w:vAlign w:val="bottom"/>
          </w:tcPr>
          <w:p>
            <w:pPr>
              <w:jc w:val="center"/>
              <w:ind w:right="40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Carver Les Ulis Investor B.V.</w:t>
            </w:r>
          </w:p>
        </w:tc>
        <w:tc>
          <w:tcPr>
            <w:tcW w:w="2020" w:type="dxa"/>
            <w:vAlign w:val="bottom"/>
            <w:shd w:val="clear" w:color="auto" w:fill="CCEEFF"/>
          </w:tcPr>
          <w:p>
            <w:pPr>
              <w:jc w:val="center"/>
              <w:ind w:right="40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Carver Les Ulis JV B.V.</w:t>
            </w:r>
          </w:p>
        </w:tc>
        <w:tc>
          <w:tcPr>
            <w:tcW w:w="2020" w:type="dxa"/>
            <w:vAlign w:val="bottom"/>
          </w:tcPr>
          <w:p>
            <w:pPr>
              <w:jc w:val="center"/>
              <w:ind w:right="40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Carver Les Ulis Mezzco B.V.</w:t>
            </w:r>
          </w:p>
        </w:tc>
        <w:tc>
          <w:tcPr>
            <w:tcW w:w="2020" w:type="dxa"/>
            <w:vAlign w:val="bottom"/>
            <w:shd w:val="clear" w:color="auto" w:fill="CCEEFF"/>
          </w:tcPr>
          <w:p>
            <w:pPr>
              <w:jc w:val="center"/>
              <w:ind w:right="40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Carver Les Ulis Pledgeco B.V.</w:t>
            </w:r>
          </w:p>
        </w:tc>
        <w:tc>
          <w:tcPr>
            <w:tcW w:w="2020" w:type="dxa"/>
            <w:vAlign w:val="bottom"/>
          </w:tcPr>
          <w:p>
            <w:pPr>
              <w:jc w:val="center"/>
              <w:ind w:right="40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Cavalier Holding,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Cavalier Investor,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Cavalier Manager,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Cavalier Venture,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Cedar Park,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Chelsea,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Chestnut 1,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Chestnut 2,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Chestnut 3,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Chestnut 4,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Chestnut 5,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Chestnut Holding,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China,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203"/>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Collins 908 GP,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7"/>
                <w:szCs w:val="17"/>
                <w:color w:val="auto"/>
              </w:rPr>
            </w:pPr>
          </w:p>
        </w:tc>
      </w:tr>
      <w:tr>
        <w:trPr>
          <w:trHeight w:val="473"/>
        </w:trPr>
        <w:tc>
          <w:tcPr>
            <w:tcW w:w="60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40" w:orient="portrait"/>
          <w:cols w:equalWidth="0" w:num="1">
            <w:col w:w="9020"/>
          </w:cols>
          <w:pgMar w:left="1440" w:top="555" w:right="1440" w:bottom="1440" w:gutter="0" w:footer="0" w:header="0"/>
        </w:sectPr>
      </w:pPr>
    </w:p>
    <w:bookmarkStart w:id="539" w:name="page540"/>
    <w:bookmarkEnd w:id="539"/>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Exhibit 21.2</w:t>
      </w:r>
    </w:p>
    <w:p>
      <w:pPr>
        <w:spacing w:after="0" w:line="16" w:lineRule="exact"/>
        <w:rPr>
          <w:sz w:val="20"/>
          <w:szCs w:val="20"/>
          <w:color w:val="auto"/>
        </w:rPr>
      </w:pPr>
    </w:p>
    <w:tbl>
      <w:tblPr>
        <w:tblLayout w:type="fixed"/>
        <w:tblInd w:w="460" w:type="dxa"/>
        <w:tblCellMar>
          <w:top w:w="0" w:type="dxa"/>
          <w:left w:w="0" w:type="dxa"/>
          <w:bottom w:w="0" w:type="dxa"/>
          <w:right w:w="0" w:type="dxa"/>
        </w:tblCellMar>
      </w:tblPr>
      <w:tr>
        <w:trPr>
          <w:trHeight w:val="205"/>
        </w:trPr>
        <w:tc>
          <w:tcPr>
            <w:tcW w:w="6040" w:type="dxa"/>
            <w:vAlign w:val="bottom"/>
          </w:tcPr>
          <w:p>
            <w:pPr>
              <w:ind w:left="2460"/>
              <w:spacing w:after="0"/>
              <w:rPr>
                <w:sz w:val="20"/>
                <w:szCs w:val="20"/>
                <w:color w:val="auto"/>
              </w:rPr>
            </w:pPr>
            <w:r>
              <w:rPr>
                <w:rFonts w:ascii="Times New Roman" w:cs="Times New Roman" w:eastAsia="Times New Roman" w:hAnsi="Times New Roman"/>
                <w:sz w:val="16"/>
                <w:szCs w:val="16"/>
                <w:b w:val="1"/>
                <w:bCs w:val="1"/>
                <w:color w:val="auto"/>
              </w:rPr>
              <w:t>List of Subsidiaries of Digital Realty Trust, L.P.</w:t>
            </w:r>
          </w:p>
        </w:tc>
        <w:tc>
          <w:tcPr>
            <w:tcW w:w="20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86"/>
        </w:trPr>
        <w:tc>
          <w:tcPr>
            <w:tcW w:w="60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Collins 908 Holding, L.P.</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Collins 908 REIT,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Collins 908, L.P.</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Collins Technology Park Investor,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Commerce Boulevard,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Connect,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Constellation B.V.</w:t>
            </w:r>
          </w:p>
        </w:tc>
        <w:tc>
          <w:tcPr>
            <w:tcW w:w="2020" w:type="dxa"/>
            <w:vAlign w:val="bottom"/>
            <w:shd w:val="clear" w:color="auto" w:fill="CCEEFF"/>
          </w:tcPr>
          <w:p>
            <w:pPr>
              <w:jc w:val="center"/>
              <w:ind w:right="40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Copenhagen 1 ApS</w:t>
            </w:r>
          </w:p>
        </w:tc>
        <w:tc>
          <w:tcPr>
            <w:tcW w:w="2020" w:type="dxa"/>
            <w:vAlign w:val="bottom"/>
          </w:tcPr>
          <w:p>
            <w:pPr>
              <w:jc w:val="center"/>
              <w:ind w:right="402"/>
              <w:spacing w:after="0"/>
              <w:rPr>
                <w:sz w:val="20"/>
                <w:szCs w:val="20"/>
                <w:color w:val="auto"/>
              </w:rPr>
            </w:pPr>
            <w:r>
              <w:rPr>
                <w:rFonts w:ascii="Times New Roman" w:cs="Times New Roman" w:eastAsia="Times New Roman" w:hAnsi="Times New Roman"/>
                <w:sz w:val="16"/>
                <w:szCs w:val="16"/>
                <w:color w:val="auto"/>
                <w:w w:val="97"/>
              </w:rPr>
              <w:t>Denmark</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Copenhagen 2 ApS</w:t>
            </w:r>
          </w:p>
        </w:tc>
        <w:tc>
          <w:tcPr>
            <w:tcW w:w="2020" w:type="dxa"/>
            <w:vAlign w:val="bottom"/>
            <w:shd w:val="clear" w:color="auto" w:fill="CCEEFF"/>
          </w:tcPr>
          <w:p>
            <w:pPr>
              <w:jc w:val="center"/>
              <w:ind w:right="402"/>
              <w:spacing w:after="0"/>
              <w:rPr>
                <w:sz w:val="20"/>
                <w:szCs w:val="20"/>
                <w:color w:val="auto"/>
              </w:rPr>
            </w:pPr>
            <w:r>
              <w:rPr>
                <w:rFonts w:ascii="Times New Roman" w:cs="Times New Roman" w:eastAsia="Times New Roman" w:hAnsi="Times New Roman"/>
                <w:sz w:val="16"/>
                <w:szCs w:val="16"/>
                <w:color w:val="auto"/>
                <w:w w:val="97"/>
              </w:rPr>
              <w:t>Denmark</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Copenhagen 3 ApS</w:t>
            </w:r>
          </w:p>
        </w:tc>
        <w:tc>
          <w:tcPr>
            <w:tcW w:w="2020" w:type="dxa"/>
            <w:vAlign w:val="bottom"/>
          </w:tcPr>
          <w:p>
            <w:pPr>
              <w:jc w:val="center"/>
              <w:ind w:right="402"/>
              <w:spacing w:after="0"/>
              <w:rPr>
                <w:sz w:val="20"/>
                <w:szCs w:val="20"/>
                <w:color w:val="auto"/>
              </w:rPr>
            </w:pPr>
            <w:r>
              <w:rPr>
                <w:rFonts w:ascii="Times New Roman" w:cs="Times New Roman" w:eastAsia="Times New Roman" w:hAnsi="Times New Roman"/>
                <w:sz w:val="16"/>
                <w:szCs w:val="16"/>
                <w:color w:val="auto"/>
                <w:w w:val="97"/>
              </w:rPr>
              <w:t>Denmark</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Core REIT</w:t>
            </w:r>
          </w:p>
        </w:tc>
        <w:tc>
          <w:tcPr>
            <w:tcW w:w="2020" w:type="dxa"/>
            <w:vAlign w:val="bottom"/>
            <w:shd w:val="clear" w:color="auto" w:fill="CCEEFF"/>
          </w:tcPr>
          <w:p>
            <w:pPr>
              <w:jc w:val="center"/>
              <w:ind w:right="402"/>
              <w:spacing w:after="0"/>
              <w:rPr>
                <w:sz w:val="20"/>
                <w:szCs w:val="20"/>
                <w:color w:val="auto"/>
              </w:rPr>
            </w:pPr>
            <w:r>
              <w:rPr>
                <w:rFonts w:ascii="Times New Roman" w:cs="Times New Roman" w:eastAsia="Times New Roman" w:hAnsi="Times New Roman"/>
                <w:sz w:val="16"/>
                <w:szCs w:val="16"/>
                <w:color w:val="auto"/>
                <w:w w:val="95"/>
              </w:rPr>
              <w:t>Singapore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Core REIT Management Pte. Ltd.</w:t>
            </w:r>
          </w:p>
        </w:tc>
        <w:tc>
          <w:tcPr>
            <w:tcW w:w="2020" w:type="dxa"/>
            <w:vAlign w:val="bottom"/>
          </w:tcPr>
          <w:p>
            <w:pPr>
              <w:jc w:val="center"/>
              <w:ind w:right="402"/>
              <w:spacing w:after="0"/>
              <w:rPr>
                <w:sz w:val="20"/>
                <w:szCs w:val="20"/>
                <w:color w:val="auto"/>
              </w:rPr>
            </w:pPr>
            <w:r>
              <w:rPr>
                <w:rFonts w:ascii="Times New Roman" w:cs="Times New Roman" w:eastAsia="Times New Roman" w:hAnsi="Times New Roman"/>
                <w:sz w:val="16"/>
                <w:szCs w:val="16"/>
                <w:color w:val="auto"/>
                <w:w w:val="95"/>
              </w:rPr>
              <w:t>Singapore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CR Singapore 1 Pte. Ltd.</w:t>
            </w:r>
          </w:p>
        </w:tc>
        <w:tc>
          <w:tcPr>
            <w:tcW w:w="2020" w:type="dxa"/>
            <w:vAlign w:val="bottom"/>
            <w:shd w:val="clear" w:color="auto" w:fill="CCEEFF"/>
          </w:tcPr>
          <w:p>
            <w:pPr>
              <w:jc w:val="center"/>
              <w:ind w:right="402"/>
              <w:spacing w:after="0"/>
              <w:rPr>
                <w:sz w:val="20"/>
                <w:szCs w:val="20"/>
                <w:color w:val="auto"/>
              </w:rPr>
            </w:pPr>
            <w:r>
              <w:rPr>
                <w:rFonts w:ascii="Times New Roman" w:cs="Times New Roman" w:eastAsia="Times New Roman" w:hAnsi="Times New Roman"/>
                <w:sz w:val="16"/>
                <w:szCs w:val="16"/>
                <w:color w:val="auto"/>
                <w:w w:val="95"/>
              </w:rPr>
              <w:t>Singapore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CR Singapore 2 Pte. Ltd.</w:t>
            </w:r>
          </w:p>
        </w:tc>
        <w:tc>
          <w:tcPr>
            <w:tcW w:w="2020" w:type="dxa"/>
            <w:vAlign w:val="bottom"/>
          </w:tcPr>
          <w:p>
            <w:pPr>
              <w:jc w:val="center"/>
              <w:ind w:right="402"/>
              <w:spacing w:after="0"/>
              <w:rPr>
                <w:sz w:val="20"/>
                <w:szCs w:val="20"/>
                <w:color w:val="auto"/>
              </w:rPr>
            </w:pPr>
            <w:r>
              <w:rPr>
                <w:rFonts w:ascii="Times New Roman" w:cs="Times New Roman" w:eastAsia="Times New Roman" w:hAnsi="Times New Roman"/>
                <w:sz w:val="16"/>
                <w:szCs w:val="16"/>
                <w:color w:val="auto"/>
                <w:w w:val="95"/>
              </w:rPr>
              <w:t>Singapore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CR Singapore 3 Pte. Ltd.</w:t>
            </w:r>
          </w:p>
        </w:tc>
        <w:tc>
          <w:tcPr>
            <w:tcW w:w="2020" w:type="dxa"/>
            <w:vAlign w:val="bottom"/>
            <w:shd w:val="clear" w:color="auto" w:fill="CCEEFF"/>
          </w:tcPr>
          <w:p>
            <w:pPr>
              <w:jc w:val="center"/>
              <w:ind w:right="402"/>
              <w:spacing w:after="0"/>
              <w:rPr>
                <w:sz w:val="20"/>
                <w:szCs w:val="20"/>
                <w:color w:val="auto"/>
              </w:rPr>
            </w:pPr>
            <w:r>
              <w:rPr>
                <w:rFonts w:ascii="Times New Roman" w:cs="Times New Roman" w:eastAsia="Times New Roman" w:hAnsi="Times New Roman"/>
                <w:sz w:val="16"/>
                <w:szCs w:val="16"/>
                <w:color w:val="auto"/>
                <w:w w:val="95"/>
              </w:rPr>
              <w:t>Singapore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CR Singapore 4 Pte. Ltd.</w:t>
            </w:r>
          </w:p>
        </w:tc>
        <w:tc>
          <w:tcPr>
            <w:tcW w:w="2020" w:type="dxa"/>
            <w:vAlign w:val="bottom"/>
          </w:tcPr>
          <w:p>
            <w:pPr>
              <w:jc w:val="center"/>
              <w:ind w:right="402"/>
              <w:spacing w:after="0"/>
              <w:rPr>
                <w:sz w:val="20"/>
                <w:szCs w:val="20"/>
                <w:color w:val="auto"/>
              </w:rPr>
            </w:pPr>
            <w:r>
              <w:rPr>
                <w:rFonts w:ascii="Times New Roman" w:cs="Times New Roman" w:eastAsia="Times New Roman" w:hAnsi="Times New Roman"/>
                <w:sz w:val="16"/>
                <w:szCs w:val="16"/>
                <w:color w:val="auto"/>
                <w:w w:val="95"/>
              </w:rPr>
              <w:t>Singapore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CR Singapore 5 Pte. Ltd.</w:t>
            </w:r>
          </w:p>
        </w:tc>
        <w:tc>
          <w:tcPr>
            <w:tcW w:w="2020" w:type="dxa"/>
            <w:vAlign w:val="bottom"/>
            <w:shd w:val="clear" w:color="auto" w:fill="CCEEFF"/>
          </w:tcPr>
          <w:p>
            <w:pPr>
              <w:jc w:val="center"/>
              <w:ind w:right="402"/>
              <w:spacing w:after="0"/>
              <w:rPr>
                <w:sz w:val="20"/>
                <w:szCs w:val="20"/>
                <w:color w:val="auto"/>
              </w:rPr>
            </w:pPr>
            <w:r>
              <w:rPr>
                <w:rFonts w:ascii="Times New Roman" w:cs="Times New Roman" w:eastAsia="Times New Roman" w:hAnsi="Times New Roman"/>
                <w:sz w:val="16"/>
                <w:szCs w:val="16"/>
                <w:color w:val="auto"/>
                <w:w w:val="95"/>
              </w:rPr>
              <w:t>Singapore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CR Singapore 6 Pte. Ltd.</w:t>
            </w:r>
          </w:p>
        </w:tc>
        <w:tc>
          <w:tcPr>
            <w:tcW w:w="2020" w:type="dxa"/>
            <w:vAlign w:val="bottom"/>
          </w:tcPr>
          <w:p>
            <w:pPr>
              <w:jc w:val="center"/>
              <w:ind w:right="402"/>
              <w:spacing w:after="0"/>
              <w:rPr>
                <w:sz w:val="20"/>
                <w:szCs w:val="20"/>
                <w:color w:val="auto"/>
              </w:rPr>
            </w:pPr>
            <w:r>
              <w:rPr>
                <w:rFonts w:ascii="Times New Roman" w:cs="Times New Roman" w:eastAsia="Times New Roman" w:hAnsi="Times New Roman"/>
                <w:sz w:val="16"/>
                <w:szCs w:val="16"/>
                <w:color w:val="auto"/>
                <w:w w:val="95"/>
              </w:rPr>
              <w:t>Singapore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CR Singapore Holding,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CR Singapore Investor,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CR US Employer,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CR US REIT, Inc.</w:t>
            </w:r>
          </w:p>
        </w:tc>
        <w:tc>
          <w:tcPr>
            <w:tcW w:w="2020" w:type="dxa"/>
            <w:vAlign w:val="bottom"/>
          </w:tcPr>
          <w:p>
            <w:pPr>
              <w:jc w:val="center"/>
              <w:ind w:right="402"/>
              <w:spacing w:after="0"/>
              <w:rPr>
                <w:sz w:val="20"/>
                <w:szCs w:val="20"/>
                <w:color w:val="auto"/>
              </w:rPr>
            </w:pPr>
            <w:r>
              <w:rPr>
                <w:rFonts w:ascii="Times New Roman" w:cs="Times New Roman" w:eastAsia="Times New Roman" w:hAnsi="Times New Roman"/>
                <w:sz w:val="16"/>
                <w:szCs w:val="16"/>
                <w:color w:val="auto"/>
                <w:w w:val="99"/>
              </w:rPr>
              <w:t>Maryland</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Crawley 1 Limited</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9"/>
              </w:rPr>
              <w:t>Jersey</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Crawley 2 Limited</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9"/>
              </w:rPr>
              <w:t>Jersey</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Crawley 3 Limited</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9"/>
              </w:rPr>
              <w:t>Jersey</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Crete 1 Single Member P.C.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Greece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Data Centres Ghana Ltd.</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5"/>
              </w:rPr>
              <w:t>Ghana</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Deer Park 2,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Deer Park 3,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Devin Shafron B,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Devin Shafron D,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Doug Davis,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DSE Investor,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DSE Manager,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Dugny SAS</w:t>
            </w:r>
          </w:p>
        </w:tc>
        <w:tc>
          <w:tcPr>
            <w:tcW w:w="2020" w:type="dxa"/>
            <w:vAlign w:val="bottom"/>
            <w:shd w:val="clear" w:color="auto" w:fill="CCEEFF"/>
          </w:tcPr>
          <w:p>
            <w:pPr>
              <w:jc w:val="center"/>
              <w:ind w:right="402"/>
              <w:spacing w:after="0"/>
              <w:rPr>
                <w:sz w:val="20"/>
                <w:szCs w:val="20"/>
                <w:color w:val="auto"/>
              </w:rPr>
            </w:pPr>
            <w:r>
              <w:rPr>
                <w:rFonts w:ascii="Times New Roman" w:cs="Times New Roman" w:eastAsia="Times New Roman" w:hAnsi="Times New Roman"/>
                <w:sz w:val="16"/>
                <w:szCs w:val="16"/>
                <w:color w:val="auto"/>
                <w:w w:val="96"/>
              </w:rPr>
              <w:t>France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Dulles Land Condominium Unit Owners Association, Inc.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Virginia</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Dutch Finco B.V.</w:t>
            </w:r>
          </w:p>
        </w:tc>
        <w:tc>
          <w:tcPr>
            <w:tcW w:w="2020" w:type="dxa"/>
            <w:vAlign w:val="bottom"/>
            <w:shd w:val="clear" w:color="auto" w:fill="CCEEFF"/>
          </w:tcPr>
          <w:p>
            <w:pPr>
              <w:jc w:val="center"/>
              <w:ind w:right="40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Elk Grove 1,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Elk Grove 2,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Elk Grove 3,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Elk Grove Investor 2,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Elk Grove Investor,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Elk Grove Manager,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Elk Grove Venture 2,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Elk Grove Venture,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Erskine Park 2,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Erskine Park 3,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Erskine Park 4,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Euro Finco GP,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484"/>
        </w:trPr>
        <w:tc>
          <w:tcPr>
            <w:tcW w:w="60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40" w:orient="portrait"/>
          <w:cols w:equalWidth="0" w:num="1">
            <w:col w:w="9020"/>
          </w:cols>
          <w:pgMar w:left="1440" w:top="555" w:right="1440" w:bottom="1440" w:gutter="0" w:footer="0" w:header="0"/>
        </w:sectPr>
      </w:pPr>
    </w:p>
    <w:bookmarkStart w:id="540" w:name="page541"/>
    <w:bookmarkEnd w:id="540"/>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184"/>
        </w:trPr>
        <w:tc>
          <w:tcPr>
            <w:tcW w:w="2340" w:type="dxa"/>
            <w:vAlign w:val="bottom"/>
          </w:tcPr>
          <w:p>
            <w:pPr>
              <w:spacing w:after="0"/>
              <w:rPr>
                <w:sz w:val="16"/>
                <w:szCs w:val="16"/>
                <w:color w:val="auto"/>
              </w:rPr>
            </w:pPr>
          </w:p>
        </w:tc>
        <w:tc>
          <w:tcPr>
            <w:tcW w:w="5760" w:type="dxa"/>
            <w:vAlign w:val="bottom"/>
            <w:gridSpan w:val="2"/>
          </w:tcPr>
          <w:p>
            <w:pPr>
              <w:ind w:left="4940"/>
              <w:spacing w:after="0"/>
              <w:rPr>
                <w:sz w:val="20"/>
                <w:szCs w:val="20"/>
                <w:color w:val="auto"/>
              </w:rPr>
            </w:pPr>
            <w:r>
              <w:rPr>
                <w:rFonts w:ascii="Times New Roman" w:cs="Times New Roman" w:eastAsia="Times New Roman" w:hAnsi="Times New Roman"/>
                <w:sz w:val="16"/>
                <w:szCs w:val="16"/>
                <w:b w:val="1"/>
                <w:bCs w:val="1"/>
                <w:color w:val="auto"/>
                <w:w w:val="96"/>
              </w:rPr>
              <w:t>Exhibit 21.2</w:t>
            </w:r>
          </w:p>
        </w:tc>
      </w:tr>
      <w:tr>
        <w:trPr>
          <w:trHeight w:val="205"/>
        </w:trPr>
        <w:tc>
          <w:tcPr>
            <w:tcW w:w="2340" w:type="dxa"/>
            <w:vAlign w:val="bottom"/>
          </w:tcPr>
          <w:p>
            <w:pPr>
              <w:spacing w:after="0"/>
              <w:rPr>
                <w:sz w:val="17"/>
                <w:szCs w:val="17"/>
                <w:color w:val="auto"/>
              </w:rPr>
            </w:pPr>
          </w:p>
        </w:tc>
        <w:tc>
          <w:tcPr>
            <w:tcW w:w="57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List of Subsidiaries of Digital Realty Trust, L.P.</w:t>
            </w:r>
          </w:p>
        </w:tc>
      </w:tr>
      <w:tr>
        <w:trPr>
          <w:trHeight w:val="396"/>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Digital Euro Finco Partner Limited</w:t>
            </w:r>
          </w:p>
        </w:tc>
        <w:tc>
          <w:tcPr>
            <w:tcW w:w="5760" w:type="dxa"/>
            <w:vAlign w:val="bottom"/>
            <w:gridSpan w:val="2"/>
          </w:tcPr>
          <w:p>
            <w:pPr>
              <w:jc w:val="center"/>
              <w:ind w:left="3122"/>
              <w:spacing w:after="0"/>
              <w:rPr>
                <w:sz w:val="20"/>
                <w:szCs w:val="20"/>
                <w:color w:val="auto"/>
              </w:rPr>
            </w:pPr>
            <w:r>
              <w:rPr>
                <w:rFonts w:ascii="Times New Roman" w:cs="Times New Roman" w:eastAsia="Times New Roman" w:hAnsi="Times New Roman"/>
                <w:sz w:val="16"/>
                <w:szCs w:val="16"/>
                <w:color w:val="auto"/>
                <w:w w:val="98"/>
              </w:rPr>
              <w:t>British Virgin Islands</w:t>
            </w:r>
          </w:p>
        </w:tc>
      </w:tr>
      <w:tr>
        <w:trPr>
          <w:trHeight w:val="194"/>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Euro Finco, L.P.</w:t>
            </w:r>
          </w:p>
        </w:tc>
        <w:tc>
          <w:tcPr>
            <w:tcW w:w="5760" w:type="dxa"/>
            <w:vAlign w:val="bottom"/>
            <w:gridSpan w:val="2"/>
            <w:shd w:val="clear" w:color="auto" w:fill="CCEEFF"/>
          </w:tcPr>
          <w:p>
            <w:pPr>
              <w:jc w:val="center"/>
              <w:ind w:left="3142"/>
              <w:spacing w:after="0"/>
              <w:rPr>
                <w:sz w:val="20"/>
                <w:szCs w:val="20"/>
                <w:color w:val="auto"/>
              </w:rPr>
            </w:pPr>
            <w:r>
              <w:rPr>
                <w:rFonts w:ascii="Times New Roman" w:cs="Times New Roman" w:eastAsia="Times New Roman" w:hAnsi="Times New Roman"/>
                <w:sz w:val="16"/>
                <w:szCs w:val="16"/>
                <w:color w:val="auto"/>
                <w:w w:val="97"/>
              </w:rPr>
              <w:t>United Kingdom (Scotland)</w:t>
            </w:r>
          </w:p>
        </w:tc>
      </w:tr>
      <w:tr>
        <w:trPr>
          <w:trHeight w:val="192"/>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Digital Euro Finco, LLC</w:t>
            </w:r>
          </w:p>
        </w:tc>
        <w:tc>
          <w:tcPr>
            <w:tcW w:w="5760" w:type="dxa"/>
            <w:vAlign w:val="bottom"/>
            <w:gridSpan w:val="2"/>
          </w:tcPr>
          <w:p>
            <w:pPr>
              <w:jc w:val="center"/>
              <w:ind w:left="312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Federal Systems, LLC</w:t>
            </w:r>
          </w:p>
        </w:tc>
        <w:tc>
          <w:tcPr>
            <w:tcW w:w="5760" w:type="dxa"/>
            <w:vAlign w:val="bottom"/>
            <w:gridSpan w:val="2"/>
            <w:shd w:val="clear" w:color="auto" w:fill="CCEEFF"/>
          </w:tcPr>
          <w:p>
            <w:pPr>
              <w:jc w:val="center"/>
              <w:ind w:left="312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Digital Filigree Holding, L.P.</w:t>
            </w:r>
          </w:p>
        </w:tc>
        <w:tc>
          <w:tcPr>
            <w:tcW w:w="5760" w:type="dxa"/>
            <w:vAlign w:val="bottom"/>
            <w:gridSpan w:val="2"/>
          </w:tcPr>
          <w:p>
            <w:pPr>
              <w:jc w:val="center"/>
              <w:ind w:left="312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Filigree REIT, LLC</w:t>
            </w:r>
          </w:p>
        </w:tc>
        <w:tc>
          <w:tcPr>
            <w:tcW w:w="5760" w:type="dxa"/>
            <w:vAlign w:val="bottom"/>
            <w:gridSpan w:val="2"/>
            <w:shd w:val="clear" w:color="auto" w:fill="CCEEFF"/>
          </w:tcPr>
          <w:p>
            <w:pPr>
              <w:jc w:val="center"/>
              <w:ind w:left="312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Digital Filigree, LLC</w:t>
            </w:r>
          </w:p>
        </w:tc>
        <w:tc>
          <w:tcPr>
            <w:tcW w:w="5760" w:type="dxa"/>
            <w:vAlign w:val="bottom"/>
            <w:gridSpan w:val="2"/>
          </w:tcPr>
          <w:p>
            <w:pPr>
              <w:jc w:val="center"/>
              <w:ind w:left="312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Forney, LLC</w:t>
            </w:r>
          </w:p>
        </w:tc>
        <w:tc>
          <w:tcPr>
            <w:tcW w:w="5760" w:type="dxa"/>
            <w:vAlign w:val="bottom"/>
            <w:gridSpan w:val="2"/>
            <w:shd w:val="clear" w:color="auto" w:fill="CCEEFF"/>
          </w:tcPr>
          <w:p>
            <w:pPr>
              <w:jc w:val="center"/>
              <w:ind w:left="312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Digital Fort Gillem, LLC</w:t>
            </w:r>
          </w:p>
        </w:tc>
        <w:tc>
          <w:tcPr>
            <w:tcW w:w="5760" w:type="dxa"/>
            <w:vAlign w:val="bottom"/>
            <w:gridSpan w:val="2"/>
          </w:tcPr>
          <w:p>
            <w:pPr>
              <w:jc w:val="center"/>
              <w:ind w:left="312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Frankfurt 2 B.V.</w:t>
            </w:r>
          </w:p>
        </w:tc>
        <w:tc>
          <w:tcPr>
            <w:tcW w:w="5760" w:type="dxa"/>
            <w:vAlign w:val="bottom"/>
            <w:gridSpan w:val="2"/>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5"/>
              </w:rPr>
              <w:t>Netherlands</w:t>
            </w:r>
          </w:p>
        </w:tc>
      </w:tr>
      <w:tr>
        <w:trPr>
          <w:trHeight w:val="192"/>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Digital Frankfurt GmbH</w:t>
            </w:r>
          </w:p>
        </w:tc>
        <w:tc>
          <w:tcPr>
            <w:tcW w:w="5760" w:type="dxa"/>
            <w:vAlign w:val="bottom"/>
            <w:gridSpan w:val="2"/>
          </w:tcPr>
          <w:p>
            <w:pPr>
              <w:jc w:val="center"/>
              <w:ind w:left="3102"/>
              <w:spacing w:after="0"/>
              <w:rPr>
                <w:sz w:val="20"/>
                <w:szCs w:val="20"/>
                <w:color w:val="auto"/>
              </w:rPr>
            </w:pPr>
            <w:r>
              <w:rPr>
                <w:rFonts w:ascii="Times New Roman" w:cs="Times New Roman" w:eastAsia="Times New Roman" w:hAnsi="Times New Roman"/>
                <w:sz w:val="16"/>
                <w:szCs w:val="16"/>
                <w:color w:val="auto"/>
                <w:w w:val="97"/>
              </w:rPr>
              <w:t>Germany</w:t>
            </w:r>
          </w:p>
        </w:tc>
      </w:tr>
      <w:tr>
        <w:trPr>
          <w:trHeight w:val="192"/>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Front, LLC</w:t>
            </w:r>
          </w:p>
        </w:tc>
        <w:tc>
          <w:tcPr>
            <w:tcW w:w="5760" w:type="dxa"/>
            <w:vAlign w:val="bottom"/>
            <w:gridSpan w:val="2"/>
            <w:shd w:val="clear" w:color="auto" w:fill="CCEEFF"/>
          </w:tcPr>
          <w:p>
            <w:pPr>
              <w:jc w:val="center"/>
              <w:ind w:left="312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Digital Fullerton, LLC</w:t>
            </w:r>
          </w:p>
        </w:tc>
        <w:tc>
          <w:tcPr>
            <w:tcW w:w="5760" w:type="dxa"/>
            <w:vAlign w:val="bottom"/>
            <w:gridSpan w:val="2"/>
          </w:tcPr>
          <w:p>
            <w:pPr>
              <w:jc w:val="center"/>
              <w:ind w:left="312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Garland 2B GP, LLC</w:t>
            </w:r>
          </w:p>
        </w:tc>
        <w:tc>
          <w:tcPr>
            <w:tcW w:w="5760" w:type="dxa"/>
            <w:vAlign w:val="bottom"/>
            <w:gridSpan w:val="2"/>
            <w:shd w:val="clear" w:color="auto" w:fill="CCEEFF"/>
          </w:tcPr>
          <w:p>
            <w:pPr>
              <w:jc w:val="center"/>
              <w:ind w:left="312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Digital Garland 2B Holding, L.P.</w:t>
            </w:r>
          </w:p>
        </w:tc>
        <w:tc>
          <w:tcPr>
            <w:tcW w:w="5760" w:type="dxa"/>
            <w:vAlign w:val="bottom"/>
            <w:gridSpan w:val="2"/>
          </w:tcPr>
          <w:p>
            <w:pPr>
              <w:jc w:val="center"/>
              <w:ind w:left="312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Garland 2B L.P.</w:t>
            </w:r>
          </w:p>
        </w:tc>
        <w:tc>
          <w:tcPr>
            <w:tcW w:w="5760" w:type="dxa"/>
            <w:vAlign w:val="bottom"/>
            <w:gridSpan w:val="2"/>
            <w:shd w:val="clear" w:color="auto" w:fill="CCEEFF"/>
          </w:tcPr>
          <w:p>
            <w:pPr>
              <w:jc w:val="center"/>
              <w:ind w:left="312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Digital Garland 2B REIT, LLC</w:t>
            </w:r>
          </w:p>
        </w:tc>
        <w:tc>
          <w:tcPr>
            <w:tcW w:w="5760" w:type="dxa"/>
            <w:vAlign w:val="bottom"/>
            <w:gridSpan w:val="2"/>
          </w:tcPr>
          <w:p>
            <w:pPr>
              <w:jc w:val="center"/>
              <w:ind w:left="312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Garland 2C GP, LLC</w:t>
            </w:r>
          </w:p>
        </w:tc>
        <w:tc>
          <w:tcPr>
            <w:tcW w:w="5760" w:type="dxa"/>
            <w:vAlign w:val="bottom"/>
            <w:gridSpan w:val="2"/>
            <w:shd w:val="clear" w:color="auto" w:fill="CCEEFF"/>
          </w:tcPr>
          <w:p>
            <w:pPr>
              <w:jc w:val="center"/>
              <w:ind w:left="312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Digital Garland 2C Holding, L.P.</w:t>
            </w:r>
          </w:p>
        </w:tc>
        <w:tc>
          <w:tcPr>
            <w:tcW w:w="5760" w:type="dxa"/>
            <w:vAlign w:val="bottom"/>
            <w:gridSpan w:val="2"/>
          </w:tcPr>
          <w:p>
            <w:pPr>
              <w:jc w:val="center"/>
              <w:ind w:left="312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Garland 2C REIT, LLC</w:t>
            </w:r>
          </w:p>
        </w:tc>
        <w:tc>
          <w:tcPr>
            <w:tcW w:w="5760" w:type="dxa"/>
            <w:vAlign w:val="bottom"/>
            <w:gridSpan w:val="2"/>
            <w:shd w:val="clear" w:color="auto" w:fill="CCEEFF"/>
          </w:tcPr>
          <w:p>
            <w:pPr>
              <w:jc w:val="center"/>
              <w:ind w:left="312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Digital Garland 2C, L.P.</w:t>
            </w:r>
          </w:p>
        </w:tc>
        <w:tc>
          <w:tcPr>
            <w:tcW w:w="5760" w:type="dxa"/>
            <w:vAlign w:val="bottom"/>
            <w:gridSpan w:val="2"/>
          </w:tcPr>
          <w:p>
            <w:pPr>
              <w:jc w:val="center"/>
              <w:ind w:left="312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Garland Campbell, L.P.</w:t>
            </w:r>
          </w:p>
        </w:tc>
        <w:tc>
          <w:tcPr>
            <w:tcW w:w="5760" w:type="dxa"/>
            <w:vAlign w:val="bottom"/>
            <w:gridSpan w:val="2"/>
            <w:shd w:val="clear" w:color="auto" w:fill="CCEEFF"/>
          </w:tcPr>
          <w:p>
            <w:pPr>
              <w:jc w:val="center"/>
              <w:ind w:left="312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Digital Garland Ferris, L.P,</w:t>
            </w:r>
          </w:p>
        </w:tc>
        <w:tc>
          <w:tcPr>
            <w:tcW w:w="5760" w:type="dxa"/>
            <w:vAlign w:val="bottom"/>
            <w:gridSpan w:val="2"/>
          </w:tcPr>
          <w:p>
            <w:pPr>
              <w:jc w:val="center"/>
              <w:ind w:left="312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Garland, LLC</w:t>
            </w:r>
          </w:p>
        </w:tc>
        <w:tc>
          <w:tcPr>
            <w:tcW w:w="5760" w:type="dxa"/>
            <w:vAlign w:val="bottom"/>
            <w:gridSpan w:val="2"/>
            <w:shd w:val="clear" w:color="auto" w:fill="CCEEFF"/>
          </w:tcPr>
          <w:p>
            <w:pPr>
              <w:jc w:val="center"/>
              <w:ind w:left="312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Digital Germany Cheetah GmbH</w:t>
            </w:r>
          </w:p>
        </w:tc>
        <w:tc>
          <w:tcPr>
            <w:tcW w:w="5760" w:type="dxa"/>
            <w:vAlign w:val="bottom"/>
            <w:gridSpan w:val="2"/>
          </w:tcPr>
          <w:p>
            <w:pPr>
              <w:jc w:val="center"/>
              <w:ind w:left="3102"/>
              <w:spacing w:after="0"/>
              <w:rPr>
                <w:sz w:val="20"/>
                <w:szCs w:val="20"/>
                <w:color w:val="auto"/>
              </w:rPr>
            </w:pPr>
            <w:r>
              <w:rPr>
                <w:rFonts w:ascii="Times New Roman" w:cs="Times New Roman" w:eastAsia="Times New Roman" w:hAnsi="Times New Roman"/>
                <w:sz w:val="16"/>
                <w:szCs w:val="16"/>
                <w:color w:val="auto"/>
                <w:w w:val="97"/>
              </w:rPr>
              <w:t>Germany</w:t>
            </w:r>
          </w:p>
        </w:tc>
      </w:tr>
      <w:tr>
        <w:trPr>
          <w:trHeight w:val="192"/>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Germany Holding, LLC</w:t>
            </w:r>
          </w:p>
        </w:tc>
        <w:tc>
          <w:tcPr>
            <w:tcW w:w="5760" w:type="dxa"/>
            <w:vAlign w:val="bottom"/>
            <w:gridSpan w:val="2"/>
            <w:shd w:val="clear" w:color="auto" w:fill="CCEEFF"/>
          </w:tcPr>
          <w:p>
            <w:pPr>
              <w:jc w:val="center"/>
              <w:ind w:left="312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Digital Gold Investor, LLC</w:t>
            </w:r>
          </w:p>
        </w:tc>
        <w:tc>
          <w:tcPr>
            <w:tcW w:w="5760" w:type="dxa"/>
            <w:vAlign w:val="bottom"/>
            <w:gridSpan w:val="2"/>
          </w:tcPr>
          <w:p>
            <w:pPr>
              <w:jc w:val="center"/>
              <w:ind w:left="312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Gold Manager, LLC</w:t>
            </w:r>
          </w:p>
        </w:tc>
        <w:tc>
          <w:tcPr>
            <w:tcW w:w="5760" w:type="dxa"/>
            <w:vAlign w:val="bottom"/>
            <w:gridSpan w:val="2"/>
            <w:shd w:val="clear" w:color="auto" w:fill="CCEEFF"/>
          </w:tcPr>
          <w:p>
            <w:pPr>
              <w:jc w:val="center"/>
              <w:ind w:left="312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Digital Gold Sterling, LLC</w:t>
            </w:r>
          </w:p>
        </w:tc>
        <w:tc>
          <w:tcPr>
            <w:tcW w:w="5760" w:type="dxa"/>
            <w:vAlign w:val="bottom"/>
            <w:gridSpan w:val="2"/>
          </w:tcPr>
          <w:p>
            <w:pPr>
              <w:jc w:val="center"/>
              <w:ind w:left="312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Gold Venture, LLC</w:t>
            </w:r>
          </w:p>
        </w:tc>
        <w:tc>
          <w:tcPr>
            <w:tcW w:w="5760" w:type="dxa"/>
            <w:vAlign w:val="bottom"/>
            <w:gridSpan w:val="2"/>
            <w:shd w:val="clear" w:color="auto" w:fill="CCEEFF"/>
          </w:tcPr>
          <w:p>
            <w:pPr>
              <w:jc w:val="center"/>
              <w:ind w:left="312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Digital Gough, LLC</w:t>
            </w:r>
          </w:p>
        </w:tc>
        <w:tc>
          <w:tcPr>
            <w:tcW w:w="5760" w:type="dxa"/>
            <w:vAlign w:val="bottom"/>
            <w:gridSpan w:val="2"/>
          </w:tcPr>
          <w:p>
            <w:pPr>
              <w:jc w:val="center"/>
              <w:ind w:left="312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Grand Avenue 2, LLC</w:t>
            </w:r>
          </w:p>
        </w:tc>
        <w:tc>
          <w:tcPr>
            <w:tcW w:w="5760" w:type="dxa"/>
            <w:vAlign w:val="bottom"/>
            <w:gridSpan w:val="2"/>
            <w:shd w:val="clear" w:color="auto" w:fill="CCEEFF"/>
          </w:tcPr>
          <w:p>
            <w:pPr>
              <w:jc w:val="center"/>
              <w:ind w:left="312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Digital Grand Avenue 3, LLC</w:t>
            </w:r>
          </w:p>
        </w:tc>
        <w:tc>
          <w:tcPr>
            <w:tcW w:w="5760" w:type="dxa"/>
            <w:vAlign w:val="bottom"/>
            <w:gridSpan w:val="2"/>
          </w:tcPr>
          <w:p>
            <w:pPr>
              <w:jc w:val="center"/>
              <w:ind w:left="312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Grand Avenue, LLC</w:t>
            </w:r>
          </w:p>
        </w:tc>
        <w:tc>
          <w:tcPr>
            <w:tcW w:w="5760" w:type="dxa"/>
            <w:vAlign w:val="bottom"/>
            <w:gridSpan w:val="2"/>
            <w:shd w:val="clear" w:color="auto" w:fill="CCEEFF"/>
          </w:tcPr>
          <w:p>
            <w:pPr>
              <w:jc w:val="center"/>
              <w:ind w:left="312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Digital Grange Castle B.V.</w:t>
            </w:r>
          </w:p>
        </w:tc>
        <w:tc>
          <w:tcPr>
            <w:tcW w:w="5760" w:type="dxa"/>
            <w:vAlign w:val="bottom"/>
            <w:gridSpan w:val="2"/>
          </w:tcPr>
          <w:p>
            <w:pPr>
              <w:jc w:val="center"/>
              <w:ind w:left="3102"/>
              <w:spacing w:after="0"/>
              <w:rPr>
                <w:sz w:val="20"/>
                <w:szCs w:val="20"/>
                <w:color w:val="auto"/>
              </w:rPr>
            </w:pPr>
            <w:r>
              <w:rPr>
                <w:rFonts w:ascii="Times New Roman" w:cs="Times New Roman" w:eastAsia="Times New Roman" w:hAnsi="Times New Roman"/>
                <w:sz w:val="16"/>
                <w:szCs w:val="16"/>
                <w:color w:val="auto"/>
                <w:w w:val="95"/>
              </w:rPr>
              <w:t>Netherlands</w:t>
            </w:r>
          </w:p>
        </w:tc>
      </w:tr>
      <w:tr>
        <w:trPr>
          <w:trHeight w:val="192"/>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Greenfield B.V.</w:t>
            </w:r>
          </w:p>
        </w:tc>
        <w:tc>
          <w:tcPr>
            <w:tcW w:w="5760" w:type="dxa"/>
            <w:vAlign w:val="bottom"/>
            <w:gridSpan w:val="2"/>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5"/>
              </w:rPr>
              <w:t>Netherlands</w:t>
            </w:r>
          </w:p>
        </w:tc>
      </w:tr>
      <w:tr>
        <w:trPr>
          <w:trHeight w:val="192"/>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Digital Greenspoint, L.P.</w:t>
            </w:r>
          </w:p>
        </w:tc>
        <w:tc>
          <w:tcPr>
            <w:tcW w:w="5760" w:type="dxa"/>
            <w:vAlign w:val="bottom"/>
            <w:gridSpan w:val="2"/>
          </w:tcPr>
          <w:p>
            <w:pPr>
              <w:jc w:val="center"/>
              <w:ind w:left="3102"/>
              <w:spacing w:after="0"/>
              <w:rPr>
                <w:sz w:val="20"/>
                <w:szCs w:val="20"/>
                <w:color w:val="auto"/>
              </w:rPr>
            </w:pPr>
            <w:r>
              <w:rPr>
                <w:rFonts w:ascii="Times New Roman" w:cs="Times New Roman" w:eastAsia="Times New Roman" w:hAnsi="Times New Roman"/>
                <w:sz w:val="16"/>
                <w:szCs w:val="16"/>
                <w:color w:val="auto"/>
                <w:w w:val="99"/>
              </w:rPr>
              <w:t>Texas</w:t>
            </w:r>
          </w:p>
        </w:tc>
      </w:tr>
      <w:tr>
        <w:trPr>
          <w:trHeight w:val="192"/>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Greenspoint, LLC</w:t>
            </w:r>
          </w:p>
        </w:tc>
        <w:tc>
          <w:tcPr>
            <w:tcW w:w="5760" w:type="dxa"/>
            <w:vAlign w:val="bottom"/>
            <w:gridSpan w:val="2"/>
            <w:shd w:val="clear" w:color="auto" w:fill="CCEEFF"/>
          </w:tcPr>
          <w:p>
            <w:pPr>
              <w:jc w:val="center"/>
              <w:ind w:left="312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Digital Grizzly Holding, L.P.</w:t>
            </w:r>
          </w:p>
        </w:tc>
        <w:tc>
          <w:tcPr>
            <w:tcW w:w="5760" w:type="dxa"/>
            <w:vAlign w:val="bottom"/>
            <w:gridSpan w:val="2"/>
          </w:tcPr>
          <w:p>
            <w:pPr>
              <w:jc w:val="center"/>
              <w:ind w:left="312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Grizzly REIT, LLC</w:t>
            </w:r>
          </w:p>
        </w:tc>
        <w:tc>
          <w:tcPr>
            <w:tcW w:w="5760" w:type="dxa"/>
            <w:vAlign w:val="bottom"/>
            <w:gridSpan w:val="2"/>
            <w:shd w:val="clear" w:color="auto" w:fill="CCEEFF"/>
          </w:tcPr>
          <w:p>
            <w:pPr>
              <w:jc w:val="center"/>
              <w:ind w:left="312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Digital HK JV Holding Limited</w:t>
            </w:r>
          </w:p>
        </w:tc>
        <w:tc>
          <w:tcPr>
            <w:tcW w:w="5760" w:type="dxa"/>
            <w:vAlign w:val="bottom"/>
            <w:gridSpan w:val="2"/>
          </w:tcPr>
          <w:p>
            <w:pPr>
              <w:jc w:val="center"/>
              <w:ind w:left="3122"/>
              <w:spacing w:after="0"/>
              <w:rPr>
                <w:sz w:val="20"/>
                <w:szCs w:val="20"/>
                <w:color w:val="auto"/>
              </w:rPr>
            </w:pPr>
            <w:r>
              <w:rPr>
                <w:rFonts w:ascii="Times New Roman" w:cs="Times New Roman" w:eastAsia="Times New Roman" w:hAnsi="Times New Roman"/>
                <w:sz w:val="16"/>
                <w:szCs w:val="16"/>
                <w:color w:val="auto"/>
                <w:w w:val="98"/>
              </w:rPr>
              <w:t>British Virgin Islands</w:t>
            </w:r>
          </w:p>
        </w:tc>
      </w:tr>
      <w:tr>
        <w:trPr>
          <w:trHeight w:val="192"/>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HK Kin Chuen Limited</w:t>
            </w:r>
          </w:p>
        </w:tc>
        <w:tc>
          <w:tcPr>
            <w:tcW w:w="5760" w:type="dxa"/>
            <w:vAlign w:val="bottom"/>
            <w:gridSpan w:val="2"/>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8"/>
              </w:rPr>
              <w:t>Hong Kong</w:t>
            </w:r>
          </w:p>
        </w:tc>
      </w:tr>
      <w:tr>
        <w:trPr>
          <w:trHeight w:val="192"/>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Digital Hong Kong, LLC</w:t>
            </w:r>
          </w:p>
        </w:tc>
        <w:tc>
          <w:tcPr>
            <w:tcW w:w="5760" w:type="dxa"/>
            <w:vAlign w:val="bottom"/>
            <w:gridSpan w:val="2"/>
          </w:tcPr>
          <w:p>
            <w:pPr>
              <w:jc w:val="center"/>
              <w:ind w:left="312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Hoofddorp 2 B.V.</w:t>
            </w:r>
          </w:p>
        </w:tc>
        <w:tc>
          <w:tcPr>
            <w:tcW w:w="5760" w:type="dxa"/>
            <w:vAlign w:val="bottom"/>
            <w:gridSpan w:val="2"/>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5"/>
              </w:rPr>
              <w:t>Netherlands</w:t>
            </w:r>
          </w:p>
        </w:tc>
      </w:tr>
      <w:tr>
        <w:trPr>
          <w:trHeight w:val="192"/>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Digital Hoofddorp B.V.</w:t>
            </w:r>
          </w:p>
        </w:tc>
        <w:tc>
          <w:tcPr>
            <w:tcW w:w="5760" w:type="dxa"/>
            <w:vAlign w:val="bottom"/>
            <w:gridSpan w:val="2"/>
          </w:tcPr>
          <w:p>
            <w:pPr>
              <w:jc w:val="center"/>
              <w:ind w:left="3102"/>
              <w:spacing w:after="0"/>
              <w:rPr>
                <w:sz w:val="20"/>
                <w:szCs w:val="20"/>
                <w:color w:val="auto"/>
              </w:rPr>
            </w:pPr>
            <w:r>
              <w:rPr>
                <w:rFonts w:ascii="Times New Roman" w:cs="Times New Roman" w:eastAsia="Times New Roman" w:hAnsi="Times New Roman"/>
                <w:sz w:val="16"/>
                <w:szCs w:val="16"/>
                <w:color w:val="auto"/>
                <w:w w:val="95"/>
              </w:rPr>
              <w:t>Netherlands</w:t>
            </w:r>
          </w:p>
        </w:tc>
      </w:tr>
      <w:tr>
        <w:trPr>
          <w:trHeight w:val="192"/>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India 2, LLC</w:t>
            </w:r>
          </w:p>
        </w:tc>
        <w:tc>
          <w:tcPr>
            <w:tcW w:w="5760" w:type="dxa"/>
            <w:vAlign w:val="bottom"/>
            <w:gridSpan w:val="2"/>
            <w:shd w:val="clear" w:color="auto" w:fill="CCEEFF"/>
          </w:tcPr>
          <w:p>
            <w:pPr>
              <w:jc w:val="center"/>
              <w:ind w:left="312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Digital India, LLC</w:t>
            </w:r>
          </w:p>
        </w:tc>
        <w:tc>
          <w:tcPr>
            <w:tcW w:w="5760" w:type="dxa"/>
            <w:vAlign w:val="bottom"/>
            <w:gridSpan w:val="2"/>
          </w:tcPr>
          <w:p>
            <w:pPr>
              <w:jc w:val="center"/>
              <w:ind w:left="312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Indonesia Holding Pte. Ltd.</w:t>
            </w:r>
          </w:p>
        </w:tc>
        <w:tc>
          <w:tcPr>
            <w:tcW w:w="5760" w:type="dxa"/>
            <w:vAlign w:val="bottom"/>
            <w:gridSpan w:val="2"/>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5"/>
              </w:rPr>
              <w:t>Singapore</w:t>
            </w:r>
          </w:p>
        </w:tc>
      </w:tr>
      <w:tr>
        <w:trPr>
          <w:trHeight w:val="203"/>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Digital Indonesia Investor Pte. Ltd.</w:t>
            </w:r>
          </w:p>
        </w:tc>
        <w:tc>
          <w:tcPr>
            <w:tcW w:w="5760" w:type="dxa"/>
            <w:vAlign w:val="bottom"/>
            <w:gridSpan w:val="2"/>
          </w:tcPr>
          <w:p>
            <w:pPr>
              <w:jc w:val="center"/>
              <w:ind w:left="3102"/>
              <w:spacing w:after="0"/>
              <w:rPr>
                <w:sz w:val="20"/>
                <w:szCs w:val="20"/>
                <w:color w:val="auto"/>
              </w:rPr>
            </w:pPr>
            <w:r>
              <w:rPr>
                <w:rFonts w:ascii="Times New Roman" w:cs="Times New Roman" w:eastAsia="Times New Roman" w:hAnsi="Times New Roman"/>
                <w:sz w:val="16"/>
                <w:szCs w:val="16"/>
                <w:color w:val="auto"/>
                <w:w w:val="95"/>
              </w:rPr>
              <w:t>Singapore</w:t>
            </w:r>
          </w:p>
        </w:tc>
      </w:tr>
      <w:tr>
        <w:trPr>
          <w:trHeight w:val="473"/>
        </w:trPr>
        <w:tc>
          <w:tcPr>
            <w:tcW w:w="234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40" w:orient="portrait"/>
          <w:cols w:equalWidth="0" w:num="1">
            <w:col w:w="9020"/>
          </w:cols>
          <w:pgMar w:left="1440" w:top="551" w:right="1440" w:bottom="1440" w:gutter="0" w:footer="0" w:header="0"/>
        </w:sectPr>
      </w:pPr>
    </w:p>
    <w:bookmarkStart w:id="541" w:name="page542"/>
    <w:bookmarkEnd w:id="541"/>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Exhibit 21.2</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List of Subsidiaries of Digital Realty Trust, L.P.</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InterXion Holding, LLC</w:t>
            </w:r>
          </w:p>
        </w:tc>
        <w:tc>
          <w:tcPr>
            <w:tcW w:w="382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Intrepid Holding B.V.</w:t>
            </w:r>
          </w:p>
        </w:tc>
        <w:tc>
          <w:tcPr>
            <w:tcW w:w="3820" w:type="dxa"/>
            <w:vAlign w:val="bottom"/>
          </w:tcPr>
          <w:p>
            <w:pPr>
              <w:jc w:val="center"/>
              <w:ind w:left="124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Investment Management Pte. Ltd.</w:t>
            </w:r>
          </w:p>
        </w:tc>
        <w:tc>
          <w:tcPr>
            <w:tcW w:w="3820" w:type="dxa"/>
            <w:vAlign w:val="bottom"/>
            <w:shd w:val="clear" w:color="auto" w:fill="CCEEFF"/>
          </w:tcPr>
          <w:p>
            <w:pPr>
              <w:jc w:val="center"/>
              <w:ind w:left="1242"/>
              <w:spacing w:after="0"/>
              <w:rPr>
                <w:sz w:val="20"/>
                <w:szCs w:val="20"/>
                <w:color w:val="auto"/>
              </w:rPr>
            </w:pPr>
            <w:r>
              <w:rPr>
                <w:rFonts w:ascii="Times New Roman" w:cs="Times New Roman" w:eastAsia="Times New Roman" w:hAnsi="Times New Roman"/>
                <w:sz w:val="16"/>
                <w:szCs w:val="16"/>
                <w:color w:val="auto"/>
                <w:w w:val="95"/>
              </w:rPr>
              <w:t>Singapore</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Investments EMEA, LLC</w:t>
            </w:r>
          </w:p>
        </w:tc>
        <w:tc>
          <w:tcPr>
            <w:tcW w:w="382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Investments Holding, LLC</w:t>
            </w:r>
          </w:p>
        </w:tc>
        <w:tc>
          <w:tcPr>
            <w:tcW w:w="382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Israel Holding B.V.</w:t>
            </w:r>
          </w:p>
        </w:tc>
        <w:tc>
          <w:tcPr>
            <w:tcW w:w="3820" w:type="dxa"/>
            <w:vAlign w:val="bottom"/>
          </w:tcPr>
          <w:p>
            <w:pPr>
              <w:jc w:val="center"/>
              <w:ind w:left="124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Japan 1 Pte. Ltd.</w:t>
            </w:r>
          </w:p>
        </w:tc>
        <w:tc>
          <w:tcPr>
            <w:tcW w:w="3820" w:type="dxa"/>
            <w:vAlign w:val="bottom"/>
            <w:shd w:val="clear" w:color="auto" w:fill="CCEEFF"/>
          </w:tcPr>
          <w:p>
            <w:pPr>
              <w:jc w:val="center"/>
              <w:ind w:left="1242"/>
              <w:spacing w:after="0"/>
              <w:rPr>
                <w:sz w:val="20"/>
                <w:szCs w:val="20"/>
                <w:color w:val="auto"/>
              </w:rPr>
            </w:pPr>
            <w:r>
              <w:rPr>
                <w:rFonts w:ascii="Times New Roman" w:cs="Times New Roman" w:eastAsia="Times New Roman" w:hAnsi="Times New Roman"/>
                <w:sz w:val="16"/>
                <w:szCs w:val="16"/>
                <w:color w:val="auto"/>
                <w:w w:val="95"/>
              </w:rPr>
              <w:t>Singapore</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Japan 2 Pte. Ltd.</w:t>
            </w:r>
          </w:p>
        </w:tc>
        <w:tc>
          <w:tcPr>
            <w:tcW w:w="3820" w:type="dxa"/>
            <w:vAlign w:val="bottom"/>
          </w:tcPr>
          <w:p>
            <w:pPr>
              <w:jc w:val="center"/>
              <w:ind w:left="1242"/>
              <w:spacing w:after="0"/>
              <w:rPr>
                <w:sz w:val="20"/>
                <w:szCs w:val="20"/>
                <w:color w:val="auto"/>
              </w:rPr>
            </w:pPr>
            <w:r>
              <w:rPr>
                <w:rFonts w:ascii="Times New Roman" w:cs="Times New Roman" w:eastAsia="Times New Roman" w:hAnsi="Times New Roman"/>
                <w:sz w:val="16"/>
                <w:szCs w:val="16"/>
                <w:color w:val="auto"/>
                <w:w w:val="95"/>
              </w:rPr>
              <w:t>Singapore</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Japan Holding Pte. Ltd.</w:t>
            </w:r>
          </w:p>
        </w:tc>
        <w:tc>
          <w:tcPr>
            <w:tcW w:w="3820" w:type="dxa"/>
            <w:vAlign w:val="bottom"/>
            <w:shd w:val="clear" w:color="auto" w:fill="CCEEFF"/>
          </w:tcPr>
          <w:p>
            <w:pPr>
              <w:jc w:val="center"/>
              <w:ind w:left="1242"/>
              <w:spacing w:after="0"/>
              <w:rPr>
                <w:sz w:val="20"/>
                <w:szCs w:val="20"/>
                <w:color w:val="auto"/>
              </w:rPr>
            </w:pPr>
            <w:r>
              <w:rPr>
                <w:rFonts w:ascii="Times New Roman" w:cs="Times New Roman" w:eastAsia="Times New Roman" w:hAnsi="Times New Roman"/>
                <w:sz w:val="16"/>
                <w:szCs w:val="16"/>
                <w:color w:val="auto"/>
                <w:w w:val="95"/>
              </w:rPr>
              <w:t>Singapore</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Japan Investment Management GK</w:t>
            </w:r>
          </w:p>
        </w:tc>
        <w:tc>
          <w:tcPr>
            <w:tcW w:w="3820" w:type="dxa"/>
            <w:vAlign w:val="bottom"/>
          </w:tcPr>
          <w:p>
            <w:pPr>
              <w:jc w:val="center"/>
              <w:ind w:left="1242"/>
              <w:spacing w:after="0"/>
              <w:rPr>
                <w:sz w:val="20"/>
                <w:szCs w:val="20"/>
                <w:color w:val="auto"/>
              </w:rPr>
            </w:pPr>
            <w:r>
              <w:rPr>
                <w:rFonts w:ascii="Times New Roman" w:cs="Times New Roman" w:eastAsia="Times New Roman" w:hAnsi="Times New Roman"/>
                <w:sz w:val="16"/>
                <w:szCs w:val="16"/>
                <w:color w:val="auto"/>
                <w:w w:val="93"/>
              </w:rPr>
              <w:t>Japan</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Japan, LLC</w:t>
            </w:r>
          </w:p>
        </w:tc>
        <w:tc>
          <w:tcPr>
            <w:tcW w:w="382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Jordan Holding, LLC</w:t>
            </w:r>
          </w:p>
        </w:tc>
        <w:tc>
          <w:tcPr>
            <w:tcW w:w="382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Jubilee, LLC</w:t>
            </w:r>
          </w:p>
        </w:tc>
        <w:tc>
          <w:tcPr>
            <w:tcW w:w="382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Korea, LLC</w:t>
            </w:r>
          </w:p>
        </w:tc>
        <w:tc>
          <w:tcPr>
            <w:tcW w:w="382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La Courneuve SCI</w:t>
            </w:r>
          </w:p>
        </w:tc>
        <w:tc>
          <w:tcPr>
            <w:tcW w:w="3820" w:type="dxa"/>
            <w:vAlign w:val="bottom"/>
            <w:shd w:val="clear" w:color="auto" w:fill="CCEEFF"/>
          </w:tcPr>
          <w:p>
            <w:pPr>
              <w:jc w:val="center"/>
              <w:ind w:left="1242"/>
              <w:spacing w:after="0"/>
              <w:rPr>
                <w:sz w:val="20"/>
                <w:szCs w:val="20"/>
                <w:color w:val="auto"/>
              </w:rPr>
            </w:pPr>
            <w:r>
              <w:rPr>
                <w:rFonts w:ascii="Times New Roman" w:cs="Times New Roman" w:eastAsia="Times New Roman" w:hAnsi="Times New Roman"/>
                <w:sz w:val="16"/>
                <w:szCs w:val="16"/>
                <w:color w:val="auto"/>
                <w:w w:val="96"/>
              </w:rPr>
              <w:t>France</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Lafayette 2 JV, LLC</w:t>
            </w:r>
          </w:p>
        </w:tc>
        <w:tc>
          <w:tcPr>
            <w:tcW w:w="382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Lafayette 2, LLC</w:t>
            </w:r>
          </w:p>
        </w:tc>
        <w:tc>
          <w:tcPr>
            <w:tcW w:w="382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Lafayette 2045 Holding, L.P.</w:t>
            </w:r>
          </w:p>
        </w:tc>
        <w:tc>
          <w:tcPr>
            <w:tcW w:w="382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Lafayette 2045 REIT, LLC</w:t>
            </w:r>
          </w:p>
        </w:tc>
        <w:tc>
          <w:tcPr>
            <w:tcW w:w="382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Lafayette 2045, LLC</w:t>
            </w:r>
          </w:p>
        </w:tc>
        <w:tc>
          <w:tcPr>
            <w:tcW w:w="382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Lafayette Chantilly, LLC</w:t>
            </w:r>
          </w:p>
        </w:tc>
        <w:tc>
          <w:tcPr>
            <w:tcW w:w="382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Lafayette, LLC</w:t>
            </w:r>
          </w:p>
        </w:tc>
        <w:tc>
          <w:tcPr>
            <w:tcW w:w="382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Lakeside 2, LLC</w:t>
            </w:r>
          </w:p>
        </w:tc>
        <w:tc>
          <w:tcPr>
            <w:tcW w:w="382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Lakeside 3, LLC</w:t>
            </w:r>
          </w:p>
        </w:tc>
        <w:tc>
          <w:tcPr>
            <w:tcW w:w="382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Lakeside Holdings, LLC</w:t>
            </w:r>
          </w:p>
        </w:tc>
        <w:tc>
          <w:tcPr>
            <w:tcW w:w="382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Lakeside, LLC</w:t>
            </w:r>
          </w:p>
        </w:tc>
        <w:tc>
          <w:tcPr>
            <w:tcW w:w="382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Les Ulis 2 SAS</w:t>
            </w:r>
          </w:p>
        </w:tc>
        <w:tc>
          <w:tcPr>
            <w:tcW w:w="3820" w:type="dxa"/>
            <w:vAlign w:val="bottom"/>
            <w:shd w:val="clear" w:color="auto" w:fill="CCEEFF"/>
          </w:tcPr>
          <w:p>
            <w:pPr>
              <w:jc w:val="center"/>
              <w:ind w:left="1242"/>
              <w:spacing w:after="0"/>
              <w:rPr>
                <w:sz w:val="20"/>
                <w:szCs w:val="20"/>
                <w:color w:val="auto"/>
              </w:rPr>
            </w:pPr>
            <w:r>
              <w:rPr>
                <w:rFonts w:ascii="Times New Roman" w:cs="Times New Roman" w:eastAsia="Times New Roman" w:hAnsi="Times New Roman"/>
                <w:sz w:val="16"/>
                <w:szCs w:val="16"/>
                <w:color w:val="auto"/>
                <w:w w:val="96"/>
              </w:rPr>
              <w:t>France</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Les Ulis Holding 2 SAS</w:t>
            </w:r>
          </w:p>
        </w:tc>
        <w:tc>
          <w:tcPr>
            <w:tcW w:w="3820" w:type="dxa"/>
            <w:vAlign w:val="bottom"/>
          </w:tcPr>
          <w:p>
            <w:pPr>
              <w:jc w:val="center"/>
              <w:ind w:left="1242"/>
              <w:spacing w:after="0"/>
              <w:rPr>
                <w:sz w:val="20"/>
                <w:szCs w:val="20"/>
                <w:color w:val="auto"/>
              </w:rPr>
            </w:pPr>
            <w:r>
              <w:rPr>
                <w:rFonts w:ascii="Times New Roman" w:cs="Times New Roman" w:eastAsia="Times New Roman" w:hAnsi="Times New Roman"/>
                <w:sz w:val="16"/>
                <w:szCs w:val="16"/>
                <w:color w:val="auto"/>
                <w:w w:val="96"/>
              </w:rPr>
              <w:t>France</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Les Ulis Holding SAS</w:t>
            </w:r>
          </w:p>
        </w:tc>
        <w:tc>
          <w:tcPr>
            <w:tcW w:w="3820" w:type="dxa"/>
            <w:vAlign w:val="bottom"/>
            <w:shd w:val="clear" w:color="auto" w:fill="CCEEFF"/>
          </w:tcPr>
          <w:p>
            <w:pPr>
              <w:jc w:val="center"/>
              <w:ind w:left="1242"/>
              <w:spacing w:after="0"/>
              <w:rPr>
                <w:sz w:val="20"/>
                <w:szCs w:val="20"/>
                <w:color w:val="auto"/>
              </w:rPr>
            </w:pPr>
            <w:r>
              <w:rPr>
                <w:rFonts w:ascii="Times New Roman" w:cs="Times New Roman" w:eastAsia="Times New Roman" w:hAnsi="Times New Roman"/>
                <w:sz w:val="16"/>
                <w:szCs w:val="16"/>
                <w:color w:val="auto"/>
                <w:w w:val="96"/>
              </w:rPr>
              <w:t>France</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Les Ulis SNC</w:t>
            </w:r>
          </w:p>
        </w:tc>
        <w:tc>
          <w:tcPr>
            <w:tcW w:w="3820" w:type="dxa"/>
            <w:vAlign w:val="bottom"/>
          </w:tcPr>
          <w:p>
            <w:pPr>
              <w:jc w:val="center"/>
              <w:ind w:left="1242"/>
              <w:spacing w:after="0"/>
              <w:rPr>
                <w:sz w:val="20"/>
                <w:szCs w:val="20"/>
                <w:color w:val="auto"/>
              </w:rPr>
            </w:pPr>
            <w:r>
              <w:rPr>
                <w:rFonts w:ascii="Times New Roman" w:cs="Times New Roman" w:eastAsia="Times New Roman" w:hAnsi="Times New Roman"/>
                <w:sz w:val="16"/>
                <w:szCs w:val="16"/>
                <w:color w:val="auto"/>
                <w:w w:val="96"/>
              </w:rPr>
              <w:t>France</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Lewisville, LLC</w:t>
            </w:r>
          </w:p>
        </w:tc>
        <w:tc>
          <w:tcPr>
            <w:tcW w:w="382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London Limited</w:t>
            </w:r>
          </w:p>
        </w:tc>
        <w:tc>
          <w:tcPr>
            <w:tcW w:w="382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7"/>
              </w:rPr>
              <w:t>United Kingdom (England and Wales)</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Loudoun 3, LLC</w:t>
            </w:r>
          </w:p>
        </w:tc>
        <w:tc>
          <w:tcPr>
            <w:tcW w:w="382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Loudoun II, LLC</w:t>
            </w:r>
          </w:p>
        </w:tc>
        <w:tc>
          <w:tcPr>
            <w:tcW w:w="382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Loudoun IV, LLC</w:t>
            </w:r>
          </w:p>
        </w:tc>
        <w:tc>
          <w:tcPr>
            <w:tcW w:w="382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Loudoun Parkway Center North, LLC</w:t>
            </w:r>
          </w:p>
        </w:tc>
        <w:tc>
          <w:tcPr>
            <w:tcW w:w="382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Luxembourg II S.à r.l.</w:t>
            </w:r>
          </w:p>
        </w:tc>
        <w:tc>
          <w:tcPr>
            <w:tcW w:w="382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6"/>
              </w:rPr>
              <w:t>Luxembourg</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Luxembourg III Limited</w:t>
            </w:r>
          </w:p>
        </w:tc>
        <w:tc>
          <w:tcPr>
            <w:tcW w:w="382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9"/>
              </w:rPr>
              <w:t>Jersey</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Macquarie Park, LLC</w:t>
            </w:r>
          </w:p>
        </w:tc>
        <w:tc>
          <w:tcPr>
            <w:tcW w:w="382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Midway GP, LLC</w:t>
            </w:r>
          </w:p>
        </w:tc>
        <w:tc>
          <w:tcPr>
            <w:tcW w:w="382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Midway, L.P.</w:t>
            </w:r>
          </w:p>
        </w:tc>
        <w:tc>
          <w:tcPr>
            <w:tcW w:w="3820" w:type="dxa"/>
            <w:vAlign w:val="bottom"/>
            <w:shd w:val="clear" w:color="auto" w:fill="CCEEFF"/>
          </w:tcPr>
          <w:p>
            <w:pPr>
              <w:jc w:val="center"/>
              <w:ind w:left="1242"/>
              <w:spacing w:after="0"/>
              <w:rPr>
                <w:sz w:val="20"/>
                <w:szCs w:val="20"/>
                <w:color w:val="auto"/>
              </w:rPr>
            </w:pPr>
            <w:r>
              <w:rPr>
                <w:rFonts w:ascii="Times New Roman" w:cs="Times New Roman" w:eastAsia="Times New Roman" w:hAnsi="Times New Roman"/>
                <w:sz w:val="16"/>
                <w:szCs w:val="16"/>
                <w:color w:val="auto"/>
                <w:w w:val="99"/>
              </w:rPr>
              <w:t>Texas</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Moores Chapel 2, LLC</w:t>
            </w:r>
          </w:p>
        </w:tc>
        <w:tc>
          <w:tcPr>
            <w:tcW w:w="382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Moores Chapel, LLC</w:t>
            </w:r>
          </w:p>
        </w:tc>
        <w:tc>
          <w:tcPr>
            <w:tcW w:w="382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Moran Holdings, LLC</w:t>
            </w:r>
          </w:p>
        </w:tc>
        <w:tc>
          <w:tcPr>
            <w:tcW w:w="382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MP, LLC</w:t>
            </w:r>
          </w:p>
        </w:tc>
        <w:tc>
          <w:tcPr>
            <w:tcW w:w="382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MRS5 SAS</w:t>
            </w:r>
          </w:p>
        </w:tc>
        <w:tc>
          <w:tcPr>
            <w:tcW w:w="3820" w:type="dxa"/>
            <w:vAlign w:val="bottom"/>
          </w:tcPr>
          <w:p>
            <w:pPr>
              <w:jc w:val="center"/>
              <w:ind w:left="1242"/>
              <w:spacing w:after="0"/>
              <w:rPr>
                <w:sz w:val="20"/>
                <w:szCs w:val="20"/>
                <w:color w:val="auto"/>
              </w:rPr>
            </w:pPr>
            <w:r>
              <w:rPr>
                <w:rFonts w:ascii="Times New Roman" w:cs="Times New Roman" w:eastAsia="Times New Roman" w:hAnsi="Times New Roman"/>
                <w:sz w:val="16"/>
                <w:szCs w:val="16"/>
                <w:color w:val="auto"/>
                <w:w w:val="96"/>
              </w:rPr>
              <w:t>France</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MRS6 SAS</w:t>
            </w:r>
          </w:p>
        </w:tc>
        <w:tc>
          <w:tcPr>
            <w:tcW w:w="3820" w:type="dxa"/>
            <w:vAlign w:val="bottom"/>
            <w:shd w:val="clear" w:color="auto" w:fill="CCEEFF"/>
          </w:tcPr>
          <w:p>
            <w:pPr>
              <w:jc w:val="center"/>
              <w:ind w:left="1242"/>
              <w:spacing w:after="0"/>
              <w:rPr>
                <w:sz w:val="20"/>
                <w:szCs w:val="20"/>
                <w:color w:val="auto"/>
              </w:rPr>
            </w:pPr>
            <w:r>
              <w:rPr>
                <w:rFonts w:ascii="Times New Roman" w:cs="Times New Roman" w:eastAsia="Times New Roman" w:hAnsi="Times New Roman"/>
                <w:sz w:val="16"/>
                <w:szCs w:val="16"/>
                <w:color w:val="auto"/>
                <w:w w:val="96"/>
              </w:rPr>
              <w:t>France</w:t>
            </w:r>
          </w:p>
        </w:tc>
        <w:tc>
          <w:tcPr>
            <w:tcW w:w="40" w:type="dxa"/>
            <w:vAlign w:val="bottom"/>
            <w:shd w:val="clear" w:color="auto" w:fill="CCEEFF"/>
          </w:tcPr>
          <w:p>
            <w:pPr>
              <w:spacing w:after="0"/>
              <w:rPr>
                <w:sz w:val="16"/>
                <w:szCs w:val="16"/>
                <w:color w:val="auto"/>
              </w:rPr>
            </w:pPr>
          </w:p>
        </w:tc>
      </w:tr>
      <w:tr>
        <w:trPr>
          <w:trHeight w:val="203"/>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Nash JV, LLC</w:t>
            </w:r>
          </w:p>
        </w:tc>
        <w:tc>
          <w:tcPr>
            <w:tcW w:w="382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7"/>
                <w:szCs w:val="17"/>
                <w:color w:val="auto"/>
              </w:rPr>
            </w:pPr>
          </w:p>
        </w:tc>
      </w:tr>
      <w:tr>
        <w:trPr>
          <w:trHeight w:val="473"/>
        </w:trPr>
        <w:tc>
          <w:tcPr>
            <w:tcW w:w="424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40" w:orient="portrait"/>
          <w:cols w:equalWidth="0" w:num="1">
            <w:col w:w="9020"/>
          </w:cols>
          <w:pgMar w:left="1440" w:top="555" w:right="1440" w:bottom="1440" w:gutter="0" w:footer="0" w:header="0"/>
        </w:sectPr>
      </w:pPr>
    </w:p>
    <w:bookmarkStart w:id="542" w:name="page543"/>
    <w:bookmarkEnd w:id="542"/>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Exhibit 21.2</w:t>
      </w:r>
    </w:p>
    <w:p>
      <w:pPr>
        <w:spacing w:after="0" w:line="16" w:lineRule="exact"/>
        <w:rPr>
          <w:sz w:val="20"/>
          <w:szCs w:val="20"/>
          <w:color w:val="auto"/>
        </w:rPr>
      </w:pPr>
    </w:p>
    <w:tbl>
      <w:tblPr>
        <w:tblLayout w:type="fixed"/>
        <w:tblInd w:w="460" w:type="dxa"/>
        <w:tblCellMar>
          <w:top w:w="0" w:type="dxa"/>
          <w:left w:w="0" w:type="dxa"/>
          <w:bottom w:w="0" w:type="dxa"/>
          <w:right w:w="0" w:type="dxa"/>
        </w:tblCellMar>
      </w:tblPr>
      <w:tr>
        <w:trPr>
          <w:trHeight w:val="205"/>
        </w:trPr>
        <w:tc>
          <w:tcPr>
            <w:tcW w:w="8060" w:type="dxa"/>
            <w:vAlign w:val="bottom"/>
            <w:gridSpan w:val="2"/>
          </w:tcPr>
          <w:p>
            <w:pPr>
              <w:ind w:left="2460"/>
              <w:spacing w:after="0"/>
              <w:rPr>
                <w:sz w:val="20"/>
                <w:szCs w:val="20"/>
                <w:color w:val="auto"/>
              </w:rPr>
            </w:pPr>
            <w:r>
              <w:rPr>
                <w:rFonts w:ascii="Times New Roman" w:cs="Times New Roman" w:eastAsia="Times New Roman" w:hAnsi="Times New Roman"/>
                <w:sz w:val="16"/>
                <w:szCs w:val="16"/>
                <w:b w:val="1"/>
                <w:bCs w:val="1"/>
                <w:color w:val="auto"/>
              </w:rPr>
              <w:t>List of Subsidiaries of Digital Realty Trust, L.P.</w:t>
            </w:r>
          </w:p>
        </w:tc>
        <w:tc>
          <w:tcPr>
            <w:tcW w:w="40" w:type="dxa"/>
            <w:vAlign w:val="bottom"/>
          </w:tcPr>
          <w:p>
            <w:pPr>
              <w:spacing w:after="0"/>
              <w:rPr>
                <w:sz w:val="17"/>
                <w:szCs w:val="17"/>
                <w:color w:val="auto"/>
              </w:rPr>
            </w:pPr>
          </w:p>
        </w:tc>
      </w:tr>
      <w:tr>
        <w:trPr>
          <w:trHeight w:val="186"/>
        </w:trPr>
        <w:tc>
          <w:tcPr>
            <w:tcW w:w="43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Nash, LLC</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Digital Netherlands 11 B.V.</w:t>
            </w:r>
          </w:p>
        </w:tc>
        <w:tc>
          <w:tcPr>
            <w:tcW w:w="3740" w:type="dxa"/>
            <w:vAlign w:val="bottom"/>
          </w:tcPr>
          <w:p>
            <w:pPr>
              <w:jc w:val="center"/>
              <w:ind w:left="11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Netherlands 12 B.V.</w:t>
            </w:r>
          </w:p>
        </w:tc>
        <w:tc>
          <w:tcPr>
            <w:tcW w:w="3740" w:type="dxa"/>
            <w:vAlign w:val="bottom"/>
            <w:shd w:val="clear" w:color="auto" w:fill="CCEEFF"/>
          </w:tcPr>
          <w:p>
            <w:pPr>
              <w:jc w:val="center"/>
              <w:ind w:left="11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Digital Netherlands 13 B.V.</w:t>
            </w:r>
          </w:p>
        </w:tc>
        <w:tc>
          <w:tcPr>
            <w:tcW w:w="3740" w:type="dxa"/>
            <w:vAlign w:val="bottom"/>
          </w:tcPr>
          <w:p>
            <w:pPr>
              <w:jc w:val="center"/>
              <w:ind w:left="11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Netherlands Holding B.V.</w:t>
            </w:r>
          </w:p>
        </w:tc>
        <w:tc>
          <w:tcPr>
            <w:tcW w:w="3740" w:type="dxa"/>
            <w:vAlign w:val="bottom"/>
            <w:shd w:val="clear" w:color="auto" w:fill="CCEEFF"/>
          </w:tcPr>
          <w:p>
            <w:pPr>
              <w:jc w:val="center"/>
              <w:ind w:left="11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Digital Netherlands I B.V.</w:t>
            </w:r>
          </w:p>
        </w:tc>
        <w:tc>
          <w:tcPr>
            <w:tcW w:w="3740" w:type="dxa"/>
            <w:vAlign w:val="bottom"/>
          </w:tcPr>
          <w:p>
            <w:pPr>
              <w:jc w:val="center"/>
              <w:ind w:left="11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Netherlands III (Dublin) B.V.</w:t>
            </w:r>
          </w:p>
        </w:tc>
        <w:tc>
          <w:tcPr>
            <w:tcW w:w="3740" w:type="dxa"/>
            <w:vAlign w:val="bottom"/>
            <w:shd w:val="clear" w:color="auto" w:fill="CCEEFF"/>
          </w:tcPr>
          <w:p>
            <w:pPr>
              <w:jc w:val="center"/>
              <w:ind w:left="11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Digital Netherlands Investor B.V.</w:t>
            </w:r>
          </w:p>
        </w:tc>
        <w:tc>
          <w:tcPr>
            <w:tcW w:w="3740" w:type="dxa"/>
            <w:vAlign w:val="bottom"/>
          </w:tcPr>
          <w:p>
            <w:pPr>
              <w:jc w:val="center"/>
              <w:ind w:left="11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Netherlands IV B.V.</w:t>
            </w:r>
          </w:p>
        </w:tc>
        <w:tc>
          <w:tcPr>
            <w:tcW w:w="3740" w:type="dxa"/>
            <w:vAlign w:val="bottom"/>
            <w:shd w:val="clear" w:color="auto" w:fill="CCEEFF"/>
          </w:tcPr>
          <w:p>
            <w:pPr>
              <w:jc w:val="center"/>
              <w:ind w:left="11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Digital Netherlands IV Holdings B.V.</w:t>
            </w:r>
          </w:p>
        </w:tc>
        <w:tc>
          <w:tcPr>
            <w:tcW w:w="3740" w:type="dxa"/>
            <w:vAlign w:val="bottom"/>
          </w:tcPr>
          <w:p>
            <w:pPr>
              <w:jc w:val="center"/>
              <w:ind w:left="11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Netherlands VIII B.V.</w:t>
            </w:r>
          </w:p>
        </w:tc>
        <w:tc>
          <w:tcPr>
            <w:tcW w:w="3740" w:type="dxa"/>
            <w:vAlign w:val="bottom"/>
            <w:shd w:val="clear" w:color="auto" w:fill="CCEEFF"/>
          </w:tcPr>
          <w:p>
            <w:pPr>
              <w:jc w:val="center"/>
              <w:ind w:left="11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Digital Network Services, LLC</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North Myers 3, LLC</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Digital Northlake, LLC</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Norwood Park 2, LLC</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Digital Nova Investor, LLC</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Nova Manager, LLC</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Digital Omega IV, LLC</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Osaka 1 TMK</w:t>
            </w:r>
          </w:p>
        </w:tc>
        <w:tc>
          <w:tcPr>
            <w:tcW w:w="3740" w:type="dxa"/>
            <w:vAlign w:val="bottom"/>
            <w:shd w:val="clear" w:color="auto" w:fill="CCEEFF"/>
          </w:tcPr>
          <w:p>
            <w:pPr>
              <w:jc w:val="center"/>
              <w:ind w:left="1162"/>
              <w:spacing w:after="0"/>
              <w:rPr>
                <w:sz w:val="20"/>
                <w:szCs w:val="20"/>
                <w:color w:val="auto"/>
              </w:rPr>
            </w:pPr>
            <w:r>
              <w:rPr>
                <w:rFonts w:ascii="Times New Roman" w:cs="Times New Roman" w:eastAsia="Times New Roman" w:hAnsi="Times New Roman"/>
                <w:sz w:val="16"/>
                <w:szCs w:val="16"/>
                <w:color w:val="auto"/>
                <w:w w:val="93"/>
              </w:rPr>
              <w:t>Japan</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Digital Osaka 2 TMK</w:t>
            </w:r>
          </w:p>
        </w:tc>
        <w:tc>
          <w:tcPr>
            <w:tcW w:w="3740" w:type="dxa"/>
            <w:vAlign w:val="bottom"/>
          </w:tcPr>
          <w:p>
            <w:pPr>
              <w:jc w:val="center"/>
              <w:ind w:left="1162"/>
              <w:spacing w:after="0"/>
              <w:rPr>
                <w:sz w:val="20"/>
                <w:szCs w:val="20"/>
                <w:color w:val="auto"/>
              </w:rPr>
            </w:pPr>
            <w:r>
              <w:rPr>
                <w:rFonts w:ascii="Times New Roman" w:cs="Times New Roman" w:eastAsia="Times New Roman" w:hAnsi="Times New Roman"/>
                <w:sz w:val="16"/>
                <w:szCs w:val="16"/>
                <w:color w:val="auto"/>
                <w:w w:val="93"/>
              </w:rPr>
              <w:t>Japan</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Osaka 3 TMK</w:t>
            </w:r>
          </w:p>
        </w:tc>
        <w:tc>
          <w:tcPr>
            <w:tcW w:w="3740" w:type="dxa"/>
            <w:vAlign w:val="bottom"/>
            <w:shd w:val="clear" w:color="auto" w:fill="CCEEFF"/>
          </w:tcPr>
          <w:p>
            <w:pPr>
              <w:jc w:val="center"/>
              <w:ind w:left="1162"/>
              <w:spacing w:after="0"/>
              <w:rPr>
                <w:sz w:val="20"/>
                <w:szCs w:val="20"/>
                <w:color w:val="auto"/>
              </w:rPr>
            </w:pPr>
            <w:r>
              <w:rPr>
                <w:rFonts w:ascii="Times New Roman" w:cs="Times New Roman" w:eastAsia="Times New Roman" w:hAnsi="Times New Roman"/>
                <w:sz w:val="16"/>
                <w:szCs w:val="16"/>
                <w:color w:val="auto"/>
                <w:w w:val="93"/>
              </w:rPr>
              <w:t>Japan</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Digital Osaka 4 TMK</w:t>
            </w:r>
          </w:p>
        </w:tc>
        <w:tc>
          <w:tcPr>
            <w:tcW w:w="3740" w:type="dxa"/>
            <w:vAlign w:val="bottom"/>
          </w:tcPr>
          <w:p>
            <w:pPr>
              <w:jc w:val="center"/>
              <w:ind w:left="1162"/>
              <w:spacing w:after="0"/>
              <w:rPr>
                <w:sz w:val="20"/>
                <w:szCs w:val="20"/>
                <w:color w:val="auto"/>
              </w:rPr>
            </w:pPr>
            <w:r>
              <w:rPr>
                <w:rFonts w:ascii="Times New Roman" w:cs="Times New Roman" w:eastAsia="Times New Roman" w:hAnsi="Times New Roman"/>
                <w:sz w:val="16"/>
                <w:szCs w:val="16"/>
                <w:color w:val="auto"/>
                <w:w w:val="93"/>
              </w:rPr>
              <w:t>Japan</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Osaka 5 TMK</w:t>
            </w:r>
          </w:p>
        </w:tc>
        <w:tc>
          <w:tcPr>
            <w:tcW w:w="3740" w:type="dxa"/>
            <w:vAlign w:val="bottom"/>
            <w:shd w:val="clear" w:color="auto" w:fill="CCEEFF"/>
          </w:tcPr>
          <w:p>
            <w:pPr>
              <w:jc w:val="center"/>
              <w:ind w:left="1162"/>
              <w:spacing w:after="0"/>
              <w:rPr>
                <w:sz w:val="20"/>
                <w:szCs w:val="20"/>
                <w:color w:val="auto"/>
              </w:rPr>
            </w:pPr>
            <w:r>
              <w:rPr>
                <w:rFonts w:ascii="Times New Roman" w:cs="Times New Roman" w:eastAsia="Times New Roman" w:hAnsi="Times New Roman"/>
                <w:sz w:val="16"/>
                <w:szCs w:val="16"/>
                <w:color w:val="auto"/>
                <w:w w:val="93"/>
              </w:rPr>
              <w:t>Japan</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Digital Osaka 6 TMK</w:t>
            </w:r>
          </w:p>
        </w:tc>
        <w:tc>
          <w:tcPr>
            <w:tcW w:w="3740" w:type="dxa"/>
            <w:vAlign w:val="bottom"/>
          </w:tcPr>
          <w:p>
            <w:pPr>
              <w:jc w:val="center"/>
              <w:ind w:left="1162"/>
              <w:spacing w:after="0"/>
              <w:rPr>
                <w:sz w:val="20"/>
                <w:szCs w:val="20"/>
                <w:color w:val="auto"/>
              </w:rPr>
            </w:pPr>
            <w:r>
              <w:rPr>
                <w:rFonts w:ascii="Times New Roman" w:cs="Times New Roman" w:eastAsia="Times New Roman" w:hAnsi="Times New Roman"/>
                <w:sz w:val="16"/>
                <w:szCs w:val="16"/>
                <w:color w:val="auto"/>
                <w:w w:val="93"/>
              </w:rPr>
              <w:t>Japan</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Phoenix Van Buren, LLC</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Digital Piscataway, LLC</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Porpoise JV, LLC</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Digital Porpoise, LLC</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Printers Square, LLC</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Digital Quill JV, LLC</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Realty (Blanchardstown) Limited</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6"/>
              </w:rPr>
              <w:t>Ireland</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Digital Realty (Management Company) Limited</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6"/>
              </w:rPr>
              <w:t>Ireland</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Realty (UK) Limited</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United Kingdom (England and Wales)</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Digital Realty Austria GmbH</w:t>
            </w:r>
          </w:p>
        </w:tc>
        <w:tc>
          <w:tcPr>
            <w:tcW w:w="3740" w:type="dxa"/>
            <w:vAlign w:val="bottom"/>
          </w:tcPr>
          <w:p>
            <w:pPr>
              <w:jc w:val="center"/>
              <w:ind w:left="1162"/>
              <w:spacing w:after="0"/>
              <w:rPr>
                <w:sz w:val="20"/>
                <w:szCs w:val="20"/>
                <w:color w:val="auto"/>
              </w:rPr>
            </w:pPr>
            <w:r>
              <w:rPr>
                <w:rFonts w:ascii="Times New Roman" w:cs="Times New Roman" w:eastAsia="Times New Roman" w:hAnsi="Times New Roman"/>
                <w:sz w:val="16"/>
                <w:szCs w:val="16"/>
                <w:color w:val="auto"/>
                <w:w w:val="97"/>
              </w:rPr>
              <w:t>Austria</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Realty Canada, Inc.</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British Columbia</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Digital Realty Consulting Shanghai Limited</w:t>
            </w:r>
          </w:p>
        </w:tc>
        <w:tc>
          <w:tcPr>
            <w:tcW w:w="3740" w:type="dxa"/>
            <w:vAlign w:val="bottom"/>
          </w:tcPr>
          <w:p>
            <w:pPr>
              <w:jc w:val="center"/>
              <w:ind w:left="1162"/>
              <w:spacing w:after="0"/>
              <w:rPr>
                <w:sz w:val="20"/>
                <w:szCs w:val="20"/>
                <w:color w:val="auto"/>
              </w:rPr>
            </w:pPr>
            <w:r>
              <w:rPr>
                <w:rFonts w:ascii="Times New Roman" w:cs="Times New Roman" w:eastAsia="Times New Roman" w:hAnsi="Times New Roman"/>
                <w:sz w:val="16"/>
                <w:szCs w:val="16"/>
                <w:color w:val="auto"/>
                <w:w w:val="99"/>
              </w:rPr>
              <w:t>China</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Realty Core Properties 1 Investor, LLC</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Digital Realty Core Properties 1 Manager, LLC</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Realty Datafirm 2, LLC</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Digital Realty Datafirm, LLC</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Realty DC Management GP, LLC</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Digital Realty DC Management, LP</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Realty DC Partners NA Fund-A, LP</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Digital Realty DC Partners NA Fund-B, LP</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Realty DC Partners NA GP, LP</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Digital Realty DC Partners NA UGP, LLC</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Realty Denmark ApS</w:t>
            </w:r>
          </w:p>
        </w:tc>
        <w:tc>
          <w:tcPr>
            <w:tcW w:w="3740" w:type="dxa"/>
            <w:vAlign w:val="bottom"/>
            <w:shd w:val="clear" w:color="auto" w:fill="CCEEFF"/>
          </w:tcPr>
          <w:p>
            <w:pPr>
              <w:jc w:val="center"/>
              <w:ind w:left="1162"/>
              <w:spacing w:after="0"/>
              <w:rPr>
                <w:sz w:val="20"/>
                <w:szCs w:val="20"/>
                <w:color w:val="auto"/>
              </w:rPr>
            </w:pPr>
            <w:r>
              <w:rPr>
                <w:rFonts w:ascii="Times New Roman" w:cs="Times New Roman" w:eastAsia="Times New Roman" w:hAnsi="Times New Roman"/>
                <w:sz w:val="16"/>
                <w:szCs w:val="16"/>
                <w:color w:val="auto"/>
                <w:w w:val="97"/>
              </w:rPr>
              <w:t>Denmark</w:t>
            </w:r>
          </w:p>
        </w:tc>
        <w:tc>
          <w:tcPr>
            <w:tcW w:w="40" w:type="dxa"/>
            <w:vAlign w:val="bottom"/>
            <w:shd w:val="clear" w:color="auto" w:fill="CCEEFF"/>
          </w:tcPr>
          <w:p>
            <w:pPr>
              <w:spacing w:after="0"/>
              <w:rPr>
                <w:sz w:val="16"/>
                <w:szCs w:val="16"/>
                <w:color w:val="auto"/>
              </w:rPr>
            </w:pPr>
          </w:p>
        </w:tc>
      </w:tr>
      <w:tr>
        <w:trPr>
          <w:trHeight w:val="203"/>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Digital Realty Germany GmbH</w:t>
            </w:r>
          </w:p>
        </w:tc>
        <w:tc>
          <w:tcPr>
            <w:tcW w:w="3740" w:type="dxa"/>
            <w:vAlign w:val="bottom"/>
          </w:tcPr>
          <w:p>
            <w:pPr>
              <w:jc w:val="center"/>
              <w:ind w:left="1162"/>
              <w:spacing w:after="0"/>
              <w:rPr>
                <w:sz w:val="20"/>
                <w:szCs w:val="20"/>
                <w:color w:val="auto"/>
              </w:rPr>
            </w:pPr>
            <w:r>
              <w:rPr>
                <w:rFonts w:ascii="Times New Roman" w:cs="Times New Roman" w:eastAsia="Times New Roman" w:hAnsi="Times New Roman"/>
                <w:sz w:val="16"/>
                <w:szCs w:val="16"/>
                <w:color w:val="auto"/>
                <w:w w:val="97"/>
              </w:rPr>
              <w:t>Germany</w:t>
            </w:r>
          </w:p>
        </w:tc>
        <w:tc>
          <w:tcPr>
            <w:tcW w:w="40" w:type="dxa"/>
            <w:vAlign w:val="bottom"/>
          </w:tcPr>
          <w:p>
            <w:pPr>
              <w:spacing w:after="0"/>
              <w:rPr>
                <w:sz w:val="17"/>
                <w:szCs w:val="17"/>
                <w:color w:val="auto"/>
              </w:rPr>
            </w:pPr>
          </w:p>
        </w:tc>
      </w:tr>
      <w:tr>
        <w:trPr>
          <w:trHeight w:val="473"/>
        </w:trPr>
        <w:tc>
          <w:tcPr>
            <w:tcW w:w="43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40" w:orient="portrait"/>
          <w:cols w:equalWidth="0" w:num="1">
            <w:col w:w="9020"/>
          </w:cols>
          <w:pgMar w:left="1440" w:top="555" w:right="1440" w:bottom="1440" w:gutter="0" w:footer="0" w:header="0"/>
        </w:sectPr>
      </w:pPr>
    </w:p>
    <w:bookmarkStart w:id="543" w:name="page544"/>
    <w:bookmarkEnd w:id="543"/>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Exhibit 21.2</w:t>
      </w:r>
    </w:p>
    <w:p>
      <w:pPr>
        <w:spacing w:after="0" w:line="16" w:lineRule="exact"/>
        <w:rPr>
          <w:sz w:val="20"/>
          <w:szCs w:val="20"/>
          <w:color w:val="auto"/>
        </w:rPr>
      </w:pPr>
    </w:p>
    <w:tbl>
      <w:tblPr>
        <w:tblLayout w:type="fixed"/>
        <w:tblInd w:w="460" w:type="dxa"/>
        <w:tblCellMar>
          <w:top w:w="0" w:type="dxa"/>
          <w:left w:w="0" w:type="dxa"/>
          <w:bottom w:w="0" w:type="dxa"/>
          <w:right w:w="0" w:type="dxa"/>
        </w:tblCellMar>
      </w:tblPr>
      <w:tr>
        <w:trPr>
          <w:trHeight w:val="205"/>
        </w:trPr>
        <w:tc>
          <w:tcPr>
            <w:tcW w:w="5900" w:type="dxa"/>
            <w:vAlign w:val="bottom"/>
          </w:tcPr>
          <w:p>
            <w:pPr>
              <w:ind w:left="2460"/>
              <w:spacing w:after="0"/>
              <w:rPr>
                <w:sz w:val="20"/>
                <w:szCs w:val="20"/>
                <w:color w:val="auto"/>
              </w:rPr>
            </w:pPr>
            <w:r>
              <w:rPr>
                <w:rFonts w:ascii="Times New Roman" w:cs="Times New Roman" w:eastAsia="Times New Roman" w:hAnsi="Times New Roman"/>
                <w:sz w:val="16"/>
                <w:szCs w:val="16"/>
                <w:b w:val="1"/>
                <w:bCs w:val="1"/>
                <w:color w:val="auto"/>
              </w:rPr>
              <w:t>List of Subsidiaries of Digital Realty Trust, L.P.</w:t>
            </w:r>
          </w:p>
        </w:tc>
        <w:tc>
          <w:tcPr>
            <w:tcW w:w="21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86"/>
        </w:trPr>
        <w:tc>
          <w:tcPr>
            <w:tcW w:w="59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Realty Hellas Single Member S.A.</w:t>
            </w:r>
          </w:p>
        </w:tc>
        <w:tc>
          <w:tcPr>
            <w:tcW w:w="2160" w:type="dxa"/>
            <w:vAlign w:val="bottom"/>
            <w:shd w:val="clear" w:color="auto" w:fill="CCEEFF"/>
          </w:tcPr>
          <w:p>
            <w:pPr>
              <w:jc w:val="center"/>
              <w:ind w:right="242"/>
              <w:spacing w:after="0"/>
              <w:rPr>
                <w:sz w:val="20"/>
                <w:szCs w:val="20"/>
                <w:color w:val="auto"/>
              </w:rPr>
            </w:pPr>
            <w:r>
              <w:rPr>
                <w:rFonts w:ascii="Times New Roman" w:cs="Times New Roman" w:eastAsia="Times New Roman" w:hAnsi="Times New Roman"/>
                <w:sz w:val="16"/>
                <w:szCs w:val="16"/>
                <w:color w:val="auto"/>
                <w:w w:val="97"/>
              </w:rPr>
              <w:t>Greece</w:t>
            </w:r>
          </w:p>
        </w:tc>
        <w:tc>
          <w:tcPr>
            <w:tcW w:w="40" w:type="dxa"/>
            <w:vAlign w:val="bottom"/>
            <w:shd w:val="clear" w:color="auto" w:fill="CCEEFF"/>
          </w:tcPr>
          <w:p>
            <w:pPr>
              <w:spacing w:after="0"/>
              <w:rPr>
                <w:sz w:val="16"/>
                <w:szCs w:val="16"/>
                <w:color w:val="auto"/>
              </w:rPr>
            </w:pP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Digital Realty Holdings US, LLC</w:t>
            </w:r>
          </w:p>
        </w:tc>
        <w:tc>
          <w:tcPr>
            <w:tcW w:w="216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Realty Korea Ltd.</w:t>
            </w:r>
          </w:p>
        </w:tc>
        <w:tc>
          <w:tcPr>
            <w:tcW w:w="2160" w:type="dxa"/>
            <w:vAlign w:val="bottom"/>
            <w:shd w:val="clear" w:color="auto" w:fill="CCEEFF"/>
          </w:tcPr>
          <w:p>
            <w:pPr>
              <w:jc w:val="center"/>
              <w:ind w:right="262"/>
              <w:spacing w:after="0"/>
              <w:rPr>
                <w:sz w:val="20"/>
                <w:szCs w:val="20"/>
                <w:color w:val="auto"/>
              </w:rPr>
            </w:pPr>
            <w:r>
              <w:rPr>
                <w:rFonts w:ascii="Times New Roman" w:cs="Times New Roman" w:eastAsia="Times New Roman" w:hAnsi="Times New Roman"/>
                <w:sz w:val="16"/>
                <w:szCs w:val="16"/>
                <w:color w:val="auto"/>
                <w:w w:val="97"/>
              </w:rPr>
              <w:t>Korea, South</w:t>
            </w:r>
          </w:p>
        </w:tc>
        <w:tc>
          <w:tcPr>
            <w:tcW w:w="40" w:type="dxa"/>
            <w:vAlign w:val="bottom"/>
            <w:shd w:val="clear" w:color="auto" w:fill="CCEEFF"/>
          </w:tcPr>
          <w:p>
            <w:pPr>
              <w:spacing w:after="0"/>
              <w:rPr>
                <w:sz w:val="16"/>
                <w:szCs w:val="16"/>
                <w:color w:val="auto"/>
              </w:rPr>
            </w:pP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Digital Realty Management France SARL</w:t>
            </w:r>
          </w:p>
        </w:tc>
        <w:tc>
          <w:tcPr>
            <w:tcW w:w="2160" w:type="dxa"/>
            <w:vAlign w:val="bottom"/>
          </w:tcPr>
          <w:p>
            <w:pPr>
              <w:jc w:val="center"/>
              <w:ind w:right="262"/>
              <w:spacing w:after="0"/>
              <w:rPr>
                <w:sz w:val="20"/>
                <w:szCs w:val="20"/>
                <w:color w:val="auto"/>
              </w:rPr>
            </w:pPr>
            <w:r>
              <w:rPr>
                <w:rFonts w:ascii="Times New Roman" w:cs="Times New Roman" w:eastAsia="Times New Roman" w:hAnsi="Times New Roman"/>
                <w:sz w:val="16"/>
                <w:szCs w:val="16"/>
                <w:color w:val="auto"/>
                <w:w w:val="96"/>
              </w:rPr>
              <w:t>France</w:t>
            </w:r>
          </w:p>
        </w:tc>
        <w:tc>
          <w:tcPr>
            <w:tcW w:w="40" w:type="dxa"/>
            <w:vAlign w:val="bottom"/>
          </w:tcPr>
          <w:p>
            <w:pPr>
              <w:spacing w:after="0"/>
              <w:rPr>
                <w:sz w:val="16"/>
                <w:szCs w:val="16"/>
                <w:color w:val="auto"/>
              </w:rPr>
            </w:pPr>
          </w:p>
        </w:tc>
      </w:tr>
      <w:tr>
        <w:trPr>
          <w:trHeight w:val="19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Realty Management Services, LLC</w:t>
            </w:r>
          </w:p>
        </w:tc>
        <w:tc>
          <w:tcPr>
            <w:tcW w:w="2160" w:type="dxa"/>
            <w:vAlign w:val="bottom"/>
            <w:shd w:val="clear" w:color="auto" w:fill="CCEEFF"/>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Digital Realty Mauritius Holdings Limited</w:t>
            </w:r>
          </w:p>
        </w:tc>
        <w:tc>
          <w:tcPr>
            <w:tcW w:w="2160" w:type="dxa"/>
            <w:vAlign w:val="bottom"/>
          </w:tcPr>
          <w:p>
            <w:pPr>
              <w:jc w:val="center"/>
              <w:ind w:right="262"/>
              <w:spacing w:after="0"/>
              <w:rPr>
                <w:sz w:val="20"/>
                <w:szCs w:val="20"/>
                <w:color w:val="auto"/>
              </w:rPr>
            </w:pPr>
            <w:r>
              <w:rPr>
                <w:rFonts w:ascii="Times New Roman" w:cs="Times New Roman" w:eastAsia="Times New Roman" w:hAnsi="Times New Roman"/>
                <w:sz w:val="16"/>
                <w:szCs w:val="16"/>
                <w:color w:val="auto"/>
                <w:w w:val="99"/>
              </w:rPr>
              <w:t>Mauritius</w:t>
            </w:r>
          </w:p>
        </w:tc>
        <w:tc>
          <w:tcPr>
            <w:tcW w:w="40" w:type="dxa"/>
            <w:vAlign w:val="bottom"/>
          </w:tcPr>
          <w:p>
            <w:pPr>
              <w:spacing w:after="0"/>
              <w:rPr>
                <w:sz w:val="16"/>
                <w:szCs w:val="16"/>
                <w:color w:val="auto"/>
              </w:rPr>
            </w:pPr>
          </w:p>
        </w:tc>
      </w:tr>
      <w:tr>
        <w:trPr>
          <w:trHeight w:val="19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Realty Netherlands B.V.</w:t>
            </w:r>
          </w:p>
        </w:tc>
        <w:tc>
          <w:tcPr>
            <w:tcW w:w="2160" w:type="dxa"/>
            <w:vAlign w:val="bottom"/>
            <w:shd w:val="clear" w:color="auto" w:fill="CCEEFF"/>
          </w:tcPr>
          <w:p>
            <w:pPr>
              <w:jc w:val="center"/>
              <w:ind w:right="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Digital Realty Property Manager, LLC</w:t>
            </w:r>
          </w:p>
        </w:tc>
        <w:tc>
          <w:tcPr>
            <w:tcW w:w="216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Realty Spain RE S.L.U.</w:t>
            </w:r>
          </w:p>
        </w:tc>
        <w:tc>
          <w:tcPr>
            <w:tcW w:w="2160" w:type="dxa"/>
            <w:vAlign w:val="bottom"/>
            <w:shd w:val="clear" w:color="auto" w:fill="CCEEFF"/>
          </w:tcPr>
          <w:p>
            <w:pPr>
              <w:jc w:val="center"/>
              <w:ind w:right="262"/>
              <w:spacing w:after="0"/>
              <w:rPr>
                <w:sz w:val="20"/>
                <w:szCs w:val="20"/>
                <w:color w:val="auto"/>
              </w:rPr>
            </w:pPr>
            <w:r>
              <w:rPr>
                <w:rFonts w:ascii="Times New Roman" w:cs="Times New Roman" w:eastAsia="Times New Roman" w:hAnsi="Times New Roman"/>
                <w:sz w:val="16"/>
                <w:szCs w:val="16"/>
                <w:color w:val="auto"/>
                <w:w w:val="93"/>
              </w:rPr>
              <w:t>Spain</w:t>
            </w:r>
          </w:p>
        </w:tc>
        <w:tc>
          <w:tcPr>
            <w:tcW w:w="40" w:type="dxa"/>
            <w:vAlign w:val="bottom"/>
            <w:shd w:val="clear" w:color="auto" w:fill="CCEEFF"/>
          </w:tcPr>
          <w:p>
            <w:pPr>
              <w:spacing w:after="0"/>
              <w:rPr>
                <w:sz w:val="16"/>
                <w:szCs w:val="16"/>
                <w:color w:val="auto"/>
              </w:rPr>
            </w:pP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Digital Realty Sweden AB</w:t>
            </w:r>
          </w:p>
        </w:tc>
        <w:tc>
          <w:tcPr>
            <w:tcW w:w="2160" w:type="dxa"/>
            <w:vAlign w:val="bottom"/>
          </w:tcPr>
          <w:p>
            <w:pPr>
              <w:jc w:val="center"/>
              <w:ind w:right="262"/>
              <w:spacing w:after="0"/>
              <w:rPr>
                <w:sz w:val="20"/>
                <w:szCs w:val="20"/>
                <w:color w:val="auto"/>
              </w:rPr>
            </w:pPr>
            <w:r>
              <w:rPr>
                <w:rFonts w:ascii="Times New Roman" w:cs="Times New Roman" w:eastAsia="Times New Roman" w:hAnsi="Times New Roman"/>
                <w:sz w:val="16"/>
                <w:szCs w:val="16"/>
                <w:color w:val="auto"/>
                <w:w w:val="98"/>
              </w:rPr>
              <w:t>Sweden</w:t>
            </w:r>
          </w:p>
        </w:tc>
        <w:tc>
          <w:tcPr>
            <w:tcW w:w="40" w:type="dxa"/>
            <w:vAlign w:val="bottom"/>
          </w:tcPr>
          <w:p>
            <w:pPr>
              <w:spacing w:after="0"/>
              <w:rPr>
                <w:sz w:val="16"/>
                <w:szCs w:val="16"/>
                <w:color w:val="auto"/>
              </w:rPr>
            </w:pPr>
          </w:p>
        </w:tc>
      </w:tr>
      <w:tr>
        <w:trPr>
          <w:trHeight w:val="19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Realty Switzerland GmbH</w:t>
            </w:r>
          </w:p>
        </w:tc>
        <w:tc>
          <w:tcPr>
            <w:tcW w:w="2160" w:type="dxa"/>
            <w:vAlign w:val="bottom"/>
            <w:shd w:val="clear" w:color="auto" w:fill="CCEEFF"/>
          </w:tcPr>
          <w:p>
            <w:pPr>
              <w:jc w:val="center"/>
              <w:ind w:right="262"/>
              <w:spacing w:after="0"/>
              <w:rPr>
                <w:sz w:val="20"/>
                <w:szCs w:val="20"/>
                <w:color w:val="auto"/>
              </w:rPr>
            </w:pPr>
            <w:r>
              <w:rPr>
                <w:rFonts w:ascii="Times New Roman" w:cs="Times New Roman" w:eastAsia="Times New Roman" w:hAnsi="Times New Roman"/>
                <w:sz w:val="16"/>
                <w:szCs w:val="16"/>
                <w:color w:val="auto"/>
                <w:w w:val="96"/>
              </w:rPr>
              <w:t>Switzerland</w:t>
            </w:r>
          </w:p>
        </w:tc>
        <w:tc>
          <w:tcPr>
            <w:tcW w:w="40" w:type="dxa"/>
            <w:vAlign w:val="bottom"/>
            <w:shd w:val="clear" w:color="auto" w:fill="CCEEFF"/>
          </w:tcPr>
          <w:p>
            <w:pPr>
              <w:spacing w:after="0"/>
              <w:rPr>
                <w:sz w:val="16"/>
                <w:szCs w:val="16"/>
                <w:color w:val="auto"/>
              </w:rPr>
            </w:pP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Digital Realty Trust, LLC</w:t>
            </w:r>
          </w:p>
        </w:tc>
        <w:tc>
          <w:tcPr>
            <w:tcW w:w="216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Realty Vienna 2 GmbH</w:t>
            </w:r>
          </w:p>
        </w:tc>
        <w:tc>
          <w:tcPr>
            <w:tcW w:w="2160" w:type="dxa"/>
            <w:vAlign w:val="bottom"/>
            <w:shd w:val="clear" w:color="auto" w:fill="CCEEFF"/>
          </w:tcPr>
          <w:p>
            <w:pPr>
              <w:jc w:val="center"/>
              <w:ind w:right="262"/>
              <w:spacing w:after="0"/>
              <w:rPr>
                <w:sz w:val="20"/>
                <w:szCs w:val="20"/>
                <w:color w:val="auto"/>
              </w:rPr>
            </w:pPr>
            <w:r>
              <w:rPr>
                <w:rFonts w:ascii="Times New Roman" w:cs="Times New Roman" w:eastAsia="Times New Roman" w:hAnsi="Times New Roman"/>
                <w:sz w:val="16"/>
                <w:szCs w:val="16"/>
                <w:color w:val="auto"/>
                <w:w w:val="97"/>
              </w:rPr>
              <w:t>Austria</w:t>
            </w:r>
          </w:p>
        </w:tc>
        <w:tc>
          <w:tcPr>
            <w:tcW w:w="40" w:type="dxa"/>
            <w:vAlign w:val="bottom"/>
            <w:shd w:val="clear" w:color="auto" w:fill="CCEEFF"/>
          </w:tcPr>
          <w:p>
            <w:pPr>
              <w:spacing w:after="0"/>
              <w:rPr>
                <w:sz w:val="16"/>
                <w:szCs w:val="16"/>
                <w:color w:val="auto"/>
              </w:rPr>
            </w:pP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Digital Relocation Drive, LLC</w:t>
            </w:r>
          </w:p>
        </w:tc>
        <w:tc>
          <w:tcPr>
            <w:tcW w:w="216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Ringo Investor, LLC</w:t>
            </w:r>
          </w:p>
        </w:tc>
        <w:tc>
          <w:tcPr>
            <w:tcW w:w="2160" w:type="dxa"/>
            <w:vAlign w:val="bottom"/>
            <w:shd w:val="clear" w:color="auto" w:fill="CCEEFF"/>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Digital Ringo Manager, LLC</w:t>
            </w:r>
          </w:p>
        </w:tc>
        <w:tc>
          <w:tcPr>
            <w:tcW w:w="216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San Jacinto, L.P.</w:t>
            </w:r>
          </w:p>
        </w:tc>
        <w:tc>
          <w:tcPr>
            <w:tcW w:w="2160" w:type="dxa"/>
            <w:vAlign w:val="bottom"/>
            <w:shd w:val="clear" w:color="auto" w:fill="CCEEFF"/>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Digital Savvis HK Holding 1 Limited</w:t>
            </w:r>
          </w:p>
        </w:tc>
        <w:tc>
          <w:tcPr>
            <w:tcW w:w="216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8"/>
              </w:rPr>
              <w:t>British Virgin Islands</w:t>
            </w:r>
          </w:p>
        </w:tc>
        <w:tc>
          <w:tcPr>
            <w:tcW w:w="40" w:type="dxa"/>
            <w:vAlign w:val="bottom"/>
          </w:tcPr>
          <w:p>
            <w:pPr>
              <w:spacing w:after="0"/>
              <w:rPr>
                <w:sz w:val="16"/>
                <w:szCs w:val="16"/>
                <w:color w:val="auto"/>
              </w:rPr>
            </w:pPr>
          </w:p>
        </w:tc>
      </w:tr>
      <w:tr>
        <w:trPr>
          <w:trHeight w:val="19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Savvis HK JV Limited</w:t>
            </w:r>
          </w:p>
        </w:tc>
        <w:tc>
          <w:tcPr>
            <w:tcW w:w="2160" w:type="dxa"/>
            <w:vAlign w:val="bottom"/>
            <w:shd w:val="clear" w:color="auto" w:fill="CCEEFF"/>
          </w:tcPr>
          <w:p>
            <w:pPr>
              <w:jc w:val="center"/>
              <w:ind w:right="242"/>
              <w:spacing w:after="0"/>
              <w:rPr>
                <w:sz w:val="20"/>
                <w:szCs w:val="20"/>
                <w:color w:val="auto"/>
              </w:rPr>
            </w:pPr>
            <w:r>
              <w:rPr>
                <w:rFonts w:ascii="Times New Roman" w:cs="Times New Roman" w:eastAsia="Times New Roman" w:hAnsi="Times New Roman"/>
                <w:sz w:val="16"/>
                <w:szCs w:val="16"/>
                <w:color w:val="auto"/>
                <w:w w:val="98"/>
              </w:rPr>
              <w:t>British Virgin Islands</w:t>
            </w:r>
          </w:p>
        </w:tc>
        <w:tc>
          <w:tcPr>
            <w:tcW w:w="40" w:type="dxa"/>
            <w:vAlign w:val="bottom"/>
            <w:shd w:val="clear" w:color="auto" w:fill="CCEEFF"/>
          </w:tcPr>
          <w:p>
            <w:pPr>
              <w:spacing w:after="0"/>
              <w:rPr>
                <w:sz w:val="16"/>
                <w:szCs w:val="16"/>
                <w:color w:val="auto"/>
              </w:rPr>
            </w:pP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Digital Savvis Investment Management HK Limited</w:t>
            </w:r>
          </w:p>
        </w:tc>
        <w:tc>
          <w:tcPr>
            <w:tcW w:w="2160" w:type="dxa"/>
            <w:vAlign w:val="bottom"/>
          </w:tcPr>
          <w:p>
            <w:pPr>
              <w:jc w:val="center"/>
              <w:ind w:right="262"/>
              <w:spacing w:after="0"/>
              <w:rPr>
                <w:sz w:val="20"/>
                <w:szCs w:val="20"/>
                <w:color w:val="auto"/>
              </w:rPr>
            </w:pPr>
            <w:r>
              <w:rPr>
                <w:rFonts w:ascii="Times New Roman" w:cs="Times New Roman" w:eastAsia="Times New Roman" w:hAnsi="Times New Roman"/>
                <w:sz w:val="16"/>
                <w:szCs w:val="16"/>
                <w:color w:val="auto"/>
                <w:w w:val="98"/>
              </w:rPr>
              <w:t>Hong Kong</w:t>
            </w:r>
          </w:p>
        </w:tc>
        <w:tc>
          <w:tcPr>
            <w:tcW w:w="40" w:type="dxa"/>
            <w:vAlign w:val="bottom"/>
          </w:tcPr>
          <w:p>
            <w:pPr>
              <w:spacing w:after="0"/>
              <w:rPr>
                <w:sz w:val="16"/>
                <w:szCs w:val="16"/>
                <w:color w:val="auto"/>
              </w:rPr>
            </w:pPr>
          </w:p>
        </w:tc>
      </w:tr>
      <w:tr>
        <w:trPr>
          <w:trHeight w:val="19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Savvis Management Subsidiary Limited</w:t>
            </w:r>
          </w:p>
        </w:tc>
        <w:tc>
          <w:tcPr>
            <w:tcW w:w="2160" w:type="dxa"/>
            <w:vAlign w:val="bottom"/>
            <w:shd w:val="clear" w:color="auto" w:fill="CCEEFF"/>
          </w:tcPr>
          <w:p>
            <w:pPr>
              <w:jc w:val="center"/>
              <w:ind w:right="262"/>
              <w:spacing w:after="0"/>
              <w:rPr>
                <w:sz w:val="20"/>
                <w:szCs w:val="20"/>
                <w:color w:val="auto"/>
              </w:rPr>
            </w:pPr>
            <w:r>
              <w:rPr>
                <w:rFonts w:ascii="Times New Roman" w:cs="Times New Roman" w:eastAsia="Times New Roman" w:hAnsi="Times New Roman"/>
                <w:sz w:val="16"/>
                <w:szCs w:val="16"/>
                <w:color w:val="auto"/>
                <w:w w:val="98"/>
              </w:rPr>
              <w:t>Hong Kong</w:t>
            </w:r>
          </w:p>
        </w:tc>
        <w:tc>
          <w:tcPr>
            <w:tcW w:w="40" w:type="dxa"/>
            <w:vAlign w:val="bottom"/>
            <w:shd w:val="clear" w:color="auto" w:fill="CCEEFF"/>
          </w:tcPr>
          <w:p>
            <w:pPr>
              <w:spacing w:after="0"/>
              <w:rPr>
                <w:sz w:val="16"/>
                <w:szCs w:val="16"/>
                <w:color w:val="auto"/>
              </w:rPr>
            </w:pP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Digital Schweiz Real Estate 4 GmbH</w:t>
            </w:r>
          </w:p>
        </w:tc>
        <w:tc>
          <w:tcPr>
            <w:tcW w:w="2160" w:type="dxa"/>
            <w:vAlign w:val="bottom"/>
          </w:tcPr>
          <w:p>
            <w:pPr>
              <w:jc w:val="center"/>
              <w:ind w:right="262"/>
              <w:spacing w:after="0"/>
              <w:rPr>
                <w:sz w:val="20"/>
                <w:szCs w:val="20"/>
                <w:color w:val="auto"/>
              </w:rPr>
            </w:pPr>
            <w:r>
              <w:rPr>
                <w:rFonts w:ascii="Times New Roman" w:cs="Times New Roman" w:eastAsia="Times New Roman" w:hAnsi="Times New Roman"/>
                <w:sz w:val="16"/>
                <w:szCs w:val="16"/>
                <w:color w:val="auto"/>
                <w:w w:val="96"/>
              </w:rPr>
              <w:t>Switzerland</w:t>
            </w:r>
          </w:p>
        </w:tc>
        <w:tc>
          <w:tcPr>
            <w:tcW w:w="40" w:type="dxa"/>
            <w:vAlign w:val="bottom"/>
          </w:tcPr>
          <w:p>
            <w:pPr>
              <w:spacing w:after="0"/>
              <w:rPr>
                <w:sz w:val="16"/>
                <w:szCs w:val="16"/>
                <w:color w:val="auto"/>
              </w:rPr>
            </w:pPr>
          </w:p>
        </w:tc>
      </w:tr>
      <w:tr>
        <w:trPr>
          <w:trHeight w:val="19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Second Manassas 2, LLC</w:t>
            </w:r>
          </w:p>
        </w:tc>
        <w:tc>
          <w:tcPr>
            <w:tcW w:w="2160" w:type="dxa"/>
            <w:vAlign w:val="bottom"/>
            <w:shd w:val="clear" w:color="auto" w:fill="CCEEFF"/>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Digital Second Manassas, LLC</w:t>
            </w:r>
          </w:p>
        </w:tc>
        <w:tc>
          <w:tcPr>
            <w:tcW w:w="216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Seoul 2 Ltd.</w:t>
            </w:r>
          </w:p>
        </w:tc>
        <w:tc>
          <w:tcPr>
            <w:tcW w:w="2160" w:type="dxa"/>
            <w:vAlign w:val="bottom"/>
            <w:shd w:val="clear" w:color="auto" w:fill="CCEEFF"/>
          </w:tcPr>
          <w:p>
            <w:pPr>
              <w:jc w:val="center"/>
              <w:ind w:right="262"/>
              <w:spacing w:after="0"/>
              <w:rPr>
                <w:sz w:val="20"/>
                <w:szCs w:val="20"/>
                <w:color w:val="auto"/>
              </w:rPr>
            </w:pPr>
            <w:r>
              <w:rPr>
                <w:rFonts w:ascii="Times New Roman" w:cs="Times New Roman" w:eastAsia="Times New Roman" w:hAnsi="Times New Roman"/>
                <w:sz w:val="16"/>
                <w:szCs w:val="16"/>
                <w:color w:val="auto"/>
                <w:w w:val="97"/>
              </w:rPr>
              <w:t>Korea, South</w:t>
            </w:r>
          </w:p>
        </w:tc>
        <w:tc>
          <w:tcPr>
            <w:tcW w:w="40" w:type="dxa"/>
            <w:vAlign w:val="bottom"/>
            <w:shd w:val="clear" w:color="auto" w:fill="CCEEFF"/>
          </w:tcPr>
          <w:p>
            <w:pPr>
              <w:spacing w:after="0"/>
              <w:rPr>
                <w:sz w:val="16"/>
                <w:szCs w:val="16"/>
                <w:color w:val="auto"/>
              </w:rPr>
            </w:pP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Digital Seoul No. 1 PIA Professional Investors Private Real Estate Investment LLC</w:t>
            </w:r>
          </w:p>
        </w:tc>
        <w:tc>
          <w:tcPr>
            <w:tcW w:w="2160" w:type="dxa"/>
            <w:vAlign w:val="bottom"/>
          </w:tcPr>
          <w:p>
            <w:pPr>
              <w:jc w:val="center"/>
              <w:ind w:right="262"/>
              <w:spacing w:after="0"/>
              <w:rPr>
                <w:sz w:val="20"/>
                <w:szCs w:val="20"/>
                <w:color w:val="auto"/>
              </w:rPr>
            </w:pPr>
            <w:r>
              <w:rPr>
                <w:rFonts w:ascii="Times New Roman" w:cs="Times New Roman" w:eastAsia="Times New Roman" w:hAnsi="Times New Roman"/>
                <w:sz w:val="16"/>
                <w:szCs w:val="16"/>
                <w:color w:val="auto"/>
                <w:w w:val="97"/>
              </w:rPr>
              <w:t>Korea, South</w:t>
            </w:r>
          </w:p>
        </w:tc>
        <w:tc>
          <w:tcPr>
            <w:tcW w:w="40" w:type="dxa"/>
            <w:vAlign w:val="bottom"/>
          </w:tcPr>
          <w:p>
            <w:pPr>
              <w:spacing w:after="0"/>
              <w:rPr>
                <w:sz w:val="16"/>
                <w:szCs w:val="16"/>
                <w:color w:val="auto"/>
              </w:rPr>
            </w:pPr>
          </w:p>
        </w:tc>
      </w:tr>
      <w:tr>
        <w:trPr>
          <w:trHeight w:val="19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ServiceFabric 2, LLC</w:t>
            </w:r>
          </w:p>
        </w:tc>
        <w:tc>
          <w:tcPr>
            <w:tcW w:w="2160" w:type="dxa"/>
            <w:vAlign w:val="bottom"/>
            <w:shd w:val="clear" w:color="auto" w:fill="CCEEFF"/>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Digital ServiceFabric, LLC</w:t>
            </w:r>
          </w:p>
        </w:tc>
        <w:tc>
          <w:tcPr>
            <w:tcW w:w="216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Services Hong Kong Limited</w:t>
            </w:r>
          </w:p>
        </w:tc>
        <w:tc>
          <w:tcPr>
            <w:tcW w:w="2160" w:type="dxa"/>
            <w:vAlign w:val="bottom"/>
            <w:shd w:val="clear" w:color="auto" w:fill="CCEEFF"/>
          </w:tcPr>
          <w:p>
            <w:pPr>
              <w:jc w:val="center"/>
              <w:ind w:right="262"/>
              <w:spacing w:after="0"/>
              <w:rPr>
                <w:sz w:val="20"/>
                <w:szCs w:val="20"/>
                <w:color w:val="auto"/>
              </w:rPr>
            </w:pPr>
            <w:r>
              <w:rPr>
                <w:rFonts w:ascii="Times New Roman" w:cs="Times New Roman" w:eastAsia="Times New Roman" w:hAnsi="Times New Roman"/>
                <w:sz w:val="16"/>
                <w:szCs w:val="16"/>
                <w:color w:val="auto"/>
                <w:w w:val="98"/>
              </w:rPr>
              <w:t>Hong Kong</w:t>
            </w:r>
          </w:p>
        </w:tc>
        <w:tc>
          <w:tcPr>
            <w:tcW w:w="40" w:type="dxa"/>
            <w:vAlign w:val="bottom"/>
            <w:shd w:val="clear" w:color="auto" w:fill="CCEEFF"/>
          </w:tcPr>
          <w:p>
            <w:pPr>
              <w:spacing w:after="0"/>
              <w:rPr>
                <w:sz w:val="16"/>
                <w:szCs w:val="16"/>
                <w:color w:val="auto"/>
              </w:rPr>
            </w:pP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Digital Services Korea Ltd.</w:t>
            </w:r>
          </w:p>
        </w:tc>
        <w:tc>
          <w:tcPr>
            <w:tcW w:w="2160" w:type="dxa"/>
            <w:vAlign w:val="bottom"/>
          </w:tcPr>
          <w:p>
            <w:pPr>
              <w:jc w:val="center"/>
              <w:ind w:right="262"/>
              <w:spacing w:after="0"/>
              <w:rPr>
                <w:sz w:val="20"/>
                <w:szCs w:val="20"/>
                <w:color w:val="auto"/>
              </w:rPr>
            </w:pPr>
            <w:r>
              <w:rPr>
                <w:rFonts w:ascii="Times New Roman" w:cs="Times New Roman" w:eastAsia="Times New Roman" w:hAnsi="Times New Roman"/>
                <w:sz w:val="16"/>
                <w:szCs w:val="16"/>
                <w:color w:val="auto"/>
                <w:w w:val="97"/>
              </w:rPr>
              <w:t>Korea, South</w:t>
            </w:r>
          </w:p>
        </w:tc>
        <w:tc>
          <w:tcPr>
            <w:tcW w:w="40" w:type="dxa"/>
            <w:vAlign w:val="bottom"/>
          </w:tcPr>
          <w:p>
            <w:pPr>
              <w:spacing w:after="0"/>
              <w:rPr>
                <w:sz w:val="16"/>
                <w:szCs w:val="16"/>
                <w:color w:val="auto"/>
              </w:rPr>
            </w:pPr>
          </w:p>
        </w:tc>
      </w:tr>
      <w:tr>
        <w:trPr>
          <w:trHeight w:val="19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Services Phoenix, LLC</w:t>
            </w:r>
          </w:p>
        </w:tc>
        <w:tc>
          <w:tcPr>
            <w:tcW w:w="2160" w:type="dxa"/>
            <w:vAlign w:val="bottom"/>
            <w:shd w:val="clear" w:color="auto" w:fill="CCEEFF"/>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Digital Services, Inc.</w:t>
            </w:r>
          </w:p>
        </w:tc>
        <w:tc>
          <w:tcPr>
            <w:tcW w:w="2160" w:type="dxa"/>
            <w:vAlign w:val="bottom"/>
          </w:tcPr>
          <w:p>
            <w:pPr>
              <w:jc w:val="center"/>
              <w:ind w:right="262"/>
              <w:spacing w:after="0"/>
              <w:rPr>
                <w:sz w:val="20"/>
                <w:szCs w:val="20"/>
                <w:color w:val="auto"/>
              </w:rPr>
            </w:pPr>
            <w:r>
              <w:rPr>
                <w:rFonts w:ascii="Times New Roman" w:cs="Times New Roman" w:eastAsia="Times New Roman" w:hAnsi="Times New Roman"/>
                <w:sz w:val="16"/>
                <w:szCs w:val="16"/>
                <w:color w:val="auto"/>
                <w:w w:val="99"/>
              </w:rPr>
              <w:t>Maryland</w:t>
            </w:r>
          </w:p>
        </w:tc>
        <w:tc>
          <w:tcPr>
            <w:tcW w:w="40" w:type="dxa"/>
            <w:vAlign w:val="bottom"/>
          </w:tcPr>
          <w:p>
            <w:pPr>
              <w:spacing w:after="0"/>
              <w:rPr>
                <w:sz w:val="16"/>
                <w:szCs w:val="16"/>
                <w:color w:val="auto"/>
              </w:rPr>
            </w:pPr>
          </w:p>
        </w:tc>
      </w:tr>
      <w:tr>
        <w:trPr>
          <w:trHeight w:val="19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Sierra Insurance Limited</w:t>
            </w:r>
          </w:p>
        </w:tc>
        <w:tc>
          <w:tcPr>
            <w:tcW w:w="2160" w:type="dxa"/>
            <w:vAlign w:val="bottom"/>
            <w:shd w:val="clear" w:color="auto" w:fill="CCEEFF"/>
          </w:tcPr>
          <w:p>
            <w:pPr>
              <w:jc w:val="center"/>
              <w:ind w:right="262"/>
              <w:spacing w:after="0"/>
              <w:rPr>
                <w:sz w:val="20"/>
                <w:szCs w:val="20"/>
                <w:color w:val="auto"/>
              </w:rPr>
            </w:pPr>
            <w:r>
              <w:rPr>
                <w:rFonts w:ascii="Times New Roman" w:cs="Times New Roman" w:eastAsia="Times New Roman" w:hAnsi="Times New Roman"/>
                <w:sz w:val="16"/>
                <w:szCs w:val="16"/>
                <w:color w:val="auto"/>
                <w:w w:val="99"/>
              </w:rPr>
              <w:t>Texas</w:t>
            </w:r>
          </w:p>
        </w:tc>
        <w:tc>
          <w:tcPr>
            <w:tcW w:w="40" w:type="dxa"/>
            <w:vAlign w:val="bottom"/>
            <w:shd w:val="clear" w:color="auto" w:fill="CCEEFF"/>
          </w:tcPr>
          <w:p>
            <w:pPr>
              <w:spacing w:after="0"/>
              <w:rPr>
                <w:sz w:val="16"/>
                <w:szCs w:val="16"/>
                <w:color w:val="auto"/>
              </w:rPr>
            </w:pP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Digital Singapore 1 Pte. Ltd.</w:t>
            </w:r>
          </w:p>
        </w:tc>
        <w:tc>
          <w:tcPr>
            <w:tcW w:w="2160" w:type="dxa"/>
            <w:vAlign w:val="bottom"/>
          </w:tcPr>
          <w:p>
            <w:pPr>
              <w:jc w:val="center"/>
              <w:ind w:right="262"/>
              <w:spacing w:after="0"/>
              <w:rPr>
                <w:sz w:val="20"/>
                <w:szCs w:val="20"/>
                <w:color w:val="auto"/>
              </w:rPr>
            </w:pPr>
            <w:r>
              <w:rPr>
                <w:rFonts w:ascii="Times New Roman" w:cs="Times New Roman" w:eastAsia="Times New Roman" w:hAnsi="Times New Roman"/>
                <w:sz w:val="16"/>
                <w:szCs w:val="16"/>
                <w:color w:val="auto"/>
                <w:w w:val="95"/>
              </w:rPr>
              <w:t>Singapore</w:t>
            </w:r>
          </w:p>
        </w:tc>
        <w:tc>
          <w:tcPr>
            <w:tcW w:w="40" w:type="dxa"/>
            <w:vAlign w:val="bottom"/>
          </w:tcPr>
          <w:p>
            <w:pPr>
              <w:spacing w:after="0"/>
              <w:rPr>
                <w:sz w:val="16"/>
                <w:szCs w:val="16"/>
                <w:color w:val="auto"/>
              </w:rPr>
            </w:pPr>
          </w:p>
        </w:tc>
      </w:tr>
      <w:tr>
        <w:trPr>
          <w:trHeight w:val="19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Singapore 2 Pte. Ltd.</w:t>
            </w:r>
          </w:p>
        </w:tc>
        <w:tc>
          <w:tcPr>
            <w:tcW w:w="2160" w:type="dxa"/>
            <w:vAlign w:val="bottom"/>
            <w:shd w:val="clear" w:color="auto" w:fill="CCEEFF"/>
          </w:tcPr>
          <w:p>
            <w:pPr>
              <w:jc w:val="center"/>
              <w:ind w:right="262"/>
              <w:spacing w:after="0"/>
              <w:rPr>
                <w:sz w:val="20"/>
                <w:szCs w:val="20"/>
                <w:color w:val="auto"/>
              </w:rPr>
            </w:pPr>
            <w:r>
              <w:rPr>
                <w:rFonts w:ascii="Times New Roman" w:cs="Times New Roman" w:eastAsia="Times New Roman" w:hAnsi="Times New Roman"/>
                <w:sz w:val="16"/>
                <w:szCs w:val="16"/>
                <w:color w:val="auto"/>
                <w:w w:val="95"/>
              </w:rPr>
              <w:t>Singapore</w:t>
            </w:r>
          </w:p>
        </w:tc>
        <w:tc>
          <w:tcPr>
            <w:tcW w:w="40" w:type="dxa"/>
            <w:vAlign w:val="bottom"/>
            <w:shd w:val="clear" w:color="auto" w:fill="CCEEFF"/>
          </w:tcPr>
          <w:p>
            <w:pPr>
              <w:spacing w:after="0"/>
              <w:rPr>
                <w:sz w:val="16"/>
                <w:szCs w:val="16"/>
                <w:color w:val="auto"/>
              </w:rPr>
            </w:pP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Digital Singapore Jurong East Pte. Ltd.</w:t>
            </w:r>
          </w:p>
        </w:tc>
        <w:tc>
          <w:tcPr>
            <w:tcW w:w="2160" w:type="dxa"/>
            <w:vAlign w:val="bottom"/>
          </w:tcPr>
          <w:p>
            <w:pPr>
              <w:jc w:val="center"/>
              <w:ind w:right="262"/>
              <w:spacing w:after="0"/>
              <w:rPr>
                <w:sz w:val="20"/>
                <w:szCs w:val="20"/>
                <w:color w:val="auto"/>
              </w:rPr>
            </w:pPr>
            <w:r>
              <w:rPr>
                <w:rFonts w:ascii="Times New Roman" w:cs="Times New Roman" w:eastAsia="Times New Roman" w:hAnsi="Times New Roman"/>
                <w:sz w:val="16"/>
                <w:szCs w:val="16"/>
                <w:color w:val="auto"/>
                <w:w w:val="95"/>
              </w:rPr>
              <w:t>Singapore</w:t>
            </w:r>
          </w:p>
        </w:tc>
        <w:tc>
          <w:tcPr>
            <w:tcW w:w="40" w:type="dxa"/>
            <w:vAlign w:val="bottom"/>
          </w:tcPr>
          <w:p>
            <w:pPr>
              <w:spacing w:after="0"/>
              <w:rPr>
                <w:sz w:val="16"/>
                <w:szCs w:val="16"/>
                <w:color w:val="auto"/>
              </w:rPr>
            </w:pPr>
          </w:p>
        </w:tc>
      </w:tr>
      <w:tr>
        <w:trPr>
          <w:trHeight w:val="19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Sixth &amp; Virginia, LLC</w:t>
            </w:r>
          </w:p>
        </w:tc>
        <w:tc>
          <w:tcPr>
            <w:tcW w:w="2160" w:type="dxa"/>
            <w:vAlign w:val="bottom"/>
            <w:shd w:val="clear" w:color="auto" w:fill="CCEEFF"/>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Digital Sixth 2, LLC</w:t>
            </w:r>
          </w:p>
        </w:tc>
        <w:tc>
          <w:tcPr>
            <w:tcW w:w="216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Sling Investor, LLC</w:t>
            </w:r>
          </w:p>
        </w:tc>
        <w:tc>
          <w:tcPr>
            <w:tcW w:w="2160" w:type="dxa"/>
            <w:vAlign w:val="bottom"/>
            <w:shd w:val="clear" w:color="auto" w:fill="CCEEFF"/>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Digital Space Park JV, LLC</w:t>
            </w:r>
          </w:p>
        </w:tc>
        <w:tc>
          <w:tcPr>
            <w:tcW w:w="216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Space Park, LLC</w:t>
            </w:r>
          </w:p>
        </w:tc>
        <w:tc>
          <w:tcPr>
            <w:tcW w:w="2160" w:type="dxa"/>
            <w:vAlign w:val="bottom"/>
            <w:shd w:val="clear" w:color="auto" w:fill="CCEEFF"/>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Digital Speedway, LLC</w:t>
            </w:r>
          </w:p>
        </w:tc>
        <w:tc>
          <w:tcPr>
            <w:tcW w:w="216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Stellar Holding, LLC</w:t>
            </w:r>
          </w:p>
        </w:tc>
        <w:tc>
          <w:tcPr>
            <w:tcW w:w="2160" w:type="dxa"/>
            <w:vAlign w:val="bottom"/>
            <w:shd w:val="clear" w:color="auto" w:fill="CCEEFF"/>
          </w:tcPr>
          <w:p>
            <w:pPr>
              <w:jc w:val="center"/>
              <w:ind w:right="262"/>
              <w:spacing w:after="0"/>
              <w:rPr>
                <w:sz w:val="20"/>
                <w:szCs w:val="20"/>
                <w:color w:val="auto"/>
              </w:rPr>
            </w:pPr>
            <w:r>
              <w:rPr>
                <w:rFonts w:ascii="Times New Roman" w:cs="Times New Roman" w:eastAsia="Times New Roman" w:hAnsi="Times New Roman"/>
                <w:sz w:val="16"/>
                <w:szCs w:val="16"/>
                <w:color w:val="auto"/>
                <w:w w:val="99"/>
              </w:rPr>
              <w:t>Maryland</w:t>
            </w:r>
          </w:p>
        </w:tc>
        <w:tc>
          <w:tcPr>
            <w:tcW w:w="40" w:type="dxa"/>
            <w:vAlign w:val="bottom"/>
            <w:shd w:val="clear" w:color="auto" w:fill="CCEEFF"/>
          </w:tcPr>
          <w:p>
            <w:pPr>
              <w:spacing w:after="0"/>
              <w:rPr>
                <w:sz w:val="16"/>
                <w:szCs w:val="16"/>
                <w:color w:val="auto"/>
              </w:rPr>
            </w:pP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Digital Stellar Newco, LLC</w:t>
            </w:r>
          </w:p>
        </w:tc>
        <w:tc>
          <w:tcPr>
            <w:tcW w:w="216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Stellar Sub, LLC</w:t>
            </w:r>
          </w:p>
        </w:tc>
        <w:tc>
          <w:tcPr>
            <w:tcW w:w="2160" w:type="dxa"/>
            <w:vAlign w:val="bottom"/>
            <w:shd w:val="clear" w:color="auto" w:fill="CCEEFF"/>
          </w:tcPr>
          <w:p>
            <w:pPr>
              <w:jc w:val="center"/>
              <w:ind w:right="262"/>
              <w:spacing w:after="0"/>
              <w:rPr>
                <w:sz w:val="20"/>
                <w:szCs w:val="20"/>
                <w:color w:val="auto"/>
              </w:rPr>
            </w:pPr>
            <w:r>
              <w:rPr>
                <w:rFonts w:ascii="Times New Roman" w:cs="Times New Roman" w:eastAsia="Times New Roman" w:hAnsi="Times New Roman"/>
                <w:sz w:val="16"/>
                <w:szCs w:val="16"/>
                <w:color w:val="auto"/>
                <w:w w:val="99"/>
              </w:rPr>
              <w:t>Maryland</w:t>
            </w:r>
          </w:p>
        </w:tc>
        <w:tc>
          <w:tcPr>
            <w:tcW w:w="40" w:type="dxa"/>
            <w:vAlign w:val="bottom"/>
            <w:shd w:val="clear" w:color="auto" w:fill="CCEEFF"/>
          </w:tcPr>
          <w:p>
            <w:pPr>
              <w:spacing w:after="0"/>
              <w:rPr>
                <w:sz w:val="16"/>
                <w:szCs w:val="16"/>
                <w:color w:val="auto"/>
              </w:rPr>
            </w:pP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Digital Sterling 2 Holding, L.P.</w:t>
            </w:r>
          </w:p>
        </w:tc>
        <w:tc>
          <w:tcPr>
            <w:tcW w:w="216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Sterling 2 REIT, LLC</w:t>
            </w:r>
          </w:p>
        </w:tc>
        <w:tc>
          <w:tcPr>
            <w:tcW w:w="2160" w:type="dxa"/>
            <w:vAlign w:val="bottom"/>
            <w:shd w:val="clear" w:color="auto" w:fill="CCEEFF"/>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203"/>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Digital Sterling 2, LLC</w:t>
            </w:r>
          </w:p>
        </w:tc>
        <w:tc>
          <w:tcPr>
            <w:tcW w:w="216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7"/>
                <w:szCs w:val="17"/>
                <w:color w:val="auto"/>
              </w:rPr>
            </w:pPr>
          </w:p>
        </w:tc>
      </w:tr>
      <w:tr>
        <w:trPr>
          <w:trHeight w:val="473"/>
        </w:trPr>
        <w:tc>
          <w:tcPr>
            <w:tcW w:w="59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40" w:orient="portrait"/>
          <w:cols w:equalWidth="0" w:num="1">
            <w:col w:w="9020"/>
          </w:cols>
          <w:pgMar w:left="1440" w:top="555" w:right="1440" w:bottom="1440" w:gutter="0" w:footer="0" w:header="0"/>
        </w:sectPr>
      </w:pPr>
    </w:p>
    <w:bookmarkStart w:id="544" w:name="page545"/>
    <w:bookmarkEnd w:id="544"/>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Exhibit 21.2</w:t>
      </w:r>
    </w:p>
    <w:p>
      <w:pPr>
        <w:spacing w:after="0" w:line="16" w:lineRule="exact"/>
        <w:rPr>
          <w:sz w:val="20"/>
          <w:szCs w:val="20"/>
          <w:color w:val="auto"/>
        </w:rPr>
      </w:pPr>
    </w:p>
    <w:tbl>
      <w:tblPr>
        <w:tblLayout w:type="fixed"/>
        <w:tblInd w:w="460" w:type="dxa"/>
        <w:tblCellMar>
          <w:top w:w="0" w:type="dxa"/>
          <w:left w:w="0" w:type="dxa"/>
          <w:bottom w:w="0" w:type="dxa"/>
          <w:right w:w="0" w:type="dxa"/>
        </w:tblCellMar>
      </w:tblPr>
      <w:tr>
        <w:trPr>
          <w:trHeight w:val="205"/>
        </w:trPr>
        <w:tc>
          <w:tcPr>
            <w:tcW w:w="2400" w:type="dxa"/>
            <w:vAlign w:val="bottom"/>
          </w:tcPr>
          <w:p>
            <w:pPr>
              <w:spacing w:after="0"/>
              <w:rPr>
                <w:sz w:val="17"/>
                <w:szCs w:val="17"/>
                <w:color w:val="auto"/>
              </w:rPr>
            </w:pPr>
          </w:p>
        </w:tc>
        <w:tc>
          <w:tcPr>
            <w:tcW w:w="566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List of Subsidiaries of Digital Realty Trust, L.P.</w:t>
            </w:r>
          </w:p>
        </w:tc>
        <w:tc>
          <w:tcPr>
            <w:tcW w:w="40" w:type="dxa"/>
            <w:vAlign w:val="bottom"/>
          </w:tcPr>
          <w:p>
            <w:pPr>
              <w:spacing w:after="0"/>
              <w:rPr>
                <w:sz w:val="17"/>
                <w:szCs w:val="17"/>
                <w:color w:val="auto"/>
              </w:rPr>
            </w:pPr>
          </w:p>
        </w:tc>
      </w:tr>
      <w:tr>
        <w:trPr>
          <w:trHeight w:val="186"/>
        </w:trPr>
        <w:tc>
          <w:tcPr>
            <w:tcW w:w="240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Sterling Premier, LLC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 Stoughton JV, LLC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Stout Holding, LLC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 Texas GP, LLC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Digital Third Second Manassas, LLC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 Titan Holding B.V.</w:t>
            </w:r>
          </w:p>
        </w:tc>
        <w:tc>
          <w:tcPr>
            <w:tcW w:w="5660" w:type="dxa"/>
            <w:vAlign w:val="bottom"/>
          </w:tcPr>
          <w:p>
            <w:pPr>
              <w:jc w:val="center"/>
              <w:ind w:left="308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Titan Pty Ltd.</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South Africa</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 Titan Services SA Pty Ltd</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South Africa</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Tokyo 1 TMK</w:t>
            </w:r>
          </w:p>
        </w:tc>
        <w:tc>
          <w:tcPr>
            <w:tcW w:w="5660" w:type="dxa"/>
            <w:vAlign w:val="bottom"/>
            <w:shd w:val="clear" w:color="auto" w:fill="CCEEFF"/>
          </w:tcPr>
          <w:p>
            <w:pPr>
              <w:jc w:val="center"/>
              <w:ind w:left="3082"/>
              <w:spacing w:after="0"/>
              <w:rPr>
                <w:sz w:val="20"/>
                <w:szCs w:val="20"/>
                <w:color w:val="auto"/>
              </w:rPr>
            </w:pPr>
            <w:r>
              <w:rPr>
                <w:rFonts w:ascii="Times New Roman" w:cs="Times New Roman" w:eastAsia="Times New Roman" w:hAnsi="Times New Roman"/>
                <w:sz w:val="16"/>
                <w:szCs w:val="16"/>
                <w:color w:val="auto"/>
                <w:w w:val="93"/>
              </w:rPr>
              <w:t>Japan</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 Tokyo 2 TMK</w:t>
            </w:r>
          </w:p>
        </w:tc>
        <w:tc>
          <w:tcPr>
            <w:tcW w:w="5660" w:type="dxa"/>
            <w:vAlign w:val="bottom"/>
          </w:tcPr>
          <w:p>
            <w:pPr>
              <w:jc w:val="center"/>
              <w:ind w:left="3082"/>
              <w:spacing w:after="0"/>
              <w:rPr>
                <w:sz w:val="20"/>
                <w:szCs w:val="20"/>
                <w:color w:val="auto"/>
              </w:rPr>
            </w:pPr>
            <w:r>
              <w:rPr>
                <w:rFonts w:ascii="Times New Roman" w:cs="Times New Roman" w:eastAsia="Times New Roman" w:hAnsi="Times New Roman"/>
                <w:sz w:val="16"/>
                <w:szCs w:val="16"/>
                <w:color w:val="auto"/>
                <w:w w:val="93"/>
              </w:rPr>
              <w:t>Japan</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Toronto Nominee, Inc.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British Columbia</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 Totowa 2 Holding, L.P.</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Totowa 2 REIT, LLC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 Totowa 2, LLC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Totowa, LLC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 Towerview, LLC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Trade Street, LLC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 Tupolevlaan B.V.</w:t>
            </w:r>
          </w:p>
        </w:tc>
        <w:tc>
          <w:tcPr>
            <w:tcW w:w="5660" w:type="dxa"/>
            <w:vAlign w:val="bottom"/>
          </w:tcPr>
          <w:p>
            <w:pPr>
              <w:jc w:val="center"/>
              <w:ind w:left="308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UK Finco, LLC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 US Finco, LLC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Venus, LLC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 Vernon 2, LLC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Vernon 3, LLC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 Vernon 4, LLC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Vernon, LLC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 Walsh 1 JV, LLC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Walsh 1, LLC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 Walsh 2 JV, LLC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Walsh 2, LLC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 Walsh Holding, LLC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WBX 2, LLC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 Western Lands, LLC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Winona JV, LLC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 Winona, LLC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WL 0419, LLC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 WL 1968, LLC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WL 2322, LLC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 WL 2834, LLC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WL 3214, LLC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 WL 5459, LLC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WL 5628, LLC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 WL 9505-7891, LLC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Digital-Bryan Street, LLC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Digital-ME Devin Shafron E, LLC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DIgital-ME DSE Venture, LLC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Digital-Mivne G.P. Ltd.</w:t>
            </w:r>
          </w:p>
        </w:tc>
        <w:tc>
          <w:tcPr>
            <w:tcW w:w="5660" w:type="dxa"/>
            <w:vAlign w:val="bottom"/>
          </w:tcPr>
          <w:p>
            <w:pPr>
              <w:jc w:val="center"/>
              <w:ind w:left="3082"/>
              <w:spacing w:after="0"/>
              <w:rPr>
                <w:sz w:val="20"/>
                <w:szCs w:val="20"/>
                <w:color w:val="auto"/>
              </w:rPr>
            </w:pPr>
            <w:r>
              <w:rPr>
                <w:rFonts w:ascii="Times New Roman" w:cs="Times New Roman" w:eastAsia="Times New Roman" w:hAnsi="Times New Roman"/>
                <w:sz w:val="16"/>
                <w:szCs w:val="16"/>
                <w:color w:val="auto"/>
                <w:w w:val="95"/>
              </w:rPr>
              <w:t>Israel</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Digital-Mivne JV, LP</w:t>
            </w:r>
          </w:p>
        </w:tc>
        <w:tc>
          <w:tcPr>
            <w:tcW w:w="5660" w:type="dxa"/>
            <w:vAlign w:val="bottom"/>
            <w:shd w:val="clear" w:color="auto" w:fill="CCEEFF"/>
          </w:tcPr>
          <w:p>
            <w:pPr>
              <w:jc w:val="center"/>
              <w:ind w:left="3082"/>
              <w:spacing w:after="0"/>
              <w:rPr>
                <w:sz w:val="20"/>
                <w:szCs w:val="20"/>
                <w:color w:val="auto"/>
              </w:rPr>
            </w:pPr>
            <w:r>
              <w:rPr>
                <w:rFonts w:ascii="Times New Roman" w:cs="Times New Roman" w:eastAsia="Times New Roman" w:hAnsi="Times New Roman"/>
                <w:sz w:val="16"/>
                <w:szCs w:val="16"/>
                <w:color w:val="auto"/>
                <w:w w:val="95"/>
              </w:rPr>
              <w:t>Israel</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Digital-PR Mason King Court, LLC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Digital-PR Old Ironsides 1, LLC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484"/>
        </w:trPr>
        <w:tc>
          <w:tcPr>
            <w:tcW w:w="240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40" w:orient="portrait"/>
          <w:cols w:equalWidth="0" w:num="1">
            <w:col w:w="9020"/>
          </w:cols>
          <w:pgMar w:left="1440" w:top="555" w:right="1440" w:bottom="1440" w:gutter="0" w:footer="0" w:header="0"/>
        </w:sectPr>
      </w:pPr>
    </w:p>
    <w:bookmarkStart w:id="545" w:name="page546"/>
    <w:bookmarkEnd w:id="545"/>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Exhibit 21.2</w:t>
      </w:r>
    </w:p>
    <w:p>
      <w:pPr>
        <w:spacing w:after="0" w:line="16" w:lineRule="exact"/>
        <w:rPr>
          <w:sz w:val="20"/>
          <w:szCs w:val="20"/>
          <w:color w:val="auto"/>
        </w:rPr>
      </w:pPr>
    </w:p>
    <w:tbl>
      <w:tblPr>
        <w:tblLayout w:type="fixed"/>
        <w:tblInd w:w="460" w:type="dxa"/>
        <w:tblCellMar>
          <w:top w:w="0" w:type="dxa"/>
          <w:left w:w="0" w:type="dxa"/>
          <w:bottom w:w="0" w:type="dxa"/>
          <w:right w:w="0" w:type="dxa"/>
        </w:tblCellMar>
      </w:tblPr>
      <w:tr>
        <w:trPr>
          <w:trHeight w:val="205"/>
        </w:trPr>
        <w:tc>
          <w:tcPr>
            <w:tcW w:w="8060" w:type="dxa"/>
            <w:vAlign w:val="bottom"/>
            <w:gridSpan w:val="2"/>
          </w:tcPr>
          <w:p>
            <w:pPr>
              <w:ind w:left="2460"/>
              <w:spacing w:after="0"/>
              <w:rPr>
                <w:sz w:val="20"/>
                <w:szCs w:val="20"/>
                <w:color w:val="auto"/>
              </w:rPr>
            </w:pPr>
            <w:r>
              <w:rPr>
                <w:rFonts w:ascii="Times New Roman" w:cs="Times New Roman" w:eastAsia="Times New Roman" w:hAnsi="Times New Roman"/>
                <w:sz w:val="16"/>
                <w:szCs w:val="16"/>
                <w:b w:val="1"/>
                <w:bCs w:val="1"/>
                <w:color w:val="auto"/>
              </w:rPr>
              <w:t>List of Subsidiaries of Digital Realty Trust, L.P.</w:t>
            </w:r>
          </w:p>
        </w:tc>
        <w:tc>
          <w:tcPr>
            <w:tcW w:w="40" w:type="dxa"/>
            <w:vAlign w:val="bottom"/>
          </w:tcPr>
          <w:p>
            <w:pPr>
              <w:spacing w:after="0"/>
              <w:rPr>
                <w:sz w:val="17"/>
                <w:szCs w:val="17"/>
                <w:color w:val="auto"/>
              </w:rPr>
            </w:pPr>
          </w:p>
        </w:tc>
      </w:tr>
      <w:tr>
        <w:trPr>
          <w:trHeight w:val="377"/>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Digital-PR Venture, LLC</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24"/>
                <w:szCs w:val="24"/>
                <w:color w:val="auto"/>
              </w:rPr>
            </w:pPr>
          </w:p>
        </w:tc>
      </w:tr>
      <w:tr>
        <w:trPr>
          <w:trHeight w:val="19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Digital-PR Zanker, LLC</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Dipper Ventures LLC</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DLR 800 Central, LLC</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DLR LLC</w:t>
            </w:r>
          </w:p>
        </w:tc>
        <w:tc>
          <w:tcPr>
            <w:tcW w:w="3740" w:type="dxa"/>
            <w:vAlign w:val="bottom"/>
          </w:tcPr>
          <w:p>
            <w:pPr>
              <w:jc w:val="center"/>
              <w:ind w:left="1162"/>
              <w:spacing w:after="0"/>
              <w:rPr>
                <w:sz w:val="20"/>
                <w:szCs w:val="20"/>
                <w:color w:val="auto"/>
              </w:rPr>
            </w:pPr>
            <w:r>
              <w:rPr>
                <w:rFonts w:ascii="Times New Roman" w:cs="Times New Roman" w:eastAsia="Times New Roman" w:hAnsi="Times New Roman"/>
                <w:sz w:val="16"/>
                <w:szCs w:val="16"/>
                <w:color w:val="auto"/>
                <w:w w:val="99"/>
              </w:rPr>
              <w:t>Maryland</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DRT Greenspoint, LLC</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DRT-Bryan Street, LLC</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DuPont Fabros Technology, L.P.</w:t>
            </w:r>
          </w:p>
        </w:tc>
        <w:tc>
          <w:tcPr>
            <w:tcW w:w="3740" w:type="dxa"/>
            <w:vAlign w:val="bottom"/>
            <w:shd w:val="clear" w:color="auto" w:fill="CCEEFF"/>
          </w:tcPr>
          <w:p>
            <w:pPr>
              <w:jc w:val="center"/>
              <w:ind w:left="1162"/>
              <w:spacing w:after="0"/>
              <w:rPr>
                <w:sz w:val="20"/>
                <w:szCs w:val="20"/>
                <w:color w:val="auto"/>
              </w:rPr>
            </w:pPr>
            <w:r>
              <w:rPr>
                <w:rFonts w:ascii="Times New Roman" w:cs="Times New Roman" w:eastAsia="Times New Roman" w:hAnsi="Times New Roman"/>
                <w:sz w:val="16"/>
                <w:szCs w:val="16"/>
                <w:color w:val="auto"/>
                <w:w w:val="99"/>
              </w:rPr>
              <w:t>Maryland</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Fawn Ventures LLC</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Fox Properties LLC</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Gallant 1664, LLC</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GIP 7th Street Holding Company, LLC</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GIP 7th Street, LLC</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GIP Alpha General Partner, LLC</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GIP Alpha Limited Partner, LLC</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GIP Alpha, L.P.</w:t>
            </w:r>
          </w:p>
        </w:tc>
        <w:tc>
          <w:tcPr>
            <w:tcW w:w="3740" w:type="dxa"/>
            <w:vAlign w:val="bottom"/>
            <w:shd w:val="clear" w:color="auto" w:fill="CCEEFF"/>
          </w:tcPr>
          <w:p>
            <w:pPr>
              <w:jc w:val="center"/>
              <w:ind w:left="1162"/>
              <w:spacing w:after="0"/>
              <w:rPr>
                <w:sz w:val="20"/>
                <w:szCs w:val="20"/>
                <w:color w:val="auto"/>
              </w:rPr>
            </w:pPr>
            <w:r>
              <w:rPr>
                <w:rFonts w:ascii="Times New Roman" w:cs="Times New Roman" w:eastAsia="Times New Roman" w:hAnsi="Times New Roman"/>
                <w:sz w:val="16"/>
                <w:szCs w:val="16"/>
                <w:color w:val="auto"/>
                <w:w w:val="99"/>
              </w:rPr>
              <w:t>Texas</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GIP Stoughton, LLC</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Global Lafayette Street Holding Company, LLC</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Global Marsh General Partner, LLC</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Global Marsh Limited Partner, LLC</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Global Marsh Member, LLC</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Global Marsh Property Owner, L.P.</w:t>
            </w:r>
          </w:p>
        </w:tc>
        <w:tc>
          <w:tcPr>
            <w:tcW w:w="3740" w:type="dxa"/>
            <w:vAlign w:val="bottom"/>
            <w:shd w:val="clear" w:color="auto" w:fill="CCEEFF"/>
          </w:tcPr>
          <w:p>
            <w:pPr>
              <w:jc w:val="center"/>
              <w:ind w:left="1162"/>
              <w:spacing w:after="0"/>
              <w:rPr>
                <w:sz w:val="20"/>
                <w:szCs w:val="20"/>
                <w:color w:val="auto"/>
              </w:rPr>
            </w:pPr>
            <w:r>
              <w:rPr>
                <w:rFonts w:ascii="Times New Roman" w:cs="Times New Roman" w:eastAsia="Times New Roman" w:hAnsi="Times New Roman"/>
                <w:sz w:val="16"/>
                <w:szCs w:val="16"/>
                <w:color w:val="auto"/>
                <w:w w:val="99"/>
              </w:rPr>
              <w:t>Texas</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Global Miami Acquisition Company, LLC</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Global Miami Holding Company, LLC</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Global Stanford Place II, LLC</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Global Webb, L.P.</w:t>
            </w:r>
          </w:p>
        </w:tc>
        <w:tc>
          <w:tcPr>
            <w:tcW w:w="3740" w:type="dxa"/>
            <w:vAlign w:val="bottom"/>
            <w:shd w:val="clear" w:color="auto" w:fill="CCEEFF"/>
          </w:tcPr>
          <w:p>
            <w:pPr>
              <w:jc w:val="center"/>
              <w:ind w:left="1162"/>
              <w:spacing w:after="0"/>
              <w:rPr>
                <w:sz w:val="20"/>
                <w:szCs w:val="20"/>
                <w:color w:val="auto"/>
              </w:rPr>
            </w:pPr>
            <w:r>
              <w:rPr>
                <w:rFonts w:ascii="Times New Roman" w:cs="Times New Roman" w:eastAsia="Times New Roman" w:hAnsi="Times New Roman"/>
                <w:sz w:val="16"/>
                <w:szCs w:val="16"/>
                <w:color w:val="auto"/>
                <w:w w:val="99"/>
              </w:rPr>
              <w:t>Texas</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Global Webb, LLC</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Global Weehawken Acquisition Company, LLC</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Global Weehawken Holding Company, LLC</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Great Westerford Holdings Proprietary Limited</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South Africa</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Grizzly Ventures LLC</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Hawk Ventures LLC</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Hood 1703, LLC</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Icolo</w:t>
            </w:r>
          </w:p>
        </w:tc>
        <w:tc>
          <w:tcPr>
            <w:tcW w:w="3740" w:type="dxa"/>
            <w:vAlign w:val="bottom"/>
            <w:shd w:val="clear" w:color="auto" w:fill="CCEEFF"/>
          </w:tcPr>
          <w:p>
            <w:pPr>
              <w:jc w:val="center"/>
              <w:ind w:left="1162"/>
              <w:spacing w:after="0"/>
              <w:rPr>
                <w:sz w:val="20"/>
                <w:szCs w:val="20"/>
                <w:color w:val="auto"/>
              </w:rPr>
            </w:pPr>
            <w:r>
              <w:rPr>
                <w:rFonts w:ascii="Times New Roman" w:cs="Times New Roman" w:eastAsia="Times New Roman" w:hAnsi="Times New Roman"/>
                <w:sz w:val="16"/>
                <w:szCs w:val="16"/>
                <w:color w:val="auto"/>
                <w:w w:val="99"/>
              </w:rPr>
              <w:t>Mauritius</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Icolo Limited</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5"/>
              </w:rPr>
              <w:t>Kenya</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Icolo Mozambique, Limitada</w:t>
            </w:r>
          </w:p>
        </w:tc>
        <w:tc>
          <w:tcPr>
            <w:tcW w:w="3740" w:type="dxa"/>
            <w:vAlign w:val="bottom"/>
            <w:shd w:val="clear" w:color="auto" w:fill="CCEEFF"/>
          </w:tcPr>
          <w:p>
            <w:pPr>
              <w:jc w:val="center"/>
              <w:ind w:left="1162"/>
              <w:spacing w:after="0"/>
              <w:rPr>
                <w:sz w:val="20"/>
                <w:szCs w:val="20"/>
                <w:color w:val="auto"/>
              </w:rPr>
            </w:pPr>
            <w:r>
              <w:rPr>
                <w:rFonts w:ascii="Times New Roman" w:cs="Times New Roman" w:eastAsia="Times New Roman" w:hAnsi="Times New Roman"/>
                <w:sz w:val="16"/>
                <w:szCs w:val="16"/>
                <w:color w:val="auto"/>
                <w:w w:val="97"/>
              </w:rPr>
              <w:t>Mozambique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InterXion B.V.</w:t>
            </w:r>
          </w:p>
        </w:tc>
        <w:tc>
          <w:tcPr>
            <w:tcW w:w="3740" w:type="dxa"/>
            <w:vAlign w:val="bottom"/>
          </w:tcPr>
          <w:p>
            <w:pPr>
              <w:jc w:val="center"/>
              <w:ind w:left="11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Belgium B.V.</w:t>
            </w:r>
          </w:p>
        </w:tc>
        <w:tc>
          <w:tcPr>
            <w:tcW w:w="3740" w:type="dxa"/>
            <w:vAlign w:val="bottom"/>
            <w:shd w:val="clear" w:color="auto" w:fill="CCEEFF"/>
          </w:tcPr>
          <w:p>
            <w:pPr>
              <w:jc w:val="center"/>
              <w:ind w:left="1162"/>
              <w:spacing w:after="0"/>
              <w:rPr>
                <w:sz w:val="20"/>
                <w:szCs w:val="20"/>
                <w:color w:val="auto"/>
              </w:rPr>
            </w:pPr>
            <w:r>
              <w:rPr>
                <w:rFonts w:ascii="Times New Roman" w:cs="Times New Roman" w:eastAsia="Times New Roman" w:hAnsi="Times New Roman"/>
                <w:sz w:val="16"/>
                <w:szCs w:val="16"/>
                <w:color w:val="auto"/>
                <w:w w:val="97"/>
              </w:rPr>
              <w:t>Belgium</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InterXion Carrier Hotel Limited</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United Kingdom (England and Wales)</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Consultancy Services B.V.</w:t>
            </w:r>
          </w:p>
        </w:tc>
        <w:tc>
          <w:tcPr>
            <w:tcW w:w="3740" w:type="dxa"/>
            <w:vAlign w:val="bottom"/>
            <w:shd w:val="clear" w:color="auto" w:fill="CCEEFF"/>
          </w:tcPr>
          <w:p>
            <w:pPr>
              <w:jc w:val="center"/>
              <w:ind w:left="11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InterXion Croatia LLC</w:t>
            </w:r>
          </w:p>
        </w:tc>
        <w:tc>
          <w:tcPr>
            <w:tcW w:w="3740" w:type="dxa"/>
            <w:vAlign w:val="bottom"/>
          </w:tcPr>
          <w:p>
            <w:pPr>
              <w:jc w:val="center"/>
              <w:ind w:left="1162"/>
              <w:spacing w:after="0"/>
              <w:rPr>
                <w:sz w:val="20"/>
                <w:szCs w:val="20"/>
                <w:color w:val="auto"/>
              </w:rPr>
            </w:pPr>
            <w:r>
              <w:rPr>
                <w:rFonts w:ascii="Times New Roman" w:cs="Times New Roman" w:eastAsia="Times New Roman" w:hAnsi="Times New Roman"/>
                <w:sz w:val="16"/>
                <w:szCs w:val="16"/>
                <w:color w:val="auto"/>
                <w:w w:val="97"/>
              </w:rPr>
              <w:t>Croatia</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Datacenters B.V.</w:t>
            </w:r>
          </w:p>
        </w:tc>
        <w:tc>
          <w:tcPr>
            <w:tcW w:w="3740" w:type="dxa"/>
            <w:vAlign w:val="bottom"/>
            <w:shd w:val="clear" w:color="auto" w:fill="CCEEFF"/>
          </w:tcPr>
          <w:p>
            <w:pPr>
              <w:jc w:val="center"/>
              <w:ind w:left="11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InterXion España S.L.U.</w:t>
            </w:r>
          </w:p>
        </w:tc>
        <w:tc>
          <w:tcPr>
            <w:tcW w:w="3740" w:type="dxa"/>
            <w:vAlign w:val="bottom"/>
          </w:tcPr>
          <w:p>
            <w:pPr>
              <w:jc w:val="center"/>
              <w:ind w:left="1162"/>
              <w:spacing w:after="0"/>
              <w:rPr>
                <w:sz w:val="20"/>
                <w:szCs w:val="20"/>
                <w:color w:val="auto"/>
              </w:rPr>
            </w:pPr>
            <w:r>
              <w:rPr>
                <w:rFonts w:ascii="Times New Roman" w:cs="Times New Roman" w:eastAsia="Times New Roman" w:hAnsi="Times New Roman"/>
                <w:sz w:val="16"/>
                <w:szCs w:val="16"/>
                <w:color w:val="auto"/>
                <w:w w:val="93"/>
              </w:rPr>
              <w:t>Spain</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Europe Limited</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United Kingdom (England and Wales)</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InterXion France SAS</w:t>
            </w:r>
          </w:p>
        </w:tc>
        <w:tc>
          <w:tcPr>
            <w:tcW w:w="3740" w:type="dxa"/>
            <w:vAlign w:val="bottom"/>
          </w:tcPr>
          <w:p>
            <w:pPr>
              <w:jc w:val="center"/>
              <w:ind w:left="1162"/>
              <w:spacing w:after="0"/>
              <w:rPr>
                <w:sz w:val="20"/>
                <w:szCs w:val="20"/>
                <w:color w:val="auto"/>
              </w:rPr>
            </w:pPr>
            <w:r>
              <w:rPr>
                <w:rFonts w:ascii="Times New Roman" w:cs="Times New Roman" w:eastAsia="Times New Roman" w:hAnsi="Times New Roman"/>
                <w:sz w:val="16"/>
                <w:szCs w:val="16"/>
                <w:color w:val="auto"/>
                <w:w w:val="96"/>
              </w:rPr>
              <w:t>France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HeadQuarters B.V.</w:t>
            </w:r>
          </w:p>
        </w:tc>
        <w:tc>
          <w:tcPr>
            <w:tcW w:w="3740" w:type="dxa"/>
            <w:vAlign w:val="bottom"/>
            <w:shd w:val="clear" w:color="auto" w:fill="CCEEFF"/>
          </w:tcPr>
          <w:p>
            <w:pPr>
              <w:jc w:val="center"/>
              <w:ind w:left="11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203"/>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InterXion II B.V.</w:t>
            </w:r>
          </w:p>
        </w:tc>
        <w:tc>
          <w:tcPr>
            <w:tcW w:w="3740" w:type="dxa"/>
            <w:vAlign w:val="bottom"/>
          </w:tcPr>
          <w:p>
            <w:pPr>
              <w:jc w:val="center"/>
              <w:ind w:left="11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7"/>
                <w:szCs w:val="17"/>
                <w:color w:val="auto"/>
              </w:rPr>
            </w:pPr>
          </w:p>
        </w:tc>
      </w:tr>
      <w:tr>
        <w:trPr>
          <w:trHeight w:val="473"/>
        </w:trPr>
        <w:tc>
          <w:tcPr>
            <w:tcW w:w="43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40" w:orient="portrait"/>
          <w:cols w:equalWidth="0" w:num="1">
            <w:col w:w="9020"/>
          </w:cols>
          <w:pgMar w:left="1440" w:top="555" w:right="1440" w:bottom="1440" w:gutter="0" w:footer="0" w:header="0"/>
        </w:sectPr>
      </w:pPr>
    </w:p>
    <w:bookmarkStart w:id="546" w:name="page547"/>
    <w:bookmarkEnd w:id="546"/>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Exhibit 21.2</w:t>
      </w:r>
    </w:p>
    <w:p>
      <w:pPr>
        <w:spacing w:after="0" w:line="16" w:lineRule="exact"/>
        <w:rPr>
          <w:sz w:val="20"/>
          <w:szCs w:val="20"/>
          <w:color w:val="auto"/>
        </w:rPr>
      </w:pPr>
    </w:p>
    <w:tbl>
      <w:tblPr>
        <w:tblLayout w:type="fixed"/>
        <w:tblInd w:w="460" w:type="dxa"/>
        <w:tblCellMar>
          <w:top w:w="0" w:type="dxa"/>
          <w:left w:w="0" w:type="dxa"/>
          <w:bottom w:w="0" w:type="dxa"/>
          <w:right w:w="0" w:type="dxa"/>
        </w:tblCellMar>
      </w:tblPr>
      <w:tr>
        <w:trPr>
          <w:trHeight w:val="205"/>
        </w:trPr>
        <w:tc>
          <w:tcPr>
            <w:tcW w:w="8060" w:type="dxa"/>
            <w:vAlign w:val="bottom"/>
            <w:gridSpan w:val="2"/>
          </w:tcPr>
          <w:p>
            <w:pPr>
              <w:ind w:left="2460"/>
              <w:spacing w:after="0"/>
              <w:rPr>
                <w:sz w:val="20"/>
                <w:szCs w:val="20"/>
                <w:color w:val="auto"/>
              </w:rPr>
            </w:pPr>
            <w:r>
              <w:rPr>
                <w:rFonts w:ascii="Times New Roman" w:cs="Times New Roman" w:eastAsia="Times New Roman" w:hAnsi="Times New Roman"/>
                <w:sz w:val="16"/>
                <w:szCs w:val="16"/>
                <w:b w:val="1"/>
                <w:bCs w:val="1"/>
                <w:color w:val="auto"/>
              </w:rPr>
              <w:t>List of Subsidiaries of Digital Realty Trust, L.P.</w:t>
            </w:r>
          </w:p>
        </w:tc>
        <w:tc>
          <w:tcPr>
            <w:tcW w:w="40" w:type="dxa"/>
            <w:vAlign w:val="bottom"/>
          </w:tcPr>
          <w:p>
            <w:pPr>
              <w:spacing w:after="0"/>
              <w:rPr>
                <w:sz w:val="17"/>
                <w:szCs w:val="17"/>
                <w:color w:val="auto"/>
              </w:rPr>
            </w:pPr>
          </w:p>
        </w:tc>
      </w:tr>
      <w:tr>
        <w:trPr>
          <w:trHeight w:val="186"/>
        </w:trPr>
        <w:tc>
          <w:tcPr>
            <w:tcW w:w="42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Ireland DAC</w:t>
            </w:r>
          </w:p>
        </w:tc>
        <w:tc>
          <w:tcPr>
            <w:tcW w:w="3840" w:type="dxa"/>
            <w:vAlign w:val="bottom"/>
            <w:shd w:val="clear" w:color="auto" w:fill="CCEEFF"/>
          </w:tcPr>
          <w:p>
            <w:pPr>
              <w:jc w:val="center"/>
              <w:ind w:left="1282"/>
              <w:spacing w:after="0"/>
              <w:rPr>
                <w:sz w:val="20"/>
                <w:szCs w:val="20"/>
                <w:color w:val="auto"/>
              </w:rPr>
            </w:pPr>
            <w:r>
              <w:rPr>
                <w:rFonts w:ascii="Times New Roman" w:cs="Times New Roman" w:eastAsia="Times New Roman" w:hAnsi="Times New Roman"/>
                <w:sz w:val="16"/>
                <w:szCs w:val="16"/>
                <w:color w:val="auto"/>
                <w:w w:val="96"/>
              </w:rPr>
              <w:t>Ireland</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InterXion Nederland B.V.</w:t>
            </w:r>
          </w:p>
        </w:tc>
        <w:tc>
          <w:tcPr>
            <w:tcW w:w="384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Operational B.V.</w:t>
            </w:r>
          </w:p>
        </w:tc>
        <w:tc>
          <w:tcPr>
            <w:tcW w:w="384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InterXion Participation 1 B.V.</w:t>
            </w:r>
          </w:p>
        </w:tc>
        <w:tc>
          <w:tcPr>
            <w:tcW w:w="384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Real Estate Holding B.V.</w:t>
            </w:r>
          </w:p>
        </w:tc>
        <w:tc>
          <w:tcPr>
            <w:tcW w:w="384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InterXion Real Estate I B.V.</w:t>
            </w:r>
          </w:p>
        </w:tc>
        <w:tc>
          <w:tcPr>
            <w:tcW w:w="384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Real Estate II SARL</w:t>
            </w:r>
          </w:p>
        </w:tc>
        <w:tc>
          <w:tcPr>
            <w:tcW w:w="384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6"/>
              </w:rPr>
              <w:t>France</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InterXion Real Estate III SARL</w:t>
            </w:r>
          </w:p>
        </w:tc>
        <w:tc>
          <w:tcPr>
            <w:tcW w:w="384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6"/>
              </w:rPr>
              <w:t>France</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Real Estate IV B.V.</w:t>
            </w:r>
          </w:p>
        </w:tc>
        <w:tc>
          <w:tcPr>
            <w:tcW w:w="384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InterXion Real Estate IX B.V.</w:t>
            </w:r>
          </w:p>
        </w:tc>
        <w:tc>
          <w:tcPr>
            <w:tcW w:w="384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7"/>
              </w:rPr>
              <w:t>Belgium</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Real Estate Limited</w:t>
            </w:r>
          </w:p>
        </w:tc>
        <w:tc>
          <w:tcPr>
            <w:tcW w:w="3840" w:type="dxa"/>
            <w:vAlign w:val="bottom"/>
            <w:shd w:val="clear" w:color="auto" w:fill="CCEEFF"/>
          </w:tcPr>
          <w:p>
            <w:pPr>
              <w:jc w:val="center"/>
              <w:ind w:left="1282"/>
              <w:spacing w:after="0"/>
              <w:rPr>
                <w:sz w:val="20"/>
                <w:szCs w:val="20"/>
                <w:color w:val="auto"/>
              </w:rPr>
            </w:pPr>
            <w:r>
              <w:rPr>
                <w:rFonts w:ascii="Times New Roman" w:cs="Times New Roman" w:eastAsia="Times New Roman" w:hAnsi="Times New Roman"/>
                <w:sz w:val="16"/>
                <w:szCs w:val="16"/>
                <w:color w:val="auto"/>
                <w:w w:val="95"/>
              </w:rPr>
              <w:t>Kenya</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InterXion Real Estate V B.V.</w:t>
            </w:r>
          </w:p>
        </w:tc>
        <w:tc>
          <w:tcPr>
            <w:tcW w:w="384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Real Estate VII GmbH</w:t>
            </w:r>
          </w:p>
        </w:tc>
        <w:tc>
          <w:tcPr>
            <w:tcW w:w="384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7"/>
              </w:rPr>
              <w:t>Austria</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InterXion Real Estate VIII GmbH</w:t>
            </w:r>
          </w:p>
        </w:tc>
        <w:tc>
          <w:tcPr>
            <w:tcW w:w="384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6"/>
              </w:rPr>
              <w:t>Switzerland</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Real Estate X B.V.</w:t>
            </w:r>
          </w:p>
        </w:tc>
        <w:tc>
          <w:tcPr>
            <w:tcW w:w="384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InterXion Real Estate XI SARL</w:t>
            </w:r>
          </w:p>
        </w:tc>
        <w:tc>
          <w:tcPr>
            <w:tcW w:w="384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6"/>
              </w:rPr>
              <w:t>France</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Real Estate XII B.V.</w:t>
            </w:r>
          </w:p>
        </w:tc>
        <w:tc>
          <w:tcPr>
            <w:tcW w:w="384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InterXion Real Estate XIII B.V.</w:t>
            </w:r>
          </w:p>
        </w:tc>
        <w:tc>
          <w:tcPr>
            <w:tcW w:w="384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Real Estate XIV B.V.</w:t>
            </w:r>
          </w:p>
        </w:tc>
        <w:tc>
          <w:tcPr>
            <w:tcW w:w="384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InterXion Real Estate XV S.L.U.</w:t>
            </w:r>
          </w:p>
        </w:tc>
        <w:tc>
          <w:tcPr>
            <w:tcW w:w="384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3"/>
              </w:rPr>
              <w:t>Spain</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Real Estate XVI B.V.</w:t>
            </w:r>
          </w:p>
        </w:tc>
        <w:tc>
          <w:tcPr>
            <w:tcW w:w="384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InterXion Real Estate XVIII B.V.</w:t>
            </w:r>
          </w:p>
        </w:tc>
        <w:tc>
          <w:tcPr>
            <w:tcW w:w="384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Real Estate XX SAS</w:t>
            </w:r>
          </w:p>
        </w:tc>
        <w:tc>
          <w:tcPr>
            <w:tcW w:w="384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6"/>
              </w:rPr>
              <w:t>France</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InterXion Real Estate XXI GmbH</w:t>
            </w:r>
          </w:p>
        </w:tc>
        <w:tc>
          <w:tcPr>
            <w:tcW w:w="384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6"/>
              </w:rPr>
              <w:t>Switzerland</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Real Estate XXII B.V.</w:t>
            </w:r>
          </w:p>
        </w:tc>
        <w:tc>
          <w:tcPr>
            <w:tcW w:w="384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InterXion Real Estate XXIV S.r.L.</w:t>
            </w:r>
          </w:p>
        </w:tc>
        <w:tc>
          <w:tcPr>
            <w:tcW w:w="3840" w:type="dxa"/>
            <w:vAlign w:val="bottom"/>
          </w:tcPr>
          <w:p>
            <w:pPr>
              <w:jc w:val="center"/>
              <w:ind w:left="1282"/>
              <w:spacing w:after="0"/>
              <w:rPr>
                <w:sz w:val="20"/>
                <w:szCs w:val="20"/>
                <w:color w:val="auto"/>
              </w:rPr>
            </w:pPr>
            <w:r>
              <w:rPr>
                <w:rFonts w:ascii="Times New Roman" w:cs="Times New Roman" w:eastAsia="Times New Roman" w:hAnsi="Times New Roman"/>
                <w:sz w:val="16"/>
                <w:szCs w:val="16"/>
                <w:color w:val="auto"/>
                <w:w w:val="95"/>
              </w:rPr>
              <w:t>Italy</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Real Estate XXV SAS</w:t>
            </w:r>
          </w:p>
        </w:tc>
        <w:tc>
          <w:tcPr>
            <w:tcW w:w="384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6"/>
              </w:rPr>
              <w:t>France</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InterXion Science Park B.V.</w:t>
            </w:r>
          </w:p>
        </w:tc>
        <w:tc>
          <w:tcPr>
            <w:tcW w:w="384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Telecom B.V.</w:t>
            </w:r>
          </w:p>
        </w:tc>
        <w:tc>
          <w:tcPr>
            <w:tcW w:w="384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InterXion Telecom Ltd.</w:t>
            </w:r>
          </w:p>
        </w:tc>
        <w:tc>
          <w:tcPr>
            <w:tcW w:w="3840" w:type="dxa"/>
            <w:vAlign w:val="bottom"/>
          </w:tcPr>
          <w:p>
            <w:pPr>
              <w:jc w:val="center"/>
              <w:ind w:left="1282"/>
              <w:spacing w:after="0"/>
              <w:rPr>
                <w:sz w:val="20"/>
                <w:szCs w:val="20"/>
                <w:color w:val="auto"/>
              </w:rPr>
            </w:pPr>
            <w:r>
              <w:rPr>
                <w:rFonts w:ascii="Times New Roman" w:cs="Times New Roman" w:eastAsia="Times New Roman" w:hAnsi="Times New Roman"/>
                <w:sz w:val="16"/>
                <w:szCs w:val="16"/>
                <w:color w:val="auto"/>
                <w:w w:val="97"/>
              </w:rPr>
              <w:t>United Kingdom (England and Wales)</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Telecom S.r.L.</w:t>
            </w:r>
          </w:p>
        </w:tc>
        <w:tc>
          <w:tcPr>
            <w:tcW w:w="3840" w:type="dxa"/>
            <w:vAlign w:val="bottom"/>
            <w:shd w:val="clear" w:color="auto" w:fill="CCEEFF"/>
          </w:tcPr>
          <w:p>
            <w:pPr>
              <w:jc w:val="center"/>
              <w:ind w:left="1282"/>
              <w:spacing w:after="0"/>
              <w:rPr>
                <w:sz w:val="20"/>
                <w:szCs w:val="20"/>
                <w:color w:val="auto"/>
              </w:rPr>
            </w:pPr>
            <w:r>
              <w:rPr>
                <w:rFonts w:ascii="Times New Roman" w:cs="Times New Roman" w:eastAsia="Times New Roman" w:hAnsi="Times New Roman"/>
                <w:sz w:val="16"/>
                <w:szCs w:val="16"/>
                <w:color w:val="auto"/>
                <w:w w:val="95"/>
              </w:rPr>
              <w:t>Italy</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InterXion Trademarks B.V.</w:t>
            </w:r>
          </w:p>
        </w:tc>
        <w:tc>
          <w:tcPr>
            <w:tcW w:w="384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Trading B.V.</w:t>
            </w:r>
          </w:p>
        </w:tc>
        <w:tc>
          <w:tcPr>
            <w:tcW w:w="384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Lemur Properties LLC</w:t>
            </w:r>
          </w:p>
        </w:tc>
        <w:tc>
          <w:tcPr>
            <w:tcW w:w="3840" w:type="dxa"/>
            <w:vAlign w:val="bottom"/>
          </w:tcPr>
          <w:p>
            <w:pPr>
              <w:jc w:val="center"/>
              <w:ind w:left="12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LHR1 Data Center Holdings Limited</w:t>
            </w:r>
          </w:p>
        </w:tc>
        <w:tc>
          <w:tcPr>
            <w:tcW w:w="3840" w:type="dxa"/>
            <w:vAlign w:val="bottom"/>
            <w:shd w:val="clear" w:color="auto" w:fill="CCEEFF"/>
          </w:tcPr>
          <w:p>
            <w:pPr>
              <w:jc w:val="center"/>
              <w:ind w:left="1282"/>
              <w:spacing w:after="0"/>
              <w:rPr>
                <w:sz w:val="20"/>
                <w:szCs w:val="20"/>
                <w:color w:val="auto"/>
              </w:rPr>
            </w:pPr>
            <w:r>
              <w:rPr>
                <w:rFonts w:ascii="Times New Roman" w:cs="Times New Roman" w:eastAsia="Times New Roman" w:hAnsi="Times New Roman"/>
                <w:sz w:val="16"/>
                <w:szCs w:val="16"/>
                <w:color w:val="auto"/>
                <w:w w:val="99"/>
              </w:rPr>
              <w:t>Jersey</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Loudoun Exchange Owners Association, Inc.</w:t>
            </w:r>
          </w:p>
        </w:tc>
        <w:tc>
          <w:tcPr>
            <w:tcW w:w="3840" w:type="dxa"/>
            <w:vAlign w:val="bottom"/>
          </w:tcPr>
          <w:p>
            <w:pPr>
              <w:jc w:val="center"/>
              <w:ind w:left="1282"/>
              <w:spacing w:after="0"/>
              <w:rPr>
                <w:sz w:val="20"/>
                <w:szCs w:val="20"/>
                <w:color w:val="auto"/>
              </w:rPr>
            </w:pPr>
            <w:r>
              <w:rPr>
                <w:rFonts w:ascii="Times New Roman" w:cs="Times New Roman" w:eastAsia="Times New Roman" w:hAnsi="Times New Roman"/>
                <w:sz w:val="16"/>
                <w:szCs w:val="16"/>
                <w:color w:val="auto"/>
                <w:w w:val="97"/>
              </w:rPr>
              <w:t>Virginia</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MC Digital Realty Inc.</w:t>
            </w:r>
          </w:p>
        </w:tc>
        <w:tc>
          <w:tcPr>
            <w:tcW w:w="384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3"/>
              </w:rPr>
              <w:t>Japan</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MDC TRS Company Limited</w:t>
            </w:r>
          </w:p>
        </w:tc>
        <w:tc>
          <w:tcPr>
            <w:tcW w:w="384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5"/>
              </w:rPr>
              <w:t>Nigeria</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Medallion Data Centres Limited</w:t>
            </w:r>
          </w:p>
        </w:tc>
        <w:tc>
          <w:tcPr>
            <w:tcW w:w="384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5"/>
              </w:rPr>
              <w:t>Nigeria</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Medallion Netherlands B.V.</w:t>
            </w:r>
          </w:p>
        </w:tc>
        <w:tc>
          <w:tcPr>
            <w:tcW w:w="384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Medicor d.o.o</w:t>
            </w:r>
          </w:p>
        </w:tc>
        <w:tc>
          <w:tcPr>
            <w:tcW w:w="384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7"/>
              </w:rPr>
              <w:t>Croatia</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Mercury Holdings SG Pte. Ltd.</w:t>
            </w:r>
          </w:p>
        </w:tc>
        <w:tc>
          <w:tcPr>
            <w:tcW w:w="384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5"/>
              </w:rPr>
              <w:t>Singapore</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Mercury India SG FDI Pte. Ltd.</w:t>
            </w:r>
          </w:p>
        </w:tc>
        <w:tc>
          <w:tcPr>
            <w:tcW w:w="384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5"/>
              </w:rPr>
              <w:t>Singapore</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Mercury India SG FPI Pte. Ltd.</w:t>
            </w:r>
          </w:p>
        </w:tc>
        <w:tc>
          <w:tcPr>
            <w:tcW w:w="384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5"/>
              </w:rPr>
              <w:t>Singapore</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Moose Ventures LP</w:t>
            </w:r>
          </w:p>
        </w:tc>
        <w:tc>
          <w:tcPr>
            <w:tcW w:w="3840" w:type="dxa"/>
            <w:vAlign w:val="bottom"/>
            <w:shd w:val="clear" w:color="auto" w:fill="CCEEFF"/>
          </w:tcPr>
          <w:p>
            <w:pPr>
              <w:jc w:val="center"/>
              <w:ind w:left="12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Moran Road Partners, LLC</w:t>
            </w:r>
          </w:p>
        </w:tc>
        <w:tc>
          <w:tcPr>
            <w:tcW w:w="3840" w:type="dxa"/>
            <w:vAlign w:val="bottom"/>
          </w:tcPr>
          <w:p>
            <w:pPr>
              <w:jc w:val="center"/>
              <w:ind w:left="12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NAP Africa Exchange Proprietary Limited</w:t>
            </w:r>
          </w:p>
        </w:tc>
        <w:tc>
          <w:tcPr>
            <w:tcW w:w="3840" w:type="dxa"/>
            <w:vAlign w:val="bottom"/>
            <w:shd w:val="clear" w:color="auto" w:fill="CCEEFF"/>
          </w:tcPr>
          <w:p>
            <w:pPr>
              <w:jc w:val="center"/>
              <w:ind w:left="1282"/>
              <w:spacing w:after="0"/>
              <w:rPr>
                <w:sz w:val="20"/>
                <w:szCs w:val="20"/>
                <w:color w:val="auto"/>
              </w:rPr>
            </w:pPr>
            <w:r>
              <w:rPr>
                <w:rFonts w:ascii="Times New Roman" w:cs="Times New Roman" w:eastAsia="Times New Roman" w:hAnsi="Times New Roman"/>
                <w:sz w:val="16"/>
                <w:szCs w:val="16"/>
                <w:color w:val="auto"/>
                <w:w w:val="97"/>
              </w:rPr>
              <w:t>South Africa</w:t>
            </w:r>
          </w:p>
        </w:tc>
        <w:tc>
          <w:tcPr>
            <w:tcW w:w="40" w:type="dxa"/>
            <w:vAlign w:val="bottom"/>
            <w:shd w:val="clear" w:color="auto" w:fill="CCEEFF"/>
          </w:tcPr>
          <w:p>
            <w:pPr>
              <w:spacing w:after="0"/>
              <w:rPr>
                <w:sz w:val="16"/>
                <w:szCs w:val="16"/>
                <w:color w:val="auto"/>
              </w:rPr>
            </w:pPr>
          </w:p>
        </w:tc>
      </w:tr>
      <w:tr>
        <w:trPr>
          <w:trHeight w:val="203"/>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Nova DC Fee Owner GP, LLC</w:t>
            </w:r>
          </w:p>
        </w:tc>
        <w:tc>
          <w:tcPr>
            <w:tcW w:w="3840" w:type="dxa"/>
            <w:vAlign w:val="bottom"/>
          </w:tcPr>
          <w:p>
            <w:pPr>
              <w:jc w:val="center"/>
              <w:ind w:left="12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7"/>
                <w:szCs w:val="17"/>
                <w:color w:val="auto"/>
              </w:rPr>
            </w:pPr>
          </w:p>
        </w:tc>
      </w:tr>
      <w:tr>
        <w:trPr>
          <w:trHeight w:val="473"/>
        </w:trPr>
        <w:tc>
          <w:tcPr>
            <w:tcW w:w="42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40" w:orient="portrait"/>
          <w:cols w:equalWidth="0" w:num="1">
            <w:col w:w="9020"/>
          </w:cols>
          <w:pgMar w:left="1440" w:top="555" w:right="1440" w:bottom="1440" w:gutter="0" w:footer="0" w:header="0"/>
        </w:sectPr>
      </w:pPr>
    </w:p>
    <w:bookmarkStart w:id="547" w:name="page548"/>
    <w:bookmarkEnd w:id="547"/>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Exhibit 21.2</w:t>
      </w:r>
    </w:p>
    <w:p>
      <w:pPr>
        <w:spacing w:after="0" w:line="16" w:lineRule="exact"/>
        <w:rPr>
          <w:sz w:val="20"/>
          <w:szCs w:val="20"/>
          <w:color w:val="auto"/>
        </w:rPr>
      </w:pPr>
    </w:p>
    <w:tbl>
      <w:tblPr>
        <w:tblLayout w:type="fixed"/>
        <w:tblInd w:w="460" w:type="dxa"/>
        <w:tblCellMar>
          <w:top w:w="0" w:type="dxa"/>
          <w:left w:w="0" w:type="dxa"/>
          <w:bottom w:w="0" w:type="dxa"/>
          <w:right w:w="0" w:type="dxa"/>
        </w:tblCellMar>
      </w:tblPr>
      <w:tr>
        <w:trPr>
          <w:trHeight w:val="205"/>
        </w:trPr>
        <w:tc>
          <w:tcPr>
            <w:tcW w:w="5900" w:type="dxa"/>
            <w:vAlign w:val="bottom"/>
          </w:tcPr>
          <w:p>
            <w:pPr>
              <w:ind w:left="2460"/>
              <w:spacing w:after="0"/>
              <w:rPr>
                <w:sz w:val="20"/>
                <w:szCs w:val="20"/>
                <w:color w:val="auto"/>
              </w:rPr>
            </w:pPr>
            <w:r>
              <w:rPr>
                <w:rFonts w:ascii="Times New Roman" w:cs="Times New Roman" w:eastAsia="Times New Roman" w:hAnsi="Times New Roman"/>
                <w:sz w:val="16"/>
                <w:szCs w:val="16"/>
                <w:b w:val="1"/>
                <w:bCs w:val="1"/>
                <w:color w:val="auto"/>
              </w:rPr>
              <w:t>List of Subsidiaries of Digital Realty Trust, L.P.</w:t>
            </w:r>
          </w:p>
        </w:tc>
        <w:tc>
          <w:tcPr>
            <w:tcW w:w="21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86"/>
        </w:trPr>
        <w:tc>
          <w:tcPr>
            <w:tcW w:w="59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Nova DC Fee Owner, L.P.</w:t>
            </w:r>
          </w:p>
        </w:tc>
        <w:tc>
          <w:tcPr>
            <w:tcW w:w="2160" w:type="dxa"/>
            <w:vAlign w:val="bottom"/>
            <w:shd w:val="clear" w:color="auto" w:fill="CCEEFF"/>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Nova DC Funding , L.P.</w:t>
            </w:r>
          </w:p>
        </w:tc>
        <w:tc>
          <w:tcPr>
            <w:tcW w:w="216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Nova DC Funding GP, LLC</w:t>
            </w:r>
          </w:p>
        </w:tc>
        <w:tc>
          <w:tcPr>
            <w:tcW w:w="2160" w:type="dxa"/>
            <w:vAlign w:val="bottom"/>
            <w:shd w:val="clear" w:color="auto" w:fill="CCEEFF"/>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Nova DC Holdings GP LLC</w:t>
            </w:r>
          </w:p>
        </w:tc>
        <w:tc>
          <w:tcPr>
            <w:tcW w:w="216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Nova DC Holdings, L.P.</w:t>
            </w:r>
          </w:p>
        </w:tc>
        <w:tc>
          <w:tcPr>
            <w:tcW w:w="2160" w:type="dxa"/>
            <w:vAlign w:val="bottom"/>
            <w:shd w:val="clear" w:color="auto" w:fill="CCEEFF"/>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Nova DC Mezz Owner GP, LLC</w:t>
            </w:r>
          </w:p>
        </w:tc>
        <w:tc>
          <w:tcPr>
            <w:tcW w:w="216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Nova DC Mezz Owner, L.P.</w:t>
            </w:r>
          </w:p>
        </w:tc>
        <w:tc>
          <w:tcPr>
            <w:tcW w:w="2160" w:type="dxa"/>
            <w:vAlign w:val="bottom"/>
            <w:shd w:val="clear" w:color="auto" w:fill="CCEEFF"/>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Nova DC TRS, L.L.C.</w:t>
            </w:r>
          </w:p>
        </w:tc>
        <w:tc>
          <w:tcPr>
            <w:tcW w:w="216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Nova DC Ventures, L.P.</w:t>
            </w:r>
          </w:p>
        </w:tc>
        <w:tc>
          <w:tcPr>
            <w:tcW w:w="2160" w:type="dxa"/>
            <w:vAlign w:val="bottom"/>
            <w:shd w:val="clear" w:color="auto" w:fill="CCEEFF"/>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Penguins OP Sub 2, LLC</w:t>
            </w:r>
          </w:p>
        </w:tc>
        <w:tc>
          <w:tcPr>
            <w:tcW w:w="2160" w:type="dxa"/>
            <w:vAlign w:val="bottom"/>
          </w:tcPr>
          <w:p>
            <w:pPr>
              <w:jc w:val="center"/>
              <w:ind w:right="262"/>
              <w:spacing w:after="0"/>
              <w:rPr>
                <w:sz w:val="20"/>
                <w:szCs w:val="20"/>
                <w:color w:val="auto"/>
              </w:rPr>
            </w:pPr>
            <w:r>
              <w:rPr>
                <w:rFonts w:ascii="Times New Roman" w:cs="Times New Roman" w:eastAsia="Times New Roman" w:hAnsi="Times New Roman"/>
                <w:sz w:val="16"/>
                <w:szCs w:val="16"/>
                <w:color w:val="auto"/>
                <w:w w:val="99"/>
              </w:rPr>
              <w:t>Maryland</w:t>
            </w:r>
          </w:p>
        </w:tc>
        <w:tc>
          <w:tcPr>
            <w:tcW w:w="40" w:type="dxa"/>
            <w:vAlign w:val="bottom"/>
          </w:tcPr>
          <w:p>
            <w:pPr>
              <w:spacing w:after="0"/>
              <w:rPr>
                <w:sz w:val="16"/>
                <w:szCs w:val="16"/>
                <w:color w:val="auto"/>
              </w:rPr>
            </w:pPr>
          </w:p>
        </w:tc>
      </w:tr>
      <w:tr>
        <w:trPr>
          <w:trHeight w:val="19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Porpoise Ventures LLC</w:t>
            </w:r>
          </w:p>
        </w:tc>
        <w:tc>
          <w:tcPr>
            <w:tcW w:w="2160" w:type="dxa"/>
            <w:vAlign w:val="bottom"/>
            <w:shd w:val="clear" w:color="auto" w:fill="CCEEFF"/>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PT Digital Jakarta One</w:t>
            </w:r>
          </w:p>
        </w:tc>
        <w:tc>
          <w:tcPr>
            <w:tcW w:w="2160" w:type="dxa"/>
            <w:vAlign w:val="bottom"/>
          </w:tcPr>
          <w:p>
            <w:pPr>
              <w:jc w:val="center"/>
              <w:ind w:right="262"/>
              <w:spacing w:after="0"/>
              <w:rPr>
                <w:sz w:val="20"/>
                <w:szCs w:val="20"/>
                <w:color w:val="auto"/>
              </w:rPr>
            </w:pPr>
            <w:r>
              <w:rPr>
                <w:rFonts w:ascii="Times New Roman" w:cs="Times New Roman" w:eastAsia="Times New Roman" w:hAnsi="Times New Roman"/>
                <w:sz w:val="16"/>
                <w:szCs w:val="16"/>
                <w:color w:val="auto"/>
                <w:w w:val="99"/>
              </w:rPr>
              <w:t>Indonesia</w:t>
            </w:r>
          </w:p>
        </w:tc>
        <w:tc>
          <w:tcPr>
            <w:tcW w:w="40" w:type="dxa"/>
            <w:vAlign w:val="bottom"/>
          </w:tcPr>
          <w:p>
            <w:pPr>
              <w:spacing w:after="0"/>
              <w:rPr>
                <w:sz w:val="16"/>
                <w:szCs w:val="16"/>
                <w:color w:val="auto"/>
              </w:rPr>
            </w:pPr>
          </w:p>
        </w:tc>
      </w:tr>
      <w:tr>
        <w:trPr>
          <w:trHeight w:val="19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PT Digital Realty Indonesia</w:t>
            </w:r>
          </w:p>
        </w:tc>
        <w:tc>
          <w:tcPr>
            <w:tcW w:w="2160" w:type="dxa"/>
            <w:vAlign w:val="bottom"/>
            <w:shd w:val="clear" w:color="auto" w:fill="CCEEFF"/>
          </w:tcPr>
          <w:p>
            <w:pPr>
              <w:jc w:val="center"/>
              <w:ind w:right="262"/>
              <w:spacing w:after="0"/>
              <w:rPr>
                <w:sz w:val="20"/>
                <w:szCs w:val="20"/>
                <w:color w:val="auto"/>
              </w:rPr>
            </w:pPr>
            <w:r>
              <w:rPr>
                <w:rFonts w:ascii="Times New Roman" w:cs="Times New Roman" w:eastAsia="Times New Roman" w:hAnsi="Times New Roman"/>
                <w:sz w:val="16"/>
                <w:szCs w:val="16"/>
                <w:color w:val="auto"/>
                <w:w w:val="99"/>
              </w:rPr>
              <w:t>Indonesia</w:t>
            </w:r>
          </w:p>
        </w:tc>
        <w:tc>
          <w:tcPr>
            <w:tcW w:w="40" w:type="dxa"/>
            <w:vAlign w:val="bottom"/>
            <w:shd w:val="clear" w:color="auto" w:fill="CCEEFF"/>
          </w:tcPr>
          <w:p>
            <w:pPr>
              <w:spacing w:after="0"/>
              <w:rPr>
                <w:sz w:val="16"/>
                <w:szCs w:val="16"/>
                <w:color w:val="auto"/>
              </w:rPr>
            </w:pP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PT DLR Indonesia Venture</w:t>
            </w:r>
          </w:p>
        </w:tc>
        <w:tc>
          <w:tcPr>
            <w:tcW w:w="2160" w:type="dxa"/>
            <w:vAlign w:val="bottom"/>
          </w:tcPr>
          <w:p>
            <w:pPr>
              <w:jc w:val="center"/>
              <w:ind w:right="262"/>
              <w:spacing w:after="0"/>
              <w:rPr>
                <w:sz w:val="20"/>
                <w:szCs w:val="20"/>
                <w:color w:val="auto"/>
              </w:rPr>
            </w:pPr>
            <w:r>
              <w:rPr>
                <w:rFonts w:ascii="Times New Roman" w:cs="Times New Roman" w:eastAsia="Times New Roman" w:hAnsi="Times New Roman"/>
                <w:sz w:val="16"/>
                <w:szCs w:val="16"/>
                <w:color w:val="auto"/>
                <w:w w:val="99"/>
              </w:rPr>
              <w:t>Indonesia</w:t>
            </w:r>
          </w:p>
        </w:tc>
        <w:tc>
          <w:tcPr>
            <w:tcW w:w="40" w:type="dxa"/>
            <w:vAlign w:val="bottom"/>
          </w:tcPr>
          <w:p>
            <w:pPr>
              <w:spacing w:after="0"/>
              <w:rPr>
                <w:sz w:val="16"/>
                <w:szCs w:val="16"/>
                <w:color w:val="auto"/>
              </w:rPr>
            </w:pPr>
          </w:p>
        </w:tc>
      </w:tr>
      <w:tr>
        <w:trPr>
          <w:trHeight w:val="19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Quill Equity LLC</w:t>
            </w:r>
          </w:p>
        </w:tc>
        <w:tc>
          <w:tcPr>
            <w:tcW w:w="2160" w:type="dxa"/>
            <w:vAlign w:val="bottom"/>
            <w:shd w:val="clear" w:color="auto" w:fill="CCEEFF"/>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RNZ 5027, LLC</w:t>
            </w:r>
          </w:p>
        </w:tc>
        <w:tc>
          <w:tcPr>
            <w:tcW w:w="216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Sentrum Holdings Limited</w:t>
            </w:r>
          </w:p>
        </w:tc>
        <w:tc>
          <w:tcPr>
            <w:tcW w:w="2160" w:type="dxa"/>
            <w:vAlign w:val="bottom"/>
            <w:shd w:val="clear" w:color="auto" w:fill="CCEEFF"/>
          </w:tcPr>
          <w:p>
            <w:pPr>
              <w:jc w:val="center"/>
              <w:ind w:right="242"/>
              <w:spacing w:after="0"/>
              <w:rPr>
                <w:sz w:val="20"/>
                <w:szCs w:val="20"/>
                <w:color w:val="auto"/>
              </w:rPr>
            </w:pPr>
            <w:r>
              <w:rPr>
                <w:rFonts w:ascii="Times New Roman" w:cs="Times New Roman" w:eastAsia="Times New Roman" w:hAnsi="Times New Roman"/>
                <w:sz w:val="16"/>
                <w:szCs w:val="16"/>
                <w:color w:val="auto"/>
                <w:w w:val="98"/>
              </w:rPr>
              <w:t>British Virgin Islands</w:t>
            </w:r>
          </w:p>
        </w:tc>
        <w:tc>
          <w:tcPr>
            <w:tcW w:w="40" w:type="dxa"/>
            <w:vAlign w:val="bottom"/>
            <w:shd w:val="clear" w:color="auto" w:fill="CCEEFF"/>
          </w:tcPr>
          <w:p>
            <w:pPr>
              <w:spacing w:after="0"/>
              <w:rPr>
                <w:sz w:val="16"/>
                <w:szCs w:val="16"/>
                <w:color w:val="auto"/>
              </w:rPr>
            </w:pP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Sentrum IV Limited</w:t>
            </w:r>
          </w:p>
        </w:tc>
        <w:tc>
          <w:tcPr>
            <w:tcW w:w="216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8"/>
              </w:rPr>
              <w:t>British Virgin Islands</w:t>
            </w:r>
          </w:p>
        </w:tc>
        <w:tc>
          <w:tcPr>
            <w:tcW w:w="40" w:type="dxa"/>
            <w:vAlign w:val="bottom"/>
          </w:tcPr>
          <w:p>
            <w:pPr>
              <w:spacing w:after="0"/>
              <w:rPr>
                <w:sz w:val="16"/>
                <w:szCs w:val="16"/>
                <w:color w:val="auto"/>
              </w:rPr>
            </w:pPr>
          </w:p>
        </w:tc>
      </w:tr>
      <w:tr>
        <w:trPr>
          <w:trHeight w:val="19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Sixth &amp; Virginia Holdings, LLC</w:t>
            </w:r>
          </w:p>
        </w:tc>
        <w:tc>
          <w:tcPr>
            <w:tcW w:w="2160" w:type="dxa"/>
            <w:vAlign w:val="bottom"/>
            <w:shd w:val="clear" w:color="auto" w:fill="CCEEFF"/>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Sixth &amp; Virginia Properties</w:t>
            </w:r>
          </w:p>
        </w:tc>
        <w:tc>
          <w:tcPr>
            <w:tcW w:w="2160" w:type="dxa"/>
            <w:vAlign w:val="bottom"/>
          </w:tcPr>
          <w:p>
            <w:pPr>
              <w:jc w:val="center"/>
              <w:ind w:right="262"/>
              <w:spacing w:after="0"/>
              <w:rPr>
                <w:sz w:val="20"/>
                <w:szCs w:val="20"/>
                <w:color w:val="auto"/>
              </w:rPr>
            </w:pPr>
            <w:r>
              <w:rPr>
                <w:rFonts w:ascii="Times New Roman" w:cs="Times New Roman" w:eastAsia="Times New Roman" w:hAnsi="Times New Roman"/>
                <w:sz w:val="16"/>
                <w:szCs w:val="16"/>
                <w:color w:val="auto"/>
                <w:w w:val="95"/>
              </w:rPr>
              <w:t>Washington</w:t>
            </w:r>
          </w:p>
        </w:tc>
        <w:tc>
          <w:tcPr>
            <w:tcW w:w="40" w:type="dxa"/>
            <w:vAlign w:val="bottom"/>
          </w:tcPr>
          <w:p>
            <w:pPr>
              <w:spacing w:after="0"/>
              <w:rPr>
                <w:sz w:val="16"/>
                <w:szCs w:val="16"/>
                <w:color w:val="auto"/>
              </w:rPr>
            </w:pPr>
          </w:p>
        </w:tc>
      </w:tr>
      <w:tr>
        <w:trPr>
          <w:trHeight w:val="19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Sovereign House Jersey Limited</w:t>
            </w:r>
          </w:p>
        </w:tc>
        <w:tc>
          <w:tcPr>
            <w:tcW w:w="2160" w:type="dxa"/>
            <w:vAlign w:val="bottom"/>
            <w:shd w:val="clear" w:color="auto" w:fill="CCEEFF"/>
          </w:tcPr>
          <w:p>
            <w:pPr>
              <w:jc w:val="center"/>
              <w:ind w:right="242"/>
              <w:spacing w:after="0"/>
              <w:rPr>
                <w:sz w:val="20"/>
                <w:szCs w:val="20"/>
                <w:color w:val="auto"/>
              </w:rPr>
            </w:pPr>
            <w:r>
              <w:rPr>
                <w:rFonts w:ascii="Times New Roman" w:cs="Times New Roman" w:eastAsia="Times New Roman" w:hAnsi="Times New Roman"/>
                <w:sz w:val="16"/>
                <w:szCs w:val="16"/>
                <w:color w:val="auto"/>
                <w:w w:val="99"/>
              </w:rPr>
              <w:t>Jersey</w:t>
            </w:r>
          </w:p>
        </w:tc>
        <w:tc>
          <w:tcPr>
            <w:tcW w:w="40" w:type="dxa"/>
            <w:vAlign w:val="bottom"/>
            <w:shd w:val="clear" w:color="auto" w:fill="CCEEFF"/>
          </w:tcPr>
          <w:p>
            <w:pPr>
              <w:spacing w:after="0"/>
              <w:rPr>
                <w:sz w:val="16"/>
                <w:szCs w:val="16"/>
                <w:color w:val="auto"/>
              </w:rPr>
            </w:pP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Spring Investco 2014 (RF) Proprietary Limited</w:t>
            </w:r>
          </w:p>
        </w:tc>
        <w:tc>
          <w:tcPr>
            <w:tcW w:w="216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7"/>
              </w:rPr>
              <w:t>South Africa</w:t>
            </w:r>
          </w:p>
        </w:tc>
        <w:tc>
          <w:tcPr>
            <w:tcW w:w="40" w:type="dxa"/>
            <w:vAlign w:val="bottom"/>
          </w:tcPr>
          <w:p>
            <w:pPr>
              <w:spacing w:after="0"/>
              <w:rPr>
                <w:sz w:val="16"/>
                <w:szCs w:val="16"/>
                <w:color w:val="auto"/>
              </w:rPr>
            </w:pPr>
          </w:p>
        </w:tc>
      </w:tr>
      <w:tr>
        <w:trPr>
          <w:trHeight w:val="19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Stellar Canada Holding, LLC</w:t>
            </w:r>
          </w:p>
        </w:tc>
        <w:tc>
          <w:tcPr>
            <w:tcW w:w="2160" w:type="dxa"/>
            <w:vAlign w:val="bottom"/>
            <w:shd w:val="clear" w:color="auto" w:fill="CCEEFF"/>
          </w:tcPr>
          <w:p>
            <w:pPr>
              <w:jc w:val="center"/>
              <w:ind w:right="262"/>
              <w:spacing w:after="0"/>
              <w:rPr>
                <w:sz w:val="20"/>
                <w:szCs w:val="20"/>
                <w:color w:val="auto"/>
              </w:rPr>
            </w:pPr>
            <w:r>
              <w:rPr>
                <w:rFonts w:ascii="Times New Roman" w:cs="Times New Roman" w:eastAsia="Times New Roman" w:hAnsi="Times New Roman"/>
                <w:sz w:val="16"/>
                <w:szCs w:val="16"/>
                <w:color w:val="auto"/>
                <w:w w:val="99"/>
              </w:rPr>
              <w:t>Maryland</w:t>
            </w:r>
          </w:p>
        </w:tc>
        <w:tc>
          <w:tcPr>
            <w:tcW w:w="40" w:type="dxa"/>
            <w:vAlign w:val="bottom"/>
            <w:shd w:val="clear" w:color="auto" w:fill="CCEEFF"/>
          </w:tcPr>
          <w:p>
            <w:pPr>
              <w:spacing w:after="0"/>
              <w:rPr>
                <w:sz w:val="16"/>
                <w:szCs w:val="16"/>
                <w:color w:val="auto"/>
              </w:rPr>
            </w:pP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Stellar JV GP, LLC</w:t>
            </w:r>
          </w:p>
        </w:tc>
        <w:tc>
          <w:tcPr>
            <w:tcW w:w="216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Stellar JV, LP</w:t>
            </w:r>
          </w:p>
        </w:tc>
        <w:tc>
          <w:tcPr>
            <w:tcW w:w="2160" w:type="dxa"/>
            <w:vAlign w:val="bottom"/>
            <w:shd w:val="clear" w:color="auto" w:fill="CCEEFF"/>
          </w:tcPr>
          <w:p>
            <w:pPr>
              <w:jc w:val="center"/>
              <w:ind w:right="242"/>
              <w:spacing w:after="0"/>
              <w:rPr>
                <w:sz w:val="20"/>
                <w:szCs w:val="20"/>
                <w:color w:val="auto"/>
              </w:rPr>
            </w:pPr>
            <w:r>
              <w:rPr>
                <w:rFonts w:ascii="Times New Roman" w:cs="Times New Roman" w:eastAsia="Times New Roman" w:hAnsi="Times New Roman"/>
                <w:sz w:val="16"/>
                <w:szCs w:val="16"/>
                <w:color w:val="auto"/>
                <w:w w:val="98"/>
              </w:rPr>
              <w:t>Ontario</w:t>
            </w:r>
          </w:p>
        </w:tc>
        <w:tc>
          <w:tcPr>
            <w:tcW w:w="40" w:type="dxa"/>
            <w:vAlign w:val="bottom"/>
            <w:shd w:val="clear" w:color="auto" w:fill="CCEEFF"/>
          </w:tcPr>
          <w:p>
            <w:pPr>
              <w:spacing w:after="0"/>
              <w:rPr>
                <w:sz w:val="16"/>
                <w:szCs w:val="16"/>
                <w:color w:val="auto"/>
              </w:rPr>
            </w:pP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Storm ICT Outsourcing S.A.</w:t>
            </w:r>
          </w:p>
        </w:tc>
        <w:tc>
          <w:tcPr>
            <w:tcW w:w="216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7"/>
              </w:rPr>
              <w:t>Greece</w:t>
            </w:r>
          </w:p>
        </w:tc>
        <w:tc>
          <w:tcPr>
            <w:tcW w:w="40" w:type="dxa"/>
            <w:vAlign w:val="bottom"/>
          </w:tcPr>
          <w:p>
            <w:pPr>
              <w:spacing w:after="0"/>
              <w:rPr>
                <w:sz w:val="16"/>
                <w:szCs w:val="16"/>
                <w:color w:val="auto"/>
              </w:rPr>
            </w:pPr>
          </w:p>
        </w:tc>
      </w:tr>
      <w:tr>
        <w:trPr>
          <w:trHeight w:val="19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Tarantula Ventures LLC</w:t>
            </w:r>
          </w:p>
        </w:tc>
        <w:tc>
          <w:tcPr>
            <w:tcW w:w="2160" w:type="dxa"/>
            <w:vAlign w:val="bottom"/>
            <w:shd w:val="clear" w:color="auto" w:fill="CCEEFF"/>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TDE Investments Proprietary Limited</w:t>
            </w:r>
          </w:p>
        </w:tc>
        <w:tc>
          <w:tcPr>
            <w:tcW w:w="216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7"/>
              </w:rPr>
              <w:t>South Africa</w:t>
            </w:r>
          </w:p>
        </w:tc>
        <w:tc>
          <w:tcPr>
            <w:tcW w:w="40" w:type="dxa"/>
            <w:vAlign w:val="bottom"/>
          </w:tcPr>
          <w:p>
            <w:pPr>
              <w:spacing w:after="0"/>
              <w:rPr>
                <w:sz w:val="16"/>
                <w:szCs w:val="16"/>
                <w:color w:val="auto"/>
              </w:rPr>
            </w:pPr>
          </w:p>
        </w:tc>
      </w:tr>
      <w:tr>
        <w:trPr>
          <w:trHeight w:val="19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Technologies Company LLC</w:t>
            </w:r>
          </w:p>
        </w:tc>
        <w:tc>
          <w:tcPr>
            <w:tcW w:w="2160" w:type="dxa"/>
            <w:vAlign w:val="bottom"/>
            <w:shd w:val="clear" w:color="auto" w:fill="CCEEFF"/>
          </w:tcPr>
          <w:p>
            <w:pPr>
              <w:jc w:val="center"/>
              <w:ind w:right="262"/>
              <w:spacing w:after="0"/>
              <w:rPr>
                <w:sz w:val="20"/>
                <w:szCs w:val="20"/>
                <w:color w:val="auto"/>
              </w:rPr>
            </w:pPr>
            <w:r>
              <w:rPr>
                <w:rFonts w:ascii="Times New Roman" w:cs="Times New Roman" w:eastAsia="Times New Roman" w:hAnsi="Times New Roman"/>
                <w:sz w:val="16"/>
                <w:szCs w:val="16"/>
                <w:color w:val="auto"/>
                <w:w w:val="95"/>
              </w:rPr>
              <w:t>Washington</w:t>
            </w:r>
          </w:p>
        </w:tc>
        <w:tc>
          <w:tcPr>
            <w:tcW w:w="40" w:type="dxa"/>
            <w:vAlign w:val="bottom"/>
            <w:shd w:val="clear" w:color="auto" w:fill="CCEEFF"/>
          </w:tcPr>
          <w:p>
            <w:pPr>
              <w:spacing w:after="0"/>
              <w:rPr>
                <w:sz w:val="16"/>
                <w:szCs w:val="16"/>
                <w:color w:val="auto"/>
              </w:rPr>
            </w:pP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Telx - Charlotte, LLC</w:t>
            </w:r>
          </w:p>
        </w:tc>
        <w:tc>
          <w:tcPr>
            <w:tcW w:w="216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Telx - Chicago Federal, LLC</w:t>
            </w:r>
          </w:p>
        </w:tc>
        <w:tc>
          <w:tcPr>
            <w:tcW w:w="2160" w:type="dxa"/>
            <w:vAlign w:val="bottom"/>
            <w:shd w:val="clear" w:color="auto" w:fill="CCEEFF"/>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Telx - Chicago Lakeside, LLC</w:t>
            </w:r>
          </w:p>
        </w:tc>
        <w:tc>
          <w:tcPr>
            <w:tcW w:w="216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Telx - Clifton, LLC</w:t>
            </w:r>
          </w:p>
        </w:tc>
        <w:tc>
          <w:tcPr>
            <w:tcW w:w="2160" w:type="dxa"/>
            <w:vAlign w:val="bottom"/>
            <w:shd w:val="clear" w:color="auto" w:fill="CCEEFF"/>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Telx - Clifton-I, LLC</w:t>
            </w:r>
          </w:p>
        </w:tc>
        <w:tc>
          <w:tcPr>
            <w:tcW w:w="216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Telx - Dallas, LLC</w:t>
            </w:r>
          </w:p>
        </w:tc>
        <w:tc>
          <w:tcPr>
            <w:tcW w:w="2160" w:type="dxa"/>
            <w:vAlign w:val="bottom"/>
            <w:shd w:val="clear" w:color="auto" w:fill="CCEEFF"/>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Telx - Los Angeles, LLC</w:t>
            </w:r>
          </w:p>
        </w:tc>
        <w:tc>
          <w:tcPr>
            <w:tcW w:w="216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Telx - Miami, LLC</w:t>
            </w:r>
          </w:p>
        </w:tc>
        <w:tc>
          <w:tcPr>
            <w:tcW w:w="2160" w:type="dxa"/>
            <w:vAlign w:val="bottom"/>
            <w:shd w:val="clear" w:color="auto" w:fill="CCEEFF"/>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Telx - New York 6th Ave LLC</w:t>
            </w:r>
          </w:p>
        </w:tc>
        <w:tc>
          <w:tcPr>
            <w:tcW w:w="216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telx - New York, LLC</w:t>
            </w:r>
          </w:p>
        </w:tc>
        <w:tc>
          <w:tcPr>
            <w:tcW w:w="2160" w:type="dxa"/>
            <w:vAlign w:val="bottom"/>
            <w:shd w:val="clear" w:color="auto" w:fill="CCEEFF"/>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Telx - Phoenix, LLC</w:t>
            </w:r>
          </w:p>
        </w:tc>
        <w:tc>
          <w:tcPr>
            <w:tcW w:w="216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Telx - Portland, LLC</w:t>
            </w:r>
          </w:p>
        </w:tc>
        <w:tc>
          <w:tcPr>
            <w:tcW w:w="2160" w:type="dxa"/>
            <w:vAlign w:val="bottom"/>
            <w:shd w:val="clear" w:color="auto" w:fill="CCEEFF"/>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Telx - San Francisco, LLC</w:t>
            </w:r>
          </w:p>
        </w:tc>
        <w:tc>
          <w:tcPr>
            <w:tcW w:w="216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Telx - Santa Clara, LLC</w:t>
            </w:r>
          </w:p>
        </w:tc>
        <w:tc>
          <w:tcPr>
            <w:tcW w:w="2160" w:type="dxa"/>
            <w:vAlign w:val="bottom"/>
            <w:shd w:val="clear" w:color="auto" w:fill="CCEEFF"/>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Telx - Weehawken, LLC</w:t>
            </w:r>
          </w:p>
        </w:tc>
        <w:tc>
          <w:tcPr>
            <w:tcW w:w="216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Telx Ashburn, LLC</w:t>
            </w:r>
          </w:p>
        </w:tc>
        <w:tc>
          <w:tcPr>
            <w:tcW w:w="2160" w:type="dxa"/>
            <w:vAlign w:val="bottom"/>
            <w:shd w:val="clear" w:color="auto" w:fill="CCEEFF"/>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Telx Atlanta 2, LLC</w:t>
            </w:r>
          </w:p>
        </w:tc>
        <w:tc>
          <w:tcPr>
            <w:tcW w:w="216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Telx Boston, LLC</w:t>
            </w:r>
          </w:p>
        </w:tc>
        <w:tc>
          <w:tcPr>
            <w:tcW w:w="2160" w:type="dxa"/>
            <w:vAlign w:val="bottom"/>
            <w:shd w:val="clear" w:color="auto" w:fill="CCEEFF"/>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Telx Grand Avenue, LLC</w:t>
            </w:r>
          </w:p>
        </w:tc>
        <w:tc>
          <w:tcPr>
            <w:tcW w:w="216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Telx New York 111 8th, LLC</w:t>
            </w:r>
          </w:p>
        </w:tc>
        <w:tc>
          <w:tcPr>
            <w:tcW w:w="2160" w:type="dxa"/>
            <w:vAlign w:val="bottom"/>
            <w:shd w:val="clear" w:color="auto" w:fill="CCEEFF"/>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484"/>
        </w:trPr>
        <w:tc>
          <w:tcPr>
            <w:tcW w:w="59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40" w:orient="portrait"/>
          <w:cols w:equalWidth="0" w:num="1">
            <w:col w:w="9020"/>
          </w:cols>
          <w:pgMar w:left="1440" w:top="555" w:right="1440" w:bottom="1440" w:gutter="0" w:footer="0" w:header="0"/>
        </w:sectPr>
      </w:pPr>
    </w:p>
    <w:bookmarkStart w:id="548" w:name="page549"/>
    <w:bookmarkEnd w:id="548"/>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Exhibit 21.2</w:t>
      </w:r>
    </w:p>
    <w:p>
      <w:pPr>
        <w:spacing w:after="0" w:line="16" w:lineRule="exact"/>
        <w:rPr>
          <w:sz w:val="20"/>
          <w:szCs w:val="20"/>
          <w:color w:val="auto"/>
        </w:rPr>
      </w:pPr>
    </w:p>
    <w:tbl>
      <w:tblPr>
        <w:tblLayout w:type="fixed"/>
        <w:tblInd w:w="460" w:type="dxa"/>
        <w:tblCellMar>
          <w:top w:w="0" w:type="dxa"/>
          <w:left w:w="0" w:type="dxa"/>
          <w:bottom w:w="0" w:type="dxa"/>
          <w:right w:w="0" w:type="dxa"/>
        </w:tblCellMar>
      </w:tblPr>
      <w:tr>
        <w:trPr>
          <w:trHeight w:val="205"/>
        </w:trPr>
        <w:tc>
          <w:tcPr>
            <w:tcW w:w="6000" w:type="dxa"/>
            <w:vAlign w:val="bottom"/>
          </w:tcPr>
          <w:p>
            <w:pPr>
              <w:ind w:left="2460"/>
              <w:spacing w:after="0"/>
              <w:rPr>
                <w:sz w:val="20"/>
                <w:szCs w:val="20"/>
                <w:color w:val="auto"/>
              </w:rPr>
            </w:pPr>
            <w:r>
              <w:rPr>
                <w:rFonts w:ascii="Times New Roman" w:cs="Times New Roman" w:eastAsia="Times New Roman" w:hAnsi="Times New Roman"/>
                <w:sz w:val="16"/>
                <w:szCs w:val="16"/>
                <w:b w:val="1"/>
                <w:bCs w:val="1"/>
                <w:color w:val="auto"/>
              </w:rPr>
              <w:t>List of Subsidiaries of Digital Realty Trust, L.P.</w:t>
            </w:r>
          </w:p>
        </w:tc>
        <w:tc>
          <w:tcPr>
            <w:tcW w:w="20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77"/>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Telx Real Estate Holdings, LLC</w:t>
            </w:r>
          </w:p>
        </w:tc>
        <w:tc>
          <w:tcPr>
            <w:tcW w:w="2060" w:type="dxa"/>
            <w:vAlign w:val="bottom"/>
          </w:tcPr>
          <w:p>
            <w:pPr>
              <w:jc w:val="center"/>
              <w:ind w:right="3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24"/>
                <w:szCs w:val="24"/>
                <w:color w:val="auto"/>
              </w:rPr>
            </w:pPr>
          </w:p>
        </w:tc>
      </w:tr>
      <w:tr>
        <w:trPr>
          <w:trHeight w:val="19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Telx Richardson, LLC</w:t>
            </w:r>
          </w:p>
        </w:tc>
        <w:tc>
          <w:tcPr>
            <w:tcW w:w="2060" w:type="dxa"/>
            <w:vAlign w:val="bottom"/>
            <w:shd w:val="clear" w:color="auto" w:fill="CCEEFF"/>
          </w:tcPr>
          <w:p>
            <w:pPr>
              <w:jc w:val="center"/>
              <w:ind w:right="3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Telx, LLC</w:t>
            </w:r>
          </w:p>
        </w:tc>
        <w:tc>
          <w:tcPr>
            <w:tcW w:w="2060" w:type="dxa"/>
            <w:vAlign w:val="bottom"/>
          </w:tcPr>
          <w:p>
            <w:pPr>
              <w:jc w:val="center"/>
              <w:ind w:right="3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Teraco Connect Holdco (RF) Proprietary Limited</w:t>
            </w:r>
          </w:p>
        </w:tc>
        <w:tc>
          <w:tcPr>
            <w:tcW w:w="2060" w:type="dxa"/>
            <w:vAlign w:val="bottom"/>
            <w:shd w:val="clear" w:color="auto" w:fill="CCEEFF"/>
          </w:tcPr>
          <w:p>
            <w:pPr>
              <w:jc w:val="center"/>
              <w:ind w:right="342"/>
              <w:spacing w:after="0"/>
              <w:rPr>
                <w:sz w:val="20"/>
                <w:szCs w:val="20"/>
                <w:color w:val="auto"/>
              </w:rPr>
            </w:pPr>
            <w:r>
              <w:rPr>
                <w:rFonts w:ascii="Times New Roman" w:cs="Times New Roman" w:eastAsia="Times New Roman" w:hAnsi="Times New Roman"/>
                <w:sz w:val="16"/>
                <w:szCs w:val="16"/>
                <w:color w:val="auto"/>
                <w:w w:val="97"/>
              </w:rPr>
              <w:t>South Africa</w:t>
            </w:r>
          </w:p>
        </w:tc>
        <w:tc>
          <w:tcPr>
            <w:tcW w:w="40" w:type="dxa"/>
            <w:vAlign w:val="bottom"/>
            <w:shd w:val="clear" w:color="auto" w:fill="CCEEFF"/>
          </w:tcPr>
          <w:p>
            <w:pPr>
              <w:spacing w:after="0"/>
              <w:rPr>
                <w:sz w:val="16"/>
                <w:szCs w:val="16"/>
                <w:color w:val="auto"/>
              </w:rPr>
            </w:pPr>
          </w:p>
        </w:tc>
      </w:tr>
      <w:tr>
        <w:trPr>
          <w:trHeight w:val="192"/>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Teraco Connect SubCo (RF) Proprietary Limited</w:t>
            </w:r>
          </w:p>
        </w:tc>
        <w:tc>
          <w:tcPr>
            <w:tcW w:w="2060" w:type="dxa"/>
            <w:vAlign w:val="bottom"/>
          </w:tcPr>
          <w:p>
            <w:pPr>
              <w:jc w:val="center"/>
              <w:ind w:right="342"/>
              <w:spacing w:after="0"/>
              <w:rPr>
                <w:sz w:val="20"/>
                <w:szCs w:val="20"/>
                <w:color w:val="auto"/>
              </w:rPr>
            </w:pPr>
            <w:r>
              <w:rPr>
                <w:rFonts w:ascii="Times New Roman" w:cs="Times New Roman" w:eastAsia="Times New Roman" w:hAnsi="Times New Roman"/>
                <w:sz w:val="16"/>
                <w:szCs w:val="16"/>
                <w:color w:val="auto"/>
                <w:w w:val="97"/>
              </w:rPr>
              <w:t>South Africa</w:t>
            </w:r>
          </w:p>
        </w:tc>
        <w:tc>
          <w:tcPr>
            <w:tcW w:w="40" w:type="dxa"/>
            <w:vAlign w:val="bottom"/>
          </w:tcPr>
          <w:p>
            <w:pPr>
              <w:spacing w:after="0"/>
              <w:rPr>
                <w:sz w:val="16"/>
                <w:szCs w:val="16"/>
                <w:color w:val="auto"/>
              </w:rPr>
            </w:pPr>
          </w:p>
        </w:tc>
      </w:tr>
      <w:tr>
        <w:trPr>
          <w:trHeight w:val="192"/>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Teraco Data Environments Proprietary Limited</w:t>
            </w:r>
          </w:p>
        </w:tc>
        <w:tc>
          <w:tcPr>
            <w:tcW w:w="2060" w:type="dxa"/>
            <w:vAlign w:val="bottom"/>
            <w:shd w:val="clear" w:color="auto" w:fill="CCEEFF"/>
          </w:tcPr>
          <w:p>
            <w:pPr>
              <w:jc w:val="center"/>
              <w:ind w:right="342"/>
              <w:spacing w:after="0"/>
              <w:rPr>
                <w:sz w:val="20"/>
                <w:szCs w:val="20"/>
                <w:color w:val="auto"/>
              </w:rPr>
            </w:pPr>
            <w:r>
              <w:rPr>
                <w:rFonts w:ascii="Times New Roman" w:cs="Times New Roman" w:eastAsia="Times New Roman" w:hAnsi="Times New Roman"/>
                <w:sz w:val="16"/>
                <w:szCs w:val="16"/>
                <w:color w:val="auto"/>
                <w:w w:val="97"/>
              </w:rPr>
              <w:t>South Africa</w:t>
            </w:r>
          </w:p>
        </w:tc>
        <w:tc>
          <w:tcPr>
            <w:tcW w:w="40" w:type="dxa"/>
            <w:vAlign w:val="bottom"/>
            <w:shd w:val="clear" w:color="auto" w:fill="CCEEFF"/>
          </w:tcPr>
          <w:p>
            <w:pPr>
              <w:spacing w:after="0"/>
              <w:rPr>
                <w:sz w:val="16"/>
                <w:szCs w:val="16"/>
                <w:color w:val="auto"/>
              </w:rPr>
            </w:pPr>
          </w:p>
        </w:tc>
      </w:tr>
      <w:tr>
        <w:trPr>
          <w:trHeight w:val="192"/>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Teraco Properties Proprietary Limited</w:t>
            </w:r>
          </w:p>
        </w:tc>
        <w:tc>
          <w:tcPr>
            <w:tcW w:w="2060" w:type="dxa"/>
            <w:vAlign w:val="bottom"/>
          </w:tcPr>
          <w:p>
            <w:pPr>
              <w:jc w:val="center"/>
              <w:ind w:right="342"/>
              <w:spacing w:after="0"/>
              <w:rPr>
                <w:sz w:val="20"/>
                <w:szCs w:val="20"/>
                <w:color w:val="auto"/>
              </w:rPr>
            </w:pPr>
            <w:r>
              <w:rPr>
                <w:rFonts w:ascii="Times New Roman" w:cs="Times New Roman" w:eastAsia="Times New Roman" w:hAnsi="Times New Roman"/>
                <w:sz w:val="16"/>
                <w:szCs w:val="16"/>
                <w:color w:val="auto"/>
                <w:w w:val="97"/>
              </w:rPr>
              <w:t>South Africa</w:t>
            </w:r>
          </w:p>
        </w:tc>
        <w:tc>
          <w:tcPr>
            <w:tcW w:w="40" w:type="dxa"/>
            <w:vAlign w:val="bottom"/>
          </w:tcPr>
          <w:p>
            <w:pPr>
              <w:spacing w:after="0"/>
              <w:rPr>
                <w:sz w:val="16"/>
                <w:szCs w:val="16"/>
                <w:color w:val="auto"/>
              </w:rPr>
            </w:pPr>
          </w:p>
        </w:tc>
      </w:tr>
      <w:tr>
        <w:trPr>
          <w:trHeight w:val="192"/>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The Sentinel-Needham Primary Condominium Trust</w:t>
            </w:r>
          </w:p>
        </w:tc>
        <w:tc>
          <w:tcPr>
            <w:tcW w:w="2060" w:type="dxa"/>
            <w:vAlign w:val="bottom"/>
            <w:shd w:val="clear" w:color="auto" w:fill="CCEEFF"/>
          </w:tcPr>
          <w:p>
            <w:pPr>
              <w:jc w:val="center"/>
              <w:ind w:right="362"/>
              <w:spacing w:after="0"/>
              <w:rPr>
                <w:sz w:val="20"/>
                <w:szCs w:val="20"/>
                <w:color w:val="auto"/>
              </w:rPr>
            </w:pPr>
            <w:r>
              <w:rPr>
                <w:rFonts w:ascii="Times New Roman" w:cs="Times New Roman" w:eastAsia="Times New Roman" w:hAnsi="Times New Roman"/>
                <w:sz w:val="16"/>
                <w:szCs w:val="16"/>
                <w:color w:val="auto"/>
                <w:w w:val="97"/>
              </w:rPr>
              <w:t>Massachusetts</w:t>
            </w:r>
          </w:p>
        </w:tc>
        <w:tc>
          <w:tcPr>
            <w:tcW w:w="40" w:type="dxa"/>
            <w:vAlign w:val="bottom"/>
            <w:shd w:val="clear" w:color="auto" w:fill="CCEEFF"/>
          </w:tcPr>
          <w:p>
            <w:pPr>
              <w:spacing w:after="0"/>
              <w:rPr>
                <w:sz w:val="16"/>
                <w:szCs w:val="16"/>
                <w:color w:val="auto"/>
              </w:rPr>
            </w:pPr>
          </w:p>
        </w:tc>
      </w:tr>
      <w:tr>
        <w:trPr>
          <w:trHeight w:val="192"/>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Troyius, LLC</w:t>
            </w:r>
          </w:p>
        </w:tc>
        <w:tc>
          <w:tcPr>
            <w:tcW w:w="2060" w:type="dxa"/>
            <w:vAlign w:val="bottom"/>
          </w:tcPr>
          <w:p>
            <w:pPr>
              <w:jc w:val="center"/>
              <w:ind w:right="3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Viridi Data Paris 2 SAS</w:t>
            </w:r>
          </w:p>
        </w:tc>
        <w:tc>
          <w:tcPr>
            <w:tcW w:w="2060" w:type="dxa"/>
            <w:vAlign w:val="bottom"/>
            <w:shd w:val="clear" w:color="auto" w:fill="CCEEFF"/>
          </w:tcPr>
          <w:p>
            <w:pPr>
              <w:jc w:val="center"/>
              <w:ind w:right="362"/>
              <w:spacing w:after="0"/>
              <w:rPr>
                <w:sz w:val="20"/>
                <w:szCs w:val="20"/>
                <w:color w:val="auto"/>
              </w:rPr>
            </w:pPr>
            <w:r>
              <w:rPr>
                <w:rFonts w:ascii="Times New Roman" w:cs="Times New Roman" w:eastAsia="Times New Roman" w:hAnsi="Times New Roman"/>
                <w:sz w:val="16"/>
                <w:szCs w:val="16"/>
                <w:color w:val="auto"/>
                <w:w w:val="96"/>
              </w:rPr>
              <w:t>France</w:t>
            </w:r>
          </w:p>
        </w:tc>
        <w:tc>
          <w:tcPr>
            <w:tcW w:w="40" w:type="dxa"/>
            <w:vAlign w:val="bottom"/>
            <w:shd w:val="clear" w:color="auto" w:fill="CCEEFF"/>
          </w:tcPr>
          <w:p>
            <w:pPr>
              <w:spacing w:after="0"/>
              <w:rPr>
                <w:sz w:val="16"/>
                <w:szCs w:val="16"/>
                <w:color w:val="auto"/>
              </w:rPr>
            </w:pPr>
          </w:p>
        </w:tc>
      </w:tr>
      <w:tr>
        <w:trPr>
          <w:trHeight w:val="192"/>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Waspar Limited</w:t>
            </w:r>
          </w:p>
        </w:tc>
        <w:tc>
          <w:tcPr>
            <w:tcW w:w="2060" w:type="dxa"/>
            <w:vAlign w:val="bottom"/>
          </w:tcPr>
          <w:p>
            <w:pPr>
              <w:jc w:val="center"/>
              <w:ind w:right="342"/>
              <w:spacing w:after="0"/>
              <w:rPr>
                <w:sz w:val="20"/>
                <w:szCs w:val="20"/>
                <w:color w:val="auto"/>
              </w:rPr>
            </w:pPr>
            <w:r>
              <w:rPr>
                <w:rFonts w:ascii="Times New Roman" w:cs="Times New Roman" w:eastAsia="Times New Roman" w:hAnsi="Times New Roman"/>
                <w:sz w:val="16"/>
                <w:szCs w:val="16"/>
                <w:color w:val="auto"/>
                <w:w w:val="96"/>
              </w:rPr>
              <w:t>Ireland</w:t>
            </w:r>
          </w:p>
        </w:tc>
        <w:tc>
          <w:tcPr>
            <w:tcW w:w="40" w:type="dxa"/>
            <w:vAlign w:val="bottom"/>
          </w:tcPr>
          <w:p>
            <w:pPr>
              <w:spacing w:after="0"/>
              <w:rPr>
                <w:sz w:val="16"/>
                <w:szCs w:val="16"/>
                <w:color w:val="auto"/>
              </w:rPr>
            </w:pPr>
          </w:p>
        </w:tc>
      </w:tr>
      <w:tr>
        <w:trPr>
          <w:trHeight w:val="192"/>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Xeres Management LLC</w:t>
            </w:r>
          </w:p>
        </w:tc>
        <w:tc>
          <w:tcPr>
            <w:tcW w:w="2060" w:type="dxa"/>
            <w:vAlign w:val="bottom"/>
            <w:shd w:val="clear" w:color="auto" w:fill="CCEEFF"/>
          </w:tcPr>
          <w:p>
            <w:pPr>
              <w:jc w:val="center"/>
              <w:ind w:right="3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Xeres Ventures LP</w:t>
            </w:r>
          </w:p>
        </w:tc>
        <w:tc>
          <w:tcPr>
            <w:tcW w:w="2060" w:type="dxa"/>
            <w:vAlign w:val="bottom"/>
          </w:tcPr>
          <w:p>
            <w:pPr>
              <w:jc w:val="center"/>
              <w:ind w:right="3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Yak Ventures LLC</w:t>
            </w:r>
          </w:p>
        </w:tc>
        <w:tc>
          <w:tcPr>
            <w:tcW w:w="2060" w:type="dxa"/>
            <w:vAlign w:val="bottom"/>
            <w:shd w:val="clear" w:color="auto" w:fill="CCEEFF"/>
          </w:tcPr>
          <w:p>
            <w:pPr>
              <w:jc w:val="center"/>
              <w:ind w:right="3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904"/>
        </w:trPr>
        <w:tc>
          <w:tcPr>
            <w:tcW w:w="60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40" w:orient="portrait"/>
          <w:cols w:equalWidth="0" w:num="1">
            <w:col w:w="9020"/>
          </w:cols>
          <w:pgMar w:left="1440" w:top="555" w:right="1440" w:bottom="1440" w:gutter="0" w:footer="0" w:header="0"/>
        </w:sectPr>
      </w:pPr>
    </w:p>
    <w:bookmarkStart w:id="549" w:name="page550"/>
    <w:bookmarkEnd w:id="549"/>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322" w:lineRule="exact"/>
        <w:rPr>
          <w:sz w:val="20"/>
          <w:szCs w:val="20"/>
          <w:color w:val="auto"/>
        </w:rPr>
      </w:pPr>
    </w:p>
    <w:p>
      <w:pPr>
        <w:ind w:left="340" w:right="300"/>
        <w:spacing w:after="0" w:line="241" w:lineRule="auto"/>
        <w:rPr>
          <w:sz w:val="20"/>
          <w:szCs w:val="20"/>
          <w:color w:val="auto"/>
        </w:rPr>
      </w:pPr>
      <w:r>
        <w:rPr>
          <w:rFonts w:ascii="Times New Roman" w:cs="Times New Roman" w:eastAsia="Times New Roman" w:hAnsi="Times New Roman"/>
          <w:sz w:val="16"/>
          <w:szCs w:val="16"/>
          <w:color w:val="auto"/>
        </w:rPr>
        <w:t>We consent to the incorporation by reference in the registration statements (Nos. 333-237038, 333-220577, 333-207330 and 333-195524) on Form S-8 of Digital Realty Trust, Inc., (Nos. 333 -270596, 333-220887, and 333-129688) on Form S- 3 of Digital Realty Trust, Inc., and (No. 333-270596-01) on Form S-3 of Digital Realty Trust, L.P. of our reports dated February 24, 2025, with respect to the consolidated financial statements of Digital Realty Trust, Inc. and subsidiaries and Digital Realty Trust, L.P. and subsidiaries, and the effectiveness of internal control over financial reporting of Digital Realty Trust, Inc. and subsidiaries.</w:t>
      </w:r>
    </w:p>
    <w:p>
      <w:pPr>
        <w:spacing w:after="0" w:line="13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color w:val="auto"/>
        </w:rPr>
        <w:t>/s/ KPMG LLP</w:t>
      </w:r>
    </w:p>
    <w:p>
      <w:pPr>
        <w:spacing w:after="0" w:line="1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Chicago, Illinois</w:t>
      </w:r>
    </w:p>
    <w:p>
      <w:pPr>
        <w:spacing w:after="0" w:line="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February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299085</wp:posOffset>
            </wp:positionV>
            <wp:extent cx="5403850" cy="1524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962">
                      <a:extLst>
                        <a:ext uri="{28A0092B-C50C-407E-A947-70E740481C1C}"/>
                      </a:extLst>
                    </a:blip>
                    <a:srcRect/>
                    <a:stretch>
                      <a:fillRect/>
                    </a:stretch>
                  </pic:blipFill>
                  <pic:spPr bwMode="auto">
                    <a:xfrm>
                      <a:off x="0" y="0"/>
                      <a:ext cx="5403850" cy="15240"/>
                    </a:xfrm>
                    <a:prstGeom prst="rect">
                      <a:avLst/>
                    </a:prstGeom>
                    <a:noFill/>
                  </pic:spPr>
                </pic:pic>
              </a:graphicData>
            </a:graphic>
          </wp:anchor>
        </w:drawing>
      </w:r>
    </w:p>
    <w:p>
      <w:pPr>
        <w:sectPr>
          <w:pgSz w:w="11900" w:h="16840" w:orient="portrait"/>
          <w:cols w:equalWidth="0" w:num="1">
            <w:col w:w="9020"/>
          </w:cols>
          <w:pgMar w:left="1440" w:top="555" w:right="1440" w:bottom="1440" w:gutter="0" w:footer="0" w:header="0"/>
        </w:sectPr>
      </w:pPr>
    </w:p>
    <w:bookmarkStart w:id="550" w:name="page551"/>
    <w:bookmarkEnd w:id="550"/>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Chief Executive Officer</w:t>
      </w:r>
    </w:p>
    <w:p>
      <w:pPr>
        <w:spacing w:after="0" w:line="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I, Andrew P. Power, certify that:</w:t>
      </w:r>
    </w:p>
    <w:p>
      <w:pPr>
        <w:spacing w:after="0" w:line="188" w:lineRule="exact"/>
        <w:rPr>
          <w:sz w:val="20"/>
          <w:szCs w:val="20"/>
          <w:color w:val="auto"/>
        </w:rPr>
      </w:pPr>
    </w:p>
    <w:p>
      <w:pPr>
        <w:ind w:left="1040" w:hanging="578"/>
        <w:spacing w:after="0"/>
        <w:tabs>
          <w:tab w:leader="none" w:pos="1040" w:val="left"/>
        </w:tabs>
        <w:numPr>
          <w:ilvl w:val="0"/>
          <w:numId w:val="5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Digital Realty Trust, Inc.;</w:t>
      </w:r>
    </w:p>
    <w:p>
      <w:pPr>
        <w:spacing w:after="0" w:line="188" w:lineRule="exact"/>
        <w:rPr>
          <w:rFonts w:ascii="Times New Roman" w:cs="Times New Roman" w:eastAsia="Times New Roman" w:hAnsi="Times New Roman"/>
          <w:sz w:val="16"/>
          <w:szCs w:val="16"/>
          <w:color w:val="auto"/>
        </w:rPr>
      </w:pPr>
    </w:p>
    <w:p>
      <w:pPr>
        <w:jc w:val="both"/>
        <w:ind w:left="1040" w:right="580" w:hanging="578"/>
        <w:spacing w:after="0" w:line="247" w:lineRule="auto"/>
        <w:tabs>
          <w:tab w:leader="none" w:pos="1049" w:val="left"/>
        </w:tabs>
        <w:numPr>
          <w:ilvl w:val="0"/>
          <w:numId w:val="5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rFonts w:ascii="Times New Roman" w:cs="Times New Roman" w:eastAsia="Times New Roman" w:hAnsi="Times New Roman"/>
          <w:sz w:val="16"/>
          <w:szCs w:val="16"/>
          <w:color w:val="auto"/>
        </w:rPr>
      </w:pPr>
    </w:p>
    <w:p>
      <w:pPr>
        <w:ind w:left="1040" w:right="540" w:hanging="578"/>
        <w:spacing w:after="0" w:line="247" w:lineRule="auto"/>
        <w:tabs>
          <w:tab w:leader="none" w:pos="1049" w:val="left"/>
        </w:tabs>
        <w:numPr>
          <w:ilvl w:val="0"/>
          <w:numId w:val="5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Times New Roman" w:cs="Times New Roman" w:eastAsia="Times New Roman" w:hAnsi="Times New Roman"/>
          <w:sz w:val="16"/>
          <w:szCs w:val="16"/>
          <w:color w:val="auto"/>
        </w:rPr>
      </w:pPr>
    </w:p>
    <w:p>
      <w:pPr>
        <w:jc w:val="both"/>
        <w:ind w:left="1040" w:right="480" w:hanging="578"/>
        <w:spacing w:after="0" w:line="247" w:lineRule="auto"/>
        <w:tabs>
          <w:tab w:leader="none" w:pos="1049" w:val="left"/>
        </w:tabs>
        <w:numPr>
          <w:ilvl w:val="0"/>
          <w:numId w:val="5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4" w:lineRule="exact"/>
        <w:rPr>
          <w:rFonts w:ascii="Times New Roman" w:cs="Times New Roman" w:eastAsia="Times New Roman" w:hAnsi="Times New Roman"/>
          <w:sz w:val="16"/>
          <w:szCs w:val="16"/>
          <w:color w:val="auto"/>
        </w:rPr>
      </w:pPr>
    </w:p>
    <w:p>
      <w:pPr>
        <w:ind w:left="1040" w:right="660" w:hanging="290"/>
        <w:spacing w:after="0" w:line="243" w:lineRule="auto"/>
        <w:tabs>
          <w:tab w:leader="none" w:pos="1040" w:val="left"/>
        </w:tabs>
        <w:numPr>
          <w:ilvl w:val="1"/>
          <w:numId w:val="5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7" w:lineRule="exact"/>
        <w:rPr>
          <w:rFonts w:ascii="Times New Roman" w:cs="Times New Roman" w:eastAsia="Times New Roman" w:hAnsi="Times New Roman"/>
          <w:sz w:val="16"/>
          <w:szCs w:val="16"/>
          <w:color w:val="auto"/>
        </w:rPr>
      </w:pPr>
    </w:p>
    <w:p>
      <w:pPr>
        <w:ind w:left="1040" w:right="600" w:hanging="290"/>
        <w:spacing w:after="0" w:line="299" w:lineRule="auto"/>
        <w:tabs>
          <w:tab w:leader="none" w:pos="1040" w:val="left"/>
        </w:tabs>
        <w:numPr>
          <w:ilvl w:val="1"/>
          <w:numId w:val="5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Times New Roman" w:cs="Times New Roman" w:eastAsia="Times New Roman" w:hAnsi="Times New Roman"/>
          <w:sz w:val="14"/>
          <w:szCs w:val="14"/>
          <w:color w:val="auto"/>
        </w:rPr>
      </w:pPr>
    </w:p>
    <w:p>
      <w:pPr>
        <w:ind w:left="1040" w:right="480" w:hanging="290"/>
        <w:spacing w:after="0" w:line="247" w:lineRule="auto"/>
        <w:tabs>
          <w:tab w:leader="none" w:pos="1040" w:val="left"/>
        </w:tabs>
        <w:numPr>
          <w:ilvl w:val="1"/>
          <w:numId w:val="5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Times New Roman" w:cs="Times New Roman" w:eastAsia="Times New Roman" w:hAnsi="Times New Roman"/>
          <w:sz w:val="16"/>
          <w:szCs w:val="16"/>
          <w:color w:val="auto"/>
        </w:rPr>
      </w:pPr>
    </w:p>
    <w:p>
      <w:pPr>
        <w:ind w:left="1040" w:right="560" w:hanging="290"/>
        <w:spacing w:after="0" w:line="243" w:lineRule="auto"/>
        <w:tabs>
          <w:tab w:leader="none" w:pos="1040" w:val="left"/>
        </w:tabs>
        <w:numPr>
          <w:ilvl w:val="1"/>
          <w:numId w:val="5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Times New Roman" w:cs="Times New Roman" w:eastAsia="Times New Roman" w:hAnsi="Times New Roman"/>
          <w:sz w:val="16"/>
          <w:szCs w:val="16"/>
          <w:color w:val="auto"/>
        </w:rPr>
      </w:pPr>
    </w:p>
    <w:p>
      <w:pPr>
        <w:ind w:left="1040" w:right="560" w:hanging="578"/>
        <w:spacing w:after="0" w:line="247" w:lineRule="auto"/>
        <w:tabs>
          <w:tab w:leader="none" w:pos="1049" w:val="left"/>
        </w:tabs>
        <w:numPr>
          <w:ilvl w:val="0"/>
          <w:numId w:val="5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Times New Roman" w:cs="Times New Roman" w:eastAsia="Times New Roman" w:hAnsi="Times New Roman"/>
          <w:sz w:val="16"/>
          <w:szCs w:val="16"/>
          <w:color w:val="auto"/>
        </w:rPr>
      </w:pPr>
    </w:p>
    <w:p>
      <w:pPr>
        <w:ind w:left="1040" w:right="480" w:hanging="290"/>
        <w:spacing w:after="0" w:line="247" w:lineRule="auto"/>
        <w:tabs>
          <w:tab w:leader="none" w:pos="1040" w:val="left"/>
        </w:tabs>
        <w:numPr>
          <w:ilvl w:val="1"/>
          <w:numId w:val="5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Times New Roman" w:cs="Times New Roman" w:eastAsia="Times New Roman" w:hAnsi="Times New Roman"/>
          <w:sz w:val="16"/>
          <w:szCs w:val="16"/>
          <w:color w:val="auto"/>
        </w:rPr>
      </w:pPr>
    </w:p>
    <w:p>
      <w:pPr>
        <w:ind w:left="1040" w:right="740" w:hanging="290"/>
        <w:spacing w:after="0" w:line="259" w:lineRule="auto"/>
        <w:tabs>
          <w:tab w:leader="none" w:pos="1040" w:val="left"/>
        </w:tabs>
        <w:numPr>
          <w:ilvl w:val="1"/>
          <w:numId w:val="5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Date: February 24, 2025</w:t>
      </w:r>
    </w:p>
    <w:p>
      <w:pPr>
        <w:spacing w:after="0" w:line="200"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6"/>
          <w:szCs w:val="16"/>
          <w:color w:val="auto"/>
        </w:rPr>
        <w:t>/s/ ANDREW P. POWER</w:t>
      </w:r>
    </w:p>
    <w:p>
      <w:pPr>
        <w:spacing w:after="0" w:line="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735965</wp:posOffset>
            </wp:positionH>
            <wp:positionV relativeFrom="paragraph">
              <wp:posOffset>9525</wp:posOffset>
            </wp:positionV>
            <wp:extent cx="3010535" cy="762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963">
                      <a:extLst>
                        <a:ext uri="{28A0092B-C50C-407E-A947-70E740481C1C}"/>
                      </a:extLst>
                    </a:blip>
                    <a:srcRect/>
                    <a:stretch>
                      <a:fillRect/>
                    </a:stretch>
                  </pic:blipFill>
                  <pic:spPr bwMode="auto">
                    <a:xfrm>
                      <a:off x="0" y="0"/>
                      <a:ext cx="3010535" cy="7620"/>
                    </a:xfrm>
                    <a:prstGeom prst="rect">
                      <a:avLst/>
                    </a:prstGeom>
                    <a:noFill/>
                  </pic:spPr>
                </pic:pic>
              </a:graphicData>
            </a:graphic>
          </wp:anchor>
        </w:drawing>
      </w:r>
    </w:p>
    <w:p>
      <w:pPr>
        <w:spacing w:after="0" w:line="18" w:lineRule="exact"/>
        <w:rPr>
          <w:sz w:val="20"/>
          <w:szCs w:val="20"/>
          <w:color w:val="auto"/>
        </w:rPr>
      </w:pPr>
    </w:p>
    <w:p>
      <w:pPr>
        <w:jc w:val="center"/>
        <w:ind w:right="1960"/>
        <w:spacing w:after="0"/>
        <w:rPr>
          <w:sz w:val="20"/>
          <w:szCs w:val="20"/>
          <w:color w:val="auto"/>
        </w:rPr>
      </w:pPr>
      <w:r>
        <w:rPr>
          <w:rFonts w:ascii="Times New Roman" w:cs="Times New Roman" w:eastAsia="Times New Roman" w:hAnsi="Times New Roman"/>
          <w:sz w:val="16"/>
          <w:szCs w:val="16"/>
          <w:color w:val="auto"/>
        </w:rPr>
        <w:t>Andrew P. Power</w:t>
      </w:r>
    </w:p>
    <w:p>
      <w:pPr>
        <w:spacing w:after="0" w:line="10" w:lineRule="exact"/>
        <w:rPr>
          <w:sz w:val="20"/>
          <w:szCs w:val="20"/>
          <w:color w:val="auto"/>
        </w:rPr>
      </w:pPr>
    </w:p>
    <w:p>
      <w:pPr>
        <w:jc w:val="center"/>
        <w:ind w:right="1960"/>
        <w:spacing w:after="0"/>
        <w:rPr>
          <w:sz w:val="20"/>
          <w:szCs w:val="20"/>
          <w:color w:val="auto"/>
        </w:rPr>
      </w:pPr>
      <w:r>
        <w:rPr>
          <w:rFonts w:ascii="Times New Roman" w:cs="Times New Roman" w:eastAsia="Times New Roman" w:hAnsi="Times New Roman"/>
          <w:sz w:val="16"/>
          <w:szCs w:val="16"/>
          <w:color w:val="auto"/>
        </w:rPr>
        <w:t>President &amp; Chief Executive Officer</w:t>
      </w:r>
    </w:p>
    <w:p>
      <w:pPr>
        <w:jc w:val="center"/>
        <w:ind w:right="198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459105</wp:posOffset>
            </wp:positionV>
            <wp:extent cx="5121910" cy="1524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964">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555" w:right="1440" w:bottom="1440" w:gutter="0" w:footer="0" w:header="0"/>
        </w:sectPr>
      </w:pPr>
    </w:p>
    <w:bookmarkStart w:id="551" w:name="page552"/>
    <w:bookmarkEnd w:id="551"/>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Chief Financial Officer</w:t>
      </w:r>
    </w:p>
    <w:p>
      <w:pPr>
        <w:spacing w:after="0" w:line="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I, Matthew R. Mercier, certify that:</w:t>
      </w:r>
    </w:p>
    <w:p>
      <w:pPr>
        <w:spacing w:after="0" w:line="188" w:lineRule="exact"/>
        <w:rPr>
          <w:sz w:val="20"/>
          <w:szCs w:val="20"/>
          <w:color w:val="auto"/>
        </w:rPr>
      </w:pPr>
    </w:p>
    <w:p>
      <w:pPr>
        <w:ind w:left="1040" w:hanging="578"/>
        <w:spacing w:after="0"/>
        <w:tabs>
          <w:tab w:leader="none" w:pos="1040" w:val="left"/>
        </w:tabs>
        <w:numPr>
          <w:ilvl w:val="0"/>
          <w:numId w:val="5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Digital Realty Trust, Inc.;</w:t>
      </w:r>
    </w:p>
    <w:p>
      <w:pPr>
        <w:spacing w:after="0" w:line="188" w:lineRule="exact"/>
        <w:rPr>
          <w:rFonts w:ascii="Times New Roman" w:cs="Times New Roman" w:eastAsia="Times New Roman" w:hAnsi="Times New Roman"/>
          <w:sz w:val="16"/>
          <w:szCs w:val="16"/>
          <w:color w:val="auto"/>
        </w:rPr>
      </w:pPr>
    </w:p>
    <w:p>
      <w:pPr>
        <w:jc w:val="both"/>
        <w:ind w:left="1040" w:right="580" w:hanging="578"/>
        <w:spacing w:after="0" w:line="247" w:lineRule="auto"/>
        <w:tabs>
          <w:tab w:leader="none" w:pos="1049" w:val="left"/>
        </w:tabs>
        <w:numPr>
          <w:ilvl w:val="0"/>
          <w:numId w:val="5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rFonts w:ascii="Times New Roman" w:cs="Times New Roman" w:eastAsia="Times New Roman" w:hAnsi="Times New Roman"/>
          <w:sz w:val="16"/>
          <w:szCs w:val="16"/>
          <w:color w:val="auto"/>
        </w:rPr>
      </w:pPr>
    </w:p>
    <w:p>
      <w:pPr>
        <w:ind w:left="1040" w:right="540" w:hanging="578"/>
        <w:spacing w:after="0" w:line="247" w:lineRule="auto"/>
        <w:tabs>
          <w:tab w:leader="none" w:pos="1049" w:val="left"/>
        </w:tabs>
        <w:numPr>
          <w:ilvl w:val="0"/>
          <w:numId w:val="5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Times New Roman" w:cs="Times New Roman" w:eastAsia="Times New Roman" w:hAnsi="Times New Roman"/>
          <w:sz w:val="16"/>
          <w:szCs w:val="16"/>
          <w:color w:val="auto"/>
        </w:rPr>
      </w:pPr>
    </w:p>
    <w:p>
      <w:pPr>
        <w:jc w:val="both"/>
        <w:ind w:left="1040" w:right="480" w:hanging="578"/>
        <w:spacing w:after="0" w:line="247" w:lineRule="auto"/>
        <w:tabs>
          <w:tab w:leader="none" w:pos="1049" w:val="left"/>
        </w:tabs>
        <w:numPr>
          <w:ilvl w:val="0"/>
          <w:numId w:val="5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4" w:lineRule="exact"/>
        <w:rPr>
          <w:rFonts w:ascii="Times New Roman" w:cs="Times New Roman" w:eastAsia="Times New Roman" w:hAnsi="Times New Roman"/>
          <w:sz w:val="16"/>
          <w:szCs w:val="16"/>
          <w:color w:val="auto"/>
        </w:rPr>
      </w:pPr>
    </w:p>
    <w:p>
      <w:pPr>
        <w:ind w:left="1040" w:right="660" w:hanging="290"/>
        <w:spacing w:after="0" w:line="243" w:lineRule="auto"/>
        <w:tabs>
          <w:tab w:leader="none" w:pos="1040" w:val="left"/>
        </w:tabs>
        <w:numPr>
          <w:ilvl w:val="1"/>
          <w:numId w:val="5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7" w:lineRule="exact"/>
        <w:rPr>
          <w:rFonts w:ascii="Times New Roman" w:cs="Times New Roman" w:eastAsia="Times New Roman" w:hAnsi="Times New Roman"/>
          <w:sz w:val="16"/>
          <w:szCs w:val="16"/>
          <w:color w:val="auto"/>
        </w:rPr>
      </w:pPr>
    </w:p>
    <w:p>
      <w:pPr>
        <w:ind w:left="1040" w:right="600" w:hanging="290"/>
        <w:spacing w:after="0" w:line="299" w:lineRule="auto"/>
        <w:tabs>
          <w:tab w:leader="none" w:pos="1040" w:val="left"/>
        </w:tabs>
        <w:numPr>
          <w:ilvl w:val="1"/>
          <w:numId w:val="5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Times New Roman" w:cs="Times New Roman" w:eastAsia="Times New Roman" w:hAnsi="Times New Roman"/>
          <w:sz w:val="14"/>
          <w:szCs w:val="14"/>
          <w:color w:val="auto"/>
        </w:rPr>
      </w:pPr>
    </w:p>
    <w:p>
      <w:pPr>
        <w:ind w:left="1040" w:right="480" w:hanging="290"/>
        <w:spacing w:after="0" w:line="247" w:lineRule="auto"/>
        <w:tabs>
          <w:tab w:leader="none" w:pos="1040" w:val="left"/>
        </w:tabs>
        <w:numPr>
          <w:ilvl w:val="1"/>
          <w:numId w:val="5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Times New Roman" w:cs="Times New Roman" w:eastAsia="Times New Roman" w:hAnsi="Times New Roman"/>
          <w:sz w:val="16"/>
          <w:szCs w:val="16"/>
          <w:color w:val="auto"/>
        </w:rPr>
      </w:pPr>
    </w:p>
    <w:p>
      <w:pPr>
        <w:ind w:left="1040" w:right="560" w:hanging="290"/>
        <w:spacing w:after="0" w:line="243" w:lineRule="auto"/>
        <w:tabs>
          <w:tab w:leader="none" w:pos="1040" w:val="left"/>
        </w:tabs>
        <w:numPr>
          <w:ilvl w:val="1"/>
          <w:numId w:val="5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Times New Roman" w:cs="Times New Roman" w:eastAsia="Times New Roman" w:hAnsi="Times New Roman"/>
          <w:sz w:val="16"/>
          <w:szCs w:val="16"/>
          <w:color w:val="auto"/>
        </w:rPr>
      </w:pPr>
    </w:p>
    <w:p>
      <w:pPr>
        <w:ind w:left="1040" w:right="560" w:hanging="578"/>
        <w:spacing w:after="0" w:line="247" w:lineRule="auto"/>
        <w:tabs>
          <w:tab w:leader="none" w:pos="1049" w:val="left"/>
        </w:tabs>
        <w:numPr>
          <w:ilvl w:val="0"/>
          <w:numId w:val="5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Times New Roman" w:cs="Times New Roman" w:eastAsia="Times New Roman" w:hAnsi="Times New Roman"/>
          <w:sz w:val="16"/>
          <w:szCs w:val="16"/>
          <w:color w:val="auto"/>
        </w:rPr>
      </w:pPr>
    </w:p>
    <w:p>
      <w:pPr>
        <w:ind w:left="1040" w:right="480" w:hanging="290"/>
        <w:spacing w:after="0" w:line="247" w:lineRule="auto"/>
        <w:tabs>
          <w:tab w:leader="none" w:pos="1040" w:val="left"/>
        </w:tabs>
        <w:numPr>
          <w:ilvl w:val="1"/>
          <w:numId w:val="5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Times New Roman" w:cs="Times New Roman" w:eastAsia="Times New Roman" w:hAnsi="Times New Roman"/>
          <w:sz w:val="16"/>
          <w:szCs w:val="16"/>
          <w:color w:val="auto"/>
        </w:rPr>
      </w:pPr>
    </w:p>
    <w:p>
      <w:pPr>
        <w:ind w:left="1040" w:right="740" w:hanging="290"/>
        <w:spacing w:after="0" w:line="259" w:lineRule="auto"/>
        <w:tabs>
          <w:tab w:leader="none" w:pos="1040" w:val="left"/>
        </w:tabs>
        <w:numPr>
          <w:ilvl w:val="1"/>
          <w:numId w:val="5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Date: February 24, 2025</w:t>
      </w:r>
    </w:p>
    <w:p>
      <w:pPr>
        <w:spacing w:after="0" w:line="200"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6"/>
          <w:szCs w:val="16"/>
          <w:color w:val="auto"/>
        </w:rPr>
        <w:t>/s/ MATTHEW R. MERCIER</w:t>
      </w:r>
    </w:p>
    <w:p>
      <w:pPr>
        <w:spacing w:after="0" w:line="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735965</wp:posOffset>
            </wp:positionH>
            <wp:positionV relativeFrom="paragraph">
              <wp:posOffset>9525</wp:posOffset>
            </wp:positionV>
            <wp:extent cx="3010535" cy="762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965">
                      <a:extLst>
                        <a:ext uri="{28A0092B-C50C-407E-A947-70E740481C1C}"/>
                      </a:extLst>
                    </a:blip>
                    <a:srcRect/>
                    <a:stretch>
                      <a:fillRect/>
                    </a:stretch>
                  </pic:blipFill>
                  <pic:spPr bwMode="auto">
                    <a:xfrm>
                      <a:off x="0" y="0"/>
                      <a:ext cx="3010535" cy="7620"/>
                    </a:xfrm>
                    <a:prstGeom prst="rect">
                      <a:avLst/>
                    </a:prstGeom>
                    <a:noFill/>
                  </pic:spPr>
                </pic:pic>
              </a:graphicData>
            </a:graphic>
          </wp:anchor>
        </w:drawing>
      </w:r>
    </w:p>
    <w:p>
      <w:pPr>
        <w:spacing w:after="0" w:line="18" w:lineRule="exact"/>
        <w:rPr>
          <w:sz w:val="20"/>
          <w:szCs w:val="20"/>
          <w:color w:val="auto"/>
        </w:rPr>
      </w:pPr>
    </w:p>
    <w:p>
      <w:pPr>
        <w:jc w:val="center"/>
        <w:ind w:right="1960"/>
        <w:spacing w:after="0"/>
        <w:rPr>
          <w:sz w:val="20"/>
          <w:szCs w:val="20"/>
          <w:color w:val="auto"/>
        </w:rPr>
      </w:pPr>
      <w:r>
        <w:rPr>
          <w:rFonts w:ascii="Times New Roman" w:cs="Times New Roman" w:eastAsia="Times New Roman" w:hAnsi="Times New Roman"/>
          <w:sz w:val="16"/>
          <w:szCs w:val="16"/>
          <w:color w:val="auto"/>
        </w:rPr>
        <w:t>Matthew R. Mercier</w:t>
      </w:r>
    </w:p>
    <w:p>
      <w:pPr>
        <w:spacing w:after="0" w:line="10" w:lineRule="exact"/>
        <w:rPr>
          <w:sz w:val="20"/>
          <w:szCs w:val="20"/>
          <w:color w:val="auto"/>
        </w:rPr>
      </w:pPr>
    </w:p>
    <w:p>
      <w:pPr>
        <w:jc w:val="center"/>
        <w:ind w:right="1960"/>
        <w:spacing w:after="0"/>
        <w:rPr>
          <w:sz w:val="20"/>
          <w:szCs w:val="20"/>
          <w:color w:val="auto"/>
        </w:rPr>
      </w:pPr>
      <w:r>
        <w:rPr>
          <w:rFonts w:ascii="Times New Roman" w:cs="Times New Roman" w:eastAsia="Times New Roman" w:hAnsi="Times New Roman"/>
          <w:sz w:val="16"/>
          <w:szCs w:val="16"/>
          <w:color w:val="auto"/>
        </w:rPr>
        <w:t>Chief Financial Officer</w:t>
      </w:r>
    </w:p>
    <w:p>
      <w:pPr>
        <w:jc w:val="center"/>
        <w:ind w:right="1960"/>
        <w:spacing w:after="0"/>
        <w:rPr>
          <w:sz w:val="20"/>
          <w:szCs w:val="20"/>
          <w:color w:val="auto"/>
        </w:rPr>
      </w:pPr>
      <w:r>
        <w:rPr>
          <w:rFonts w:ascii="Times New Roman" w:cs="Times New Roman" w:eastAsia="Times New Roman" w:hAnsi="Times New Roman"/>
          <w:sz w:val="16"/>
          <w:szCs w:val="16"/>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459105</wp:posOffset>
            </wp:positionV>
            <wp:extent cx="5121910" cy="1524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966">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555" w:right="1440" w:bottom="1440" w:gutter="0" w:footer="0" w:header="0"/>
        </w:sectPr>
      </w:pPr>
    </w:p>
    <w:bookmarkStart w:id="552" w:name="page553"/>
    <w:bookmarkEnd w:id="552"/>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Exhibit 31.3</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Chief Executive Officer</w:t>
      </w:r>
    </w:p>
    <w:p>
      <w:pPr>
        <w:spacing w:after="0" w:line="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I, Andrew P. Power, certify that:</w:t>
      </w:r>
    </w:p>
    <w:p>
      <w:pPr>
        <w:spacing w:after="0" w:line="188" w:lineRule="exact"/>
        <w:rPr>
          <w:sz w:val="20"/>
          <w:szCs w:val="20"/>
          <w:color w:val="auto"/>
        </w:rPr>
      </w:pPr>
    </w:p>
    <w:p>
      <w:pPr>
        <w:ind w:left="1040" w:hanging="578"/>
        <w:spacing w:after="0"/>
        <w:tabs>
          <w:tab w:leader="none" w:pos="1040" w:val="left"/>
        </w:tabs>
        <w:numPr>
          <w:ilvl w:val="0"/>
          <w:numId w:val="5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Digital Realty Trust, L.P.;</w:t>
      </w:r>
    </w:p>
    <w:p>
      <w:pPr>
        <w:spacing w:after="0" w:line="188" w:lineRule="exact"/>
        <w:rPr>
          <w:rFonts w:ascii="Times New Roman" w:cs="Times New Roman" w:eastAsia="Times New Roman" w:hAnsi="Times New Roman"/>
          <w:sz w:val="16"/>
          <w:szCs w:val="16"/>
          <w:color w:val="auto"/>
        </w:rPr>
      </w:pPr>
    </w:p>
    <w:p>
      <w:pPr>
        <w:jc w:val="both"/>
        <w:ind w:left="1040" w:right="580" w:hanging="578"/>
        <w:spacing w:after="0" w:line="247" w:lineRule="auto"/>
        <w:tabs>
          <w:tab w:leader="none" w:pos="1049" w:val="left"/>
        </w:tabs>
        <w:numPr>
          <w:ilvl w:val="0"/>
          <w:numId w:val="5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rFonts w:ascii="Times New Roman" w:cs="Times New Roman" w:eastAsia="Times New Roman" w:hAnsi="Times New Roman"/>
          <w:sz w:val="16"/>
          <w:szCs w:val="16"/>
          <w:color w:val="auto"/>
        </w:rPr>
      </w:pPr>
    </w:p>
    <w:p>
      <w:pPr>
        <w:ind w:left="1040" w:right="540" w:hanging="578"/>
        <w:spacing w:after="0" w:line="247" w:lineRule="auto"/>
        <w:tabs>
          <w:tab w:leader="none" w:pos="1049" w:val="left"/>
        </w:tabs>
        <w:numPr>
          <w:ilvl w:val="0"/>
          <w:numId w:val="5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Times New Roman" w:cs="Times New Roman" w:eastAsia="Times New Roman" w:hAnsi="Times New Roman"/>
          <w:sz w:val="16"/>
          <w:szCs w:val="16"/>
          <w:color w:val="auto"/>
        </w:rPr>
      </w:pPr>
    </w:p>
    <w:p>
      <w:pPr>
        <w:jc w:val="both"/>
        <w:ind w:left="1040" w:right="480" w:hanging="578"/>
        <w:spacing w:after="0" w:line="247" w:lineRule="auto"/>
        <w:tabs>
          <w:tab w:leader="none" w:pos="1049" w:val="left"/>
        </w:tabs>
        <w:numPr>
          <w:ilvl w:val="0"/>
          <w:numId w:val="5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4" w:lineRule="exact"/>
        <w:rPr>
          <w:rFonts w:ascii="Times New Roman" w:cs="Times New Roman" w:eastAsia="Times New Roman" w:hAnsi="Times New Roman"/>
          <w:sz w:val="16"/>
          <w:szCs w:val="16"/>
          <w:color w:val="auto"/>
        </w:rPr>
      </w:pPr>
    </w:p>
    <w:p>
      <w:pPr>
        <w:ind w:left="1040" w:right="660" w:hanging="290"/>
        <w:spacing w:after="0" w:line="243" w:lineRule="auto"/>
        <w:tabs>
          <w:tab w:leader="none" w:pos="1040" w:val="left"/>
        </w:tabs>
        <w:numPr>
          <w:ilvl w:val="1"/>
          <w:numId w:val="5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Times New Roman" w:cs="Times New Roman" w:eastAsia="Times New Roman" w:hAnsi="Times New Roman"/>
          <w:sz w:val="16"/>
          <w:szCs w:val="16"/>
          <w:color w:val="auto"/>
        </w:rPr>
      </w:pPr>
    </w:p>
    <w:p>
      <w:pPr>
        <w:ind w:left="1040" w:right="600" w:hanging="290"/>
        <w:spacing w:after="0" w:line="299" w:lineRule="auto"/>
        <w:tabs>
          <w:tab w:leader="none" w:pos="1040" w:val="left"/>
        </w:tabs>
        <w:numPr>
          <w:ilvl w:val="1"/>
          <w:numId w:val="5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Times New Roman" w:cs="Times New Roman" w:eastAsia="Times New Roman" w:hAnsi="Times New Roman"/>
          <w:sz w:val="14"/>
          <w:szCs w:val="14"/>
          <w:color w:val="auto"/>
        </w:rPr>
      </w:pPr>
    </w:p>
    <w:p>
      <w:pPr>
        <w:ind w:left="1040" w:right="480" w:hanging="290"/>
        <w:spacing w:after="0" w:line="247" w:lineRule="auto"/>
        <w:tabs>
          <w:tab w:leader="none" w:pos="1040" w:val="left"/>
        </w:tabs>
        <w:numPr>
          <w:ilvl w:val="1"/>
          <w:numId w:val="5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Times New Roman" w:cs="Times New Roman" w:eastAsia="Times New Roman" w:hAnsi="Times New Roman"/>
          <w:sz w:val="16"/>
          <w:szCs w:val="16"/>
          <w:color w:val="auto"/>
        </w:rPr>
      </w:pPr>
    </w:p>
    <w:p>
      <w:pPr>
        <w:ind w:left="1040" w:right="560" w:hanging="290"/>
        <w:spacing w:after="0" w:line="243" w:lineRule="auto"/>
        <w:tabs>
          <w:tab w:leader="none" w:pos="1040" w:val="left"/>
        </w:tabs>
        <w:numPr>
          <w:ilvl w:val="1"/>
          <w:numId w:val="5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Times New Roman" w:cs="Times New Roman" w:eastAsia="Times New Roman" w:hAnsi="Times New Roman"/>
          <w:sz w:val="16"/>
          <w:szCs w:val="16"/>
          <w:color w:val="auto"/>
        </w:rPr>
      </w:pPr>
    </w:p>
    <w:p>
      <w:pPr>
        <w:ind w:left="1040" w:right="560" w:hanging="578"/>
        <w:spacing w:after="0" w:line="247" w:lineRule="auto"/>
        <w:tabs>
          <w:tab w:leader="none" w:pos="1049" w:val="left"/>
        </w:tabs>
        <w:numPr>
          <w:ilvl w:val="0"/>
          <w:numId w:val="5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Times New Roman" w:cs="Times New Roman" w:eastAsia="Times New Roman" w:hAnsi="Times New Roman"/>
          <w:sz w:val="16"/>
          <w:szCs w:val="16"/>
          <w:color w:val="auto"/>
        </w:rPr>
      </w:pPr>
    </w:p>
    <w:p>
      <w:pPr>
        <w:ind w:left="1040" w:right="480" w:hanging="290"/>
        <w:spacing w:after="0" w:line="247" w:lineRule="auto"/>
        <w:tabs>
          <w:tab w:leader="none" w:pos="1040" w:val="left"/>
        </w:tabs>
        <w:numPr>
          <w:ilvl w:val="1"/>
          <w:numId w:val="5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Times New Roman" w:cs="Times New Roman" w:eastAsia="Times New Roman" w:hAnsi="Times New Roman"/>
          <w:sz w:val="16"/>
          <w:szCs w:val="16"/>
          <w:color w:val="auto"/>
        </w:rPr>
      </w:pPr>
    </w:p>
    <w:p>
      <w:pPr>
        <w:ind w:left="1040" w:right="740" w:hanging="290"/>
        <w:spacing w:after="0" w:line="259" w:lineRule="auto"/>
        <w:tabs>
          <w:tab w:leader="none" w:pos="1040" w:val="left"/>
        </w:tabs>
        <w:numPr>
          <w:ilvl w:val="1"/>
          <w:numId w:val="5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Date: February 24, 2025</w:t>
      </w:r>
    </w:p>
    <w:p>
      <w:pPr>
        <w:spacing w:after="0" w:line="20"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6"/>
          <w:szCs w:val="16"/>
          <w:color w:val="auto"/>
        </w:rPr>
        <w:t>/s/ ANDREW P. POWER</w:t>
      </w:r>
    </w:p>
    <w:p>
      <w:pPr>
        <w:spacing w:after="0" w:line="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735965</wp:posOffset>
            </wp:positionH>
            <wp:positionV relativeFrom="paragraph">
              <wp:posOffset>9525</wp:posOffset>
            </wp:positionV>
            <wp:extent cx="3010535" cy="762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967">
                      <a:extLst>
                        <a:ext uri="{28A0092B-C50C-407E-A947-70E740481C1C}"/>
                      </a:extLst>
                    </a:blip>
                    <a:srcRect/>
                    <a:stretch>
                      <a:fillRect/>
                    </a:stretch>
                  </pic:blipFill>
                  <pic:spPr bwMode="auto">
                    <a:xfrm>
                      <a:off x="0" y="0"/>
                      <a:ext cx="3010535" cy="7620"/>
                    </a:xfrm>
                    <a:prstGeom prst="rect">
                      <a:avLst/>
                    </a:prstGeom>
                    <a:noFill/>
                  </pic:spPr>
                </pic:pic>
              </a:graphicData>
            </a:graphic>
          </wp:anchor>
        </w:drawing>
      </w:r>
    </w:p>
    <w:p>
      <w:pPr>
        <w:spacing w:after="0" w:line="18" w:lineRule="exact"/>
        <w:rPr>
          <w:sz w:val="20"/>
          <w:szCs w:val="20"/>
          <w:color w:val="auto"/>
        </w:rPr>
      </w:pPr>
    </w:p>
    <w:p>
      <w:pPr>
        <w:jc w:val="center"/>
        <w:ind w:right="1960"/>
        <w:spacing w:after="0"/>
        <w:rPr>
          <w:sz w:val="20"/>
          <w:szCs w:val="20"/>
          <w:color w:val="auto"/>
        </w:rPr>
      </w:pPr>
      <w:r>
        <w:rPr>
          <w:rFonts w:ascii="Times New Roman" w:cs="Times New Roman" w:eastAsia="Times New Roman" w:hAnsi="Times New Roman"/>
          <w:sz w:val="16"/>
          <w:szCs w:val="16"/>
          <w:color w:val="auto"/>
        </w:rPr>
        <w:t>Andrew P. Power</w:t>
      </w:r>
    </w:p>
    <w:p>
      <w:pPr>
        <w:spacing w:after="0" w:line="10" w:lineRule="exact"/>
        <w:rPr>
          <w:sz w:val="20"/>
          <w:szCs w:val="20"/>
          <w:color w:val="auto"/>
        </w:rPr>
      </w:pPr>
    </w:p>
    <w:p>
      <w:pPr>
        <w:jc w:val="center"/>
        <w:ind w:right="1960"/>
        <w:spacing w:after="0"/>
        <w:rPr>
          <w:sz w:val="20"/>
          <w:szCs w:val="20"/>
          <w:color w:val="auto"/>
        </w:rPr>
      </w:pPr>
      <w:r>
        <w:rPr>
          <w:rFonts w:ascii="Times New Roman" w:cs="Times New Roman" w:eastAsia="Times New Roman" w:hAnsi="Times New Roman"/>
          <w:sz w:val="16"/>
          <w:szCs w:val="16"/>
          <w:color w:val="auto"/>
        </w:rPr>
        <w:t>President &amp; Chief Executive Officer</w:t>
      </w:r>
    </w:p>
    <w:p>
      <w:pPr>
        <w:jc w:val="center"/>
        <w:ind w:right="1960"/>
        <w:spacing w:after="0" w:line="234" w:lineRule="auto"/>
        <w:rPr>
          <w:sz w:val="20"/>
          <w:szCs w:val="20"/>
          <w:color w:val="auto"/>
        </w:rPr>
      </w:pPr>
      <w:r>
        <w:rPr>
          <w:rFonts w:ascii="Times New Roman" w:cs="Times New Roman" w:eastAsia="Times New Roman" w:hAnsi="Times New Roman"/>
          <w:sz w:val="16"/>
          <w:szCs w:val="16"/>
          <w:color w:val="auto"/>
        </w:rPr>
        <w:t>(Principal Executive Officer)</w:t>
      </w:r>
    </w:p>
    <w:p>
      <w:pPr>
        <w:jc w:val="center"/>
        <w:ind w:right="1940"/>
        <w:spacing w:after="0" w:line="235" w:lineRule="auto"/>
        <w:rPr>
          <w:sz w:val="20"/>
          <w:szCs w:val="20"/>
          <w:color w:val="auto"/>
        </w:rPr>
      </w:pPr>
      <w:r>
        <w:rPr>
          <w:rFonts w:ascii="Times New Roman" w:cs="Times New Roman" w:eastAsia="Times New Roman" w:hAnsi="Times New Roman"/>
          <w:sz w:val="16"/>
          <w:szCs w:val="16"/>
          <w:color w:val="auto"/>
        </w:rPr>
        <w:t>Digital Realty Trust, Inc., sole general partner of</w:t>
      </w:r>
    </w:p>
    <w:p>
      <w:pPr>
        <w:spacing w:after="0" w:line="1" w:lineRule="exact"/>
        <w:rPr>
          <w:sz w:val="20"/>
          <w:szCs w:val="20"/>
          <w:color w:val="auto"/>
        </w:rPr>
      </w:pPr>
    </w:p>
    <w:p>
      <w:pPr>
        <w:jc w:val="center"/>
        <w:ind w:right="1960"/>
        <w:spacing w:after="0"/>
        <w:rPr>
          <w:sz w:val="20"/>
          <w:szCs w:val="20"/>
          <w:color w:val="auto"/>
        </w:rPr>
      </w:pPr>
      <w:r>
        <w:rPr>
          <w:rFonts w:ascii="Times New Roman" w:cs="Times New Roman" w:eastAsia="Times New Roman" w:hAnsi="Times New Roman"/>
          <w:sz w:val="16"/>
          <w:szCs w:val="16"/>
          <w:color w:val="auto"/>
        </w:rPr>
        <w:t>Digital Realty Trust,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459105</wp:posOffset>
            </wp:positionV>
            <wp:extent cx="5121910" cy="1524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968">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555" w:right="1440" w:bottom="1440" w:gutter="0" w:footer="0" w:header="0"/>
        </w:sectPr>
      </w:pPr>
    </w:p>
    <w:bookmarkStart w:id="553" w:name="page554"/>
    <w:bookmarkEnd w:id="553"/>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Exhibit 31.4</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Chief Financial Officer</w:t>
      </w:r>
    </w:p>
    <w:p>
      <w:pPr>
        <w:spacing w:after="0" w:line="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I, Matthew R. Mercier, certify that:</w:t>
      </w:r>
    </w:p>
    <w:p>
      <w:pPr>
        <w:spacing w:after="0" w:line="188" w:lineRule="exact"/>
        <w:rPr>
          <w:sz w:val="20"/>
          <w:szCs w:val="20"/>
          <w:color w:val="auto"/>
        </w:rPr>
      </w:pPr>
    </w:p>
    <w:p>
      <w:pPr>
        <w:ind w:left="1040" w:hanging="578"/>
        <w:spacing w:after="0"/>
        <w:tabs>
          <w:tab w:leader="none" w:pos="1040" w:val="left"/>
        </w:tabs>
        <w:numPr>
          <w:ilvl w:val="0"/>
          <w:numId w:val="5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Digital Realty Trust, L.P.;</w:t>
      </w:r>
    </w:p>
    <w:p>
      <w:pPr>
        <w:spacing w:after="0" w:line="188" w:lineRule="exact"/>
        <w:rPr>
          <w:rFonts w:ascii="Times New Roman" w:cs="Times New Roman" w:eastAsia="Times New Roman" w:hAnsi="Times New Roman"/>
          <w:sz w:val="16"/>
          <w:szCs w:val="16"/>
          <w:color w:val="auto"/>
        </w:rPr>
      </w:pPr>
    </w:p>
    <w:p>
      <w:pPr>
        <w:jc w:val="both"/>
        <w:ind w:left="1040" w:right="580" w:hanging="578"/>
        <w:spacing w:after="0" w:line="247" w:lineRule="auto"/>
        <w:tabs>
          <w:tab w:leader="none" w:pos="1049" w:val="left"/>
        </w:tabs>
        <w:numPr>
          <w:ilvl w:val="0"/>
          <w:numId w:val="5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rFonts w:ascii="Times New Roman" w:cs="Times New Roman" w:eastAsia="Times New Roman" w:hAnsi="Times New Roman"/>
          <w:sz w:val="16"/>
          <w:szCs w:val="16"/>
          <w:color w:val="auto"/>
        </w:rPr>
      </w:pPr>
    </w:p>
    <w:p>
      <w:pPr>
        <w:ind w:left="1040" w:right="540" w:hanging="578"/>
        <w:spacing w:after="0" w:line="247" w:lineRule="auto"/>
        <w:tabs>
          <w:tab w:leader="none" w:pos="1049" w:val="left"/>
        </w:tabs>
        <w:numPr>
          <w:ilvl w:val="0"/>
          <w:numId w:val="5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Times New Roman" w:cs="Times New Roman" w:eastAsia="Times New Roman" w:hAnsi="Times New Roman"/>
          <w:sz w:val="16"/>
          <w:szCs w:val="16"/>
          <w:color w:val="auto"/>
        </w:rPr>
      </w:pPr>
    </w:p>
    <w:p>
      <w:pPr>
        <w:jc w:val="both"/>
        <w:ind w:left="1040" w:right="480" w:hanging="578"/>
        <w:spacing w:after="0" w:line="247" w:lineRule="auto"/>
        <w:tabs>
          <w:tab w:leader="none" w:pos="1049" w:val="left"/>
        </w:tabs>
        <w:numPr>
          <w:ilvl w:val="0"/>
          <w:numId w:val="5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4" w:lineRule="exact"/>
        <w:rPr>
          <w:rFonts w:ascii="Times New Roman" w:cs="Times New Roman" w:eastAsia="Times New Roman" w:hAnsi="Times New Roman"/>
          <w:sz w:val="16"/>
          <w:szCs w:val="16"/>
          <w:color w:val="auto"/>
        </w:rPr>
      </w:pPr>
    </w:p>
    <w:p>
      <w:pPr>
        <w:ind w:left="1040" w:right="660" w:hanging="290"/>
        <w:spacing w:after="0" w:line="243" w:lineRule="auto"/>
        <w:tabs>
          <w:tab w:leader="none" w:pos="1040" w:val="left"/>
        </w:tabs>
        <w:numPr>
          <w:ilvl w:val="1"/>
          <w:numId w:val="5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7" w:lineRule="exact"/>
        <w:rPr>
          <w:rFonts w:ascii="Times New Roman" w:cs="Times New Roman" w:eastAsia="Times New Roman" w:hAnsi="Times New Roman"/>
          <w:sz w:val="16"/>
          <w:szCs w:val="16"/>
          <w:color w:val="auto"/>
        </w:rPr>
      </w:pPr>
    </w:p>
    <w:p>
      <w:pPr>
        <w:ind w:left="1040" w:right="600" w:hanging="290"/>
        <w:spacing w:after="0" w:line="299" w:lineRule="auto"/>
        <w:tabs>
          <w:tab w:leader="none" w:pos="1040" w:val="left"/>
        </w:tabs>
        <w:numPr>
          <w:ilvl w:val="1"/>
          <w:numId w:val="5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Times New Roman" w:cs="Times New Roman" w:eastAsia="Times New Roman" w:hAnsi="Times New Roman"/>
          <w:sz w:val="14"/>
          <w:szCs w:val="14"/>
          <w:color w:val="auto"/>
        </w:rPr>
      </w:pPr>
    </w:p>
    <w:p>
      <w:pPr>
        <w:ind w:left="1040" w:right="480" w:hanging="290"/>
        <w:spacing w:after="0" w:line="247" w:lineRule="auto"/>
        <w:tabs>
          <w:tab w:leader="none" w:pos="1040" w:val="left"/>
        </w:tabs>
        <w:numPr>
          <w:ilvl w:val="1"/>
          <w:numId w:val="5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Times New Roman" w:cs="Times New Roman" w:eastAsia="Times New Roman" w:hAnsi="Times New Roman"/>
          <w:sz w:val="16"/>
          <w:szCs w:val="16"/>
          <w:color w:val="auto"/>
        </w:rPr>
      </w:pPr>
    </w:p>
    <w:p>
      <w:pPr>
        <w:ind w:left="1040" w:right="560" w:hanging="290"/>
        <w:spacing w:after="0" w:line="243" w:lineRule="auto"/>
        <w:tabs>
          <w:tab w:leader="none" w:pos="1040" w:val="left"/>
        </w:tabs>
        <w:numPr>
          <w:ilvl w:val="1"/>
          <w:numId w:val="5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Times New Roman" w:cs="Times New Roman" w:eastAsia="Times New Roman" w:hAnsi="Times New Roman"/>
          <w:sz w:val="16"/>
          <w:szCs w:val="16"/>
          <w:color w:val="auto"/>
        </w:rPr>
      </w:pPr>
    </w:p>
    <w:p>
      <w:pPr>
        <w:ind w:left="1040" w:right="560" w:hanging="578"/>
        <w:spacing w:after="0" w:line="247" w:lineRule="auto"/>
        <w:tabs>
          <w:tab w:leader="none" w:pos="1049" w:val="left"/>
        </w:tabs>
        <w:numPr>
          <w:ilvl w:val="0"/>
          <w:numId w:val="5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Times New Roman" w:cs="Times New Roman" w:eastAsia="Times New Roman" w:hAnsi="Times New Roman"/>
          <w:sz w:val="16"/>
          <w:szCs w:val="16"/>
          <w:color w:val="auto"/>
        </w:rPr>
      </w:pPr>
    </w:p>
    <w:p>
      <w:pPr>
        <w:ind w:left="1040" w:right="480" w:hanging="290"/>
        <w:spacing w:after="0" w:line="247" w:lineRule="auto"/>
        <w:tabs>
          <w:tab w:leader="none" w:pos="1040" w:val="left"/>
        </w:tabs>
        <w:numPr>
          <w:ilvl w:val="1"/>
          <w:numId w:val="5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Times New Roman" w:cs="Times New Roman" w:eastAsia="Times New Roman" w:hAnsi="Times New Roman"/>
          <w:sz w:val="16"/>
          <w:szCs w:val="16"/>
          <w:color w:val="auto"/>
        </w:rPr>
      </w:pPr>
    </w:p>
    <w:p>
      <w:pPr>
        <w:ind w:left="1040" w:right="740" w:hanging="290"/>
        <w:spacing w:after="0" w:line="259" w:lineRule="auto"/>
        <w:tabs>
          <w:tab w:leader="none" w:pos="1040" w:val="left"/>
        </w:tabs>
        <w:numPr>
          <w:ilvl w:val="1"/>
          <w:numId w:val="5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Date: February 24, 2025</w:t>
      </w:r>
    </w:p>
    <w:p>
      <w:pPr>
        <w:spacing w:after="0" w:line="20"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6"/>
          <w:szCs w:val="16"/>
          <w:color w:val="auto"/>
        </w:rPr>
        <w:t>/s/ MATTHEW R. MERCIER</w:t>
      </w:r>
    </w:p>
    <w:p>
      <w:pPr>
        <w:spacing w:after="0" w:line="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735965</wp:posOffset>
            </wp:positionH>
            <wp:positionV relativeFrom="paragraph">
              <wp:posOffset>9525</wp:posOffset>
            </wp:positionV>
            <wp:extent cx="3010535" cy="762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969">
                      <a:extLst>
                        <a:ext uri="{28A0092B-C50C-407E-A947-70E740481C1C}"/>
                      </a:extLst>
                    </a:blip>
                    <a:srcRect/>
                    <a:stretch>
                      <a:fillRect/>
                    </a:stretch>
                  </pic:blipFill>
                  <pic:spPr bwMode="auto">
                    <a:xfrm>
                      <a:off x="0" y="0"/>
                      <a:ext cx="3010535" cy="7620"/>
                    </a:xfrm>
                    <a:prstGeom prst="rect">
                      <a:avLst/>
                    </a:prstGeom>
                    <a:noFill/>
                  </pic:spPr>
                </pic:pic>
              </a:graphicData>
            </a:graphic>
          </wp:anchor>
        </w:drawing>
      </w:r>
    </w:p>
    <w:p>
      <w:pPr>
        <w:spacing w:after="0" w:line="18" w:lineRule="exact"/>
        <w:rPr>
          <w:sz w:val="20"/>
          <w:szCs w:val="20"/>
          <w:color w:val="auto"/>
        </w:rPr>
      </w:pPr>
    </w:p>
    <w:p>
      <w:pPr>
        <w:jc w:val="center"/>
        <w:ind w:right="1960"/>
        <w:spacing w:after="0"/>
        <w:rPr>
          <w:sz w:val="20"/>
          <w:szCs w:val="20"/>
          <w:color w:val="auto"/>
        </w:rPr>
      </w:pPr>
      <w:r>
        <w:rPr>
          <w:rFonts w:ascii="Times New Roman" w:cs="Times New Roman" w:eastAsia="Times New Roman" w:hAnsi="Times New Roman"/>
          <w:sz w:val="16"/>
          <w:szCs w:val="16"/>
          <w:color w:val="auto"/>
        </w:rPr>
        <w:t>Matthew R. Mercier</w:t>
      </w:r>
    </w:p>
    <w:p>
      <w:pPr>
        <w:spacing w:after="0" w:line="10" w:lineRule="exact"/>
        <w:rPr>
          <w:sz w:val="20"/>
          <w:szCs w:val="20"/>
          <w:color w:val="auto"/>
        </w:rPr>
      </w:pPr>
    </w:p>
    <w:p>
      <w:pPr>
        <w:jc w:val="center"/>
        <w:ind w:right="1960"/>
        <w:spacing w:after="0"/>
        <w:rPr>
          <w:sz w:val="20"/>
          <w:szCs w:val="20"/>
          <w:color w:val="auto"/>
        </w:rPr>
      </w:pPr>
      <w:r>
        <w:rPr>
          <w:rFonts w:ascii="Times New Roman" w:cs="Times New Roman" w:eastAsia="Times New Roman" w:hAnsi="Times New Roman"/>
          <w:sz w:val="16"/>
          <w:szCs w:val="16"/>
          <w:color w:val="auto"/>
        </w:rPr>
        <w:t>Chief Financial Officer</w:t>
      </w:r>
    </w:p>
    <w:p>
      <w:pPr>
        <w:jc w:val="center"/>
        <w:ind w:right="1960"/>
        <w:spacing w:after="0" w:line="234" w:lineRule="auto"/>
        <w:rPr>
          <w:sz w:val="20"/>
          <w:szCs w:val="20"/>
          <w:color w:val="auto"/>
        </w:rPr>
      </w:pPr>
      <w:r>
        <w:rPr>
          <w:rFonts w:ascii="Times New Roman" w:cs="Times New Roman" w:eastAsia="Times New Roman" w:hAnsi="Times New Roman"/>
          <w:sz w:val="16"/>
          <w:szCs w:val="16"/>
          <w:color w:val="auto"/>
        </w:rPr>
        <w:t>(Principal Financial Officer)</w:t>
      </w:r>
    </w:p>
    <w:p>
      <w:pPr>
        <w:jc w:val="center"/>
        <w:ind w:right="1940"/>
        <w:spacing w:after="0" w:line="235" w:lineRule="auto"/>
        <w:rPr>
          <w:sz w:val="20"/>
          <w:szCs w:val="20"/>
          <w:color w:val="auto"/>
        </w:rPr>
      </w:pPr>
      <w:r>
        <w:rPr>
          <w:rFonts w:ascii="Times New Roman" w:cs="Times New Roman" w:eastAsia="Times New Roman" w:hAnsi="Times New Roman"/>
          <w:sz w:val="16"/>
          <w:szCs w:val="16"/>
          <w:color w:val="auto"/>
        </w:rPr>
        <w:t>Digital Realty Trust, Inc., sole general partner of</w:t>
      </w:r>
    </w:p>
    <w:p>
      <w:pPr>
        <w:spacing w:after="0" w:line="1" w:lineRule="exact"/>
        <w:rPr>
          <w:sz w:val="20"/>
          <w:szCs w:val="20"/>
          <w:color w:val="auto"/>
        </w:rPr>
      </w:pPr>
    </w:p>
    <w:p>
      <w:pPr>
        <w:jc w:val="center"/>
        <w:ind w:right="1960"/>
        <w:spacing w:after="0"/>
        <w:rPr>
          <w:sz w:val="20"/>
          <w:szCs w:val="20"/>
          <w:color w:val="auto"/>
        </w:rPr>
      </w:pPr>
      <w:r>
        <w:rPr>
          <w:rFonts w:ascii="Times New Roman" w:cs="Times New Roman" w:eastAsia="Times New Roman" w:hAnsi="Times New Roman"/>
          <w:sz w:val="16"/>
          <w:szCs w:val="16"/>
          <w:color w:val="auto"/>
        </w:rPr>
        <w:t>Digital Realty Trust,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459105</wp:posOffset>
            </wp:positionV>
            <wp:extent cx="5121910" cy="1524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970">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555" w:right="1440" w:bottom="1440" w:gutter="0" w:footer="0" w:header="0"/>
        </w:sectPr>
      </w:pPr>
    </w:p>
    <w:bookmarkStart w:id="554" w:name="page555"/>
    <w:bookmarkEnd w:id="554"/>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 Pursuant to 18 U.S.C. Section 1350, as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Adopted Pursuant to Section 906 of the Sarbanes-Oxley Act of 2002</w:t>
      </w:r>
    </w:p>
    <w:p>
      <w:pPr>
        <w:spacing w:after="0" w:line="171" w:lineRule="exact"/>
        <w:rPr>
          <w:sz w:val="20"/>
          <w:szCs w:val="20"/>
          <w:color w:val="auto"/>
        </w:rPr>
      </w:pPr>
    </w:p>
    <w:p>
      <w:pPr>
        <w:ind w:left="460" w:right="500"/>
        <w:spacing w:after="0" w:line="291" w:lineRule="auto"/>
        <w:rPr>
          <w:sz w:val="20"/>
          <w:szCs w:val="20"/>
          <w:color w:val="auto"/>
        </w:rPr>
      </w:pPr>
      <w:r>
        <w:rPr>
          <w:rFonts w:ascii="Times New Roman" w:cs="Times New Roman" w:eastAsia="Times New Roman" w:hAnsi="Times New Roman"/>
          <w:sz w:val="14"/>
          <w:szCs w:val="14"/>
          <w:color w:val="auto"/>
        </w:rPr>
        <w:t>Pursuant to 18 U.S.C. § 1350, as created by Section 906 of the Sarbanes-Oxley Act of 2002, the undersigned officer of Digital Realty Trust, Inc. (the “Company”) hereby certifies, to such officer’s knowledge, that:</w:t>
      </w:r>
    </w:p>
    <w:p>
      <w:pPr>
        <w:spacing w:after="0" w:line="126" w:lineRule="exact"/>
        <w:rPr>
          <w:sz w:val="20"/>
          <w:szCs w:val="20"/>
          <w:color w:val="auto"/>
        </w:rPr>
      </w:pPr>
    </w:p>
    <w:p>
      <w:pPr>
        <w:ind w:left="760" w:right="500" w:hanging="298"/>
        <w:spacing w:after="0" w:line="291" w:lineRule="auto"/>
        <w:tabs>
          <w:tab w:leader="none" w:pos="788" w:val="left"/>
        </w:tabs>
        <w:numPr>
          <w:ilvl w:val="0"/>
          <w:numId w:val="5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accompanying Annual Report on Form 10-K of the Company for the year ended December 31, 2024 (the “Report”) fully complies with the requirements of Section 13(a) or Section 15(d) of the Securities Exchange Act of 1934, as amended; and</w:t>
      </w:r>
    </w:p>
    <w:p>
      <w:pPr>
        <w:spacing w:after="0" w:line="137" w:lineRule="exact"/>
        <w:rPr>
          <w:rFonts w:ascii="Times New Roman" w:cs="Times New Roman" w:eastAsia="Times New Roman" w:hAnsi="Times New Roman"/>
          <w:sz w:val="14"/>
          <w:szCs w:val="14"/>
          <w:color w:val="auto"/>
        </w:rPr>
      </w:pPr>
    </w:p>
    <w:p>
      <w:pPr>
        <w:ind w:left="760" w:right="560" w:hanging="298"/>
        <w:spacing w:after="0" w:line="291" w:lineRule="auto"/>
        <w:tabs>
          <w:tab w:leader="none" w:pos="792" w:val="left"/>
        </w:tabs>
        <w:numPr>
          <w:ilvl w:val="0"/>
          <w:numId w:val="5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 at the dates and for the periods indicated.</w:t>
      </w:r>
    </w:p>
    <w:p>
      <w:pPr>
        <w:spacing w:after="0" w:line="1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Date: February 24, 2025</w:t>
      </w:r>
    </w:p>
    <w:p>
      <w:pPr>
        <w:spacing w:after="0" w:line="200" w:lineRule="exact"/>
        <w:rPr>
          <w:sz w:val="20"/>
          <w:szCs w:val="20"/>
          <w:color w:val="auto"/>
        </w:rPr>
      </w:pPr>
    </w:p>
    <w:p>
      <w:pPr>
        <w:spacing w:after="0" w:line="215" w:lineRule="exact"/>
        <w:rPr>
          <w:sz w:val="20"/>
          <w:szCs w:val="20"/>
          <w:color w:val="auto"/>
        </w:rPr>
      </w:pPr>
    </w:p>
    <w:p>
      <w:pPr>
        <w:jc w:val="center"/>
        <w:ind w:right="3700"/>
        <w:spacing w:after="0"/>
        <w:rPr>
          <w:sz w:val="20"/>
          <w:szCs w:val="20"/>
          <w:color w:val="auto"/>
        </w:rPr>
      </w:pPr>
      <w:r>
        <w:rPr>
          <w:rFonts w:ascii="Times New Roman" w:cs="Times New Roman" w:eastAsia="Times New Roman" w:hAnsi="Times New Roman"/>
          <w:sz w:val="14"/>
          <w:szCs w:val="14"/>
          <w:color w:val="auto"/>
        </w:rPr>
        <w:t>/s/ ANDREW P.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34925</wp:posOffset>
            </wp:positionV>
            <wp:extent cx="2606675" cy="762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971">
                      <a:extLst>
                        <a:ext uri="{28A0092B-C50C-407E-A947-70E740481C1C}"/>
                      </a:extLst>
                    </a:blip>
                    <a:srcRect/>
                    <a:stretch>
                      <a:fillRect/>
                    </a:stretch>
                  </pic:blipFill>
                  <pic:spPr bwMode="auto">
                    <a:xfrm>
                      <a:off x="0" y="0"/>
                      <a:ext cx="2606675" cy="7620"/>
                    </a:xfrm>
                    <a:prstGeom prst="rect">
                      <a:avLst/>
                    </a:prstGeom>
                    <a:noFill/>
                  </pic:spPr>
                </pic:pic>
              </a:graphicData>
            </a:graphic>
          </wp:anchor>
        </w:drawing>
      </w:r>
    </w:p>
    <w:p>
      <w:pPr>
        <w:spacing w:after="0" w:line="59" w:lineRule="exact"/>
        <w:rPr>
          <w:sz w:val="20"/>
          <w:szCs w:val="20"/>
          <w:color w:val="auto"/>
        </w:rPr>
      </w:pPr>
    </w:p>
    <w:p>
      <w:pPr>
        <w:jc w:val="center"/>
        <w:ind w:right="3700"/>
        <w:spacing w:after="0"/>
        <w:rPr>
          <w:sz w:val="20"/>
          <w:szCs w:val="20"/>
          <w:color w:val="auto"/>
        </w:rPr>
      </w:pPr>
      <w:r>
        <w:rPr>
          <w:rFonts w:ascii="Times New Roman" w:cs="Times New Roman" w:eastAsia="Times New Roman" w:hAnsi="Times New Roman"/>
          <w:sz w:val="14"/>
          <w:szCs w:val="14"/>
          <w:color w:val="auto"/>
        </w:rPr>
        <w:t>Andrew P. Power</w:t>
      </w:r>
    </w:p>
    <w:p>
      <w:pPr>
        <w:spacing w:after="0" w:line="67" w:lineRule="exact"/>
        <w:rPr>
          <w:sz w:val="20"/>
          <w:szCs w:val="20"/>
          <w:color w:val="auto"/>
        </w:rPr>
      </w:pPr>
    </w:p>
    <w:p>
      <w:pPr>
        <w:jc w:val="center"/>
        <w:ind w:right="3700"/>
        <w:spacing w:after="0"/>
        <w:rPr>
          <w:sz w:val="20"/>
          <w:szCs w:val="20"/>
          <w:color w:val="auto"/>
        </w:rPr>
      </w:pPr>
      <w:r>
        <w:rPr>
          <w:rFonts w:ascii="Times New Roman" w:cs="Times New Roman" w:eastAsia="Times New Roman" w:hAnsi="Times New Roman"/>
          <w:sz w:val="14"/>
          <w:szCs w:val="14"/>
          <w:color w:val="auto"/>
        </w:rPr>
        <w:t>President &amp; Chief Executive Officer</w:t>
      </w:r>
    </w:p>
    <w:p>
      <w:pPr>
        <w:spacing w:after="0" w:line="211" w:lineRule="exact"/>
        <w:rPr>
          <w:sz w:val="20"/>
          <w:szCs w:val="20"/>
          <w:color w:val="auto"/>
        </w:rPr>
      </w:pPr>
    </w:p>
    <w:p>
      <w:pPr>
        <w:jc w:val="both"/>
        <w:ind w:left="460" w:right="520"/>
        <w:spacing w:after="0" w:line="270" w:lineRule="auto"/>
        <w:rPr>
          <w:sz w:val="20"/>
          <w:szCs w:val="20"/>
          <w:color w:val="auto"/>
        </w:rPr>
      </w:pPr>
      <w:r>
        <w:rPr>
          <w:rFonts w:ascii="Times New Roman" w:cs="Times New Roman" w:eastAsia="Times New Roman" w:hAnsi="Times New Roman"/>
          <w:sz w:val="14"/>
          <w:szCs w:val="14"/>
          <w:color w:val="auto"/>
        </w:rPr>
        <w:t>Pursuant to Securities and Exchange Commission Release 33-8238, dated June 5, 2003, this certification is being furnished and shall not be deemed filed by the Company for purposes of Section 18 of the Securities Exchange Act of 1934, as amended, or incorporated by reference in any registration statement of the Company filed under the Securities Act of 1933, as amended.</w:t>
      </w:r>
    </w:p>
    <w:p>
      <w:pPr>
        <w:spacing w:after="0" w:line="141" w:lineRule="exact"/>
        <w:rPr>
          <w:sz w:val="20"/>
          <w:szCs w:val="20"/>
          <w:color w:val="auto"/>
        </w:rPr>
      </w:pPr>
    </w:p>
    <w:p>
      <w:pPr>
        <w:jc w:val="both"/>
        <w:ind w:left="460" w:right="520"/>
        <w:spacing w:after="0" w:line="291"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278130</wp:posOffset>
            </wp:positionV>
            <wp:extent cx="5121910" cy="1524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972">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555" w:right="1440" w:bottom="1440" w:gutter="0" w:footer="0" w:header="0"/>
        </w:sectPr>
      </w:pPr>
    </w:p>
    <w:bookmarkStart w:id="555" w:name="page556"/>
    <w:bookmarkEnd w:id="555"/>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Financial Officer Pursuant to 18 U.S.C. Section 1350, as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Adopted Pursuant to Section 906 of the Sarbanes-Oxley Act of 2002</w:t>
      </w:r>
    </w:p>
    <w:p>
      <w:pPr>
        <w:spacing w:after="0" w:line="171" w:lineRule="exact"/>
        <w:rPr>
          <w:sz w:val="20"/>
          <w:szCs w:val="20"/>
          <w:color w:val="auto"/>
        </w:rPr>
      </w:pPr>
    </w:p>
    <w:p>
      <w:pPr>
        <w:ind w:left="460" w:right="500"/>
        <w:spacing w:after="0" w:line="291" w:lineRule="auto"/>
        <w:rPr>
          <w:sz w:val="20"/>
          <w:szCs w:val="20"/>
          <w:color w:val="auto"/>
        </w:rPr>
      </w:pPr>
      <w:r>
        <w:rPr>
          <w:rFonts w:ascii="Times New Roman" w:cs="Times New Roman" w:eastAsia="Times New Roman" w:hAnsi="Times New Roman"/>
          <w:sz w:val="14"/>
          <w:szCs w:val="14"/>
          <w:color w:val="auto"/>
        </w:rPr>
        <w:t>Pursuant to 18 U.S.C. § 1350, as created by Section 906 of the Sarbanes-Oxley Act of 2002, the undersigned officer of Digital Realty Trust, Inc. (the “Company”) hereby certifies, to such officer’s knowledge, that:</w:t>
      </w:r>
    </w:p>
    <w:p>
      <w:pPr>
        <w:spacing w:after="0" w:line="126" w:lineRule="exact"/>
        <w:rPr>
          <w:sz w:val="20"/>
          <w:szCs w:val="20"/>
          <w:color w:val="auto"/>
        </w:rPr>
      </w:pPr>
    </w:p>
    <w:p>
      <w:pPr>
        <w:ind w:left="760" w:right="500" w:hanging="298"/>
        <w:spacing w:after="0" w:line="291" w:lineRule="auto"/>
        <w:tabs>
          <w:tab w:leader="none" w:pos="788" w:val="left"/>
        </w:tabs>
        <w:numPr>
          <w:ilvl w:val="0"/>
          <w:numId w:val="5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accompanying Annual Report on Form 10-K of the Company for the year ended December 31, 2024 (the “Report”) fully complies with the requirements of Section 13(a) or Section 15(d) of the Securities Exchange Act of 1934, as amended; and</w:t>
      </w:r>
    </w:p>
    <w:p>
      <w:pPr>
        <w:spacing w:after="0" w:line="137" w:lineRule="exact"/>
        <w:rPr>
          <w:rFonts w:ascii="Times New Roman" w:cs="Times New Roman" w:eastAsia="Times New Roman" w:hAnsi="Times New Roman"/>
          <w:sz w:val="14"/>
          <w:szCs w:val="14"/>
          <w:color w:val="auto"/>
        </w:rPr>
      </w:pPr>
    </w:p>
    <w:p>
      <w:pPr>
        <w:ind w:left="760" w:right="560" w:hanging="298"/>
        <w:spacing w:after="0" w:line="291" w:lineRule="auto"/>
        <w:tabs>
          <w:tab w:leader="none" w:pos="792" w:val="left"/>
        </w:tabs>
        <w:numPr>
          <w:ilvl w:val="0"/>
          <w:numId w:val="5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 at the dates and for the periods indicated.</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Date: February 24, 2025</w:t>
      </w:r>
    </w:p>
    <w:p>
      <w:pPr>
        <w:spacing w:after="0" w:line="200" w:lineRule="exact"/>
        <w:rPr>
          <w:sz w:val="20"/>
          <w:szCs w:val="20"/>
          <w:color w:val="auto"/>
        </w:rPr>
      </w:pPr>
    </w:p>
    <w:p>
      <w:pPr>
        <w:spacing w:after="0" w:line="215" w:lineRule="exact"/>
        <w:rPr>
          <w:sz w:val="20"/>
          <w:szCs w:val="20"/>
          <w:color w:val="auto"/>
        </w:rPr>
      </w:pPr>
    </w:p>
    <w:p>
      <w:pPr>
        <w:jc w:val="center"/>
        <w:ind w:right="3680"/>
        <w:spacing w:after="0"/>
        <w:rPr>
          <w:sz w:val="20"/>
          <w:szCs w:val="20"/>
          <w:color w:val="auto"/>
        </w:rPr>
      </w:pPr>
      <w:r>
        <w:rPr>
          <w:rFonts w:ascii="Times New Roman" w:cs="Times New Roman" w:eastAsia="Times New Roman" w:hAnsi="Times New Roman"/>
          <w:sz w:val="14"/>
          <w:szCs w:val="14"/>
          <w:color w:val="auto"/>
        </w:rPr>
        <w:t>/s/ MATTHEW R. MERCIER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34925</wp:posOffset>
            </wp:positionV>
            <wp:extent cx="2606675" cy="762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973">
                      <a:extLst>
                        <a:ext uri="{28A0092B-C50C-407E-A947-70E740481C1C}"/>
                      </a:extLst>
                    </a:blip>
                    <a:srcRect/>
                    <a:stretch>
                      <a:fillRect/>
                    </a:stretch>
                  </pic:blipFill>
                  <pic:spPr bwMode="auto">
                    <a:xfrm>
                      <a:off x="0" y="0"/>
                      <a:ext cx="2606675" cy="7620"/>
                    </a:xfrm>
                    <a:prstGeom prst="rect">
                      <a:avLst/>
                    </a:prstGeom>
                    <a:noFill/>
                  </pic:spPr>
                </pic:pic>
              </a:graphicData>
            </a:graphic>
          </wp:anchor>
        </w:drawing>
      </w:r>
    </w:p>
    <w:p>
      <w:pPr>
        <w:spacing w:after="0" w:line="59" w:lineRule="exact"/>
        <w:rPr>
          <w:sz w:val="20"/>
          <w:szCs w:val="20"/>
          <w:color w:val="auto"/>
        </w:rPr>
      </w:pPr>
    </w:p>
    <w:p>
      <w:pPr>
        <w:jc w:val="center"/>
        <w:ind w:right="3700"/>
        <w:spacing w:after="0"/>
        <w:rPr>
          <w:sz w:val="20"/>
          <w:szCs w:val="20"/>
          <w:color w:val="auto"/>
        </w:rPr>
      </w:pPr>
      <w:r>
        <w:rPr>
          <w:rFonts w:ascii="Times New Roman" w:cs="Times New Roman" w:eastAsia="Times New Roman" w:hAnsi="Times New Roman"/>
          <w:sz w:val="14"/>
          <w:szCs w:val="14"/>
          <w:color w:val="auto"/>
        </w:rPr>
        <w:t>Matthew R. Mercier</w:t>
      </w:r>
    </w:p>
    <w:p>
      <w:pPr>
        <w:spacing w:after="0" w:line="67" w:lineRule="exact"/>
        <w:rPr>
          <w:sz w:val="20"/>
          <w:szCs w:val="20"/>
          <w:color w:val="auto"/>
        </w:rPr>
      </w:pPr>
    </w:p>
    <w:p>
      <w:pPr>
        <w:jc w:val="center"/>
        <w:ind w:right="370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211" w:lineRule="exact"/>
        <w:rPr>
          <w:sz w:val="20"/>
          <w:szCs w:val="20"/>
          <w:color w:val="auto"/>
        </w:rPr>
      </w:pPr>
    </w:p>
    <w:p>
      <w:pPr>
        <w:jc w:val="both"/>
        <w:ind w:left="460" w:right="520"/>
        <w:spacing w:after="0" w:line="270" w:lineRule="auto"/>
        <w:rPr>
          <w:sz w:val="20"/>
          <w:szCs w:val="20"/>
          <w:color w:val="auto"/>
        </w:rPr>
      </w:pPr>
      <w:r>
        <w:rPr>
          <w:rFonts w:ascii="Times New Roman" w:cs="Times New Roman" w:eastAsia="Times New Roman" w:hAnsi="Times New Roman"/>
          <w:sz w:val="14"/>
          <w:szCs w:val="14"/>
          <w:color w:val="auto"/>
        </w:rPr>
        <w:t>Pursuant to Securities and Exchange Commission Release 33-8238, dated June 5, 2003, this certification is being furnished and shall not be deemed filed by the Company for purposes of Section 18 of the Securities Exchange Act of 1934, as amended, or incorporated by reference in any registration statement of the Company filed under the Securities Act of 1933, as amended.</w:t>
      </w:r>
    </w:p>
    <w:p>
      <w:pPr>
        <w:spacing w:after="0" w:line="141" w:lineRule="exact"/>
        <w:rPr>
          <w:sz w:val="20"/>
          <w:szCs w:val="20"/>
          <w:color w:val="auto"/>
        </w:rPr>
      </w:pPr>
    </w:p>
    <w:p>
      <w:pPr>
        <w:jc w:val="both"/>
        <w:ind w:left="460" w:right="520"/>
        <w:spacing w:after="0" w:line="291"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278130</wp:posOffset>
            </wp:positionV>
            <wp:extent cx="5121910" cy="1524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974">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555" w:right="1440" w:bottom="1440" w:gutter="0" w:footer="0" w:header="0"/>
        </w:sectPr>
      </w:pPr>
    </w:p>
    <w:bookmarkStart w:id="556" w:name="page557"/>
    <w:bookmarkEnd w:id="556"/>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Exhibit 32.3</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 Pursuant to 18 U.S.C. Section 1350, as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Adopted Pursuant to Section 906 of the Sarbanes-Oxley Act of 2002</w:t>
      </w:r>
    </w:p>
    <w:p>
      <w:pPr>
        <w:spacing w:after="0" w:line="171" w:lineRule="exact"/>
        <w:rPr>
          <w:sz w:val="20"/>
          <w:szCs w:val="20"/>
          <w:color w:val="auto"/>
        </w:rPr>
      </w:pPr>
    </w:p>
    <w:p>
      <w:pPr>
        <w:jc w:val="both"/>
        <w:ind w:left="460" w:right="500"/>
        <w:spacing w:after="0" w:line="270" w:lineRule="auto"/>
        <w:rPr>
          <w:sz w:val="20"/>
          <w:szCs w:val="20"/>
          <w:color w:val="auto"/>
        </w:rPr>
      </w:pPr>
      <w:r>
        <w:rPr>
          <w:rFonts w:ascii="Times New Roman" w:cs="Times New Roman" w:eastAsia="Times New Roman" w:hAnsi="Times New Roman"/>
          <w:sz w:val="14"/>
          <w:szCs w:val="14"/>
          <w:color w:val="auto"/>
        </w:rPr>
        <w:t>Pursuant to 18 U.S.C. § 1350, as created by Section 906 of the Sarbanes-Oxley Act of 2002, the undersigned officer of Digital Realty Trust, Inc., in its capacity as the sole general partner of Digital Realty Trust, L.P. (the “Operating Partnership”), hereby certifies, to such officer’s knowledge, that:</w:t>
      </w:r>
    </w:p>
    <w:p>
      <w:pPr>
        <w:spacing w:after="0" w:line="141" w:lineRule="exact"/>
        <w:rPr>
          <w:sz w:val="20"/>
          <w:szCs w:val="20"/>
          <w:color w:val="auto"/>
        </w:rPr>
      </w:pPr>
    </w:p>
    <w:p>
      <w:pPr>
        <w:ind w:left="760" w:right="660" w:hanging="298"/>
        <w:spacing w:after="0" w:line="291" w:lineRule="auto"/>
        <w:tabs>
          <w:tab w:leader="none" w:pos="788" w:val="left"/>
        </w:tabs>
        <w:numPr>
          <w:ilvl w:val="0"/>
          <w:numId w:val="5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accompanying Annual Report on Form 10-K of the Operating Partnership for the year ended December 31, 2024 (the “Report”) fully complies with the requirements of Section 13(a) or Section 15(d) of the Securities Exchange Act of 1934, as amended; and</w:t>
      </w:r>
    </w:p>
    <w:p>
      <w:pPr>
        <w:spacing w:after="0" w:line="137" w:lineRule="exact"/>
        <w:rPr>
          <w:rFonts w:ascii="Times New Roman" w:cs="Times New Roman" w:eastAsia="Times New Roman" w:hAnsi="Times New Roman"/>
          <w:sz w:val="14"/>
          <w:szCs w:val="14"/>
          <w:color w:val="auto"/>
        </w:rPr>
      </w:pPr>
    </w:p>
    <w:p>
      <w:pPr>
        <w:ind w:left="760" w:right="560" w:hanging="298"/>
        <w:spacing w:after="0" w:line="291" w:lineRule="auto"/>
        <w:tabs>
          <w:tab w:leader="none" w:pos="792" w:val="left"/>
        </w:tabs>
        <w:numPr>
          <w:ilvl w:val="0"/>
          <w:numId w:val="5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Operating Partnership at the dates and for the periods indicated.</w:t>
      </w:r>
    </w:p>
    <w:p>
      <w:pPr>
        <w:spacing w:after="0" w:line="200" w:lineRule="exact"/>
        <w:rPr>
          <w:sz w:val="20"/>
          <w:szCs w:val="20"/>
          <w:color w:val="auto"/>
        </w:rPr>
      </w:pPr>
    </w:p>
    <w:p>
      <w:pPr>
        <w:spacing w:after="0" w:line="3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Date: February 24, 2025</w:t>
      </w:r>
    </w:p>
    <w:p>
      <w:pPr>
        <w:spacing w:after="0" w:line="200" w:lineRule="exact"/>
        <w:rPr>
          <w:sz w:val="20"/>
          <w:szCs w:val="20"/>
          <w:color w:val="auto"/>
        </w:rPr>
      </w:pPr>
    </w:p>
    <w:p>
      <w:pPr>
        <w:spacing w:after="0" w:line="21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4"/>
          <w:szCs w:val="14"/>
          <w:color w:val="auto"/>
        </w:rPr>
        <w:t>/s/ ANDREW P.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34925</wp:posOffset>
            </wp:positionV>
            <wp:extent cx="2606675" cy="762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975">
                      <a:extLst>
                        <a:ext uri="{28A0092B-C50C-407E-A947-70E740481C1C}"/>
                      </a:extLst>
                    </a:blip>
                    <a:srcRect/>
                    <a:stretch>
                      <a:fillRect/>
                    </a:stretch>
                  </pic:blipFill>
                  <pic:spPr bwMode="auto">
                    <a:xfrm>
                      <a:off x="0" y="0"/>
                      <a:ext cx="2606675" cy="7620"/>
                    </a:xfrm>
                    <a:prstGeom prst="rect">
                      <a:avLst/>
                    </a:prstGeom>
                    <a:noFill/>
                  </pic:spPr>
                </pic:pic>
              </a:graphicData>
            </a:graphic>
          </wp:anchor>
        </w:drawing>
      </w:r>
    </w:p>
    <w:p>
      <w:pPr>
        <w:spacing w:after="0" w:line="59"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4"/>
          <w:szCs w:val="14"/>
          <w:color w:val="auto"/>
        </w:rPr>
        <w:t>Andrew P. Power</w:t>
      </w:r>
    </w:p>
    <w:p>
      <w:pPr>
        <w:spacing w:after="0" w:line="55" w:lineRule="exact"/>
        <w:rPr>
          <w:sz w:val="20"/>
          <w:szCs w:val="20"/>
          <w:color w:val="auto"/>
        </w:rPr>
      </w:pPr>
    </w:p>
    <w:p>
      <w:pPr>
        <w:jc w:val="center"/>
        <w:ind w:right="3700"/>
        <w:spacing w:after="0"/>
        <w:rPr>
          <w:sz w:val="20"/>
          <w:szCs w:val="20"/>
          <w:color w:val="auto"/>
        </w:rPr>
      </w:pPr>
      <w:r>
        <w:rPr>
          <w:rFonts w:ascii="Times New Roman" w:cs="Times New Roman" w:eastAsia="Times New Roman" w:hAnsi="Times New Roman"/>
          <w:sz w:val="14"/>
          <w:szCs w:val="14"/>
          <w:color w:val="auto"/>
        </w:rPr>
        <w:t>President &amp; Chief Executive Officer</w:t>
      </w:r>
    </w:p>
    <w:p>
      <w:pPr>
        <w:spacing w:after="0" w:line="23" w:lineRule="exact"/>
        <w:rPr>
          <w:sz w:val="20"/>
          <w:szCs w:val="20"/>
          <w:color w:val="auto"/>
        </w:rPr>
      </w:pPr>
    </w:p>
    <w:p>
      <w:pPr>
        <w:jc w:val="center"/>
        <w:ind w:right="3680"/>
        <w:spacing w:after="0"/>
        <w:rPr>
          <w:sz w:val="20"/>
          <w:szCs w:val="20"/>
          <w:color w:val="auto"/>
        </w:rPr>
      </w:pPr>
      <w:r>
        <w:rPr>
          <w:rFonts w:ascii="Times New Roman" w:cs="Times New Roman" w:eastAsia="Times New Roman" w:hAnsi="Times New Roman"/>
          <w:sz w:val="14"/>
          <w:szCs w:val="14"/>
          <w:color w:val="auto"/>
        </w:rPr>
        <w:t>Digital Realty Trust, Inc., sole general partner of</w:t>
      </w:r>
    </w:p>
    <w:p>
      <w:pPr>
        <w:spacing w:after="0" w:line="7" w:lineRule="exact"/>
        <w:rPr>
          <w:sz w:val="20"/>
          <w:szCs w:val="20"/>
          <w:color w:val="auto"/>
        </w:rPr>
      </w:pPr>
    </w:p>
    <w:p>
      <w:pPr>
        <w:jc w:val="center"/>
        <w:ind w:right="3680"/>
        <w:spacing w:after="0"/>
        <w:rPr>
          <w:sz w:val="20"/>
          <w:szCs w:val="20"/>
          <w:color w:val="auto"/>
        </w:rPr>
      </w:pPr>
      <w:r>
        <w:rPr>
          <w:rFonts w:ascii="Times New Roman" w:cs="Times New Roman" w:eastAsia="Times New Roman" w:hAnsi="Times New Roman"/>
          <w:sz w:val="14"/>
          <w:szCs w:val="14"/>
          <w:color w:val="auto"/>
        </w:rPr>
        <w:t>Digital Realty Trust, L.P.</w:t>
      </w:r>
    </w:p>
    <w:p>
      <w:pPr>
        <w:spacing w:after="0" w:line="195" w:lineRule="exact"/>
        <w:rPr>
          <w:sz w:val="20"/>
          <w:szCs w:val="20"/>
          <w:color w:val="auto"/>
        </w:rPr>
      </w:pPr>
    </w:p>
    <w:p>
      <w:pPr>
        <w:jc w:val="both"/>
        <w:ind w:left="460" w:right="520"/>
        <w:spacing w:after="0" w:line="270" w:lineRule="auto"/>
        <w:rPr>
          <w:sz w:val="20"/>
          <w:szCs w:val="20"/>
          <w:color w:val="auto"/>
        </w:rPr>
      </w:pPr>
      <w:r>
        <w:rPr>
          <w:rFonts w:ascii="Times New Roman" w:cs="Times New Roman" w:eastAsia="Times New Roman" w:hAnsi="Times New Roman"/>
          <w:sz w:val="14"/>
          <w:szCs w:val="14"/>
          <w:color w:val="auto"/>
        </w:rPr>
        <w:t>Pursuant to Securities and Exchange Commission Release 33-8238, dated June 5, 2003, this certification is being furnished and shall not be deemed filed by the Company for purposes of Section 18 of the Securities Exchange Act of 1934, as amended, or incorporated by reference in any registration statement of the Operating Partnership filed under the Securities Act of 1933, as amended.</w:t>
      </w:r>
    </w:p>
    <w:p>
      <w:pPr>
        <w:spacing w:after="0" w:line="141" w:lineRule="exact"/>
        <w:rPr>
          <w:sz w:val="20"/>
          <w:szCs w:val="20"/>
          <w:color w:val="auto"/>
        </w:rPr>
      </w:pPr>
    </w:p>
    <w:p>
      <w:pPr>
        <w:ind w:left="460" w:right="620"/>
        <w:spacing w:after="0" w:line="291"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has been provided to the Operating Partnership and will be retained by the Operating Partnership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278130</wp:posOffset>
            </wp:positionV>
            <wp:extent cx="5121910" cy="1524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976">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555" w:right="1440" w:bottom="1440" w:gutter="0" w:footer="0" w:header="0"/>
        </w:sectPr>
      </w:pPr>
    </w:p>
    <w:bookmarkStart w:id="557" w:name="page558"/>
    <w:bookmarkEnd w:id="557"/>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Exhibit 32.4</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Financial Officer Pursuant to 18 U.S.C. Section 1350, as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Adopted Pursuant to Section 906 of the Sarbanes-Oxley Act of 2002</w:t>
      </w:r>
    </w:p>
    <w:p>
      <w:pPr>
        <w:spacing w:after="0" w:line="171" w:lineRule="exact"/>
        <w:rPr>
          <w:sz w:val="20"/>
          <w:szCs w:val="20"/>
          <w:color w:val="auto"/>
        </w:rPr>
      </w:pPr>
    </w:p>
    <w:p>
      <w:pPr>
        <w:jc w:val="both"/>
        <w:ind w:left="460" w:right="500"/>
        <w:spacing w:after="0" w:line="270" w:lineRule="auto"/>
        <w:rPr>
          <w:sz w:val="20"/>
          <w:szCs w:val="20"/>
          <w:color w:val="auto"/>
        </w:rPr>
      </w:pPr>
      <w:r>
        <w:rPr>
          <w:rFonts w:ascii="Times New Roman" w:cs="Times New Roman" w:eastAsia="Times New Roman" w:hAnsi="Times New Roman"/>
          <w:sz w:val="14"/>
          <w:szCs w:val="14"/>
          <w:color w:val="auto"/>
        </w:rPr>
        <w:t>Pursuant to 18 U.S.C. § 1350, as created by Section 906 of the Sarbanes-Oxley Act of 2002, the undersigned officer of Digital Realty Trust, Inc., in its capacity as the sole general partner of Digital Realty Trust, L.P. (the “Operating Partnership”), hereby certifies, to such officer’s knowledge, that:</w:t>
      </w:r>
    </w:p>
    <w:p>
      <w:pPr>
        <w:spacing w:after="0" w:line="141" w:lineRule="exact"/>
        <w:rPr>
          <w:sz w:val="20"/>
          <w:szCs w:val="20"/>
          <w:color w:val="auto"/>
        </w:rPr>
      </w:pPr>
    </w:p>
    <w:p>
      <w:pPr>
        <w:ind w:left="760" w:right="660" w:hanging="298"/>
        <w:spacing w:after="0" w:line="291" w:lineRule="auto"/>
        <w:tabs>
          <w:tab w:leader="none" w:pos="788" w:val="left"/>
        </w:tabs>
        <w:numPr>
          <w:ilvl w:val="0"/>
          <w:numId w:val="5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accompanying Annual Report on Form 10-K of the Operating Partnership for the year ended December 31, 2024 (the “Report”) fully complies with the requirements of Section 13(a) or Section 15(d) of the Securities Exchange Act of 1934, as amended; and</w:t>
      </w:r>
    </w:p>
    <w:p>
      <w:pPr>
        <w:spacing w:after="0" w:line="137" w:lineRule="exact"/>
        <w:rPr>
          <w:rFonts w:ascii="Times New Roman" w:cs="Times New Roman" w:eastAsia="Times New Roman" w:hAnsi="Times New Roman"/>
          <w:sz w:val="14"/>
          <w:szCs w:val="14"/>
          <w:color w:val="auto"/>
        </w:rPr>
      </w:pPr>
    </w:p>
    <w:p>
      <w:pPr>
        <w:ind w:left="760" w:right="560" w:hanging="298"/>
        <w:spacing w:after="0" w:line="291" w:lineRule="auto"/>
        <w:tabs>
          <w:tab w:leader="none" w:pos="792" w:val="left"/>
        </w:tabs>
        <w:numPr>
          <w:ilvl w:val="0"/>
          <w:numId w:val="5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Operating Partnership at the dates and for the periods indicated.</w:t>
      </w:r>
    </w:p>
    <w:p>
      <w:pPr>
        <w:spacing w:after="0" w:line="200" w:lineRule="exact"/>
        <w:rPr>
          <w:sz w:val="20"/>
          <w:szCs w:val="20"/>
          <w:color w:val="auto"/>
        </w:rPr>
      </w:pPr>
    </w:p>
    <w:p>
      <w:pPr>
        <w:spacing w:after="0" w:line="3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Date: February 24, 2025</w:t>
      </w:r>
    </w:p>
    <w:p>
      <w:pPr>
        <w:spacing w:after="0" w:line="200" w:lineRule="exact"/>
        <w:rPr>
          <w:sz w:val="20"/>
          <w:szCs w:val="20"/>
          <w:color w:val="auto"/>
        </w:rPr>
      </w:pPr>
    </w:p>
    <w:p>
      <w:pPr>
        <w:spacing w:after="0" w:line="21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color w:val="auto"/>
        </w:rPr>
        <w:t>/s/ MATTHEW R. MERCIER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34925</wp:posOffset>
            </wp:positionV>
            <wp:extent cx="2606675" cy="762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977">
                      <a:extLst>
                        <a:ext uri="{28A0092B-C50C-407E-A947-70E740481C1C}"/>
                      </a:extLst>
                    </a:blip>
                    <a:srcRect/>
                    <a:stretch>
                      <a:fillRect/>
                    </a:stretch>
                  </pic:blipFill>
                  <pic:spPr bwMode="auto">
                    <a:xfrm>
                      <a:off x="0" y="0"/>
                      <a:ext cx="2606675" cy="7620"/>
                    </a:xfrm>
                    <a:prstGeom prst="rect">
                      <a:avLst/>
                    </a:prstGeom>
                    <a:noFill/>
                  </pic:spPr>
                </pic:pic>
              </a:graphicData>
            </a:graphic>
          </wp:anchor>
        </w:drawing>
      </w:r>
    </w:p>
    <w:p>
      <w:pPr>
        <w:spacing w:after="0" w:line="5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4"/>
          <w:szCs w:val="14"/>
          <w:color w:val="auto"/>
        </w:rPr>
        <w:t>Matthew R. Mercier</w:t>
      </w:r>
    </w:p>
    <w:p>
      <w:pPr>
        <w:spacing w:after="0" w:line="55" w:lineRule="exact"/>
        <w:rPr>
          <w:sz w:val="20"/>
          <w:szCs w:val="20"/>
          <w:color w:val="auto"/>
        </w:rPr>
      </w:pPr>
    </w:p>
    <w:p>
      <w:pPr>
        <w:jc w:val="center"/>
        <w:ind w:right="370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23" w:lineRule="exact"/>
        <w:rPr>
          <w:sz w:val="20"/>
          <w:szCs w:val="20"/>
          <w:color w:val="auto"/>
        </w:rPr>
      </w:pPr>
    </w:p>
    <w:p>
      <w:pPr>
        <w:jc w:val="center"/>
        <w:ind w:right="3680"/>
        <w:spacing w:after="0"/>
        <w:rPr>
          <w:sz w:val="20"/>
          <w:szCs w:val="20"/>
          <w:color w:val="auto"/>
        </w:rPr>
      </w:pPr>
      <w:r>
        <w:rPr>
          <w:rFonts w:ascii="Times New Roman" w:cs="Times New Roman" w:eastAsia="Times New Roman" w:hAnsi="Times New Roman"/>
          <w:sz w:val="14"/>
          <w:szCs w:val="14"/>
          <w:color w:val="auto"/>
        </w:rPr>
        <w:t>Digital Realty Trust, Inc., sole general partner of</w:t>
      </w:r>
    </w:p>
    <w:p>
      <w:pPr>
        <w:spacing w:after="0" w:line="7" w:lineRule="exact"/>
        <w:rPr>
          <w:sz w:val="20"/>
          <w:szCs w:val="20"/>
          <w:color w:val="auto"/>
        </w:rPr>
      </w:pPr>
    </w:p>
    <w:p>
      <w:pPr>
        <w:jc w:val="center"/>
        <w:ind w:right="3680"/>
        <w:spacing w:after="0"/>
        <w:rPr>
          <w:sz w:val="20"/>
          <w:szCs w:val="20"/>
          <w:color w:val="auto"/>
        </w:rPr>
      </w:pPr>
      <w:r>
        <w:rPr>
          <w:rFonts w:ascii="Times New Roman" w:cs="Times New Roman" w:eastAsia="Times New Roman" w:hAnsi="Times New Roman"/>
          <w:sz w:val="14"/>
          <w:szCs w:val="14"/>
          <w:color w:val="auto"/>
        </w:rPr>
        <w:t>Digital Realty Trust, L.P.</w:t>
      </w:r>
    </w:p>
    <w:p>
      <w:pPr>
        <w:spacing w:after="0" w:line="195" w:lineRule="exact"/>
        <w:rPr>
          <w:sz w:val="20"/>
          <w:szCs w:val="20"/>
          <w:color w:val="auto"/>
        </w:rPr>
      </w:pPr>
    </w:p>
    <w:p>
      <w:pPr>
        <w:jc w:val="both"/>
        <w:ind w:left="460" w:right="520"/>
        <w:spacing w:after="0" w:line="270" w:lineRule="auto"/>
        <w:rPr>
          <w:sz w:val="20"/>
          <w:szCs w:val="20"/>
          <w:color w:val="auto"/>
        </w:rPr>
      </w:pPr>
      <w:r>
        <w:rPr>
          <w:rFonts w:ascii="Times New Roman" w:cs="Times New Roman" w:eastAsia="Times New Roman" w:hAnsi="Times New Roman"/>
          <w:sz w:val="14"/>
          <w:szCs w:val="14"/>
          <w:color w:val="auto"/>
        </w:rPr>
        <w:t>Pursuant to Securities and Exchange Commission Release 33-8238, dated June 5, 2003, this certification is being furnished and shall not be deemed filed by the Company for purposes of Section 18 of the Securities Exchange Act of 1934, as amended, or incorporated by reference in any registration statement of the Operating Partnership filed under the Securities Act of 1933, as amended.</w:t>
      </w:r>
    </w:p>
    <w:p>
      <w:pPr>
        <w:spacing w:after="0" w:line="141" w:lineRule="exact"/>
        <w:rPr>
          <w:sz w:val="20"/>
          <w:szCs w:val="20"/>
          <w:color w:val="auto"/>
        </w:rPr>
      </w:pPr>
    </w:p>
    <w:p>
      <w:pPr>
        <w:ind w:left="460" w:right="620"/>
        <w:spacing w:after="0" w:line="291"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has been provided to the Operating Partnership and will be retained by the Operating Partnership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278130</wp:posOffset>
            </wp:positionV>
            <wp:extent cx="5121910" cy="1524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978">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555" w:right="1440" w:bottom="1440" w:gutter="0" w:footer="0" w:header="0"/>
        </w:sectPr>
      </w:pPr>
    </w:p>
    <w:bookmarkStart w:id="558" w:name="page559"/>
    <w:bookmarkEnd w:id="558"/>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C7E3C01"/>
    <w:multiLevelType w:val="hybridMultilevel"/>
    <w:lvl w:ilvl="0">
      <w:lvlJc w:val="left"/>
      <w:lvlText w:val="☒"/>
      <w:numFmt w:val="bullet"/>
      <w:start w:val="1"/>
    </w:lvl>
  </w:abstractNum>
  <w:abstractNum w:abstractNumId="1">
    <w:nsid w:val="1C2201FF"/>
    <w:multiLevelType w:val="hybridMultilevel"/>
    <w:lvl w:ilvl="0">
      <w:lvlJc w:val="left"/>
      <w:lvlText w:val="☐"/>
      <w:numFmt w:val="bullet"/>
      <w:start w:val="1"/>
    </w:lvl>
  </w:abstractNum>
  <w:abstractNum w:abstractNumId="2">
    <w:nsid w:val="50ABCEC9"/>
    <w:multiLevelType w:val="hybridMultilevel"/>
    <w:lvl w:ilvl="0">
      <w:lvlJc w:val="left"/>
      <w:lvlText w:val="●"/>
      <w:numFmt w:val="bullet"/>
      <w:start w:val="1"/>
    </w:lvl>
  </w:abstractNum>
  <w:abstractNum w:abstractNumId="3">
    <w:nsid w:val="7635AA2A"/>
    <w:multiLevelType w:val="hybridMultilevel"/>
    <w:lvl w:ilvl="0">
      <w:lvlJc w:val="left"/>
      <w:lvlText w:val="(%1)"/>
      <w:numFmt w:val="decimal"/>
      <w:start w:val="1"/>
    </w:lvl>
  </w:abstractNum>
  <w:abstractNum w:abstractNumId="4">
    <w:nsid w:val="5E74C4D9"/>
    <w:multiLevelType w:val="hybridMultilevel"/>
    <w:lvl w:ilvl="0">
      <w:lvlJc w:val="left"/>
      <w:lvlText w:val="(%1)"/>
      <w:numFmt w:val="decimal"/>
      <w:start w:val="1"/>
    </w:lvl>
  </w:abstractNum>
  <w:abstractNum w:abstractNumId="5">
    <w:nsid w:val="3B3EBE15"/>
    <w:multiLevelType w:val="hybridMultilevel"/>
    <w:lvl w:ilvl="0">
      <w:lvlJc w:val="left"/>
      <w:lvlText w:val="%1"/>
      <w:numFmt w:val="lowerLetter"/>
      <w:start w:val="1"/>
    </w:lvl>
    <w:lvl w:ilvl="1">
      <w:lvlJc w:val="left"/>
      <w:lvlText w:val="(%2)"/>
      <w:numFmt w:val="decimal"/>
      <w:start w:val="1"/>
    </w:lvl>
  </w:abstractNum>
  <w:abstractNum w:abstractNumId="6">
    <w:nsid w:val="3822CB01"/>
    <w:multiLevelType w:val="hybridMultilevel"/>
    <w:lvl w:ilvl="0">
      <w:lvlJc w:val="left"/>
      <w:lvlText w:val="%1)"/>
      <w:numFmt w:val="lowerLetter"/>
      <w:start w:val="2"/>
    </w:lvl>
    <w:lvl w:ilvl="1">
      <w:lvlJc w:val="left"/>
      <w:lvlText w:val="%2"/>
      <w:numFmt w:val="decimal"/>
      <w:start w:val="1"/>
    </w:lvl>
  </w:abstractNum>
  <w:abstractNum w:abstractNumId="7">
    <w:nsid w:val="6CE00443"/>
    <w:multiLevelType w:val="hybridMultilevel"/>
    <w:lvl w:ilvl="0">
      <w:lvlJc w:val="left"/>
      <w:lvlText w:val="●"/>
      <w:numFmt w:val="bullet"/>
      <w:start w:val="1"/>
    </w:lvl>
  </w:abstractNum>
  <w:abstractNum w:abstractNumId="8">
    <w:nsid w:val="79F0D62F"/>
    <w:multiLevelType w:val="hybridMultilevel"/>
    <w:lvl w:ilvl="0">
      <w:lvlJc w:val="left"/>
      <w:lvlText w:val="●"/>
      <w:numFmt w:val="bullet"/>
      <w:start w:val="1"/>
    </w:lvl>
  </w:abstractNum>
  <w:abstractNum w:abstractNumId="9">
    <w:nsid w:val="7975E8EE"/>
    <w:multiLevelType w:val="hybridMultilevel"/>
    <w:lvl w:ilvl="0">
      <w:lvlJc w:val="left"/>
      <w:lvlText w:val="●"/>
      <w:numFmt w:val="bullet"/>
      <w:start w:val="1"/>
    </w:lvl>
  </w:abstractNum>
  <w:abstractNum w:abstractNumId="10">
    <w:nsid w:val="73154115"/>
    <w:multiLevelType w:val="hybridMultilevel"/>
    <w:lvl w:ilvl="0">
      <w:lvlJc w:val="left"/>
      <w:lvlText w:val="●"/>
      <w:numFmt w:val="bullet"/>
      <w:start w:val="1"/>
    </w:lvl>
  </w:abstractNum>
  <w:abstractNum w:abstractNumId="11">
    <w:nsid w:val="622D8102"/>
    <w:multiLevelType w:val="hybridMultilevel"/>
    <w:lvl w:ilvl="0">
      <w:lvlJc w:val="left"/>
      <w:lvlText w:val="(%1)"/>
      <w:numFmt w:val="decimal"/>
      <w:start w:val="1"/>
    </w:lvl>
  </w:abstractNum>
  <w:abstractNum w:abstractNumId="12">
    <w:nsid w:val="2AB26587"/>
    <w:multiLevelType w:val="hybridMultilevel"/>
    <w:lvl w:ilvl="0">
      <w:lvlJc w:val="left"/>
      <w:lvlText w:val="●"/>
      <w:numFmt w:val="bullet"/>
      <w:start w:val="1"/>
    </w:lvl>
  </w:abstractNum>
  <w:abstractNum w:abstractNumId="13">
    <w:nsid w:val="44B3FA61"/>
    <w:multiLevelType w:val="hybridMultilevel"/>
    <w:lvl w:ilvl="0">
      <w:lvlJc w:val="left"/>
      <w:lvlText w:val="●"/>
      <w:numFmt w:val="bullet"/>
      <w:start w:val="1"/>
    </w:lvl>
  </w:abstractNum>
  <w:abstractNum w:abstractNumId="14">
    <w:nsid w:val="1C0CA67C"/>
    <w:multiLevelType w:val="hybridMultilevel"/>
    <w:lvl w:ilvl="0">
      <w:lvlJc w:val="left"/>
      <w:lvlText w:val="●"/>
      <w:numFmt w:val="bullet"/>
      <w:start w:val="1"/>
    </w:lvl>
  </w:abstractNum>
  <w:abstractNum w:abstractNumId="15">
    <w:nsid w:val="3D206613"/>
    <w:multiLevelType w:val="hybridMultilevel"/>
    <w:lvl w:ilvl="0">
      <w:lvlJc w:val="left"/>
      <w:lvlText w:val="●"/>
      <w:numFmt w:val="bullet"/>
      <w:start w:val="1"/>
    </w:lvl>
  </w:abstractNum>
  <w:abstractNum w:abstractNumId="16">
    <w:nsid w:val="7993B662"/>
    <w:multiLevelType w:val="hybridMultilevel"/>
    <w:lvl w:ilvl="0">
      <w:lvlJc w:val="left"/>
      <w:lvlText w:val="●"/>
      <w:numFmt w:val="bullet"/>
      <w:start w:val="1"/>
    </w:lvl>
  </w:abstractNum>
  <w:abstractNum w:abstractNumId="17">
    <w:nsid w:val="3BAB699E"/>
    <w:multiLevelType w:val="hybridMultilevel"/>
    <w:lvl w:ilvl="0">
      <w:lvlJc w:val="left"/>
      <w:lvlText w:val="o"/>
      <w:numFmt w:val="bullet"/>
      <w:start w:val="1"/>
    </w:lvl>
  </w:abstractNum>
  <w:abstractNum w:abstractNumId="18">
    <w:nsid w:val="71315369"/>
    <w:multiLevelType w:val="hybridMultilevel"/>
    <w:lvl w:ilvl="0">
      <w:lvlJc w:val="left"/>
      <w:lvlText w:val="o"/>
      <w:numFmt w:val="bullet"/>
      <w:start w:val="1"/>
    </w:lvl>
  </w:abstractNum>
  <w:abstractNum w:abstractNumId="19">
    <w:nsid w:val="7BCFBAFC"/>
    <w:multiLevelType w:val="hybridMultilevel"/>
    <w:lvl w:ilvl="0">
      <w:lvlJc w:val="left"/>
      <w:lvlText w:val="●"/>
      <w:numFmt w:val="bullet"/>
      <w:start w:val="1"/>
    </w:lvl>
  </w:abstractNum>
  <w:abstractNum w:abstractNumId="20">
    <w:nsid w:val="17859F72"/>
    <w:multiLevelType w:val="hybridMultilevel"/>
    <w:lvl w:ilvl="0">
      <w:lvlJc w:val="left"/>
      <w:lvlText w:val="●"/>
      <w:numFmt w:val="bullet"/>
      <w:start w:val="1"/>
    </w:lvl>
  </w:abstractNum>
  <w:abstractNum w:abstractNumId="21">
    <w:nsid w:val="3AA10581"/>
    <w:multiLevelType w:val="hybridMultilevel"/>
    <w:lvl w:ilvl="0">
      <w:lvlJc w:val="left"/>
      <w:lvlText w:val="●"/>
      <w:numFmt w:val="bullet"/>
      <w:start w:val="1"/>
    </w:lvl>
  </w:abstractNum>
  <w:abstractNum w:abstractNumId="22">
    <w:nsid w:val="63DE60CD"/>
    <w:multiLevelType w:val="hybridMultilevel"/>
    <w:lvl w:ilvl="0">
      <w:lvlJc w:val="left"/>
      <w:lvlText w:val="●"/>
      <w:numFmt w:val="bullet"/>
      <w:start w:val="1"/>
    </w:lvl>
  </w:abstractNum>
  <w:abstractNum w:abstractNumId="23">
    <w:nsid w:val="621AF471"/>
    <w:multiLevelType w:val="hybridMultilevel"/>
    <w:lvl w:ilvl="0">
      <w:lvlJc w:val="left"/>
      <w:lvlText w:val="●"/>
      <w:numFmt w:val="bullet"/>
      <w:start w:val="1"/>
    </w:lvl>
  </w:abstractNum>
  <w:abstractNum w:abstractNumId="24">
    <w:nsid w:val="73CFE165"/>
    <w:multiLevelType w:val="hybridMultilevel"/>
    <w:lvl w:ilvl="0">
      <w:lvlJc w:val="left"/>
      <w:lvlText w:val="●"/>
      <w:numFmt w:val="bullet"/>
      <w:start w:val="1"/>
    </w:lvl>
  </w:abstractNum>
  <w:abstractNum w:abstractNumId="25">
    <w:nsid w:val="20F88EA6"/>
    <w:multiLevelType w:val="hybridMultilevel"/>
    <w:lvl w:ilvl="0">
      <w:lvlJc w:val="left"/>
      <w:lvlText w:val="(%1)"/>
      <w:numFmt w:val="decimal"/>
      <w:start w:val="1"/>
    </w:lvl>
  </w:abstractNum>
  <w:abstractNum w:abstractNumId="26">
    <w:nsid w:val="617C843E"/>
    <w:multiLevelType w:val="hybridMultilevel"/>
    <w:lvl w:ilvl="0">
      <w:lvlJc w:val="left"/>
      <w:lvlText w:val="(%1)"/>
      <w:numFmt w:val="decimal"/>
      <w:start w:val="1"/>
    </w:lvl>
  </w:abstractNum>
  <w:abstractNum w:abstractNumId="27">
    <w:nsid w:val="7B541FAB"/>
    <w:multiLevelType w:val="hybridMultilevel"/>
    <w:lvl w:ilvl="0">
      <w:lvlJc w:val="left"/>
      <w:lvlText w:val="(%1)"/>
      <w:numFmt w:val="decimal"/>
      <w:start w:val="1"/>
    </w:lvl>
  </w:abstractNum>
  <w:abstractNum w:abstractNumId="28">
    <w:nsid w:val="2A79EC49"/>
    <w:multiLevelType w:val="hybridMultilevel"/>
    <w:lvl w:ilvl="0">
      <w:lvlJc w:val="left"/>
      <w:lvlText w:val="(%1)"/>
      <w:numFmt w:val="decimal"/>
      <w:start w:val="1"/>
    </w:lvl>
  </w:abstractNum>
  <w:abstractNum w:abstractNumId="29">
    <w:nsid w:val="338125CF"/>
    <w:multiLevelType w:val="hybridMultilevel"/>
    <w:lvl w:ilvl="0">
      <w:lvlJc w:val="left"/>
      <w:lvlText w:val="●"/>
      <w:numFmt w:val="bullet"/>
      <w:start w:val="1"/>
    </w:lvl>
  </w:abstractNum>
  <w:abstractNum w:abstractNumId="30">
    <w:nsid w:val="47C7C971"/>
    <w:multiLevelType w:val="hybridMultilevel"/>
    <w:lvl w:ilvl="0">
      <w:lvlJc w:val="left"/>
      <w:lvlText w:val="%1."/>
      <w:numFmt w:val="decimal"/>
      <w:start w:val="8"/>
    </w:lvl>
  </w:abstractNum>
  <w:abstractNum w:abstractNumId="31">
    <w:nsid w:val="46F8284B"/>
    <w:multiLevelType w:val="hybridMultilevel"/>
    <w:lvl w:ilvl="0">
      <w:lvlJc w:val="left"/>
      <w:lvlText w:val="(%1)"/>
      <w:numFmt w:val="lowerRoman"/>
      <w:start w:val="1"/>
    </w:lvl>
  </w:abstractNum>
  <w:abstractNum w:abstractNumId="32">
    <w:nsid w:val="4FA327CE"/>
    <w:multiLevelType w:val="hybridMultilevel"/>
    <w:lvl w:ilvl="0">
      <w:lvlJc w:val="left"/>
      <w:lvlText w:val="●"/>
      <w:numFmt w:val="bullet"/>
      <w:start w:val="1"/>
    </w:lvl>
  </w:abstractNum>
  <w:abstractNum w:abstractNumId="33">
    <w:nsid w:val="1873983A"/>
    <w:multiLevelType w:val="hybridMultilevel"/>
    <w:lvl w:ilvl="0">
      <w:lvlJc w:val="left"/>
      <w:lvlText w:val="●"/>
      <w:numFmt w:val="bullet"/>
      <w:start w:val="1"/>
    </w:lvl>
    <w:lvl w:ilvl="1">
      <w:lvlJc w:val="left"/>
      <w:lvlText w:val="o"/>
      <w:numFmt w:val="bullet"/>
      <w:start w:val="1"/>
    </w:lvl>
  </w:abstractNum>
  <w:abstractNum w:abstractNumId="34">
    <w:nsid w:val="3D2DD275"/>
    <w:multiLevelType w:val="hybridMultilevel"/>
    <w:lvl w:ilvl="0">
      <w:lvlJc w:val="left"/>
      <w:lvlText w:val="●"/>
      <w:numFmt w:val="bullet"/>
      <w:start w:val="1"/>
    </w:lvl>
  </w:abstractNum>
  <w:abstractNum w:abstractNumId="35">
    <w:nsid w:val="2E17ECA7"/>
    <w:multiLevelType w:val="hybridMultilevel"/>
    <w:lvl w:ilvl="0">
      <w:lvlJc w:val="left"/>
      <w:lvlText w:val="●"/>
      <w:numFmt w:val="bullet"/>
      <w:start w:val="1"/>
    </w:lvl>
    <w:lvl w:ilvl="1">
      <w:lvlJc w:val="left"/>
      <w:lvlText w:val="o"/>
      <w:numFmt w:val="bullet"/>
      <w:start w:val="1"/>
    </w:lvl>
  </w:abstractNum>
  <w:abstractNum w:abstractNumId="36">
    <w:nsid w:val="53B2564F"/>
    <w:multiLevelType w:val="hybridMultilevel"/>
    <w:lvl w:ilvl="0">
      <w:lvlJc w:val="left"/>
      <w:lvlText w:val="(%1)"/>
      <w:numFmt w:val="decimal"/>
      <w:start w:val="1"/>
    </w:lvl>
  </w:abstractNum>
  <w:abstractNum w:abstractNumId="37">
    <w:nsid w:val="75509D76"/>
    <w:multiLevelType w:val="hybridMultilevel"/>
    <w:lvl w:ilvl="0">
      <w:lvlJc w:val="left"/>
      <w:lvlText w:val="(%1)"/>
      <w:numFmt w:val="decimal"/>
      <w:start w:val="1"/>
    </w:lvl>
  </w:abstractNum>
  <w:abstractNum w:abstractNumId="38">
    <w:nsid w:val="1AF7F0EA"/>
    <w:multiLevelType w:val="hybridMultilevel"/>
    <w:lvl w:ilvl="0">
      <w:lvlJc w:val="left"/>
      <w:lvlText w:val="(%1)"/>
      <w:numFmt w:val="decimal"/>
      <w:start w:val="1"/>
    </w:lvl>
  </w:abstractNum>
  <w:abstractNum w:abstractNumId="39">
    <w:nsid w:val="4DA32C7E"/>
    <w:multiLevelType w:val="hybridMultilevel"/>
    <w:lvl w:ilvl="0">
      <w:lvlJc w:val="left"/>
      <w:lvlText w:val="(%1)"/>
      <w:numFmt w:val="lowerRoman"/>
      <w:start w:val="1"/>
    </w:lvl>
  </w:abstractNum>
  <w:abstractNum w:abstractNumId="40">
    <w:nsid w:val="6EC68664"/>
    <w:multiLevelType w:val="hybridMultilevel"/>
    <w:lvl w:ilvl="0">
      <w:lvlJc w:val="left"/>
      <w:lvlText w:val="(%1)"/>
      <w:numFmt w:val="lowerRoman"/>
      <w:start w:val="1"/>
    </w:lvl>
  </w:abstractNum>
  <w:abstractNum w:abstractNumId="41">
    <w:nsid w:val="E0D31FF"/>
    <w:multiLevelType w:val="hybridMultilevel"/>
    <w:lvl w:ilvl="0">
      <w:lvlJc w:val="left"/>
      <w:lvlText w:val="(%1)"/>
      <w:numFmt w:val="lowerRoman"/>
      <w:start w:val="1"/>
    </w:lvl>
  </w:abstractNum>
  <w:abstractNum w:abstractNumId="42">
    <w:nsid w:val="2FD0AD81"/>
    <w:multiLevelType w:val="hybridMultilevel"/>
    <w:lvl w:ilvl="0">
      <w:lvlJc w:val="left"/>
      <w:lvlText w:val="●"/>
      <w:numFmt w:val="bullet"/>
      <w:start w:val="1"/>
    </w:lvl>
  </w:abstractNum>
  <w:abstractNum w:abstractNumId="43">
    <w:nsid w:val="1978EBEB"/>
    <w:multiLevelType w:val="hybridMultilevel"/>
    <w:lvl w:ilvl="0">
      <w:lvlJc w:val="left"/>
      <w:lvlText w:val="(%1)"/>
      <w:numFmt w:val="decimal"/>
      <w:start w:val="1"/>
    </w:lvl>
  </w:abstractNum>
  <w:abstractNum w:abstractNumId="44">
    <w:nsid w:val="52C12C61"/>
    <w:multiLevelType w:val="hybridMultilevel"/>
    <w:lvl w:ilvl="0">
      <w:lvlJc w:val="left"/>
      <w:lvlText w:val="(%1)"/>
      <w:numFmt w:val="decimal"/>
      <w:start w:val="1"/>
    </w:lvl>
  </w:abstractNum>
  <w:abstractNum w:abstractNumId="45">
    <w:nsid w:val="4BDD53FD"/>
    <w:multiLevelType w:val="hybridMultilevel"/>
    <w:lvl w:ilvl="0">
      <w:lvlJc w:val="left"/>
      <w:lvlText w:val="(%1)"/>
      <w:numFmt w:val="lowerRoman"/>
      <w:start w:val="1"/>
    </w:lvl>
  </w:abstractNum>
  <w:abstractNum w:abstractNumId="46">
    <w:nsid w:val="569951FE"/>
    <w:multiLevelType w:val="hybridMultilevel"/>
    <w:lvl w:ilvl="0">
      <w:lvlJc w:val="left"/>
      <w:lvlText w:val="(%1)"/>
      <w:numFmt w:val="lowerRoman"/>
      <w:start w:val="1"/>
    </w:lvl>
    <w:lvl w:ilvl="1">
      <w:lvlJc w:val="left"/>
      <w:lvlText w:val="●"/>
      <w:numFmt w:val="bullet"/>
      <w:start w:val="1"/>
    </w:lvl>
    <w:lvl w:ilvl="2">
      <w:lvlJc w:val="left"/>
      <w:lvlText w:val="%3"/>
      <w:numFmt w:val="lowerLetter"/>
      <w:start w:val="1"/>
    </w:lvl>
    <w:lvl w:ilvl="3">
      <w:lvlJc w:val="left"/>
      <w:lvlText w:val="%4."/>
      <w:numFmt w:val="lowerRoman"/>
      <w:start w:val="1"/>
    </w:lvl>
  </w:abstractNum>
  <w:abstractNum w:abstractNumId="47">
    <w:nsid w:val="4C54E2C3"/>
    <w:multiLevelType w:val="hybridMultilevel"/>
    <w:lvl w:ilvl="0">
      <w:lvlJc w:val="left"/>
      <w:lvlText w:val="(%1)"/>
      <w:numFmt w:val="lowerRoman"/>
      <w:start w:val="1"/>
    </w:lvl>
  </w:abstractNum>
  <w:abstractNum w:abstractNumId="48">
    <w:nsid w:val="788BD9B"/>
    <w:multiLevelType w:val="hybridMultilevel"/>
    <w:lvl w:ilvl="0">
      <w:lvlJc w:val="left"/>
      <w:lvlText w:val="%1"/>
      <w:numFmt w:val="lowerRoman"/>
      <w:start w:val="1"/>
    </w:lvl>
    <w:lvl w:ilvl="1">
      <w:lvlJc w:val="left"/>
      <w:lvlText w:val="%2."/>
      <w:numFmt w:val="lowerLetter"/>
      <w:start w:val="1"/>
    </w:lvl>
  </w:abstractNum>
  <w:abstractNum w:abstractNumId="49">
    <w:nsid w:val="47CAA567"/>
    <w:multiLevelType w:val="hybridMultilevel"/>
    <w:lvl w:ilvl="0">
      <w:lvlJc w:val="left"/>
      <w:lvlText w:val="(%1)"/>
      <w:numFmt w:val="lowerRoman"/>
      <w:start w:val="3"/>
    </w:lvl>
    <w:lvl w:ilvl="1">
      <w:lvlJc w:val="left"/>
      <w:lvlText w:val="%2."/>
      <w:numFmt w:val="lowerLetter"/>
      <w:start w:val="1"/>
    </w:lvl>
  </w:abstractNum>
  <w:abstractNum w:abstractNumId="50">
    <w:nsid w:val="48249DBF"/>
    <w:multiLevelType w:val="hybridMultilevel"/>
    <w:lvl w:ilvl="0">
      <w:lvlJc w:val="left"/>
      <w:lvlText w:val="%1)"/>
      <w:numFmt w:val="decimal"/>
      <w:start w:val="3"/>
    </w:lvl>
  </w:abstractNum>
  <w:abstractNum w:abstractNumId="51">
    <w:nsid w:val="1F0E5D0D"/>
    <w:multiLevelType w:val="hybridMultilevel"/>
    <w:lvl w:ilvl="0">
      <w:lvlJc w:val="left"/>
      <w:lvlText w:val="(%1)"/>
      <w:numFmt w:val="decimal"/>
      <w:start w:val="2"/>
    </w:lvl>
  </w:abstractNum>
  <w:abstractNum w:abstractNumId="52">
    <w:nsid w:val="26BAAE9"/>
    <w:multiLevelType w:val="hybridMultilevel"/>
    <w:lvl w:ilvl="0">
      <w:lvlJc w:val="left"/>
      <w:lvlText w:val="(%1)"/>
      <w:numFmt w:val="lowerRoman"/>
      <w:start w:val="3"/>
    </w:lvl>
  </w:abstractNum>
  <w:abstractNum w:abstractNumId="53">
    <w:nsid w:val="2C02FE8C"/>
    <w:multiLevelType w:val="hybridMultilevel"/>
    <w:lvl w:ilvl="0">
      <w:lvlJc w:val="left"/>
      <w:lvlText w:val="(%1)"/>
      <w:numFmt w:val="decimal"/>
      <w:start w:val="1"/>
    </w:lvl>
  </w:abstractNum>
  <w:abstractNum w:abstractNumId="54">
    <w:nsid w:val="129517E"/>
    <w:multiLevelType w:val="hybridMultilevel"/>
    <w:lvl w:ilvl="0">
      <w:lvlJc w:val="left"/>
      <w:lvlText w:val="●"/>
      <w:numFmt w:val="bullet"/>
      <w:start w:val="1"/>
    </w:lvl>
  </w:abstractNum>
  <w:abstractNum w:abstractNumId="55">
    <w:nsid w:val="763B8C4E"/>
    <w:multiLevelType w:val="hybridMultilevel"/>
    <w:lvl w:ilvl="0">
      <w:lvlJc w:val="left"/>
      <w:lvlText w:val="●"/>
      <w:numFmt w:val="bullet"/>
      <w:start w:val="1"/>
    </w:lvl>
  </w:abstractNum>
  <w:abstractNum w:abstractNumId="56">
    <w:nsid w:val="4CFB8D32"/>
    <w:multiLevelType w:val="hybridMultilevel"/>
    <w:lvl w:ilvl="0">
      <w:lvlJc w:val="left"/>
      <w:lvlText w:val="●"/>
      <w:numFmt w:val="bullet"/>
      <w:start w:val="1"/>
    </w:lvl>
  </w:abstractNum>
  <w:abstractNum w:abstractNumId="57">
    <w:nsid w:val="62A5D5BD"/>
    <w:multiLevelType w:val="hybridMultilevel"/>
    <w:lvl w:ilvl="0">
      <w:lvlJc w:val="left"/>
      <w:lvlText w:val="(%1)"/>
      <w:numFmt w:val="decimal"/>
      <w:start w:val="1"/>
    </w:lvl>
  </w:abstractNum>
  <w:abstractNum w:abstractNumId="58">
    <w:nsid w:val="718FABF9"/>
    <w:multiLevelType w:val="hybridMultilevel"/>
    <w:lvl w:ilvl="0">
      <w:lvlJc w:val="left"/>
      <w:lvlText w:val="(%1)"/>
      <w:numFmt w:val="decimal"/>
      <w:start w:val="1"/>
    </w:lvl>
  </w:abstractNum>
  <w:abstractNum w:abstractNumId="59">
    <w:nsid w:val="7775797C"/>
    <w:multiLevelType w:val="hybridMultilevel"/>
    <w:lvl w:ilvl="0">
      <w:lvlJc w:val="left"/>
      <w:lvlText w:val="(%1)"/>
      <w:numFmt w:val="decimal"/>
      <w:start w:val="1"/>
    </w:lvl>
  </w:abstractNum>
  <w:abstractNum w:abstractNumId="60">
    <w:nsid w:val="1626FB8C"/>
    <w:multiLevelType w:val="hybridMultilevel"/>
    <w:lvl w:ilvl="0">
      <w:lvlJc w:val="left"/>
      <w:lvlText w:val="(%1)"/>
      <w:numFmt w:val="decimal"/>
      <w:start w:val="1"/>
    </w:lvl>
  </w:abstractNum>
  <w:abstractNum w:abstractNumId="61">
    <w:nsid w:val="3957756A"/>
    <w:multiLevelType w:val="hybridMultilevel"/>
    <w:lvl w:ilvl="0">
      <w:lvlJc w:val="left"/>
      <w:lvlText w:val="●"/>
      <w:numFmt w:val="bullet"/>
      <w:start w:val="1"/>
    </w:lvl>
  </w:abstractNum>
  <w:abstractNum w:abstractNumId="62">
    <w:nsid w:val="3E6DA1C7"/>
    <w:multiLevelType w:val="hybridMultilevel"/>
    <w:lvl w:ilvl="0">
      <w:lvlJc w:val="left"/>
      <w:lvlText w:val="●"/>
      <w:numFmt w:val="bullet"/>
      <w:start w:val="1"/>
    </w:lvl>
  </w:abstractNum>
  <w:abstractNum w:abstractNumId="63">
    <w:nsid w:val="65CA235B"/>
    <w:multiLevelType w:val="hybridMultilevel"/>
    <w:lvl w:ilvl="0">
      <w:lvlJc w:val="left"/>
      <w:lvlText w:val="●"/>
      <w:numFmt w:val="bullet"/>
      <w:start w:val="1"/>
    </w:lvl>
  </w:abstractNum>
  <w:abstractNum w:abstractNumId="64">
    <w:nsid w:val="51CB0DA4"/>
    <w:multiLevelType w:val="hybridMultilevel"/>
    <w:lvl w:ilvl="0">
      <w:lvlJc w:val="left"/>
      <w:lvlText w:val="(%1)"/>
      <w:numFmt w:val="decimal"/>
      <w:start w:val="1"/>
    </w:lvl>
  </w:abstractNum>
  <w:abstractNum w:abstractNumId="65">
    <w:nsid w:val="7B9B743C"/>
    <w:multiLevelType w:val="hybridMultilevel"/>
    <w:lvl w:ilvl="0">
      <w:lvlJc w:val="left"/>
      <w:lvlText w:val="-"/>
      <w:numFmt w:val="bullet"/>
      <w:start w:val="1"/>
    </w:lvl>
  </w:abstractNum>
  <w:abstractNum w:abstractNumId="66">
    <w:nsid w:val="13E21002"/>
    <w:multiLevelType w:val="hybridMultilevel"/>
    <w:lvl w:ilvl="0">
      <w:lvlJc w:val="left"/>
      <w:lvlText w:val="●"/>
      <w:numFmt w:val="bullet"/>
      <w:start w:val="1"/>
    </w:lvl>
  </w:abstractNum>
  <w:abstractNum w:abstractNumId="67">
    <w:nsid w:val="257D63F4"/>
    <w:multiLevelType w:val="hybridMultilevel"/>
    <w:lvl w:ilvl="0">
      <w:lvlJc w:val="left"/>
      <w:lvlText w:val="(%1)"/>
      <w:numFmt w:val="decimal"/>
      <w:start w:val="1"/>
    </w:lvl>
  </w:abstractNum>
  <w:abstractNum w:abstractNumId="68">
    <w:nsid w:val="70EC11B2"/>
    <w:multiLevelType w:val="hybridMultilevel"/>
    <w:lvl w:ilvl="0">
      <w:lvlJc w:val="left"/>
      <w:lvlText w:val="(%1)"/>
      <w:numFmt w:val="decimal"/>
      <w:start w:val="1"/>
    </w:lvl>
  </w:abstractNum>
  <w:abstractNum w:abstractNumId="69">
    <w:nsid w:val="2EDA00ED"/>
    <w:multiLevelType w:val="hybridMultilevel"/>
    <w:lvl w:ilvl="0">
      <w:lvlJc w:val="left"/>
      <w:lvlText w:val="(%1)"/>
      <w:numFmt w:val="decimal"/>
      <w:start w:val="1"/>
    </w:lvl>
  </w:abstractNum>
  <w:abstractNum w:abstractNumId="70">
    <w:nsid w:val="73209072"/>
    <w:multiLevelType w:val="hybridMultilevel"/>
    <w:lvl w:ilvl="0">
      <w:lvlJc w:val="left"/>
      <w:lvlText w:val="(%1)"/>
      <w:numFmt w:val="decimal"/>
      <w:start w:val="4"/>
    </w:lvl>
  </w:abstractNum>
  <w:abstractNum w:abstractNumId="71">
    <w:nsid w:val="5FB29816"/>
    <w:multiLevelType w:val="hybridMultilevel"/>
    <w:lvl w:ilvl="0">
      <w:lvlJc w:val="left"/>
      <w:lvlText w:val="(%1)"/>
      <w:numFmt w:val="decimal"/>
      <w:start w:val="1"/>
    </w:lvl>
  </w:abstractNum>
  <w:abstractNum w:abstractNumId="72">
    <w:nsid w:val="3CE732EC"/>
    <w:multiLevelType w:val="hybridMultilevel"/>
    <w:lvl w:ilvl="0">
      <w:lvlJc w:val="left"/>
      <w:lvlText w:val="●"/>
      <w:numFmt w:val="bullet"/>
      <w:start w:val="1"/>
    </w:lvl>
  </w:abstractNum>
  <w:abstractNum w:abstractNumId="73">
    <w:nsid w:val="22F13DF3"/>
    <w:multiLevelType w:val="hybridMultilevel"/>
    <w:lvl w:ilvl="0">
      <w:lvlJc w:val="left"/>
      <w:lvlText w:val="●"/>
      <w:numFmt w:val="bullet"/>
      <w:start w:val="1"/>
    </w:lvl>
  </w:abstractNum>
  <w:abstractNum w:abstractNumId="74">
    <w:nsid w:val="792B8401"/>
    <w:multiLevelType w:val="hybridMultilevel"/>
    <w:lvl w:ilvl="0">
      <w:lvlJc w:val="left"/>
      <w:lvlText w:val="●"/>
      <w:numFmt w:val="bullet"/>
      <w:start w:val="1"/>
    </w:lvl>
  </w:abstractNum>
  <w:abstractNum w:abstractNumId="75">
    <w:nsid w:val="FA85F4D"/>
    <w:multiLevelType w:val="hybridMultilevel"/>
    <w:lvl w:ilvl="0">
      <w:lvlJc w:val="left"/>
      <w:lvlText w:val="(%1)"/>
      <w:numFmt w:val="decimal"/>
      <w:start w:val="1"/>
    </w:lvl>
  </w:abstractNum>
  <w:abstractNum w:abstractNumId="76">
    <w:nsid w:val="6ECE91F0"/>
    <w:multiLevelType w:val="hybridMultilevel"/>
    <w:lvl w:ilvl="0">
      <w:lvlJc w:val="left"/>
      <w:lvlText w:val="(%1)"/>
      <w:numFmt w:val="decimal"/>
      <w:start w:val="1"/>
    </w:lvl>
  </w:abstractNum>
  <w:abstractNum w:abstractNumId="77">
    <w:nsid w:val="4FC4D600"/>
    <w:multiLevelType w:val="hybridMultilevel"/>
    <w:lvl w:ilvl="0">
      <w:lvlJc w:val="left"/>
      <w:lvlText w:val="(%1)"/>
      <w:numFmt w:val="decimal"/>
      <w:start w:val="1"/>
    </w:lvl>
  </w:abstractNum>
  <w:abstractNum w:abstractNumId="78">
    <w:nsid w:val="5BFD4210"/>
    <w:multiLevelType w:val="hybridMultilevel"/>
    <w:lvl w:ilvl="0">
      <w:lvlJc w:val="left"/>
      <w:lvlText w:val="(%1)"/>
      <w:numFmt w:val="decimal"/>
      <w:start w:val="1"/>
    </w:lvl>
  </w:abstractNum>
  <w:abstractNum w:abstractNumId="79">
    <w:nsid w:val="76574F8B"/>
    <w:multiLevelType w:val="hybridMultilevel"/>
    <w:lvl w:ilvl="0">
      <w:lvlJc w:val="left"/>
      <w:lvlText w:val="%1"/>
      <w:numFmt w:val="decimal"/>
      <w:start w:val="101"/>
    </w:lvl>
  </w:abstractNum>
  <w:abstractNum w:abstractNumId="80">
    <w:nsid w:val="178F7B67"/>
    <w:multiLevelType w:val="hybridMultilevel"/>
    <w:lvl w:ilvl="0">
      <w:lvlJc w:val="left"/>
      <w:lvlText w:val="†"/>
      <w:numFmt w:val="bullet"/>
      <w:start w:val="1"/>
    </w:lvl>
  </w:abstractNum>
  <w:abstractNum w:abstractNumId="81">
    <w:nsid w:val="2421DFCF"/>
    <w:multiLevelType w:val="hybridMultilevel"/>
    <w:lvl w:ilvl="0">
      <w:lvlJc w:val="left"/>
      <w:lvlText w:val="*"/>
      <w:numFmt w:val="bullet"/>
      <w:start w:val="1"/>
    </w:lvl>
  </w:abstractNum>
  <w:abstractNum w:abstractNumId="82">
    <w:nsid w:val="1565AC99"/>
    <w:multiLevelType w:val="hybridMultilevel"/>
    <w:lvl w:ilvl="0">
      <w:lvlJc w:val="left"/>
      <w:lvlText w:val="\ldblquote"/>
      <w:numFmt w:val="bullet"/>
      <w:start w:val="1"/>
    </w:lvl>
  </w:abstractNum>
  <w:abstractNum w:abstractNumId="83">
    <w:nsid w:val="19FB2650"/>
    <w:multiLevelType w:val="hybridMultilevel"/>
    <w:lvl w:ilvl="0">
      <w:lvlJc w:val="left"/>
      <w:lvlText w:val="\ldblquote"/>
      <w:numFmt w:val="bullet"/>
      <w:start w:val="1"/>
    </w:lvl>
  </w:abstractNum>
  <w:abstractNum w:abstractNumId="84">
    <w:nsid w:val="5024DE5B"/>
    <w:multiLevelType w:val="hybridMultilevel"/>
    <w:lvl w:ilvl="0">
      <w:lvlJc w:val="left"/>
      <w:lvlText w:val="\ldblquote"/>
      <w:numFmt w:val="bullet"/>
      <w:start w:val="1"/>
    </w:lvl>
  </w:abstractNum>
  <w:abstractNum w:abstractNumId="85">
    <w:nsid w:val="168EFE17"/>
    <w:multiLevelType w:val="hybridMultilevel"/>
    <w:lvl w:ilvl="0">
      <w:lvlJc w:val="left"/>
      <w:lvlText w:val="\ldblquote"/>
      <w:numFmt w:val="bullet"/>
      <w:start w:val="1"/>
    </w:lvl>
    <w:lvl w:ilvl="1">
      <w:lvlJc w:val="left"/>
      <w:lvlText w:val="\ldblquote"/>
      <w:numFmt w:val="bullet"/>
      <w:start w:val="1"/>
    </w:lvl>
  </w:abstractNum>
  <w:abstractNum w:abstractNumId="86">
    <w:nsid w:val="1036B29F"/>
    <w:multiLevelType w:val="hybridMultilevel"/>
    <w:lvl w:ilvl="0">
      <w:lvlJc w:val="left"/>
      <w:lvlText w:val="\ldblquote"/>
      <w:numFmt w:val="bullet"/>
      <w:start w:val="1"/>
    </w:lvl>
    <w:lvl w:ilvl="1">
      <w:lvlJc w:val="left"/>
      <w:lvlText w:val="\ldblquote"/>
      <w:numFmt w:val="bullet"/>
      <w:start w:val="1"/>
    </w:lvl>
  </w:abstractNum>
  <w:abstractNum w:abstractNumId="87">
    <w:nsid w:val="1D206B8E"/>
    <w:multiLevelType w:val="hybridMultilevel"/>
    <w:lvl w:ilvl="0">
      <w:lvlJc w:val="left"/>
      <w:lvlText w:val="\ldblquote"/>
      <w:numFmt w:val="bullet"/>
      <w:start w:val="1"/>
    </w:lvl>
  </w:abstractNum>
  <w:abstractNum w:abstractNumId="88">
    <w:nsid w:val="7934D3D4"/>
    <w:multiLevelType w:val="hybridMultilevel"/>
    <w:lvl w:ilvl="0">
      <w:lvlJc w:val="left"/>
      <w:lvlText w:val="(%1)"/>
      <w:numFmt w:val="lowerLetter"/>
      <w:start w:val="1"/>
    </w:lvl>
  </w:abstractNum>
  <w:abstractNum w:abstractNumId="89">
    <w:nsid w:val="1C65E98"/>
    <w:multiLevelType w:val="hybridMultilevel"/>
    <w:lvl w:ilvl="0">
      <w:lvlJc w:val="left"/>
      <w:lvlText w:val="(%1)"/>
      <w:numFmt w:val="lowerLetter"/>
      <w:start w:val="1"/>
    </w:lvl>
  </w:abstractNum>
  <w:abstractNum w:abstractNumId="90">
    <w:nsid w:val="1495E50A"/>
    <w:multiLevelType w:val="hybridMultilevel"/>
    <w:lvl w:ilvl="0">
      <w:lvlJc w:val="left"/>
      <w:lvlText w:val="(%1)"/>
      <w:numFmt w:val="lowerLetter"/>
      <w:start w:val="2"/>
    </w:lvl>
  </w:abstractNum>
  <w:abstractNum w:abstractNumId="91">
    <w:nsid w:val="F5BCF61"/>
    <w:multiLevelType w:val="hybridMultilevel"/>
    <w:lvl w:ilvl="0">
      <w:lvlJc w:val="left"/>
      <w:lvlText w:val="(%1)"/>
      <w:numFmt w:val="lowerLetter"/>
      <w:start w:val="35"/>
    </w:lvl>
    <w:lvl w:ilvl="1">
      <w:lvlJc w:val="left"/>
      <w:lvlText w:val="(%2)"/>
      <w:numFmt w:val="lowerLetter"/>
      <w:start w:val="4"/>
    </w:lvl>
  </w:abstractNum>
  <w:abstractNum w:abstractNumId="92">
    <w:nsid w:val="3B1DD403"/>
    <w:multiLevelType w:val="hybridMultilevel"/>
    <w:lvl w:ilvl="0">
      <w:lvlJc w:val="left"/>
      <w:lvlText w:val="(%1)"/>
      <w:numFmt w:val="lowerLetter"/>
      <w:start w:val="1"/>
    </w:lvl>
  </w:abstractNum>
  <w:abstractNum w:abstractNumId="93">
    <w:nsid w:val="530386D1"/>
    <w:multiLevelType w:val="hybridMultilevel"/>
    <w:lvl w:ilvl="0">
      <w:lvlJc w:val="left"/>
      <w:lvlText w:val="(%1)"/>
      <w:numFmt w:val="lowerLetter"/>
      <w:start w:val="3"/>
    </w:lvl>
  </w:abstractNum>
  <w:abstractNum w:abstractNumId="94">
    <w:nsid w:val="7525F2BC"/>
    <w:multiLevelType w:val="hybridMultilevel"/>
    <w:lvl w:ilvl="0">
      <w:lvlJc w:val="left"/>
      <w:lvlText w:val="(%1)"/>
      <w:numFmt w:val="lowerLetter"/>
      <w:start w:val="5"/>
    </w:lvl>
  </w:abstractNum>
  <w:abstractNum w:abstractNumId="95">
    <w:nsid w:val="CE8E1A7"/>
    <w:multiLevelType w:val="hybridMultilevel"/>
    <w:lvl w:ilvl="0">
      <w:lvlJc w:val="left"/>
      <w:lvlText w:val="(%1)"/>
      <w:numFmt w:val="lowerLetter"/>
      <w:start w:val="8"/>
    </w:lvl>
  </w:abstractNum>
  <w:abstractNum w:abstractNumId="96">
    <w:nsid w:val="4E9EFB0D"/>
    <w:multiLevelType w:val="hybridMultilevel"/>
    <w:lvl w:ilvl="0">
      <w:lvlJc w:val="left"/>
      <w:lvlText w:val="(%1)"/>
      <w:numFmt w:val="lowerLetter"/>
      <w:start w:val="1"/>
    </w:lvl>
  </w:abstractNum>
  <w:abstractNum w:abstractNumId="97">
    <w:nsid w:val="90802BE"/>
    <w:multiLevelType w:val="hybridMultilevel"/>
    <w:lvl w:ilvl="0">
      <w:lvlJc w:val="left"/>
      <w:lvlText w:val="(%1)"/>
      <w:numFmt w:val="lowerLetter"/>
      <w:start w:val="4"/>
    </w:lvl>
  </w:abstractNum>
  <w:abstractNum w:abstractNumId="98">
    <w:nsid w:val="3266459B"/>
    <w:multiLevelType w:val="hybridMultilevel"/>
    <w:lvl w:ilvl="0">
      <w:lvlJc w:val="left"/>
      <w:lvlText w:val="(%1)"/>
      <w:numFmt w:val="lowerLetter"/>
      <w:start w:val="7"/>
    </w:lvl>
  </w:abstractNum>
  <w:abstractNum w:abstractNumId="99">
    <w:nsid w:val="3F8B0CBF"/>
    <w:multiLevelType w:val="hybridMultilevel"/>
    <w:lvl w:ilvl="0">
      <w:lvlJc w:val="left"/>
      <w:lvlText w:val="\ldblquote"/>
      <w:numFmt w:val="bullet"/>
      <w:start w:val="1"/>
    </w:lvl>
  </w:abstractNum>
  <w:abstractNum w:abstractNumId="100">
    <w:nsid w:val="37E203AB"/>
    <w:multiLevelType w:val="hybridMultilevel"/>
    <w:lvl w:ilvl="0">
      <w:lvlJc w:val="left"/>
      <w:lvlText w:val="\ldblquote"/>
      <w:numFmt w:val="bullet"/>
      <w:start w:val="1"/>
    </w:lvl>
  </w:abstractNum>
  <w:abstractNum w:abstractNumId="101">
    <w:nsid w:val="2586D60E"/>
    <w:multiLevelType w:val="hybridMultilevel"/>
    <w:lvl w:ilvl="0">
      <w:lvlJc w:val="left"/>
      <w:lvlText w:val="(%1)"/>
      <w:numFmt w:val="lowerLetter"/>
      <w:start w:val="2"/>
    </w:lvl>
    <w:lvl w:ilvl="1">
      <w:lvlJc w:val="left"/>
      <w:lvlText w:val="(%2)"/>
      <w:numFmt w:val="lowerLetter"/>
      <w:start w:val="9"/>
    </w:lvl>
  </w:abstractNum>
  <w:abstractNum w:abstractNumId="102">
    <w:nsid w:val="1F3DA4D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103">
    <w:nsid w:val="74C93698"/>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04">
    <w:nsid w:val="48781401"/>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05">
    <w:nsid w:val="186928D6"/>
    <w:multiLevelType w:val="hybridMultilevel"/>
    <w:lvl w:ilvl="0">
      <w:lvlJc w:val="left"/>
      <w:lvlText w:val="(%1)"/>
      <w:numFmt w:val="lowerRoman"/>
      <w:start w:val="4"/>
    </w:lvl>
  </w:abstractNum>
  <w:abstractNum w:abstractNumId="106">
    <w:nsid w:val="47195E5"/>
    <w:multiLevelType w:val="hybridMultilevel"/>
    <w:lvl w:ilvl="0">
      <w:lvlJc w:val="left"/>
      <w:lvlText w:val="%1"/>
      <w:numFmt w:val="lowerLetter"/>
      <w:start w:val="1"/>
    </w:lvl>
    <w:lvl w:ilvl="1">
      <w:lvlJc w:val="left"/>
      <w:lvlText w:val="(%2)"/>
      <w:numFmt w:val="lowerRoman"/>
      <w:start w:val="6"/>
    </w:lvl>
  </w:abstractNum>
  <w:abstractNum w:abstractNumId="107">
    <w:nsid w:val="3746A5F2"/>
    <w:multiLevelType w:val="hybridMultilevel"/>
    <w:lvl w:ilvl="0">
      <w:lvlJc w:val="left"/>
      <w:lvlText w:val="(%1)"/>
      <w:numFmt w:val="lowerLetter"/>
      <w:start w:val="4"/>
    </w:lvl>
    <w:lvl w:ilvl="1">
      <w:lvlJc w:val="left"/>
      <w:lvlText w:val="%2"/>
      <w:numFmt w:val="lowerRoman"/>
      <w:start w:val="1"/>
    </w:lvl>
  </w:abstractNum>
  <w:abstractNum w:abstractNumId="108">
    <w:nsid w:val="682DFED6"/>
    <w:multiLevelType w:val="hybridMultilevel"/>
    <w:lvl w:ilvl="0">
      <w:lvlJc w:val="left"/>
      <w:lvlText w:val="(%1)"/>
      <w:numFmt w:val="lowerLetter"/>
      <w:start w:val="8"/>
    </w:lvl>
  </w:abstractNum>
  <w:abstractNum w:abstractNumId="109">
    <w:nsid w:val="606ED7F6"/>
    <w:multiLevelType w:val="hybridMultilevel"/>
    <w:lvl w:ilvl="0">
      <w:lvlJc w:val="left"/>
      <w:lvlText w:val="(%1)"/>
      <w:numFmt w:val="lowerRoman"/>
      <w:start w:val="1"/>
    </w:lvl>
  </w:abstractNum>
  <w:abstractNum w:abstractNumId="110">
    <w:nsid w:val="2D9DF57D"/>
    <w:multiLevelType w:val="hybridMultilevel"/>
    <w:lvl w:ilvl="0">
      <w:lvlJc w:val="left"/>
      <w:lvlText w:val="%1"/>
      <w:numFmt w:val="lowerRoman"/>
      <w:start w:val="1"/>
    </w:lvl>
    <w:lvl w:ilvl="1">
      <w:lvlJc w:val="left"/>
      <w:lvlText w:val="(%2)"/>
      <w:numFmt w:val="lowerRoman"/>
      <w:start w:val="4"/>
    </w:lvl>
  </w:abstractNum>
  <w:abstractNum w:abstractNumId="111">
    <w:nsid w:val="7FBD7A3E"/>
    <w:multiLevelType w:val="hybridMultilevel"/>
    <w:lvl w:ilvl="0">
      <w:lvlJc w:val="left"/>
      <w:lvlText w:val="(%1)"/>
      <w:numFmt w:val="lowerRoman"/>
      <w:start w:val="1"/>
    </w:lvl>
    <w:lvl w:ilvl="1">
      <w:lvlJc w:val="left"/>
      <w:lvlText w:val="%2"/>
      <w:numFmt w:val="lowerRoman"/>
      <w:start w:val="1"/>
    </w:lvl>
  </w:abstractNum>
  <w:abstractNum w:abstractNumId="112">
    <w:nsid w:val="490B7C5"/>
    <w:multiLevelType w:val="hybridMultilevel"/>
    <w:lvl w:ilvl="0">
      <w:lvlJc w:val="left"/>
      <w:lvlText w:val="(%1)"/>
      <w:numFmt w:val="lowerLetter"/>
      <w:start w:val="11"/>
    </w:lvl>
  </w:abstractNum>
  <w:abstractNum w:abstractNumId="113">
    <w:nsid w:val="4303A216"/>
    <w:multiLevelType w:val="hybridMultilevel"/>
    <w:lvl w:ilvl="0">
      <w:lvlJc w:val="left"/>
      <w:lvlText w:val="(%1)"/>
      <w:numFmt w:val="lowerLetter"/>
      <w:start w:val="1"/>
    </w:lvl>
  </w:abstractNum>
  <w:abstractNum w:abstractNumId="114">
    <w:nsid w:val="19B8A08E"/>
    <w:multiLevelType w:val="hybridMultilevel"/>
    <w:lvl w:ilvl="0">
      <w:lvlJc w:val="left"/>
      <w:lvlText w:val="(%1)"/>
      <w:numFmt w:val="lowerLetter"/>
      <w:start w:val="2"/>
    </w:lvl>
  </w:abstractNum>
  <w:abstractNum w:abstractNumId="115">
    <w:nsid w:val="54B59621"/>
    <w:multiLevelType w:val="hybridMultilevel"/>
    <w:lvl w:ilvl="0">
      <w:lvlJc w:val="left"/>
      <w:lvlText w:val="(%1)"/>
      <w:numFmt w:val="lowerLetter"/>
      <w:start w:val="4"/>
    </w:lvl>
  </w:abstractNum>
  <w:abstractNum w:abstractNumId="116">
    <w:nsid w:val="5992A02E"/>
    <w:multiLevelType w:val="hybridMultilevel"/>
    <w:lvl w:ilvl="0">
      <w:lvlJc w:val="left"/>
      <w:lvlText w:val="(%1)"/>
      <w:numFmt w:val="lowerLetter"/>
      <w:start w:val="1"/>
    </w:lvl>
  </w:abstractNum>
  <w:abstractNum w:abstractNumId="117">
    <w:nsid w:val="29EF532D"/>
    <w:multiLevelType w:val="hybridMultilevel"/>
    <w:lvl w:ilvl="0">
      <w:lvlJc w:val="left"/>
      <w:lvlText w:val="(%1)"/>
      <w:numFmt w:val="lowerLetter"/>
      <w:start w:val="2"/>
    </w:lvl>
  </w:abstractNum>
  <w:abstractNum w:abstractNumId="118">
    <w:nsid w:val="71D601AF"/>
    <w:multiLevelType w:val="hybridMultilevel"/>
    <w:lvl w:ilvl="0">
      <w:lvlJc w:val="left"/>
      <w:lvlText w:val="(%1)"/>
      <w:numFmt w:val="lowerLetter"/>
      <w:start w:val="3"/>
    </w:lvl>
  </w:abstractNum>
  <w:abstractNum w:abstractNumId="119">
    <w:nsid w:val="52C77402"/>
    <w:multiLevelType w:val="hybridMultilevel"/>
    <w:lvl w:ilvl="0">
      <w:lvlJc w:val="left"/>
      <w:lvlText w:val="(%1)"/>
      <w:numFmt w:val="lowerLetter"/>
      <w:start w:val="5"/>
    </w:lvl>
  </w:abstractNum>
  <w:abstractNum w:abstractNumId="120">
    <w:nsid w:val="2BB5B1C6"/>
    <w:multiLevelType w:val="hybridMultilevel"/>
    <w:lvl w:ilvl="0">
      <w:lvlJc w:val="left"/>
      <w:lvlText w:val="(%1)"/>
      <w:numFmt w:val="lowerLetter"/>
      <w:start w:val="1"/>
    </w:lvl>
  </w:abstractNum>
  <w:abstractNum w:abstractNumId="121">
    <w:nsid w:val="66BE6B9"/>
    <w:multiLevelType w:val="hybridMultilevel"/>
    <w:lvl w:ilvl="0">
      <w:lvlJc w:val="left"/>
      <w:lvlText w:val="(%1)"/>
      <w:numFmt w:val="lowerLetter"/>
      <w:start w:val="3"/>
    </w:lvl>
  </w:abstractNum>
  <w:abstractNum w:abstractNumId="122">
    <w:nsid w:val="62234363"/>
    <w:multiLevelType w:val="hybridMultilevel"/>
    <w:lvl w:ilvl="0">
      <w:lvlJc w:val="left"/>
      <w:lvlText w:val="(%1)"/>
      <w:numFmt w:val="lowerLetter"/>
      <w:start w:val="6"/>
    </w:lvl>
    <w:lvl w:ilvl="1">
      <w:lvlJc w:val="left"/>
      <w:lvlText w:val="(%2)"/>
      <w:numFmt w:val="lowerLetter"/>
      <w:start w:val="7"/>
    </w:lvl>
  </w:abstractNum>
  <w:abstractNum w:abstractNumId="123">
    <w:nsid w:val="66D385C9"/>
    <w:multiLevelType w:val="hybridMultilevel"/>
    <w:lvl w:ilvl="0">
      <w:lvlJc w:val="left"/>
      <w:lvlText w:val="\ldblquote"/>
      <w:numFmt w:val="bullet"/>
      <w:start w:val="1"/>
    </w:lvl>
  </w:abstractNum>
  <w:abstractNum w:abstractNumId="124">
    <w:nsid w:val="596F6D8A"/>
    <w:multiLevelType w:val="hybridMultilevel"/>
    <w:lvl w:ilvl="0">
      <w:lvlJc w:val="left"/>
      <w:lvlText w:val="(%1)"/>
      <w:numFmt w:val="decimal"/>
      <w:start w:val="3"/>
    </w:lvl>
    <w:lvl w:ilvl="1">
      <w:lvlJc w:val="left"/>
      <w:lvlText w:val="\ldblquote"/>
      <w:numFmt w:val="bullet"/>
      <w:start w:val="1"/>
    </w:lvl>
  </w:abstractNum>
  <w:abstractNum w:abstractNumId="125">
    <w:nsid w:val="5749361F"/>
    <w:multiLevelType w:val="hybridMultilevel"/>
    <w:lvl w:ilvl="0">
      <w:lvlJc w:val="left"/>
      <w:lvlText w:val="\ldblquote"/>
      <w:numFmt w:val="bullet"/>
      <w:start w:val="1"/>
    </w:lvl>
  </w:abstractNum>
  <w:abstractNum w:abstractNumId="126">
    <w:nsid w:val="73BC6770"/>
    <w:multiLevelType w:val="hybridMultilevel"/>
    <w:lvl w:ilvl="0">
      <w:lvlJc w:val="left"/>
      <w:lvlText w:val="\ldblquote"/>
      <w:numFmt w:val="bullet"/>
      <w:start w:val="1"/>
    </w:lvl>
  </w:abstractNum>
  <w:abstractNum w:abstractNumId="127">
    <w:nsid w:val="280E6897"/>
    <w:multiLevelType w:val="hybridMultilevel"/>
    <w:lvl w:ilvl="0">
      <w:lvlJc w:val="left"/>
      <w:lvlText w:val="\ldblquote"/>
      <w:numFmt w:val="bullet"/>
      <w:start w:val="1"/>
    </w:lvl>
  </w:abstractNum>
  <w:abstractNum w:abstractNumId="128">
    <w:nsid w:val="605138DE"/>
    <w:multiLevelType w:val="hybridMultilevel"/>
    <w:lvl w:ilvl="0">
      <w:lvlJc w:val="left"/>
      <w:lvlText w:val="(%1)"/>
      <w:numFmt w:val="lowerLetter"/>
      <w:start w:val="2"/>
    </w:lvl>
    <w:lvl w:ilvl="1">
      <w:lvlJc w:val="left"/>
      <w:lvlText w:val="(%2)"/>
      <w:numFmt w:val="lowerLetter"/>
      <w:start w:val="9"/>
    </w:lvl>
  </w:abstractNum>
  <w:abstractNum w:abstractNumId="129">
    <w:nsid w:val="2622AD0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130">
    <w:nsid w:val="67997556"/>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31">
    <w:nsid w:val="18333C89"/>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32">
    <w:nsid w:val="4BA9831A"/>
    <w:multiLevelType w:val="hybridMultilevel"/>
    <w:lvl w:ilvl="0">
      <w:lvlJc w:val="left"/>
      <w:lvlText w:val="(%1)"/>
      <w:numFmt w:val="lowerRoman"/>
      <w:start w:val="1"/>
    </w:lvl>
  </w:abstractNum>
  <w:abstractNum w:abstractNumId="133">
    <w:nsid w:val="6D71A2B"/>
    <w:multiLevelType w:val="hybridMultilevel"/>
    <w:lvl w:ilvl="0">
      <w:lvlJc w:val="left"/>
      <w:lvlText w:val="(%1)"/>
      <w:numFmt w:val="lowerRoman"/>
      <w:start w:val="4"/>
    </w:lvl>
  </w:abstractNum>
  <w:abstractNum w:abstractNumId="134">
    <w:nsid w:val="CFC7321"/>
    <w:multiLevelType w:val="hybridMultilevel"/>
    <w:lvl w:ilvl="0">
      <w:lvlJc w:val="left"/>
      <w:lvlText w:val="%1"/>
      <w:numFmt w:val="lowerLetter"/>
      <w:start w:val="1"/>
    </w:lvl>
    <w:lvl w:ilvl="1">
      <w:lvlJc w:val="left"/>
      <w:lvlText w:val="(%2)"/>
      <w:numFmt w:val="lowerRoman"/>
      <w:start w:val="5"/>
    </w:lvl>
  </w:abstractNum>
  <w:abstractNum w:abstractNumId="135">
    <w:nsid w:val="1421971B"/>
    <w:multiLevelType w:val="hybridMultilevel"/>
    <w:lvl w:ilvl="0">
      <w:lvlJc w:val="left"/>
      <w:lvlText w:val="(%1)"/>
      <w:numFmt w:val="lowerLetter"/>
      <w:start w:val="4"/>
    </w:lvl>
    <w:lvl w:ilvl="1">
      <w:lvlJc w:val="left"/>
      <w:lvlText w:val="%2"/>
      <w:numFmt w:val="lowerRoman"/>
      <w:start w:val="1"/>
    </w:lvl>
  </w:abstractNum>
  <w:abstractNum w:abstractNumId="136">
    <w:nsid w:val="1F404301"/>
    <w:multiLevelType w:val="hybridMultilevel"/>
    <w:lvl w:ilvl="0">
      <w:lvlJc w:val="left"/>
      <w:lvlText w:val="(%1)"/>
      <w:numFmt w:val="lowerLetter"/>
      <w:start w:val="8"/>
    </w:lvl>
  </w:abstractNum>
  <w:abstractNum w:abstractNumId="137">
    <w:nsid w:val="116E0907"/>
    <w:multiLevelType w:val="hybridMultilevel"/>
    <w:lvl w:ilvl="0">
      <w:lvlJc w:val="left"/>
      <w:lvlText w:val="(%1)"/>
      <w:numFmt w:val="lowerRoman"/>
      <w:start w:val="1"/>
    </w:lvl>
    <w:lvl w:ilvl="1">
      <w:lvlJc w:val="left"/>
      <w:lvlText w:val="(%2)"/>
      <w:numFmt w:val="lowerRoman"/>
      <w:start w:val="1"/>
    </w:lvl>
  </w:abstractNum>
  <w:abstractNum w:abstractNumId="138">
    <w:nsid w:val="4B683D0D"/>
    <w:multiLevelType w:val="hybridMultilevel"/>
    <w:lvl w:ilvl="0">
      <w:lvlJc w:val="left"/>
      <w:lvlText w:val="%1"/>
      <w:numFmt w:val="lowerRoman"/>
      <w:start w:val="1"/>
    </w:lvl>
    <w:lvl w:ilvl="1">
      <w:lvlJc w:val="left"/>
      <w:lvlText w:val="(%2)"/>
      <w:numFmt w:val="lowerRoman"/>
      <w:start w:val="4"/>
    </w:lvl>
  </w:abstractNum>
  <w:abstractNum w:abstractNumId="139">
    <w:nsid w:val="76E41D8"/>
    <w:multiLevelType w:val="hybridMultilevel"/>
    <w:lvl w:ilvl="0">
      <w:lvlJc w:val="left"/>
      <w:lvlText w:val="(%1)"/>
      <w:numFmt w:val="lowerRoman"/>
      <w:start w:val="1"/>
    </w:lvl>
    <w:lvl w:ilvl="1">
      <w:lvlJc w:val="left"/>
      <w:lvlText w:val="%2"/>
      <w:numFmt w:val="lowerRoman"/>
      <w:start w:val="1"/>
    </w:lvl>
  </w:abstractNum>
  <w:abstractNum w:abstractNumId="140">
    <w:nsid w:val="71DCE0FD"/>
    <w:multiLevelType w:val="hybridMultilevel"/>
    <w:lvl w:ilvl="0">
      <w:lvlJc w:val="left"/>
      <w:lvlText w:val="(%1)"/>
      <w:numFmt w:val="lowerLetter"/>
      <w:start w:val="11"/>
    </w:lvl>
  </w:abstractNum>
  <w:abstractNum w:abstractNumId="141">
    <w:nsid w:val="7906328B"/>
    <w:multiLevelType w:val="hybridMultilevel"/>
    <w:lvl w:ilvl="0">
      <w:lvlJc w:val="left"/>
      <w:lvlText w:val="(%1)"/>
      <w:numFmt w:val="lowerLetter"/>
      <w:start w:val="1"/>
    </w:lvl>
  </w:abstractNum>
  <w:abstractNum w:abstractNumId="142">
    <w:nsid w:val="72BBC16"/>
    <w:multiLevelType w:val="hybridMultilevel"/>
    <w:lvl w:ilvl="0">
      <w:lvlJc w:val="left"/>
      <w:lvlText w:val="(%1)"/>
      <w:numFmt w:val="lowerLetter"/>
      <w:start w:val="2"/>
    </w:lvl>
  </w:abstractNum>
  <w:abstractNum w:abstractNumId="143">
    <w:nsid w:val="766D98C2"/>
    <w:multiLevelType w:val="hybridMultilevel"/>
    <w:lvl w:ilvl="0">
      <w:lvlJc w:val="left"/>
      <w:lvlText w:val="(%1)"/>
      <w:numFmt w:val="lowerLetter"/>
      <w:start w:val="4"/>
    </w:lvl>
  </w:abstractNum>
  <w:abstractNum w:abstractNumId="144">
    <w:nsid w:val="3C09D4A1"/>
    <w:multiLevelType w:val="hybridMultilevel"/>
    <w:lvl w:ilvl="0">
      <w:lvlJc w:val="left"/>
      <w:lvlText w:val="(%1)"/>
      <w:numFmt w:val="lowerLetter"/>
      <w:start w:val="1"/>
    </w:lvl>
  </w:abstractNum>
  <w:abstractNum w:abstractNumId="145">
    <w:nsid w:val="20E45CA4"/>
    <w:multiLevelType w:val="hybridMultilevel"/>
    <w:lvl w:ilvl="0">
      <w:lvlJc w:val="left"/>
      <w:lvlText w:val="(%1)"/>
      <w:numFmt w:val="lowerLetter"/>
      <w:start w:val="2"/>
    </w:lvl>
  </w:abstractNum>
  <w:abstractNum w:abstractNumId="146">
    <w:nsid w:val="4B232EE3"/>
    <w:multiLevelType w:val="hybridMultilevel"/>
    <w:lvl w:ilvl="0">
      <w:lvlJc w:val="left"/>
      <w:lvlText w:val="(%1)"/>
      <w:numFmt w:val="lowerLetter"/>
      <w:start w:val="2"/>
    </w:lvl>
  </w:abstractNum>
  <w:abstractNum w:abstractNumId="147">
    <w:nsid w:val="159C74CF"/>
    <w:multiLevelType w:val="hybridMultilevel"/>
    <w:lvl w:ilvl="0">
      <w:lvlJc w:val="left"/>
      <w:lvlText w:val="(%1)"/>
      <w:numFmt w:val="lowerLetter"/>
      <w:start w:val="3"/>
    </w:lvl>
  </w:abstractNum>
  <w:abstractNum w:abstractNumId="148">
    <w:nsid w:val="4AD3AFD2"/>
    <w:multiLevelType w:val="hybridMultilevel"/>
    <w:lvl w:ilvl="0">
      <w:lvlJc w:val="left"/>
      <w:lvlText w:val="(%1)"/>
      <w:numFmt w:val="lowerLetter"/>
      <w:start w:val="7"/>
    </w:lvl>
  </w:abstractNum>
  <w:abstractNum w:abstractNumId="149">
    <w:nsid w:val="3CF93092"/>
    <w:multiLevelType w:val="hybridMultilevel"/>
    <w:lvl w:ilvl="0">
      <w:lvlJc w:val="left"/>
      <w:lvlText w:val="(%1)"/>
      <w:numFmt w:val="lowerLetter"/>
      <w:start w:val="1"/>
    </w:lvl>
  </w:abstractNum>
  <w:abstractNum w:abstractNumId="150">
    <w:nsid w:val="6863E8D2"/>
    <w:multiLevelType w:val="hybridMultilevel"/>
    <w:lvl w:ilvl="0">
      <w:lvlJc w:val="left"/>
      <w:lvlText w:val="(%1)"/>
      <w:numFmt w:val="lowerLetter"/>
      <w:start w:val="5"/>
    </w:lvl>
  </w:abstractNum>
  <w:abstractNum w:abstractNumId="151">
    <w:nsid w:val="76896198"/>
    <w:multiLevelType w:val="hybridMultilevel"/>
    <w:lvl w:ilvl="0">
      <w:lvlJc w:val="left"/>
      <w:lvlText w:val="(%1)"/>
      <w:numFmt w:val="lowerLetter"/>
      <w:start w:val="7"/>
    </w:lvl>
  </w:abstractNum>
  <w:abstractNum w:abstractNumId="152">
    <w:nsid w:val="4365174B"/>
    <w:multiLevelType w:val="hybridMultilevel"/>
    <w:lvl w:ilvl="0">
      <w:lvlJc w:val="left"/>
      <w:lvlText w:val="(%1)"/>
      <w:numFmt w:val="lowerLetter"/>
      <w:start w:val="1"/>
    </w:lvl>
  </w:abstractNum>
  <w:abstractNum w:abstractNumId="153">
    <w:nsid w:val="4A872C35"/>
    <w:multiLevelType w:val="hybridMultilevel"/>
    <w:lvl w:ilvl="0">
      <w:lvlJc w:val="left"/>
      <w:lvlText w:val="(%1)"/>
      <w:numFmt w:val="decimal"/>
      <w:start w:val="1"/>
    </w:lvl>
    <w:lvl w:ilvl="1">
      <w:lvlJc w:val="left"/>
      <w:lvlText w:val="\ldblquote"/>
      <w:numFmt w:val="bullet"/>
      <w:start w:val="1"/>
    </w:lvl>
  </w:abstractNum>
  <w:abstractNum w:abstractNumId="154">
    <w:nsid w:val="5D5CE761"/>
    <w:multiLevelType w:val="hybridMultilevel"/>
    <w:lvl w:ilvl="0">
      <w:lvlJc w:val="left"/>
      <w:lvlText w:val="\ldblquote"/>
      <w:numFmt w:val="bullet"/>
      <w:start w:val="1"/>
    </w:lvl>
  </w:abstractNum>
  <w:abstractNum w:abstractNumId="155">
    <w:nsid w:val="1CD484D5"/>
    <w:multiLevelType w:val="hybridMultilevel"/>
    <w:lvl w:ilvl="0">
      <w:lvlJc w:val="left"/>
      <w:lvlText w:val="\ldblquote"/>
      <w:numFmt w:val="bullet"/>
      <w:start w:val="1"/>
    </w:lvl>
  </w:abstractNum>
  <w:abstractNum w:abstractNumId="156">
    <w:nsid w:val="21D06255"/>
    <w:multiLevelType w:val="hybridMultilevel"/>
    <w:lvl w:ilvl="0">
      <w:lvlJc w:val="left"/>
      <w:lvlText w:val="(%1)"/>
      <w:numFmt w:val="lowerRoman"/>
      <w:start w:val="1"/>
    </w:lvl>
    <w:lvl w:ilvl="1">
      <w:lvlJc w:val="left"/>
      <w:lvlText w:val="\ldblquote"/>
      <w:numFmt w:val="bullet"/>
      <w:start w:val="1"/>
    </w:lvl>
  </w:abstractNum>
  <w:abstractNum w:abstractNumId="157">
    <w:nsid w:val="51194ED1"/>
    <w:multiLevelType w:val="hybridMultilevel"/>
    <w:lvl w:ilvl="0">
      <w:lvlJc w:val="left"/>
      <w:lvlText w:val="(%1)"/>
      <w:numFmt w:val="lowerLetter"/>
      <w:start w:val="2"/>
    </w:lvl>
    <w:lvl w:ilvl="1">
      <w:lvlJc w:val="left"/>
      <w:lvlText w:val="(%2)"/>
      <w:numFmt w:val="lowerLetter"/>
      <w:start w:val="9"/>
    </w:lvl>
  </w:abstractNum>
  <w:abstractNum w:abstractNumId="158">
    <w:nsid w:val="44E2ED6C"/>
    <w:multiLevelType w:val="hybridMultilevel"/>
    <w:lvl w:ilvl="0">
      <w:lvlJc w:val="left"/>
      <w:lvlText w:val="(%1)"/>
      <w:numFmt w:val="upperLetter"/>
      <w:start w:val="4"/>
    </w:lvl>
  </w:abstractNum>
  <w:abstractNum w:abstractNumId="159">
    <w:nsid w:val="2219B33"/>
    <w:multiLevelType w:val="hybridMultilevel"/>
    <w:lvl w:ilvl="0">
      <w:lvlJc w:val="left"/>
      <w:lvlText w:val="%1"/>
      <w:numFmt w:val="lowerLetter"/>
      <w:start w:val="1"/>
    </w:lvl>
    <w:lvl w:ilvl="1">
      <w:lvlJc w:val="left"/>
      <w:lvlText w:val="(%2)"/>
      <w:numFmt w:val="lowerRoman"/>
      <w:start w:val="2"/>
    </w:lvl>
  </w:abstractNum>
  <w:abstractNum w:abstractNumId="160">
    <w:nsid w:val="773BFBDD"/>
    <w:multiLevelType w:val="hybridMultilevel"/>
    <w:lvl w:ilvl="0">
      <w:lvlJc w:val="left"/>
      <w:lvlText w:val="(%1)"/>
      <w:numFmt w:val="lowerLetter"/>
      <w:start w:val="3"/>
    </w:lvl>
    <w:lvl w:ilvl="1">
      <w:lvlJc w:val="left"/>
      <w:lvlText w:val="(%2)"/>
      <w:numFmt w:val="lowerRoman"/>
      <w:start w:val="1"/>
    </w:lvl>
  </w:abstractNum>
  <w:abstractNum w:abstractNumId="161">
    <w:nsid w:val="2C7C62C2"/>
    <w:multiLevelType w:val="hybridMultilevel"/>
    <w:lvl w:ilvl="0">
      <w:lvlJc w:val="left"/>
      <w:lvlText w:val=","/>
      <w:numFmt w:val="bullet"/>
      <w:start w:val="1"/>
    </w:lvl>
    <w:lvl w:ilvl="1">
      <w:lvlJc w:val="left"/>
      <w:lvlText w:val="%2"/>
      <w:numFmt w:val="lowerLetter"/>
      <w:start w:val="1"/>
    </w:lvl>
    <w:lvl w:ilvl="2">
      <w:lvlJc w:val="left"/>
      <w:lvlText w:val="(%3)"/>
      <w:numFmt w:val="lowerRoman"/>
      <w:start w:val="4"/>
    </w:lvl>
  </w:abstractNum>
  <w:abstractNum w:abstractNumId="162">
    <w:nsid w:val="1A54D7BC"/>
    <w:multiLevelType w:val="hybridMultilevel"/>
    <w:lvl w:ilvl="0">
      <w:lvlJc w:val="left"/>
      <w:lvlText w:val=","/>
      <w:numFmt w:val="bullet"/>
      <w:start w:val="1"/>
    </w:lvl>
    <w:lvl w:ilvl="1">
      <w:lvlJc w:val="left"/>
      <w:lvlText w:val="(%2)"/>
      <w:numFmt w:val="lowerLetter"/>
      <w:start w:val="4"/>
    </w:lvl>
    <w:lvl w:ilvl="2">
      <w:lvlJc w:val="left"/>
      <w:lvlText w:val="%3"/>
      <w:numFmt w:val="lowerRoman"/>
      <w:start w:val="1"/>
    </w:lvl>
  </w:abstractNum>
  <w:abstractNum w:abstractNumId="163">
    <w:nsid w:val="42E57EF7"/>
    <w:multiLevelType w:val="hybridMultilevel"/>
    <w:lvl w:ilvl="0">
      <w:lvlJc w:val="left"/>
      <w:lvlText w:val="(%1)"/>
      <w:numFmt w:val="lowerLetter"/>
      <w:start w:val="5"/>
    </w:lvl>
  </w:abstractNum>
  <w:abstractNum w:abstractNumId="164">
    <w:nsid w:val="33537CED"/>
    <w:multiLevelType w:val="hybridMultilevel"/>
    <w:lvl w:ilvl="0">
      <w:lvlJc w:val="left"/>
      <w:lvlText w:val="(%1)"/>
      <w:numFmt w:val="lowerLetter"/>
      <w:start w:val="8"/>
    </w:lvl>
    <w:lvl w:ilvl="1">
      <w:lvlJc w:val="left"/>
      <w:lvlText w:val="(%2)"/>
      <w:numFmt w:val="lowerRoman"/>
      <w:start w:val="1"/>
    </w:lvl>
  </w:abstractNum>
  <w:abstractNum w:abstractNumId="165">
    <w:nsid w:val="27514ADE"/>
    <w:multiLevelType w:val="hybridMultilevel"/>
    <w:lvl w:ilvl="0">
      <w:lvlJc w:val="left"/>
      <w:lvlText w:val="(%1)"/>
      <w:numFmt w:val="lowerRoman"/>
      <w:start w:val="4"/>
    </w:lvl>
  </w:abstractNum>
  <w:abstractNum w:abstractNumId="166">
    <w:nsid w:val="57071613"/>
    <w:multiLevelType w:val="hybridMultilevel"/>
    <w:lvl w:ilvl="0">
      <w:lvlJc w:val="left"/>
      <w:lvlText w:val="(%1)"/>
      <w:numFmt w:val="lowerLetter"/>
      <w:start w:val="11"/>
    </w:lvl>
  </w:abstractNum>
  <w:abstractNum w:abstractNumId="167">
    <w:nsid w:val="5293BFEF"/>
    <w:multiLevelType w:val="hybridMultilevel"/>
    <w:lvl w:ilvl="0">
      <w:lvlJc w:val="left"/>
      <w:lvlText w:val="(%1)"/>
      <w:numFmt w:val="lowerLetter"/>
      <w:start w:val="1"/>
    </w:lvl>
  </w:abstractNum>
  <w:abstractNum w:abstractNumId="168">
    <w:nsid w:val="38BF53E5"/>
    <w:multiLevelType w:val="hybridMultilevel"/>
    <w:lvl w:ilvl="0">
      <w:lvlJc w:val="left"/>
      <w:lvlText w:val="(%1)"/>
      <w:numFmt w:val="lowerRoman"/>
      <w:start w:val="1"/>
    </w:lvl>
  </w:abstractNum>
  <w:abstractNum w:abstractNumId="169">
    <w:nsid w:val="226F5320"/>
    <w:multiLevelType w:val="hybridMultilevel"/>
    <w:lvl w:ilvl="0">
      <w:lvlJc w:val="left"/>
      <w:lvlText w:val="(%1)"/>
      <w:numFmt w:val="lowerRoman"/>
      <w:start w:val="2"/>
    </w:lvl>
  </w:abstractNum>
  <w:abstractNum w:abstractNumId="170">
    <w:nsid w:val="5A0201C7"/>
    <w:multiLevelType w:val="hybridMultilevel"/>
    <w:lvl w:ilvl="0">
      <w:lvlJc w:val="left"/>
      <w:lvlText w:val="(%1)"/>
      <w:numFmt w:val="lowerLetter"/>
      <w:start w:val="2"/>
    </w:lvl>
  </w:abstractNum>
  <w:abstractNum w:abstractNumId="171">
    <w:nsid w:val="2A9C34E2"/>
    <w:multiLevelType w:val="hybridMultilevel"/>
    <w:lvl w:ilvl="0">
      <w:lvlJc w:val="left"/>
      <w:lvlText w:val="(%1)"/>
      <w:numFmt w:val="lowerRoman"/>
      <w:start w:val="2"/>
    </w:lvl>
  </w:abstractNum>
  <w:abstractNum w:abstractNumId="172">
    <w:nsid w:val="1B7585AB"/>
    <w:multiLevelType w:val="hybridMultilevel"/>
    <w:lvl w:ilvl="0">
      <w:lvlJc w:val="left"/>
      <w:lvlText w:val="(%1)"/>
      <w:numFmt w:val="lowerRoman"/>
      <w:start w:val="6"/>
    </w:lvl>
  </w:abstractNum>
  <w:abstractNum w:abstractNumId="173">
    <w:nsid w:val="612DBDDD"/>
    <w:multiLevelType w:val="hybridMultilevel"/>
    <w:lvl w:ilvl="0">
      <w:lvlJc w:val="left"/>
      <w:lvlText w:val="(%1)"/>
      <w:numFmt w:val="lowerLetter"/>
      <w:start w:val="3"/>
    </w:lvl>
    <w:lvl w:ilvl="1">
      <w:lvlJc w:val="left"/>
      <w:lvlText w:val="(%2)"/>
      <w:numFmt w:val="lowerRoman"/>
      <w:start w:val="1"/>
    </w:lvl>
  </w:abstractNum>
  <w:abstractNum w:abstractNumId="174">
    <w:nsid w:val="2109CDA4"/>
    <w:multiLevelType w:val="hybridMultilevel"/>
    <w:lvl w:ilvl="0">
      <w:lvlJc w:val="left"/>
      <w:lvlText w:val="%1"/>
      <w:numFmt w:val="lowerLetter"/>
      <w:start w:val="1"/>
    </w:lvl>
    <w:lvl w:ilvl="1">
      <w:lvlJc w:val="left"/>
      <w:lvlText w:val="(%2)"/>
      <w:numFmt w:val="lowerRoman"/>
      <w:start w:val="4"/>
    </w:lvl>
  </w:abstractNum>
  <w:abstractNum w:abstractNumId="175">
    <w:nsid w:val="577F5A4D"/>
    <w:multiLevelType w:val="hybridMultilevel"/>
    <w:lvl w:ilvl="0">
      <w:lvlJc w:val="left"/>
      <w:lvlText w:val="(%1)"/>
      <w:numFmt w:val="lowerLetter"/>
      <w:start w:val="4"/>
    </w:lvl>
    <w:lvl w:ilvl="1">
      <w:lvlJc w:val="left"/>
      <w:lvlText w:val="(%2)"/>
      <w:numFmt w:val="lowerRoman"/>
      <w:start w:val="1"/>
    </w:lvl>
  </w:abstractNum>
  <w:abstractNum w:abstractNumId="176">
    <w:nsid w:val="2121A81"/>
    <w:multiLevelType w:val="hybridMultilevel"/>
    <w:lvl w:ilvl="0">
      <w:lvlJc w:val="left"/>
      <w:lvlText w:val="(%1)"/>
      <w:numFmt w:val="lowerLetter"/>
      <w:start w:val="7"/>
    </w:lvl>
    <w:lvl w:ilvl="1">
      <w:lvlJc w:val="left"/>
      <w:lvlText w:val="(%2)"/>
      <w:numFmt w:val="lowerRoman"/>
      <w:start w:val="1"/>
    </w:lvl>
  </w:abstractNum>
  <w:abstractNum w:abstractNumId="177">
    <w:nsid w:val="6C2CFC88"/>
    <w:multiLevelType w:val="hybridMultilevel"/>
    <w:lvl w:ilvl="0">
      <w:lvlJc w:val="left"/>
      <w:lvlText w:val="(%1)"/>
      <w:numFmt w:val="lowerRoman"/>
      <w:start w:val="2"/>
    </w:lvl>
  </w:abstractNum>
  <w:abstractNum w:abstractNumId="178">
    <w:nsid w:val="6D1BCF1C"/>
    <w:multiLevelType w:val="hybridMultilevel"/>
    <w:lvl w:ilvl="0">
      <w:lvlJc w:val="left"/>
      <w:lvlText w:val="(%1)"/>
      <w:numFmt w:val="lowerRoman"/>
      <w:start w:val="3"/>
    </w:lvl>
  </w:abstractNum>
  <w:abstractNum w:abstractNumId="179">
    <w:nsid w:val="4CE5CA53"/>
    <w:multiLevelType w:val="hybridMultilevel"/>
    <w:lvl w:ilvl="0">
      <w:lvlJc w:val="left"/>
      <w:lvlText w:val="(%1)"/>
      <w:numFmt w:val="lowerRoman"/>
      <w:start w:val="4"/>
    </w:lvl>
  </w:abstractNum>
  <w:abstractNum w:abstractNumId="180">
    <w:nsid w:val="29262D1A"/>
    <w:multiLevelType w:val="hybridMultilevel"/>
    <w:lvl w:ilvl="0">
      <w:lvlJc w:val="left"/>
      <w:lvlText w:val="(%1)"/>
      <w:numFmt w:val="lowerRoman"/>
      <w:start w:val="5"/>
    </w:lvl>
  </w:abstractNum>
  <w:abstractNum w:abstractNumId="181">
    <w:nsid w:val="557FB7EE"/>
    <w:multiLevelType w:val="hybridMultilevel"/>
    <w:lvl w:ilvl="0">
      <w:lvlJc w:val="left"/>
      <w:lvlText w:val="(%1)"/>
      <w:numFmt w:val="lowerRoman"/>
      <w:start w:val="6"/>
    </w:lvl>
  </w:abstractNum>
  <w:abstractNum w:abstractNumId="182">
    <w:nsid w:val="436F2BEB"/>
    <w:multiLevelType w:val="hybridMultilevel"/>
    <w:lvl w:ilvl="0">
      <w:lvlJc w:val="left"/>
      <w:lvlText w:val="(%1)"/>
      <w:numFmt w:val="lowerRoman"/>
      <w:start w:val="1"/>
    </w:lvl>
    <w:lvl w:ilvl="1">
      <w:lvlJc w:val="left"/>
      <w:lvlText w:val="(%2)"/>
      <w:numFmt w:val="lowerRoman"/>
      <w:start w:val="1"/>
    </w:lvl>
  </w:abstractNum>
  <w:abstractNum w:abstractNumId="183">
    <w:nsid w:val="6C8B4466"/>
    <w:multiLevelType w:val="hybridMultilevel"/>
    <w:lvl w:ilvl="0">
      <w:lvlJc w:val="left"/>
      <w:lvlText w:val="(%1)"/>
      <w:numFmt w:val="lowerLetter"/>
      <w:start w:val="10"/>
    </w:lvl>
  </w:abstractNum>
  <w:abstractNum w:abstractNumId="184">
    <w:nsid w:val="2006E424"/>
    <w:multiLevelType w:val="hybridMultilevel"/>
    <w:lvl w:ilvl="0">
      <w:lvlJc w:val="left"/>
      <w:lvlText w:val="(%1)"/>
      <w:numFmt w:val="lowerRoman"/>
      <w:start w:val="2"/>
    </w:lvl>
  </w:abstractNum>
  <w:abstractNum w:abstractNumId="185">
    <w:nsid w:val="20CC134C"/>
    <w:multiLevelType w:val="hybridMultilevel"/>
    <w:lvl w:ilvl="0">
      <w:lvlJc w:val="left"/>
      <w:lvlText w:val="(%1)"/>
      <w:numFmt w:val="lowerRoman"/>
      <w:start w:val="4"/>
    </w:lvl>
  </w:abstractNum>
  <w:abstractNum w:abstractNumId="186">
    <w:nsid w:val="95FC93B"/>
    <w:multiLevelType w:val="hybridMultilevel"/>
    <w:lvl w:ilvl="0">
      <w:lvlJc w:val="left"/>
      <w:lvlText w:val="(%1)"/>
      <w:numFmt w:val="lowerRoman"/>
      <w:start w:val="5"/>
    </w:lvl>
  </w:abstractNum>
  <w:abstractNum w:abstractNumId="187">
    <w:nsid w:val="41D74679"/>
    <w:multiLevelType w:val="hybridMultilevel"/>
    <w:lvl w:ilvl="0">
      <w:lvlJc w:val="left"/>
      <w:lvlText w:val="(%1)"/>
      <w:numFmt w:val="lowerLetter"/>
      <w:start w:val="12"/>
    </w:lvl>
    <w:lvl w:ilvl="1">
      <w:lvlJc w:val="left"/>
      <w:lvlText w:val="(%2)"/>
      <w:numFmt w:val="lowerRoman"/>
      <w:start w:val="1"/>
    </w:lvl>
  </w:abstractNum>
  <w:abstractNum w:abstractNumId="188">
    <w:nsid w:val="71E5621E"/>
    <w:multiLevelType w:val="hybridMultilevel"/>
    <w:lvl w:ilvl="0">
      <w:lvlJc w:val="left"/>
      <w:lvlText w:val="%1"/>
      <w:numFmt w:val="upperLetter"/>
      <w:start w:val="1"/>
    </w:lvl>
    <w:lvl w:ilvl="1">
      <w:lvlJc w:val="left"/>
      <w:lvlText w:val="(%2)"/>
      <w:numFmt w:val="lowerRoman"/>
      <w:start w:val="3"/>
    </w:lvl>
  </w:abstractNum>
  <w:abstractNum w:abstractNumId="189">
    <w:nsid w:val="4E42B6A8"/>
    <w:multiLevelType w:val="hybridMultilevel"/>
    <w:lvl w:ilvl="0">
      <w:lvlJc w:val="left"/>
      <w:lvlText w:val="(%1)"/>
      <w:numFmt w:val="upperLetter"/>
      <w:start w:val="11"/>
    </w:lvl>
    <w:lvl w:ilvl="1">
      <w:lvlJc w:val="left"/>
      <w:lvlText w:val="%2"/>
      <w:numFmt w:val="lowerRoman"/>
      <w:start w:val="1"/>
    </w:lvl>
  </w:abstractNum>
  <w:abstractNum w:abstractNumId="190">
    <w:nsid w:val="43F8E1AC"/>
    <w:multiLevelType w:val="hybridMultilevel"/>
    <w:lvl w:ilvl="0">
      <w:lvlJc w:val="left"/>
      <w:lvlText w:val="(%1)"/>
      <w:numFmt w:val="lowerRoman"/>
      <w:start w:val="7"/>
    </w:lvl>
  </w:abstractNum>
  <w:abstractNum w:abstractNumId="191">
    <w:nsid w:val="69215DFB"/>
    <w:multiLevelType w:val="hybridMultilevel"/>
    <w:lvl w:ilvl="0">
      <w:lvlJc w:val="left"/>
      <w:lvlText w:val="(%1)"/>
      <w:numFmt w:val="lowerRoman"/>
      <w:start w:val="9"/>
    </w:lvl>
  </w:abstractNum>
  <w:abstractNum w:abstractNumId="192">
    <w:nsid w:val="7ABF196A"/>
    <w:multiLevelType w:val="hybridMultilevel"/>
    <w:lvl w:ilvl="0">
      <w:lvlJc w:val="left"/>
      <w:lvlText w:val="(%1)"/>
      <w:numFmt w:val="lowerRoman"/>
      <w:start w:val="3"/>
    </w:lvl>
  </w:abstractNum>
  <w:abstractNum w:abstractNumId="193">
    <w:nsid w:val="5E4DB968"/>
    <w:multiLevelType w:val="hybridMultilevel"/>
    <w:lvl w:ilvl="0">
      <w:lvlJc w:val="left"/>
      <w:lvlText w:val="(%1)"/>
      <w:numFmt w:val="lowerRoman"/>
      <w:start w:val="3"/>
    </w:lvl>
  </w:abstractNum>
  <w:abstractNum w:abstractNumId="194">
    <w:nsid w:val="2C06DCF3"/>
    <w:multiLevelType w:val="hybridMultilevel"/>
    <w:lvl w:ilvl="0">
      <w:lvlJc w:val="left"/>
      <w:lvlText w:val="(%1)"/>
      <w:numFmt w:val="lowerLetter"/>
      <w:start w:val="1"/>
    </w:lvl>
  </w:abstractNum>
  <w:abstractNum w:abstractNumId="195">
    <w:nsid w:val="2E129658"/>
    <w:multiLevelType w:val="hybridMultilevel"/>
    <w:lvl w:ilvl="0">
      <w:lvlJc w:val="left"/>
      <w:lvlText w:val="(%1)"/>
      <w:numFmt w:val="lowerLetter"/>
      <w:start w:val="2"/>
    </w:lvl>
  </w:abstractNum>
  <w:abstractNum w:abstractNumId="196">
    <w:nsid w:val="59F0446"/>
    <w:multiLevelType w:val="hybridMultilevel"/>
    <w:lvl w:ilvl="0">
      <w:lvlJc w:val="left"/>
      <w:lvlText w:val="(%1)"/>
      <w:numFmt w:val="lowerLetter"/>
      <w:start w:val="4"/>
    </w:lvl>
  </w:abstractNum>
  <w:abstractNum w:abstractNumId="197">
    <w:nsid w:val="30DF306"/>
    <w:multiLevelType w:val="hybridMultilevel"/>
    <w:lvl w:ilvl="0">
      <w:lvlJc w:val="left"/>
      <w:lvlText w:val="(%1)"/>
      <w:numFmt w:val="lowerLetter"/>
      <w:start w:val="1"/>
    </w:lvl>
  </w:abstractNum>
  <w:abstractNum w:abstractNumId="198">
    <w:nsid w:val="A65647"/>
    <w:multiLevelType w:val="hybridMultilevel"/>
    <w:lvl w:ilvl="0">
      <w:lvlJc w:val="left"/>
      <w:lvlText w:val="(%1)"/>
      <w:numFmt w:val="lowerLetter"/>
      <w:start w:val="2"/>
    </w:lvl>
  </w:abstractNum>
  <w:abstractNum w:abstractNumId="199">
    <w:nsid w:val="3E5E582B"/>
    <w:multiLevelType w:val="hybridMultilevel"/>
    <w:lvl w:ilvl="0">
      <w:lvlJc w:val="left"/>
      <w:lvlText w:val="(%1)"/>
      <w:numFmt w:val="lowerLetter"/>
      <w:start w:val="2"/>
    </w:lvl>
  </w:abstractNum>
  <w:abstractNum w:abstractNumId="200">
    <w:nsid w:val="257D4626"/>
    <w:multiLevelType w:val="hybridMultilevel"/>
    <w:lvl w:ilvl="0">
      <w:lvlJc w:val="left"/>
      <w:lvlText w:val="(%1)"/>
      <w:numFmt w:val="lowerLetter"/>
      <w:start w:val="3"/>
    </w:lvl>
  </w:abstractNum>
  <w:abstractNum w:abstractNumId="201">
    <w:nsid w:val="5AA8580E"/>
    <w:multiLevelType w:val="hybridMultilevel"/>
    <w:lvl w:ilvl="0">
      <w:lvlJc w:val="left"/>
      <w:lvlText w:val="(%1)"/>
      <w:numFmt w:val="lowerLetter"/>
      <w:start w:val="8"/>
    </w:lvl>
  </w:abstractNum>
  <w:abstractNum w:abstractNumId="202">
    <w:nsid w:val="68FA8D0D"/>
    <w:multiLevelType w:val="hybridMultilevel"/>
    <w:lvl w:ilvl="0">
      <w:lvlJc w:val="left"/>
      <w:lvlText w:val="(%1)"/>
      <w:numFmt w:val="lowerLetter"/>
      <w:start w:val="1"/>
    </w:lvl>
  </w:abstractNum>
  <w:abstractNum w:abstractNumId="203">
    <w:nsid w:val="40F2CBD2"/>
    <w:multiLevelType w:val="hybridMultilevel"/>
    <w:lvl w:ilvl="0">
      <w:lvlJc w:val="left"/>
      <w:lvlText w:val="(%1)"/>
      <w:numFmt w:val="lowerLetter"/>
      <w:start w:val="3"/>
    </w:lvl>
  </w:abstractNum>
  <w:abstractNum w:abstractNumId="204">
    <w:nsid w:val="3BD615EB"/>
    <w:multiLevelType w:val="hybridMultilevel"/>
    <w:lvl w:ilvl="0">
      <w:lvlJc w:val="left"/>
      <w:lvlText w:val="(%1)"/>
      <w:numFmt w:val="lowerLetter"/>
      <w:start w:val="5"/>
    </w:lvl>
  </w:abstractNum>
  <w:abstractNum w:abstractNumId="205">
    <w:nsid w:val="A045AB2"/>
    <w:multiLevelType w:val="hybridMultilevel"/>
    <w:lvl w:ilvl="0">
      <w:lvlJc w:val="left"/>
      <w:lvlText w:val="(%1)"/>
      <w:numFmt w:val="lowerLetter"/>
      <w:start w:val="3"/>
    </w:lvl>
    <w:lvl w:ilvl="1">
      <w:lvlJc w:val="left"/>
      <w:lvlText w:val="(%2)"/>
      <w:numFmt w:val="lowerLetter"/>
      <w:start w:val="7"/>
    </w:lvl>
  </w:abstractNum>
  <w:abstractNum w:abstractNumId="206">
    <w:nsid w:val="1872261F"/>
    <w:multiLevelType w:val="hybridMultilevel"/>
    <w:lvl w:ilvl="0">
      <w:lvlJc w:val="left"/>
      <w:lvlText w:val="(%1)"/>
      <w:numFmt w:val="decimal"/>
      <w:start w:val="1"/>
    </w:lvl>
    <w:lvl w:ilvl="1">
      <w:lvlJc w:val="left"/>
      <w:lvlText w:val="\ldblquote"/>
      <w:numFmt w:val="bullet"/>
      <w:start w:val="1"/>
    </w:lvl>
  </w:abstractNum>
  <w:abstractNum w:abstractNumId="207">
    <w:nsid w:val="3DE8306C"/>
    <w:multiLevelType w:val="hybridMultilevel"/>
    <w:lvl w:ilvl="0">
      <w:lvlJc w:val="left"/>
      <w:lvlText w:val="\ldblquote"/>
      <w:numFmt w:val="bullet"/>
      <w:start w:val="1"/>
    </w:lvl>
  </w:abstractNum>
  <w:abstractNum w:abstractNumId="208">
    <w:nsid w:val="7631573A"/>
    <w:multiLevelType w:val="hybridMultilevel"/>
    <w:lvl w:ilvl="0">
      <w:lvlJc w:val="left"/>
      <w:lvlText w:val="\ldblquote"/>
      <w:numFmt w:val="bullet"/>
      <w:start w:val="1"/>
    </w:lvl>
  </w:abstractNum>
  <w:abstractNum w:abstractNumId="209">
    <w:nsid w:val="58DF53B"/>
    <w:multiLevelType w:val="hybridMultilevel"/>
    <w:lvl w:ilvl="0">
      <w:lvlJc w:val="left"/>
      <w:lvlText w:val="(%1)"/>
      <w:numFmt w:val="lowerRoman"/>
      <w:start w:val="1"/>
    </w:lvl>
    <w:lvl w:ilvl="1">
      <w:lvlJc w:val="left"/>
      <w:lvlText w:val="\ldblquote"/>
      <w:numFmt w:val="bullet"/>
      <w:start w:val="1"/>
    </w:lvl>
  </w:abstractNum>
  <w:abstractNum w:abstractNumId="210">
    <w:nsid w:val="ACDFAC0"/>
    <w:multiLevelType w:val="hybridMultilevel"/>
    <w:lvl w:ilvl="0">
      <w:lvlJc w:val="left"/>
      <w:lvlText w:val="(%1)"/>
      <w:numFmt w:val="lowerLetter"/>
      <w:start w:val="2"/>
    </w:lvl>
    <w:lvl w:ilvl="1">
      <w:lvlJc w:val="left"/>
      <w:lvlText w:val="(%2)"/>
      <w:numFmt w:val="lowerLetter"/>
      <w:start w:val="9"/>
    </w:lvl>
  </w:abstractNum>
  <w:abstractNum w:abstractNumId="211">
    <w:nsid w:val="1F57845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4"/>
    </w:lvl>
  </w:abstractNum>
  <w:abstractNum w:abstractNumId="212">
    <w:nsid w:val="5B0DAD2A"/>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213">
    <w:nsid w:val="4E3D26AB"/>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214">
    <w:nsid w:val="BE2C8BA"/>
    <w:multiLevelType w:val="hybridMultilevel"/>
    <w:lvl w:ilvl="0">
      <w:lvlJc w:val="left"/>
      <w:lvlText w:val="(%1)"/>
      <w:numFmt w:val="lowerRoman"/>
      <w:start w:val="2"/>
    </w:lvl>
  </w:abstractNum>
  <w:abstractNum w:abstractNumId="215">
    <w:nsid w:val="7B14914E"/>
    <w:multiLevelType w:val="hybridMultilevel"/>
    <w:lvl w:ilvl="0">
      <w:lvlJc w:val="left"/>
      <w:lvlText w:val="(%1)"/>
      <w:numFmt w:val="lowerRoman"/>
      <w:start w:val="4"/>
    </w:lvl>
  </w:abstractNum>
  <w:abstractNum w:abstractNumId="216">
    <w:nsid w:val="6F0939F8"/>
    <w:multiLevelType w:val="hybridMultilevel"/>
    <w:lvl w:ilvl="0">
      <w:lvlJc w:val="left"/>
      <w:lvlText w:val="(%1)"/>
      <w:numFmt w:val="lowerRoman"/>
      <w:start w:val="5"/>
    </w:lvl>
  </w:abstractNum>
  <w:abstractNum w:abstractNumId="217">
    <w:nsid w:val="154291F6"/>
    <w:multiLevelType w:val="hybridMultilevel"/>
    <w:lvl w:ilvl="0">
      <w:lvlJc w:val="left"/>
      <w:lvlText w:val="(%1)"/>
      <w:numFmt w:val="lowerLetter"/>
      <w:start w:val="4"/>
    </w:lvl>
  </w:abstractNum>
  <w:abstractNum w:abstractNumId="218">
    <w:nsid w:val="3CEBD7C7"/>
    <w:multiLevelType w:val="hybridMultilevel"/>
    <w:lvl w:ilvl="0">
      <w:lvlJc w:val="left"/>
      <w:lvlText w:val="(%1)"/>
      <w:numFmt w:val="lowerLetter"/>
      <w:start w:val="6"/>
    </w:lvl>
  </w:abstractNum>
  <w:abstractNum w:abstractNumId="219">
    <w:nsid w:val="60EE9C16"/>
    <w:multiLevelType w:val="hybridMultilevel"/>
    <w:lvl w:ilvl="0">
      <w:lvlJc w:val="left"/>
      <w:lvlText w:val="(%1)"/>
      <w:numFmt w:val="lowerLetter"/>
      <w:start w:val="8"/>
    </w:lvl>
  </w:abstractNum>
  <w:abstractNum w:abstractNumId="220">
    <w:nsid w:val="6385489E"/>
    <w:multiLevelType w:val="hybridMultilevel"/>
    <w:lvl w:ilvl="0">
      <w:lvlJc w:val="left"/>
      <w:lvlText w:val="(%1)"/>
      <w:numFmt w:val="lowerRoman"/>
      <w:start w:val="1"/>
    </w:lvl>
    <w:lvl w:ilvl="1">
      <w:lvlJc w:val="left"/>
      <w:lvlText w:val="(%2)"/>
      <w:numFmt w:val="lowerRoman"/>
      <w:start w:val="1"/>
    </w:lvl>
  </w:abstractNum>
  <w:abstractNum w:abstractNumId="221">
    <w:nsid w:val="E4B973"/>
    <w:multiLevelType w:val="hybridMultilevel"/>
    <w:lvl w:ilvl="0">
      <w:lvlJc w:val="left"/>
      <w:lvlText w:val="(%1)"/>
      <w:numFmt w:val="lowerRoman"/>
      <w:start w:val="4"/>
    </w:lvl>
  </w:abstractNum>
  <w:abstractNum w:abstractNumId="222">
    <w:nsid w:val="4A0FFA11"/>
    <w:multiLevelType w:val="hybridMultilevel"/>
    <w:lvl w:ilvl="0">
      <w:lvlJc w:val="left"/>
      <w:lvlText w:val="(%1)"/>
      <w:numFmt w:val="lowerLetter"/>
      <w:start w:val="11"/>
    </w:lvl>
  </w:abstractNum>
  <w:abstractNum w:abstractNumId="223">
    <w:nsid w:val="5E446208"/>
    <w:multiLevelType w:val="hybridMultilevel"/>
    <w:lvl w:ilvl="0">
      <w:lvlJc w:val="left"/>
      <w:lvlText w:val="(%1)"/>
      <w:numFmt w:val="lowerLetter"/>
      <w:start w:val="1"/>
    </w:lvl>
  </w:abstractNum>
  <w:abstractNum w:abstractNumId="224">
    <w:nsid w:val="5F3272DB"/>
    <w:multiLevelType w:val="hybridMultilevel"/>
    <w:lvl w:ilvl="0">
      <w:lvlJc w:val="left"/>
      <w:lvlText w:val="\ldblquote"/>
      <w:numFmt w:val="bullet"/>
      <w:start w:val="1"/>
    </w:lvl>
  </w:abstractNum>
  <w:abstractNum w:abstractNumId="225">
    <w:nsid w:val="7616D704"/>
    <w:multiLevelType w:val="hybridMultilevel"/>
    <w:lvl w:ilvl="0">
      <w:lvlJc w:val="left"/>
      <w:lvlText w:val="\ldblquote"/>
      <w:numFmt w:val="bullet"/>
      <w:start w:val="1"/>
    </w:lvl>
    <w:lvl w:ilvl="1">
      <w:lvlJc w:val="left"/>
      <w:lvlText w:val="(%2)"/>
      <w:numFmt w:val="lowerRoman"/>
      <w:start w:val="1"/>
    </w:lvl>
  </w:abstractNum>
  <w:abstractNum w:abstractNumId="226">
    <w:nsid w:val="C56F860"/>
    <w:multiLevelType w:val="hybridMultilevel"/>
    <w:lvl w:ilvl="0">
      <w:lvlJc w:val="left"/>
      <w:lvlText w:val="(%1)"/>
      <w:numFmt w:val="lowerLetter"/>
      <w:start w:val="2"/>
    </w:lvl>
  </w:abstractNum>
  <w:abstractNum w:abstractNumId="227">
    <w:nsid w:val="64D17722"/>
    <w:multiLevelType w:val="hybridMultilevel"/>
    <w:lvl w:ilvl="0">
      <w:lvlJc w:val="left"/>
      <w:lvlText w:val="(%1)"/>
      <w:numFmt w:val="lowerRoman"/>
      <w:start w:val="2"/>
    </w:lvl>
  </w:abstractNum>
  <w:abstractNum w:abstractNumId="228">
    <w:nsid w:val="7924CA0A"/>
    <w:multiLevelType w:val="hybridMultilevel"/>
    <w:lvl w:ilvl="0">
      <w:lvlJc w:val="left"/>
      <w:lvlText w:val="(%1)"/>
      <w:numFmt w:val="upperLetter"/>
      <w:start w:val="1"/>
    </w:lvl>
    <w:lvl w:ilvl="1">
      <w:lvlJc w:val="left"/>
      <w:lvlText w:val="(%2)"/>
      <w:numFmt w:val="lowerRoman"/>
      <w:start w:val="6"/>
    </w:lvl>
  </w:abstractNum>
  <w:abstractNum w:abstractNumId="229">
    <w:nsid w:val="CFD4EA7"/>
    <w:multiLevelType w:val="hybridMultilevel"/>
    <w:lvl w:ilvl="0">
      <w:lvlJc w:val="left"/>
      <w:lvlText w:val="(%1)"/>
      <w:numFmt w:val="lowerLetter"/>
      <w:start w:val="3"/>
    </w:lvl>
    <w:lvl w:ilvl="1">
      <w:lvlJc w:val="left"/>
      <w:lvlText w:val="(%2)"/>
      <w:numFmt w:val="lowerLetter"/>
      <w:start w:val="9"/>
    </w:lvl>
  </w:abstractNum>
  <w:abstractNum w:abstractNumId="230">
    <w:nsid w:val="232FCF4D"/>
    <w:multiLevelType w:val="hybridMultilevel"/>
    <w:lvl w:ilvl="0">
      <w:lvlJc w:val="left"/>
      <w:lvlText w:val="%1"/>
      <w:numFmt w:val="lowerLetter"/>
      <w:start w:val="1"/>
    </w:lvl>
    <w:lvl w:ilvl="1">
      <w:lvlJc w:val="left"/>
      <w:lvlText w:val="(%2)"/>
      <w:numFmt w:val="lowerRoman"/>
      <w:start w:val="2"/>
    </w:lvl>
  </w:abstractNum>
  <w:abstractNum w:abstractNumId="231">
    <w:nsid w:val="1EA21031"/>
    <w:multiLevelType w:val="hybridMultilevel"/>
    <w:lvl w:ilvl="0">
      <w:lvlJc w:val="left"/>
      <w:lvlText w:val="(%1)"/>
      <w:numFmt w:val="lowerLetter"/>
      <w:start w:val="4"/>
    </w:lvl>
    <w:lvl w:ilvl="1">
      <w:lvlJc w:val="left"/>
      <w:lvlText w:val="%2"/>
      <w:numFmt w:val="lowerRoman"/>
      <w:start w:val="1"/>
    </w:lvl>
  </w:abstractNum>
  <w:abstractNum w:abstractNumId="232">
    <w:nsid w:val="67A5A6B5"/>
    <w:multiLevelType w:val="hybridMultilevel"/>
    <w:lvl w:ilvl="0">
      <w:lvlJc w:val="left"/>
      <w:lvlText w:val="(%1)"/>
      <w:numFmt w:val="lowerLetter"/>
      <w:start w:val="5"/>
    </w:lvl>
    <w:lvl w:ilvl="1">
      <w:lvlJc w:val="left"/>
      <w:lvlText w:val="(%2)"/>
      <w:numFmt w:val="lowerRoman"/>
      <w:start w:val="1"/>
    </w:lvl>
  </w:abstractNum>
  <w:abstractNum w:abstractNumId="233">
    <w:nsid w:val="C2A5C5B"/>
    <w:multiLevelType w:val="hybridMultilevel"/>
    <w:lvl w:ilvl="0">
      <w:lvlJc w:val="left"/>
      <w:lvlText w:val="(%1)"/>
      <w:numFmt w:val="lowerLetter"/>
      <w:start w:val="7"/>
    </w:lvl>
    <w:lvl w:ilvl="1">
      <w:lvlJc w:val="left"/>
      <w:lvlText w:val="(%2)"/>
      <w:numFmt w:val="lowerRoman"/>
      <w:start w:val="1"/>
    </w:lvl>
  </w:abstractNum>
  <w:abstractNum w:abstractNumId="234">
    <w:nsid w:val="5F94DC03"/>
    <w:multiLevelType w:val="hybridMultilevel"/>
    <w:lvl w:ilvl="0">
      <w:lvlJc w:val="left"/>
      <w:lvlText w:val="(%1)"/>
      <w:numFmt w:val="lowerRoman"/>
      <w:start w:val="2"/>
    </w:lvl>
  </w:abstractNum>
  <w:abstractNum w:abstractNumId="235">
    <w:nsid w:val="237BBCA0"/>
    <w:multiLevelType w:val="hybridMultilevel"/>
    <w:lvl w:ilvl="0">
      <w:lvlJc w:val="left"/>
      <w:lvlText w:val="(%1)"/>
      <w:numFmt w:val="lowerRoman"/>
      <w:start w:val="2"/>
    </w:lvl>
  </w:abstractNum>
  <w:abstractNum w:abstractNumId="236">
    <w:nsid w:val="162EB70D"/>
    <w:multiLevelType w:val="hybridMultilevel"/>
    <w:lvl w:ilvl="0">
      <w:lvlJc w:val="left"/>
      <w:lvlText w:val="(%1)"/>
      <w:numFmt w:val="lowerRoman"/>
      <w:start w:val="3"/>
    </w:lvl>
  </w:abstractNum>
  <w:abstractNum w:abstractNumId="237">
    <w:nsid w:val="78070222"/>
    <w:multiLevelType w:val="hybridMultilevel"/>
    <w:lvl w:ilvl="0">
      <w:lvlJc w:val="left"/>
      <w:lvlText w:val="(%1)"/>
      <w:numFmt w:val="lowerRoman"/>
      <w:start w:val="4"/>
    </w:lvl>
  </w:abstractNum>
  <w:abstractNum w:abstractNumId="238">
    <w:nsid w:val="6163ED0D"/>
    <w:multiLevelType w:val="hybridMultilevel"/>
    <w:lvl w:ilvl="0">
      <w:lvlJc w:val="left"/>
      <w:lvlText w:val="(%1)"/>
      <w:numFmt w:val="lowerRoman"/>
      <w:start w:val="5"/>
    </w:lvl>
  </w:abstractNum>
  <w:abstractNum w:abstractNumId="239">
    <w:nsid w:val="C600E47"/>
    <w:multiLevelType w:val="hybridMultilevel"/>
    <w:lvl w:ilvl="0">
      <w:lvlJc w:val="left"/>
      <w:lvlText w:val="(%1)"/>
      <w:numFmt w:val="lowerRoman"/>
      <w:start w:val="6"/>
    </w:lvl>
  </w:abstractNum>
  <w:abstractNum w:abstractNumId="240">
    <w:nsid w:val="7D94F75D"/>
    <w:multiLevelType w:val="hybridMultilevel"/>
    <w:lvl w:ilvl="0">
      <w:lvlJc w:val="left"/>
      <w:lvlText w:val="(%1)"/>
      <w:numFmt w:val="lowerRoman"/>
      <w:start w:val="10"/>
    </w:lvl>
  </w:abstractNum>
  <w:abstractNum w:abstractNumId="241">
    <w:nsid w:val="6C31E7CD"/>
    <w:multiLevelType w:val="hybridMultilevel"/>
    <w:lvl w:ilvl="0">
      <w:lvlJc w:val="left"/>
      <w:lvlText w:val="(%1)"/>
      <w:numFmt w:val="lowerRoman"/>
      <w:start w:val="1"/>
    </w:lvl>
    <w:lvl w:ilvl="1">
      <w:lvlJc w:val="left"/>
      <w:lvlText w:val="(%2)"/>
      <w:numFmt w:val="lowerRoman"/>
      <w:start w:val="1"/>
    </w:lvl>
  </w:abstractNum>
  <w:abstractNum w:abstractNumId="242">
    <w:nsid w:val="2BB7929B"/>
    <w:multiLevelType w:val="hybridMultilevel"/>
    <w:lvl w:ilvl="0">
      <w:lvlJc w:val="left"/>
      <w:lvlText w:val="(%1)"/>
      <w:numFmt w:val="lowerLetter"/>
      <w:start w:val="10"/>
    </w:lvl>
  </w:abstractNum>
  <w:abstractNum w:abstractNumId="243">
    <w:nsid w:val="58A2A487"/>
    <w:multiLevelType w:val="hybridMultilevel"/>
    <w:lvl w:ilvl="0">
      <w:lvlJc w:val="left"/>
      <w:lvlText w:val="(%1)"/>
      <w:numFmt w:val="lowerRoman"/>
      <w:start w:val="2"/>
    </w:lvl>
  </w:abstractNum>
  <w:abstractNum w:abstractNumId="244">
    <w:nsid w:val="3A6F0E78"/>
    <w:multiLevelType w:val="hybridMultilevel"/>
    <w:lvl w:ilvl="0">
      <w:lvlJc w:val="left"/>
      <w:lvlText w:val="%1"/>
      <w:numFmt w:val="lowerLetter"/>
      <w:start w:val="1"/>
    </w:lvl>
    <w:lvl w:ilvl="1">
      <w:lvlJc w:val="left"/>
      <w:lvlText w:val="(%2)"/>
      <w:numFmt w:val="lowerRoman"/>
      <w:start w:val="5"/>
    </w:lvl>
  </w:abstractNum>
  <w:abstractNum w:abstractNumId="245">
    <w:nsid w:val="379A5B56"/>
    <w:multiLevelType w:val="hybridMultilevel"/>
    <w:lvl w:ilvl="0">
      <w:lvlJc w:val="left"/>
      <w:lvlText w:val="(%1)"/>
      <w:numFmt w:val="lowerLetter"/>
      <w:start w:val="12"/>
    </w:lvl>
    <w:lvl w:ilvl="1">
      <w:lvlJc w:val="left"/>
      <w:lvlText w:val="(%2)"/>
      <w:numFmt w:val="lowerRoman"/>
      <w:start w:val="1"/>
    </w:lvl>
  </w:abstractNum>
  <w:abstractNum w:abstractNumId="246">
    <w:nsid w:val="53B735D5"/>
    <w:multiLevelType w:val="hybridMultilevel"/>
    <w:lvl w:ilvl="0">
      <w:lvlJc w:val="left"/>
      <w:lvlText w:val="(%1)"/>
      <w:numFmt w:val="lowerRoman"/>
      <w:start w:val="3"/>
    </w:lvl>
  </w:abstractNum>
  <w:abstractNum w:abstractNumId="247">
    <w:nsid w:val="29784870"/>
    <w:multiLevelType w:val="hybridMultilevel"/>
    <w:lvl w:ilvl="0">
      <w:lvlJc w:val="left"/>
      <w:lvlText w:val="(%1)"/>
      <w:numFmt w:val="lowerRoman"/>
      <w:start w:val="7"/>
    </w:lvl>
  </w:abstractNum>
  <w:abstractNum w:abstractNumId="248">
    <w:nsid w:val="4CDCED4C"/>
    <w:multiLevelType w:val="hybridMultilevel"/>
    <w:lvl w:ilvl="0">
      <w:lvlJc w:val="left"/>
      <w:lvlText w:val="(%1)"/>
      <w:numFmt w:val="lowerRoman"/>
      <w:start w:val="9"/>
    </w:lvl>
  </w:abstractNum>
  <w:abstractNum w:abstractNumId="249">
    <w:nsid w:val="10A30D9C"/>
    <w:multiLevelType w:val="hybridMultilevel"/>
    <w:lvl w:ilvl="0">
      <w:lvlJc w:val="left"/>
      <w:lvlText w:val="(%1)"/>
      <w:numFmt w:val="lowerLetter"/>
      <w:start w:val="1"/>
    </w:lvl>
  </w:abstractNum>
  <w:abstractNum w:abstractNumId="250">
    <w:nsid w:val="A66E486"/>
    <w:multiLevelType w:val="hybridMultilevel"/>
    <w:lvl w:ilvl="0">
      <w:lvlJc w:val="left"/>
      <w:lvlText w:val="(%1)"/>
      <w:numFmt w:val="lowerLetter"/>
      <w:start w:val="2"/>
    </w:lvl>
  </w:abstractNum>
  <w:abstractNum w:abstractNumId="251">
    <w:nsid w:val="306235EA"/>
    <w:multiLevelType w:val="hybridMultilevel"/>
    <w:lvl w:ilvl="0">
      <w:lvlJc w:val="left"/>
      <w:lvlText w:val="(%1)"/>
      <w:numFmt w:val="lowerLetter"/>
      <w:start w:val="4"/>
    </w:lvl>
  </w:abstractNum>
  <w:abstractNum w:abstractNumId="252">
    <w:nsid w:val="1187C70F"/>
    <w:multiLevelType w:val="hybridMultilevel"/>
    <w:lvl w:ilvl="0">
      <w:lvlJc w:val="left"/>
      <w:lvlText w:val="(%1)"/>
      <w:numFmt w:val="lowerLetter"/>
      <w:start w:val="1"/>
    </w:lvl>
  </w:abstractNum>
  <w:abstractNum w:abstractNumId="253">
    <w:nsid w:val="5476DE98"/>
    <w:multiLevelType w:val="hybridMultilevel"/>
    <w:lvl w:ilvl="0">
      <w:lvlJc w:val="left"/>
      <w:lvlText w:val="(%1)"/>
      <w:numFmt w:val="lowerLetter"/>
      <w:start w:val="2"/>
    </w:lvl>
  </w:abstractNum>
  <w:abstractNum w:abstractNumId="254">
    <w:nsid w:val="EA697F2"/>
    <w:multiLevelType w:val="hybridMultilevel"/>
    <w:lvl w:ilvl="0">
      <w:lvlJc w:val="left"/>
      <w:lvlText w:val="(%1)"/>
      <w:numFmt w:val="lowerLetter"/>
      <w:start w:val="1"/>
    </w:lvl>
  </w:abstractNum>
  <w:abstractNum w:abstractNumId="255">
    <w:nsid w:val="70BA39EB"/>
    <w:multiLevelType w:val="hybridMultilevel"/>
    <w:lvl w:ilvl="0">
      <w:lvlJc w:val="left"/>
      <w:lvlText w:val="(%1)"/>
      <w:numFmt w:val="lowerLetter"/>
      <w:start w:val="3"/>
    </w:lvl>
  </w:abstractNum>
  <w:abstractNum w:abstractNumId="256">
    <w:nsid w:val="4A8DB59C"/>
    <w:multiLevelType w:val="hybridMultilevel"/>
    <w:lvl w:ilvl="0">
      <w:lvlJc w:val="left"/>
      <w:lvlText w:val="(%1)"/>
      <w:numFmt w:val="lowerLetter"/>
      <w:start w:val="9"/>
    </w:lvl>
    <w:lvl w:ilvl="1">
      <w:lvlJc w:val="left"/>
      <w:lvlText w:val="(%2)"/>
      <w:numFmt w:val="lowerLetter"/>
      <w:start w:val="5"/>
    </w:lvl>
  </w:abstractNum>
  <w:abstractNum w:abstractNumId="257">
    <w:nsid w:val="1AFD9053"/>
    <w:multiLevelType w:val="hybridMultilevel"/>
    <w:lvl w:ilvl="0">
      <w:lvlJc w:val="left"/>
      <w:lvlText w:val="(%1)"/>
      <w:numFmt w:val="lowerLetter"/>
      <w:start w:val="8"/>
    </w:lvl>
  </w:abstractNum>
  <w:abstractNum w:abstractNumId="258">
    <w:nsid w:val="558BB10D"/>
    <w:multiLevelType w:val="hybridMultilevel"/>
    <w:lvl w:ilvl="0">
      <w:lvlJc w:val="left"/>
      <w:lvlText w:val="(%1)"/>
      <w:numFmt w:val="lowerLetter"/>
      <w:start w:val="1"/>
    </w:lvl>
  </w:abstractNum>
  <w:abstractNum w:abstractNumId="259">
    <w:nsid w:val="43B27FA7"/>
    <w:multiLevelType w:val="hybridMultilevel"/>
    <w:lvl w:ilvl="0">
      <w:lvlJc w:val="left"/>
      <w:lvlText w:val="(%1)"/>
      <w:numFmt w:val="lowerRoman"/>
      <w:start w:val="1"/>
    </w:lvl>
  </w:abstractNum>
  <w:abstractNum w:abstractNumId="260">
    <w:nsid w:val="27FADEFA"/>
    <w:multiLevelType w:val="hybridMultilevel"/>
    <w:lvl w:ilvl="0">
      <w:lvlJc w:val="left"/>
      <w:lvlText w:val="(%1)"/>
      <w:numFmt w:val="lowerLetter"/>
      <w:start w:val="2"/>
    </w:lvl>
  </w:abstractNum>
  <w:abstractNum w:abstractNumId="261">
    <w:nsid w:val="78BB805A"/>
    <w:multiLevelType w:val="hybridMultilevel"/>
    <w:lvl w:ilvl="0">
      <w:lvlJc w:val="left"/>
      <w:lvlText w:val="(%1)"/>
      <w:numFmt w:val="lowerLetter"/>
      <w:start w:val="3"/>
    </w:lvl>
  </w:abstractNum>
  <w:abstractNum w:abstractNumId="262">
    <w:nsid w:val="62548FD8"/>
    <w:multiLevelType w:val="hybridMultilevel"/>
    <w:lvl w:ilvl="0">
      <w:lvlJc w:val="left"/>
      <w:lvlText w:val="(%1)"/>
      <w:numFmt w:val="lowerLetter"/>
      <w:start w:val="5"/>
    </w:lvl>
  </w:abstractNum>
  <w:abstractNum w:abstractNumId="263">
    <w:nsid w:val="FA085B0"/>
    <w:multiLevelType w:val="hybridMultilevel"/>
    <w:lvl w:ilvl="0">
      <w:lvlJc w:val="left"/>
      <w:lvlText w:val="%1"/>
      <w:numFmt w:val="upperLetter"/>
      <w:start w:val="1"/>
    </w:lvl>
    <w:lvl w:ilvl="1">
      <w:lvlJc w:val="left"/>
      <w:lvlText w:val="(%2)"/>
      <w:numFmt w:val="lowerLetter"/>
      <w:start w:val="3"/>
    </w:lvl>
  </w:abstractNum>
  <w:abstractNum w:abstractNumId="264">
    <w:nsid w:val="4E5DCB5"/>
    <w:multiLevelType w:val="hybridMultilevel"/>
    <w:lvl w:ilvl="0">
      <w:lvlJc w:val="left"/>
      <w:lvlText w:val="(%1)"/>
      <w:numFmt w:val="upperLetter"/>
      <w:start w:val="1"/>
    </w:lvl>
    <w:lvl w:ilvl="1">
      <w:lvlJc w:val="left"/>
      <w:lvlText w:val="%2"/>
      <w:numFmt w:val="lowerLetter"/>
      <w:start w:val="1"/>
    </w:lvl>
  </w:abstractNum>
  <w:abstractNum w:abstractNumId="265">
    <w:nsid w:val="41E96BDB"/>
    <w:multiLevelType w:val="hybridMultilevel"/>
    <w:lvl w:ilvl="0">
      <w:lvlJc w:val="left"/>
      <w:lvlText w:val="(%1)"/>
      <w:numFmt w:val="lowerLetter"/>
      <w:start w:val="4"/>
    </w:lvl>
  </w:abstractNum>
  <w:abstractNum w:abstractNumId="266">
    <w:nsid w:val="331C4250"/>
    <w:multiLevelType w:val="hybridMultilevel"/>
    <w:lvl w:ilvl="0">
      <w:lvlJc w:val="left"/>
      <w:lvlText w:val="(%1)"/>
      <w:numFmt w:val="lowerLetter"/>
      <w:start w:val="6"/>
    </w:lvl>
  </w:abstractNum>
  <w:abstractNum w:abstractNumId="267">
    <w:nsid w:val="1B1493C2"/>
    <w:multiLevelType w:val="hybridMultilevel"/>
    <w:lvl w:ilvl="0">
      <w:lvlJc w:val="left"/>
      <w:lvlText w:val="(%1)"/>
      <w:numFmt w:val="lowerLetter"/>
      <w:start w:val="35"/>
    </w:lvl>
    <w:lvl w:ilvl="1">
      <w:lvlJc w:val="left"/>
      <w:lvlText w:val="(%2)"/>
      <w:numFmt w:val="lowerLetter"/>
      <w:start w:val="7"/>
    </w:lvl>
  </w:abstractNum>
  <w:abstractNum w:abstractNumId="268">
    <w:nsid w:val="39F06DFD"/>
    <w:multiLevelType w:val="hybridMultilevel"/>
    <w:lvl w:ilvl="0">
      <w:lvlJc w:val="left"/>
      <w:lvlText w:val="%1"/>
      <w:numFmt w:val="lowerLetter"/>
      <w:start w:val="1"/>
    </w:lvl>
    <w:lvl w:ilvl="1">
      <w:lvlJc w:val="left"/>
      <w:lvlText w:val="(%2)"/>
      <w:numFmt w:val="lowerLetter"/>
      <w:start w:val="1"/>
    </w:lvl>
  </w:abstractNum>
  <w:abstractNum w:abstractNumId="269">
    <w:nsid w:val="14802F5D"/>
    <w:multiLevelType w:val="hybridMultilevel"/>
    <w:lvl w:ilvl="0">
      <w:lvlJc w:val="left"/>
      <w:lvlText w:val="(%1)"/>
      <w:numFmt w:val="lowerLetter"/>
      <w:start w:val="9"/>
    </w:lvl>
    <w:lvl w:ilvl="1">
      <w:lvlJc w:val="left"/>
      <w:lvlText w:val="%2"/>
      <w:numFmt w:val="lowerLetter"/>
      <w:start w:val="1"/>
    </w:lvl>
  </w:abstractNum>
  <w:abstractNum w:abstractNumId="270">
    <w:nsid w:val="2774A209"/>
    <w:multiLevelType w:val="hybridMultilevel"/>
    <w:lvl w:ilvl="0">
      <w:lvlJc w:val="left"/>
      <w:lvlText w:val="(%1)"/>
      <w:numFmt w:val="lowerLetter"/>
      <w:start w:val="2"/>
    </w:lvl>
  </w:abstractNum>
  <w:abstractNum w:abstractNumId="271">
    <w:nsid w:val="3785655A"/>
    <w:multiLevelType w:val="hybridMultilevel"/>
    <w:lvl w:ilvl="0">
      <w:lvlJc w:val="left"/>
      <w:lvlText w:val="%1"/>
      <w:numFmt w:val="lowerLetter"/>
      <w:start w:val="1"/>
    </w:lvl>
    <w:lvl w:ilvl="1">
      <w:lvlJc w:val="left"/>
      <w:lvlText w:val="(%2)"/>
      <w:numFmt w:val="lowerLetter"/>
      <w:start w:val="4"/>
    </w:lvl>
  </w:abstractNum>
  <w:abstractNum w:abstractNumId="272">
    <w:nsid w:val="B2172A"/>
    <w:multiLevelType w:val="hybridMultilevel"/>
    <w:lvl w:ilvl="0">
      <w:lvlJc w:val="left"/>
      <w:lvlText w:val="(%1)"/>
      <w:numFmt w:val="lowerLetter"/>
      <w:start w:val="35"/>
    </w:lvl>
    <w:lvl w:ilvl="1">
      <w:lvlJc w:val="left"/>
      <w:lvlText w:val="(%2)"/>
      <w:numFmt w:val="lowerLetter"/>
      <w:start w:val="6"/>
    </w:lvl>
  </w:abstractNum>
  <w:abstractNum w:abstractNumId="273">
    <w:nsid w:val="532C34A5"/>
    <w:multiLevelType w:val="hybridMultilevel"/>
    <w:lvl w:ilvl="0">
      <w:lvlJc w:val="left"/>
      <w:lvlText w:val="\ldblquote"/>
      <w:numFmt w:val="bullet"/>
      <w:start w:val="1"/>
    </w:lvl>
  </w:abstractNum>
  <w:abstractNum w:abstractNumId="274">
    <w:nsid w:val="102809E2"/>
    <w:multiLevelType w:val="hybridMultilevel"/>
    <w:lvl w:ilvl="0">
      <w:lvlJc w:val="left"/>
      <w:lvlText w:val="(%1)"/>
      <w:numFmt w:val="decimal"/>
      <w:start w:val="3"/>
    </w:lvl>
    <w:lvl w:ilvl="1">
      <w:lvlJc w:val="left"/>
      <w:lvlText w:val="\ldblquote"/>
      <w:numFmt w:val="bullet"/>
      <w:start w:val="1"/>
    </w:lvl>
  </w:abstractNum>
  <w:abstractNum w:abstractNumId="275">
    <w:nsid w:val="3B2125A3"/>
    <w:multiLevelType w:val="hybridMultilevel"/>
    <w:lvl w:ilvl="0">
      <w:lvlJc w:val="left"/>
      <w:lvlText w:val="\ldblquote"/>
      <w:numFmt w:val="bullet"/>
      <w:start w:val="1"/>
    </w:lvl>
  </w:abstractNum>
  <w:abstractNum w:abstractNumId="276">
    <w:nsid w:val="AC68FFB"/>
    <w:multiLevelType w:val="hybridMultilevel"/>
    <w:lvl w:ilvl="0">
      <w:lvlJc w:val="left"/>
      <w:lvlText w:val="\ldblquote"/>
      <w:numFmt w:val="bullet"/>
      <w:start w:val="1"/>
    </w:lvl>
  </w:abstractNum>
  <w:abstractNum w:abstractNumId="277">
    <w:nsid w:val="63DF3FB7"/>
    <w:multiLevelType w:val="hybridMultilevel"/>
    <w:lvl w:ilvl="0">
      <w:lvlJc w:val="left"/>
      <w:lvlText w:val="(%1)"/>
      <w:numFmt w:val="lowerLetter"/>
      <w:start w:val="2"/>
    </w:lvl>
    <w:lvl w:ilvl="1">
      <w:lvlJc w:val="left"/>
      <w:lvlText w:val="(%2)"/>
      <w:numFmt w:val="lowerLetter"/>
      <w:start w:val="9"/>
    </w:lvl>
  </w:abstractNum>
  <w:abstractNum w:abstractNumId="278">
    <w:nsid w:val="64996E13"/>
    <w:multiLevelType w:val="hybridMultilevel"/>
    <w:lvl w:ilvl="0">
      <w:lvlJc w:val="left"/>
      <w:lvlText w:val="(%1)"/>
      <w:numFmt w:val="upperLetter"/>
      <w:start w:val="1"/>
    </w:lvl>
  </w:abstractNum>
  <w:abstractNum w:abstractNumId="279">
    <w:nsid w:val="57A37D47"/>
    <w:multiLevelType w:val="hybridMultilevel"/>
    <w:lvl w:ilvl="0">
      <w:lvlJc w:val="left"/>
      <w:lvlText w:val="(%1)"/>
      <w:numFmt w:val="upperLetter"/>
      <w:start w:val="3"/>
    </w:lvl>
  </w:abstractNum>
  <w:abstractNum w:abstractNumId="280">
    <w:nsid w:val="74824D54"/>
    <w:multiLevelType w:val="hybridMultilevel"/>
    <w:lvl w:ilvl="0">
      <w:lvlJc w:val="left"/>
      <w:lvlText w:val="(%1)"/>
      <w:numFmt w:val="lowerRoman"/>
      <w:start w:val="2"/>
    </w:lvl>
  </w:abstractNum>
  <w:abstractNum w:abstractNumId="281">
    <w:nsid w:val="6F00529A"/>
    <w:multiLevelType w:val="hybridMultilevel"/>
    <w:lvl w:ilvl="0">
      <w:lvlJc w:val="left"/>
      <w:lvlText w:val="(%1)"/>
      <w:numFmt w:val="lowerLetter"/>
      <w:start w:val="3"/>
    </w:lvl>
    <w:lvl w:ilvl="1">
      <w:lvlJc w:val="left"/>
      <w:lvlText w:val="(%2)"/>
      <w:numFmt w:val="lowerRoman"/>
      <w:start w:val="1"/>
    </w:lvl>
  </w:abstractNum>
  <w:abstractNum w:abstractNumId="282">
    <w:nsid w:val="805B331"/>
    <w:multiLevelType w:val="hybridMultilevel"/>
    <w:lvl w:ilvl="0">
      <w:lvlJc w:val="left"/>
      <w:lvlText w:val="%1"/>
      <w:numFmt w:val="lowerLetter"/>
      <w:start w:val="1"/>
    </w:lvl>
    <w:lvl w:ilvl="1">
      <w:lvlJc w:val="left"/>
      <w:lvlText w:val="(%2)"/>
      <w:numFmt w:val="lowerRoman"/>
      <w:start w:val="4"/>
    </w:lvl>
  </w:abstractNum>
  <w:abstractNum w:abstractNumId="283">
    <w:nsid w:val="60A1463"/>
    <w:multiLevelType w:val="hybridMultilevel"/>
    <w:lvl w:ilvl="0">
      <w:lvlJc w:val="left"/>
      <w:lvlText w:val="(%1)"/>
      <w:numFmt w:val="lowerLetter"/>
      <w:start w:val="4"/>
    </w:lvl>
    <w:lvl w:ilvl="1">
      <w:lvlJc w:val="left"/>
      <w:lvlText w:val="%2"/>
      <w:numFmt w:val="lowerRoman"/>
      <w:start w:val="1"/>
    </w:lvl>
  </w:abstractNum>
  <w:abstractNum w:abstractNumId="284">
    <w:nsid w:val="43773132"/>
    <w:multiLevelType w:val="hybridMultilevel"/>
    <w:lvl w:ilvl="0">
      <w:lvlJc w:val="left"/>
      <w:lvlText w:val="(%1)"/>
      <w:numFmt w:val="lowerLetter"/>
      <w:start w:val="5"/>
    </w:lvl>
  </w:abstractNum>
  <w:abstractNum w:abstractNumId="285">
    <w:nsid w:val="16AC4B23"/>
    <w:multiLevelType w:val="hybridMultilevel"/>
    <w:lvl w:ilvl="0">
      <w:lvlJc w:val="left"/>
      <w:lvlText w:val="(%1)"/>
      <w:numFmt w:val="lowerLetter"/>
      <w:start w:val="8"/>
    </w:lvl>
    <w:lvl w:ilvl="1">
      <w:lvlJc w:val="left"/>
      <w:lvlText w:val="(%2)"/>
      <w:numFmt w:val="lowerRoman"/>
      <w:start w:val="1"/>
    </w:lvl>
  </w:abstractNum>
  <w:abstractNum w:abstractNumId="286">
    <w:nsid w:val="76C44E4E"/>
    <w:multiLevelType w:val="hybridMultilevel"/>
    <w:lvl w:ilvl="0">
      <w:lvlJc w:val="left"/>
      <w:lvlText w:val="%1"/>
      <w:numFmt w:val="lowerRoman"/>
      <w:start w:val="1"/>
    </w:lvl>
    <w:lvl w:ilvl="1">
      <w:lvlJc w:val="left"/>
      <w:lvlText w:val="(%2)"/>
      <w:numFmt w:val="lowerRoman"/>
      <w:start w:val="4"/>
    </w:lvl>
  </w:abstractNum>
  <w:abstractNum w:abstractNumId="287">
    <w:nsid w:val="E04E6CE"/>
    <w:multiLevelType w:val="hybridMultilevel"/>
    <w:lvl w:ilvl="0">
      <w:lvlJc w:val="left"/>
      <w:lvlText w:val="(%1)"/>
      <w:numFmt w:val="lowerRoman"/>
      <w:start w:val="1"/>
    </w:lvl>
    <w:lvl w:ilvl="1">
      <w:lvlJc w:val="left"/>
      <w:lvlText w:val="%2"/>
      <w:numFmt w:val="lowerRoman"/>
      <w:start w:val="1"/>
    </w:lvl>
  </w:abstractNum>
  <w:abstractNum w:abstractNumId="288">
    <w:nsid w:val="31A9DB76"/>
    <w:multiLevelType w:val="hybridMultilevel"/>
    <w:lvl w:ilvl="0">
      <w:lvlJc w:val="left"/>
      <w:lvlText w:val="(%1)"/>
      <w:numFmt w:val="lowerLetter"/>
      <w:start w:val="11"/>
    </w:lvl>
  </w:abstractNum>
  <w:abstractNum w:abstractNumId="289">
    <w:nsid w:val="4C4FFF5B"/>
    <w:multiLevelType w:val="hybridMultilevel"/>
    <w:lvl w:ilvl="0">
      <w:lvlJc w:val="left"/>
      <w:lvlText w:val="(%1)"/>
      <w:numFmt w:val="lowerLetter"/>
      <w:start w:val="1"/>
    </w:lvl>
  </w:abstractNum>
  <w:abstractNum w:abstractNumId="290">
    <w:nsid w:val="51B76675"/>
    <w:multiLevelType w:val="hybridMultilevel"/>
    <w:lvl w:ilvl="0">
      <w:lvlJc w:val="left"/>
      <w:lvlText w:val="(%1)"/>
      <w:numFmt w:val="lowerLetter"/>
      <w:start w:val="2"/>
    </w:lvl>
  </w:abstractNum>
  <w:abstractNum w:abstractNumId="291">
    <w:nsid w:val="59A4BA71"/>
    <w:multiLevelType w:val="hybridMultilevel"/>
    <w:lvl w:ilvl="0">
      <w:lvlJc w:val="left"/>
      <w:lvlText w:val="(%1)"/>
      <w:numFmt w:val="lowerLetter"/>
      <w:start w:val="4"/>
    </w:lvl>
  </w:abstractNum>
  <w:abstractNum w:abstractNumId="292">
    <w:nsid w:val="450B7FB6"/>
    <w:multiLevelType w:val="hybridMultilevel"/>
    <w:lvl w:ilvl="0">
      <w:lvlJc w:val="left"/>
      <w:lvlText w:val="(%1)"/>
      <w:numFmt w:val="lowerLetter"/>
      <w:start w:val="1"/>
    </w:lvl>
  </w:abstractNum>
  <w:abstractNum w:abstractNumId="293">
    <w:nsid w:val="340BF64D"/>
    <w:multiLevelType w:val="hybridMultilevel"/>
    <w:lvl w:ilvl="0">
      <w:lvlJc w:val="left"/>
      <w:lvlText w:val="(%1)"/>
      <w:numFmt w:val="lowerLetter"/>
      <w:start w:val="2"/>
    </w:lvl>
  </w:abstractNum>
  <w:abstractNum w:abstractNumId="294">
    <w:nsid w:val="69454021"/>
    <w:multiLevelType w:val="hybridMultilevel"/>
    <w:lvl w:ilvl="0">
      <w:lvlJc w:val="left"/>
      <w:lvlText w:val="(%1)"/>
      <w:numFmt w:val="lowerLetter"/>
      <w:start w:val="3"/>
    </w:lvl>
  </w:abstractNum>
  <w:abstractNum w:abstractNumId="295">
    <w:nsid w:val="49F15C6B"/>
    <w:multiLevelType w:val="hybridMultilevel"/>
    <w:lvl w:ilvl="0">
      <w:lvlJc w:val="left"/>
      <w:lvlText w:val="(%1)"/>
      <w:numFmt w:val="lowerLetter"/>
      <w:start w:val="9"/>
    </w:lvl>
    <w:lvl w:ilvl="1">
      <w:lvlJc w:val="left"/>
      <w:lvlText w:val="(%2)"/>
      <w:numFmt w:val="lowerLetter"/>
      <w:start w:val="5"/>
    </w:lvl>
  </w:abstractNum>
  <w:abstractNum w:abstractNumId="296">
    <w:nsid w:val="75F56228"/>
    <w:multiLevelType w:val="hybridMultilevel"/>
    <w:lvl w:ilvl="0">
      <w:lvlJc w:val="left"/>
      <w:lvlText w:val="(%1)"/>
      <w:numFmt w:val="lowerLetter"/>
      <w:start w:val="7"/>
    </w:lvl>
  </w:abstractNum>
  <w:abstractNum w:abstractNumId="297">
    <w:nsid w:val="1C618271"/>
    <w:multiLevelType w:val="hybridMultilevel"/>
    <w:lvl w:ilvl="0">
      <w:lvlJc w:val="left"/>
      <w:lvlText w:val="(%1)"/>
      <w:numFmt w:val="lowerLetter"/>
      <w:start w:val="1"/>
    </w:lvl>
  </w:abstractNum>
  <w:abstractNum w:abstractNumId="298">
    <w:nsid w:val="6505F02E"/>
    <w:multiLevelType w:val="hybridMultilevel"/>
    <w:lvl w:ilvl="0">
      <w:lvlJc w:val="left"/>
      <w:lvlText w:val="(%1)"/>
      <w:numFmt w:val="lowerRoman"/>
      <w:start w:val="1"/>
    </w:lvl>
  </w:abstractNum>
  <w:abstractNum w:abstractNumId="299">
    <w:nsid w:val="2FE5D025"/>
    <w:multiLevelType w:val="hybridMultilevel"/>
    <w:lvl w:ilvl="0">
      <w:lvlJc w:val="left"/>
      <w:lvlText w:val="(%1)"/>
      <w:numFmt w:val="lowerLetter"/>
      <w:start w:val="2"/>
    </w:lvl>
  </w:abstractNum>
  <w:abstractNum w:abstractNumId="300">
    <w:nsid w:val="30E1B1CF"/>
    <w:multiLevelType w:val="hybridMultilevel"/>
    <w:lvl w:ilvl="0">
      <w:lvlJc w:val="left"/>
      <w:lvlText w:val="(%1)"/>
      <w:numFmt w:val="lowerLetter"/>
      <w:start w:val="3"/>
    </w:lvl>
  </w:abstractNum>
  <w:abstractNum w:abstractNumId="301">
    <w:nsid w:val="C7A9237"/>
    <w:multiLevelType w:val="hybridMultilevel"/>
    <w:lvl w:ilvl="0">
      <w:lvlJc w:val="left"/>
      <w:lvlText w:val="(%1)"/>
      <w:numFmt w:val="lowerLetter"/>
      <w:start w:val="5"/>
    </w:lvl>
  </w:abstractNum>
  <w:abstractNum w:abstractNumId="302">
    <w:nsid w:val="676B3580"/>
    <w:multiLevelType w:val="hybridMultilevel"/>
    <w:lvl w:ilvl="0">
      <w:lvlJc w:val="left"/>
      <w:lvlText w:val="(%1)"/>
      <w:numFmt w:val="lowerLetter"/>
      <w:start w:val="1"/>
    </w:lvl>
  </w:abstractNum>
  <w:abstractNum w:abstractNumId="303">
    <w:nsid w:val="3193C8F9"/>
    <w:multiLevelType w:val="hybridMultilevel"/>
    <w:lvl w:ilvl="0">
      <w:lvlJc w:val="left"/>
      <w:lvlText w:val="(%1)"/>
      <w:numFmt w:val="lowerLetter"/>
      <w:start w:val="3"/>
    </w:lvl>
  </w:abstractNum>
  <w:abstractNum w:abstractNumId="304">
    <w:nsid w:val="5FA6C6DC"/>
    <w:multiLevelType w:val="hybridMultilevel"/>
    <w:lvl w:ilvl="0">
      <w:lvlJc w:val="left"/>
      <w:lvlText w:val="(%1)"/>
      <w:numFmt w:val="lowerLetter"/>
      <w:start w:val="6"/>
    </w:lvl>
  </w:abstractNum>
  <w:abstractNum w:abstractNumId="305">
    <w:nsid w:val="77933F62"/>
    <w:multiLevelType w:val="hybridMultilevel"/>
    <w:lvl w:ilvl="0">
      <w:lvlJc w:val="left"/>
      <w:lvlText w:val="%1"/>
      <w:numFmt w:val="lowerLetter"/>
      <w:start w:val="1"/>
    </w:lvl>
    <w:lvl w:ilvl="1">
      <w:lvlJc w:val="left"/>
      <w:lvlText w:val="(%2)"/>
      <w:numFmt w:val="lowerLetter"/>
      <w:start w:val="1"/>
    </w:lvl>
  </w:abstractNum>
  <w:abstractNum w:abstractNumId="306">
    <w:nsid w:val="6CB4EE9C"/>
    <w:multiLevelType w:val="hybridMultilevel"/>
    <w:lvl w:ilvl="0">
      <w:lvlJc w:val="left"/>
      <w:lvlText w:val="(%1)"/>
      <w:numFmt w:val="lowerLetter"/>
      <w:start w:val="9"/>
    </w:lvl>
    <w:lvl w:ilvl="1">
      <w:lvlJc w:val="left"/>
      <w:lvlText w:val="%2"/>
      <w:numFmt w:val="lowerLetter"/>
      <w:start w:val="1"/>
    </w:lvl>
  </w:abstractNum>
  <w:abstractNum w:abstractNumId="307">
    <w:nsid w:val="6A6D56D7"/>
    <w:multiLevelType w:val="hybridMultilevel"/>
    <w:lvl w:ilvl="0">
      <w:lvlJc w:val="left"/>
      <w:lvlText w:val="%1"/>
      <w:numFmt w:val="lowerRoman"/>
      <w:start w:val="1"/>
    </w:lvl>
    <w:lvl w:ilvl="1">
      <w:lvlJc w:val="left"/>
      <w:lvlText w:val="(%2)"/>
      <w:numFmt w:val="lowerLetter"/>
      <w:start w:val="2"/>
    </w:lvl>
  </w:abstractNum>
  <w:abstractNum w:abstractNumId="308">
    <w:nsid w:val="5B727F19"/>
    <w:multiLevelType w:val="hybridMultilevel"/>
    <w:lvl w:ilvl="0">
      <w:lvlJc w:val="left"/>
      <w:lvlText w:val="(%1)"/>
      <w:numFmt w:val="lowerRoman"/>
      <w:start w:val="9"/>
    </w:lvl>
    <w:lvl w:ilvl="1">
      <w:lvlJc w:val="left"/>
      <w:lvlText w:val="(%2)"/>
      <w:numFmt w:val="lowerLetter"/>
      <w:start w:val="4"/>
    </w:lvl>
  </w:abstractNum>
  <w:abstractNum w:abstractNumId="309">
    <w:nsid w:val="514E5CB0"/>
    <w:multiLevelType w:val="hybridMultilevel"/>
    <w:lvl w:ilvl="0">
      <w:lvlJc w:val="left"/>
      <w:lvlText w:val="(%1)"/>
      <w:numFmt w:val="lowerRoman"/>
      <w:start w:val="2"/>
    </w:lvl>
    <w:lvl w:ilvl="1">
      <w:lvlJc w:val="left"/>
      <w:lvlText w:val="(%2)"/>
      <w:numFmt w:val="lowerLetter"/>
      <w:start w:val="6"/>
    </w:lvl>
  </w:abstractNum>
  <w:abstractNum w:abstractNumId="310">
    <w:nsid w:val="4210D41E"/>
    <w:multiLevelType w:val="hybridMultilevel"/>
    <w:lvl w:ilvl="0">
      <w:lvlJc w:val="left"/>
      <w:lvlText w:val="(%1)"/>
      <w:numFmt w:val="lowerLetter"/>
      <w:start w:val="7"/>
    </w:lvl>
  </w:abstractNum>
  <w:abstractNum w:abstractNumId="311">
    <w:nsid w:val="4FF4CC6D"/>
    <w:multiLevelType w:val="hybridMultilevel"/>
    <w:lvl w:ilvl="0">
      <w:lvlJc w:val="left"/>
      <w:lvlText w:val="\ldblquote"/>
      <w:numFmt w:val="bullet"/>
      <w:start w:val="1"/>
    </w:lvl>
  </w:abstractNum>
  <w:abstractNum w:abstractNumId="312">
    <w:nsid w:val="404EAF4A"/>
    <w:multiLevelType w:val="hybridMultilevel"/>
    <w:lvl w:ilvl="0">
      <w:lvlJc w:val="left"/>
      <w:lvlText w:val="(%1)"/>
      <w:numFmt w:val="decimal"/>
      <w:start w:val="3"/>
    </w:lvl>
    <w:lvl w:ilvl="1">
      <w:lvlJc w:val="left"/>
      <w:lvlText w:val="\ldblquote"/>
      <w:numFmt w:val="bullet"/>
      <w:start w:val="1"/>
    </w:lvl>
  </w:abstractNum>
  <w:abstractNum w:abstractNumId="313">
    <w:nsid w:val="4A16874F"/>
    <w:multiLevelType w:val="hybridMultilevel"/>
    <w:lvl w:ilvl="0">
      <w:lvlJc w:val="left"/>
      <w:lvlText w:val="\ldblquote"/>
      <w:numFmt w:val="bullet"/>
      <w:start w:val="1"/>
    </w:lvl>
  </w:abstractNum>
  <w:abstractNum w:abstractNumId="314">
    <w:nsid w:val="55FEE0D1"/>
    <w:multiLevelType w:val="hybridMultilevel"/>
    <w:lvl w:ilvl="0">
      <w:lvlJc w:val="left"/>
      <w:lvlText w:val="(%1)"/>
      <w:numFmt w:val="lowerLetter"/>
      <w:start w:val="2"/>
    </w:lvl>
    <w:lvl w:ilvl="1">
      <w:lvlJc w:val="left"/>
      <w:lvlText w:val="(%2)"/>
      <w:numFmt w:val="lowerLetter"/>
      <w:start w:val="9"/>
    </w:lvl>
  </w:abstractNum>
  <w:abstractNum w:abstractNumId="315">
    <w:nsid w:val="3C5E07C"/>
    <w:multiLevelType w:val="hybridMultilevel"/>
    <w:lvl w:ilvl="0">
      <w:lvlJc w:val="left"/>
      <w:lvlText w:val="(%1)"/>
      <w:numFmt w:val="upperLetter"/>
      <w:start w:val="1"/>
    </w:lvl>
  </w:abstractNum>
  <w:abstractNum w:abstractNumId="316">
    <w:nsid w:val="60C2D27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317">
    <w:nsid w:val="4CC32F1F"/>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318">
    <w:nsid w:val="11CAC74A"/>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319">
    <w:nsid w:val="126CADE9"/>
    <w:multiLevelType w:val="hybridMultilevel"/>
    <w:lvl w:ilvl="0">
      <w:lvlJc w:val="left"/>
      <w:lvlText w:val="(%1)"/>
      <w:numFmt w:val="lowerRoman"/>
      <w:start w:val="2"/>
    </w:lvl>
  </w:abstractNum>
  <w:abstractNum w:abstractNumId="320">
    <w:nsid w:val="19132E7B"/>
    <w:multiLevelType w:val="hybridMultilevel"/>
    <w:lvl w:ilvl="0">
      <w:lvlJc w:val="left"/>
      <w:lvlText w:val="(%1)"/>
      <w:numFmt w:val="lowerRoman"/>
      <w:start w:val="4"/>
    </w:lvl>
  </w:abstractNum>
  <w:abstractNum w:abstractNumId="321">
    <w:nsid w:val="63822DC0"/>
    <w:multiLevelType w:val="hybridMultilevel"/>
    <w:lvl w:ilvl="0">
      <w:lvlJc w:val="left"/>
      <w:lvlText w:val="%1"/>
      <w:numFmt w:val="lowerLetter"/>
      <w:start w:val="1"/>
    </w:lvl>
    <w:lvl w:ilvl="1">
      <w:lvlJc w:val="left"/>
      <w:lvlText w:val="(%2)"/>
      <w:numFmt w:val="lowerRoman"/>
      <w:start w:val="5"/>
    </w:lvl>
  </w:abstractNum>
  <w:abstractNum w:abstractNumId="322">
    <w:nsid w:val="6C11685A"/>
    <w:multiLevelType w:val="hybridMultilevel"/>
    <w:lvl w:ilvl="0">
      <w:lvlJc w:val="left"/>
      <w:lvlText w:val="(%1)"/>
      <w:numFmt w:val="lowerLetter"/>
      <w:start w:val="4"/>
    </w:lvl>
    <w:lvl w:ilvl="1">
      <w:lvlJc w:val="left"/>
      <w:lvlText w:val="%2"/>
      <w:numFmt w:val="lowerRoman"/>
      <w:start w:val="1"/>
    </w:lvl>
  </w:abstractNum>
  <w:abstractNum w:abstractNumId="323">
    <w:nsid w:val="5E1EAE31"/>
    <w:multiLevelType w:val="hybridMultilevel"/>
    <w:lvl w:ilvl="0">
      <w:lvlJc w:val="left"/>
      <w:lvlText w:val="(%1)"/>
      <w:numFmt w:val="lowerLetter"/>
      <w:start w:val="8"/>
    </w:lvl>
    <w:lvl w:ilvl="1">
      <w:lvlJc w:val="left"/>
      <w:lvlText w:val="(%2)"/>
      <w:numFmt w:val="lowerRoman"/>
      <w:start w:val="1"/>
    </w:lvl>
  </w:abstractNum>
  <w:abstractNum w:abstractNumId="324">
    <w:nsid w:val="178E240D"/>
    <w:multiLevelType w:val="hybridMultilevel"/>
    <w:lvl w:ilvl="0">
      <w:lvlJc w:val="left"/>
      <w:lvlText w:val="%1"/>
      <w:numFmt w:val="lowerRoman"/>
      <w:start w:val="1"/>
    </w:lvl>
    <w:lvl w:ilvl="1">
      <w:lvlJc w:val="left"/>
      <w:lvlText w:val="(%2)"/>
      <w:numFmt w:val="lowerRoman"/>
      <w:start w:val="4"/>
    </w:lvl>
  </w:abstractNum>
  <w:abstractNum w:abstractNumId="325">
    <w:nsid w:val="5556A87B"/>
    <w:multiLevelType w:val="hybridMultilevel"/>
    <w:lvl w:ilvl="0">
      <w:lvlJc w:val="left"/>
      <w:lvlText w:val="(%1)"/>
      <w:numFmt w:val="lowerRoman"/>
      <w:start w:val="1"/>
    </w:lvl>
    <w:lvl w:ilvl="1">
      <w:lvlJc w:val="left"/>
      <w:lvlText w:val="%2"/>
      <w:numFmt w:val="lowerRoman"/>
      <w:start w:val="1"/>
    </w:lvl>
  </w:abstractNum>
  <w:abstractNum w:abstractNumId="326">
    <w:nsid w:val="28100A9C"/>
    <w:multiLevelType w:val="hybridMultilevel"/>
    <w:lvl w:ilvl="0">
      <w:lvlJc w:val="left"/>
      <w:lvlText w:val="(%1)"/>
      <w:numFmt w:val="lowerLetter"/>
      <w:start w:val="11"/>
    </w:lvl>
  </w:abstractNum>
  <w:abstractNum w:abstractNumId="327">
    <w:nsid w:val="D838636"/>
    <w:multiLevelType w:val="hybridMultilevel"/>
    <w:lvl w:ilvl="0">
      <w:lvlJc w:val="left"/>
      <w:lvlText w:val="(%1)"/>
      <w:numFmt w:val="lowerLetter"/>
      <w:start w:val="1"/>
    </w:lvl>
  </w:abstractNum>
  <w:abstractNum w:abstractNumId="328">
    <w:nsid w:val="71B82AED"/>
    <w:multiLevelType w:val="hybridMultilevel"/>
    <w:lvl w:ilvl="0">
      <w:lvlJc w:val="left"/>
      <w:lvlText w:val="(%1)"/>
      <w:numFmt w:val="lowerLetter"/>
      <w:start w:val="2"/>
    </w:lvl>
  </w:abstractNum>
  <w:abstractNum w:abstractNumId="329">
    <w:nsid w:val="D15FACA"/>
    <w:multiLevelType w:val="hybridMultilevel"/>
    <w:lvl w:ilvl="0">
      <w:lvlJc w:val="left"/>
      <w:lvlText w:val="(%1)"/>
      <w:numFmt w:val="lowerLetter"/>
      <w:start w:val="3"/>
    </w:lvl>
  </w:abstractNum>
  <w:abstractNum w:abstractNumId="330">
    <w:nsid w:val="3D69565B"/>
    <w:multiLevelType w:val="hybridMultilevel"/>
    <w:lvl w:ilvl="0">
      <w:lvlJc w:val="left"/>
      <w:lvlText w:val="(%1)"/>
      <w:numFmt w:val="lowerLetter"/>
      <w:start w:val="1"/>
    </w:lvl>
  </w:abstractNum>
  <w:abstractNum w:abstractNumId="331">
    <w:nsid w:val="2299DCBC"/>
    <w:multiLevelType w:val="hybridMultilevel"/>
    <w:lvl w:ilvl="0">
      <w:lvlJc w:val="left"/>
      <w:lvlText w:val="(%1)"/>
      <w:numFmt w:val="lowerLetter"/>
      <w:start w:val="2"/>
    </w:lvl>
  </w:abstractNum>
  <w:abstractNum w:abstractNumId="332">
    <w:nsid w:val="19908D02"/>
    <w:multiLevelType w:val="hybridMultilevel"/>
    <w:lvl w:ilvl="0">
      <w:lvlJc w:val="left"/>
      <w:lvlText w:val="(%1)"/>
      <w:numFmt w:val="lowerLetter"/>
      <w:start w:val="3"/>
    </w:lvl>
  </w:abstractNum>
  <w:abstractNum w:abstractNumId="333">
    <w:nsid w:val="24D48BDB"/>
    <w:multiLevelType w:val="hybridMultilevel"/>
    <w:lvl w:ilvl="0">
      <w:lvlJc w:val="left"/>
      <w:lvlText w:val="(%1)"/>
      <w:numFmt w:val="lowerLetter"/>
      <w:start w:val="9"/>
    </w:lvl>
    <w:lvl w:ilvl="1">
      <w:lvlJc w:val="left"/>
      <w:lvlText w:val="(%2)"/>
      <w:numFmt w:val="lowerLetter"/>
      <w:start w:val="5"/>
    </w:lvl>
  </w:abstractNum>
  <w:abstractNum w:abstractNumId="334">
    <w:nsid w:val="542DA5B5"/>
    <w:multiLevelType w:val="hybridMultilevel"/>
    <w:lvl w:ilvl="0">
      <w:lvlJc w:val="left"/>
      <w:lvlText w:val="(%1)"/>
      <w:numFmt w:val="lowerLetter"/>
      <w:start w:val="7"/>
    </w:lvl>
  </w:abstractNum>
  <w:abstractNum w:abstractNumId="335">
    <w:nsid w:val="793753DE"/>
    <w:multiLevelType w:val="hybridMultilevel"/>
    <w:lvl w:ilvl="0">
      <w:lvlJc w:val="left"/>
      <w:lvlText w:val="(%1)"/>
      <w:numFmt w:val="lowerLetter"/>
      <w:start w:val="1"/>
    </w:lvl>
  </w:abstractNum>
  <w:abstractNum w:abstractNumId="336">
    <w:nsid w:val="1C67CB3D"/>
    <w:multiLevelType w:val="hybridMultilevel"/>
    <w:lvl w:ilvl="0">
      <w:lvlJc w:val="left"/>
      <w:lvlText w:val="(%1)"/>
      <w:numFmt w:val="lowerRoman"/>
      <w:start w:val="1"/>
    </w:lvl>
  </w:abstractNum>
  <w:abstractNum w:abstractNumId="337">
    <w:nsid w:val="40E29452"/>
    <w:multiLevelType w:val="hybridMultilevel"/>
    <w:lvl w:ilvl="0">
      <w:lvlJc w:val="left"/>
      <w:lvlText w:val="(%1)"/>
      <w:numFmt w:val="lowerLetter"/>
      <w:start w:val="2"/>
    </w:lvl>
  </w:abstractNum>
  <w:abstractNum w:abstractNumId="338">
    <w:nsid w:val="63A4AAB6"/>
    <w:multiLevelType w:val="hybridMultilevel"/>
    <w:lvl w:ilvl="0">
      <w:lvlJc w:val="left"/>
      <w:lvlText w:val="(%1)"/>
      <w:numFmt w:val="lowerLetter"/>
      <w:start w:val="3"/>
    </w:lvl>
  </w:abstractNum>
  <w:abstractNum w:abstractNumId="339">
    <w:nsid w:val="77DA4A57"/>
    <w:multiLevelType w:val="hybridMultilevel"/>
    <w:lvl w:ilvl="0">
      <w:lvlJc w:val="left"/>
      <w:lvlText w:val="(%1)"/>
      <w:numFmt w:val="lowerLetter"/>
      <w:start w:val="5"/>
    </w:lvl>
  </w:abstractNum>
  <w:abstractNum w:abstractNumId="340">
    <w:nsid w:val="1230F102"/>
    <w:multiLevelType w:val="hybridMultilevel"/>
    <w:lvl w:ilvl="0">
      <w:lvlJc w:val="left"/>
      <w:lvlText w:val="(%1)"/>
      <w:numFmt w:val="lowerLetter"/>
      <w:start w:val="3"/>
    </w:lvl>
  </w:abstractNum>
  <w:abstractNum w:abstractNumId="341">
    <w:nsid w:val="25B57ED4"/>
    <w:multiLevelType w:val="hybridMultilevel"/>
    <w:lvl w:ilvl="0">
      <w:lvlJc w:val="left"/>
      <w:lvlText w:val="(%1)"/>
      <w:numFmt w:val="lowerLetter"/>
      <w:start w:val="6"/>
    </w:lvl>
  </w:abstractNum>
  <w:abstractNum w:abstractNumId="342">
    <w:nsid w:val="47CF16C4"/>
    <w:multiLevelType w:val="hybridMultilevel"/>
    <w:lvl w:ilvl="0">
      <w:lvlJc w:val="left"/>
      <w:lvlText w:val="(%1)"/>
      <w:numFmt w:val="lowerLetter"/>
      <w:start w:val="7"/>
    </w:lvl>
  </w:abstractNum>
  <w:abstractNum w:abstractNumId="343">
    <w:nsid w:val="527FA04C"/>
    <w:multiLevelType w:val="hybridMultilevel"/>
    <w:lvl w:ilvl="0">
      <w:lvlJc w:val="left"/>
      <w:lvlText w:val="%1"/>
      <w:numFmt w:val="lowerLetter"/>
      <w:start w:val="1"/>
    </w:lvl>
    <w:lvl w:ilvl="1">
      <w:lvlJc w:val="left"/>
      <w:lvlText w:val="(%2)"/>
      <w:numFmt w:val="lowerLetter"/>
      <w:start w:val="1"/>
    </w:lvl>
  </w:abstractNum>
  <w:abstractNum w:abstractNumId="344">
    <w:nsid w:val="6FCC0624"/>
    <w:multiLevelType w:val="hybridMultilevel"/>
    <w:lvl w:ilvl="0">
      <w:lvlJc w:val="left"/>
      <w:lvlText w:val="(%1)"/>
      <w:numFmt w:val="lowerLetter"/>
      <w:start w:val="9"/>
    </w:lvl>
    <w:lvl w:ilvl="1">
      <w:lvlJc w:val="left"/>
      <w:lvlText w:val="%2"/>
      <w:numFmt w:val="lowerLetter"/>
      <w:start w:val="1"/>
    </w:lvl>
  </w:abstractNum>
  <w:abstractNum w:abstractNumId="345">
    <w:nsid w:val="1DCDF795"/>
    <w:multiLevelType w:val="hybridMultilevel"/>
    <w:lvl w:ilvl="0">
      <w:lvlJc w:val="left"/>
      <w:lvlText w:val="%1"/>
      <w:numFmt w:val="lowerLetter"/>
      <w:start w:val="1"/>
    </w:lvl>
    <w:lvl w:ilvl="1">
      <w:lvlJc w:val="left"/>
      <w:lvlText w:val="(%2)"/>
      <w:numFmt w:val="lowerLetter"/>
      <w:start w:val="2"/>
    </w:lvl>
  </w:abstractNum>
  <w:abstractNum w:abstractNumId="346">
    <w:nsid w:val="564580C8"/>
    <w:multiLevelType w:val="hybridMultilevel"/>
    <w:lvl w:ilvl="0">
      <w:lvlJc w:val="left"/>
      <w:lvlText w:val="(%1)"/>
      <w:numFmt w:val="lowerLetter"/>
      <w:start w:val="35"/>
    </w:lvl>
    <w:lvl w:ilvl="1">
      <w:lvlJc w:val="left"/>
      <w:lvlText w:val="%2"/>
      <w:numFmt w:val="lowerLetter"/>
      <w:start w:val="1"/>
    </w:lvl>
  </w:abstractNum>
  <w:abstractNum w:abstractNumId="347">
    <w:nsid w:val="508ED897"/>
    <w:multiLevelType w:val="hybridMultilevel"/>
    <w:lvl w:ilvl="0">
      <w:lvlJc w:val="left"/>
      <w:lvlText w:val="(%1)"/>
      <w:numFmt w:val="lowerLetter"/>
      <w:start w:val="9"/>
    </w:lvl>
    <w:lvl w:ilvl="1">
      <w:lvlJc w:val="left"/>
      <w:lvlText w:val="(%2)"/>
      <w:numFmt w:val="lowerLetter"/>
      <w:start w:val="7"/>
    </w:lvl>
  </w:abstractNum>
  <w:abstractNum w:abstractNumId="348">
    <w:nsid w:val="6A9126B5"/>
    <w:multiLevelType w:val="hybridMultilevel"/>
    <w:lvl w:ilvl="0">
      <w:lvlJc w:val="left"/>
      <w:lvlText w:val="(%1)"/>
      <w:numFmt w:val="lowerLetter"/>
      <w:start w:val="8"/>
    </w:lvl>
  </w:abstractNum>
  <w:abstractNum w:abstractNumId="349">
    <w:nsid w:val="68104812"/>
    <w:multiLevelType w:val="hybridMultilevel"/>
    <w:lvl w:ilvl="0">
      <w:lvlJc w:val="left"/>
      <w:lvlText w:val="\ldblquote"/>
      <w:numFmt w:val="bullet"/>
      <w:start w:val="1"/>
    </w:lvl>
  </w:abstractNum>
  <w:abstractNum w:abstractNumId="350">
    <w:nsid w:val="62FB8680"/>
    <w:multiLevelType w:val="hybridMultilevel"/>
    <w:lvl w:ilvl="0">
      <w:lvlJc w:val="left"/>
      <w:lvlText w:val="(%1)"/>
      <w:numFmt w:val="decimal"/>
      <w:start w:val="3"/>
    </w:lvl>
    <w:lvl w:ilvl="1">
      <w:lvlJc w:val="left"/>
      <w:lvlText w:val="\ldblquote"/>
      <w:numFmt w:val="bullet"/>
      <w:start w:val="1"/>
    </w:lvl>
  </w:abstractNum>
  <w:abstractNum w:abstractNumId="351">
    <w:nsid w:val="3A45530"/>
    <w:multiLevelType w:val="hybridMultilevel"/>
    <w:lvl w:ilvl="0">
      <w:lvlJc w:val="left"/>
      <w:lvlText w:val="\ldblquote"/>
      <w:numFmt w:val="bullet"/>
      <w:start w:val="1"/>
    </w:lvl>
  </w:abstractNum>
  <w:abstractNum w:abstractNumId="352">
    <w:nsid w:val="4B9275D2"/>
    <w:multiLevelType w:val="hybridMultilevel"/>
    <w:lvl w:ilvl="0">
      <w:lvlJc w:val="left"/>
      <w:lvlText w:val="(%1)"/>
      <w:numFmt w:val="lowerLetter"/>
      <w:start w:val="2"/>
    </w:lvl>
    <w:lvl w:ilvl="1">
      <w:lvlJc w:val="left"/>
      <w:lvlText w:val="(%2)"/>
      <w:numFmt w:val="lowerLetter"/>
      <w:start w:val="9"/>
    </w:lvl>
  </w:abstractNum>
  <w:abstractNum w:abstractNumId="353">
    <w:nsid w:val="4F0CEEDB"/>
    <w:multiLevelType w:val="hybridMultilevel"/>
    <w:lvl w:ilvl="0">
      <w:lvlJc w:val="left"/>
      <w:lvlText w:val="(%1)"/>
      <w:numFmt w:val="upperLetter"/>
      <w:start w:val="1"/>
    </w:lvl>
  </w:abstractNum>
  <w:abstractNum w:abstractNumId="354">
    <w:nsid w:val="61C30361"/>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upperLetter"/>
      <w:start w:val="3"/>
    </w:lvl>
  </w:abstractNum>
  <w:abstractNum w:abstractNumId="355">
    <w:nsid w:val="632099E0"/>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lvl w:ilvl="3">
      <w:lvlJc w:val="left"/>
      <w:lvlText w:val="%4"/>
      <w:numFmt w:val="upperLetter"/>
      <w:start w:val="1"/>
    </w:lvl>
  </w:abstractNum>
  <w:abstractNum w:abstractNumId="356">
    <w:nsid w:val="24639756"/>
    <w:multiLevelType w:val="hybridMultilevel"/>
    <w:lvl w:ilvl="0">
      <w:lvlJc w:val="left"/>
      <w:lvlText w:val="(%1)"/>
      <w:numFmt w:val="lowerLetter"/>
      <w:start w:val="3"/>
    </w:lvl>
    <w:lvl w:ilvl="1">
      <w:lvlJc w:val="left"/>
      <w:lvlText w:val="(%2)"/>
      <w:numFmt w:val="lowerLetter"/>
      <w:start w:val="34"/>
    </w:lvl>
    <w:lvl w:ilvl="2">
      <w:lvlJc w:val="left"/>
      <w:lvlText w:val="(%3)"/>
      <w:numFmt w:val="lowerRoman"/>
      <w:start w:val="1"/>
    </w:lvl>
    <w:lvl w:ilvl="3">
      <w:lvlJc w:val="left"/>
      <w:lvlText w:val="%4"/>
      <w:numFmt w:val="upperLetter"/>
      <w:start w:val="1"/>
    </w:lvl>
  </w:abstractNum>
  <w:abstractNum w:abstractNumId="357">
    <w:nsid w:val="9D30DFD"/>
    <w:multiLevelType w:val="hybridMultilevel"/>
    <w:lvl w:ilvl="0">
      <w:lvlJc w:val="left"/>
      <w:lvlText w:val="(%1)"/>
      <w:numFmt w:val="lowerRoman"/>
      <w:start w:val="4"/>
    </w:lvl>
  </w:abstractNum>
  <w:abstractNum w:abstractNumId="358">
    <w:nsid w:val="70A42016"/>
    <w:multiLevelType w:val="hybridMultilevel"/>
    <w:lvl w:ilvl="0">
      <w:lvlJc w:val="left"/>
      <w:lvlText w:val=","/>
      <w:numFmt w:val="bullet"/>
      <w:start w:val="1"/>
    </w:lvl>
    <w:lvl w:ilvl="1">
      <w:lvlJc w:val="left"/>
      <w:lvlText w:val="%2"/>
      <w:numFmt w:val="lowerLetter"/>
      <w:start w:val="1"/>
    </w:lvl>
    <w:lvl w:ilvl="2">
      <w:lvlJc w:val="left"/>
      <w:lvlText w:val="(%3)"/>
      <w:numFmt w:val="lowerRoman"/>
      <w:start w:val="6"/>
    </w:lvl>
  </w:abstractNum>
  <w:abstractNum w:abstractNumId="359">
    <w:nsid w:val="161BC243"/>
    <w:multiLevelType w:val="hybridMultilevel"/>
    <w:lvl w:ilvl="0">
      <w:lvlJc w:val="left"/>
      <w:lvlText w:val=","/>
      <w:numFmt w:val="bullet"/>
      <w:start w:val="1"/>
    </w:lvl>
    <w:lvl w:ilvl="1">
      <w:lvlJc w:val="left"/>
      <w:lvlText w:val="(%2)"/>
      <w:numFmt w:val="lowerLetter"/>
      <w:start w:val="4"/>
    </w:lvl>
    <w:lvl w:ilvl="2">
      <w:lvlJc w:val="left"/>
      <w:lvlText w:val="%3"/>
      <w:numFmt w:val="lowerRoman"/>
      <w:start w:val="1"/>
    </w:lvl>
  </w:abstractNum>
  <w:abstractNum w:abstractNumId="360">
    <w:nsid w:val="16E908C8"/>
    <w:multiLevelType w:val="hybridMultilevel"/>
    <w:lvl w:ilvl="0">
      <w:lvlJc w:val="left"/>
      <w:lvlText w:val=","/>
      <w:numFmt w:val="bullet"/>
      <w:start w:val="1"/>
    </w:lvl>
    <w:lvl w:ilvl="1">
      <w:lvlJc w:val="left"/>
      <w:lvlText w:val="(%2)"/>
      <w:numFmt w:val="lowerLetter"/>
      <w:start w:val="5"/>
    </w:lvl>
    <w:lvl w:ilvl="2">
      <w:lvlJc w:val="left"/>
      <w:lvlText w:val="%3"/>
      <w:numFmt w:val="lowerRoman"/>
      <w:start w:val="1"/>
    </w:lvl>
  </w:abstractNum>
  <w:abstractNum w:abstractNumId="361">
    <w:nsid w:val="2E0D7671"/>
    <w:multiLevelType w:val="hybridMultilevel"/>
    <w:lvl w:ilvl="0">
      <w:lvlJc w:val="left"/>
      <w:lvlText w:val="(%1)"/>
      <w:numFmt w:val="lowerLetter"/>
      <w:start w:val="8"/>
    </w:lvl>
  </w:abstractNum>
  <w:abstractNum w:abstractNumId="362">
    <w:nsid w:val="38B59EFF"/>
    <w:multiLevelType w:val="hybridMultilevel"/>
    <w:lvl w:ilvl="0">
      <w:lvlJc w:val="left"/>
      <w:lvlText w:val="(%1)"/>
      <w:numFmt w:val="lowerRoman"/>
      <w:start w:val="1"/>
    </w:lvl>
    <w:lvl w:ilvl="1">
      <w:lvlJc w:val="left"/>
      <w:lvlText w:val="(%2)"/>
      <w:numFmt w:val="lowerRoman"/>
      <w:start w:val="1"/>
    </w:lvl>
  </w:abstractNum>
  <w:abstractNum w:abstractNumId="363">
    <w:nsid w:val="307995CA"/>
    <w:multiLevelType w:val="hybridMultilevel"/>
    <w:lvl w:ilvl="0">
      <w:lvlJc w:val="left"/>
      <w:lvlText w:val="%1"/>
      <w:numFmt w:val="lowerRoman"/>
      <w:start w:val="1"/>
    </w:lvl>
    <w:lvl w:ilvl="1">
      <w:lvlJc w:val="left"/>
      <w:lvlText w:val="(%2)"/>
      <w:numFmt w:val="lowerRoman"/>
      <w:start w:val="4"/>
    </w:lvl>
  </w:abstractNum>
  <w:abstractNum w:abstractNumId="364">
    <w:nsid w:val="52E2024D"/>
    <w:multiLevelType w:val="hybridMultilevel"/>
    <w:lvl w:ilvl="0">
      <w:lvlJc w:val="left"/>
      <w:lvlText w:val="(%1)"/>
      <w:numFmt w:val="lowerRoman"/>
      <w:start w:val="1"/>
    </w:lvl>
    <w:lvl w:ilvl="1">
      <w:lvlJc w:val="left"/>
      <w:lvlText w:val="%2"/>
      <w:numFmt w:val="lowerRoman"/>
      <w:start w:val="1"/>
    </w:lvl>
  </w:abstractNum>
  <w:abstractNum w:abstractNumId="365">
    <w:nsid w:val="CE344B5"/>
    <w:multiLevelType w:val="hybridMultilevel"/>
    <w:lvl w:ilvl="0">
      <w:lvlJc w:val="left"/>
      <w:lvlText w:val="(%1)"/>
      <w:numFmt w:val="lowerLetter"/>
      <w:start w:val="11"/>
    </w:lvl>
  </w:abstractNum>
  <w:abstractNum w:abstractNumId="366">
    <w:nsid w:val="29B0E9A8"/>
    <w:multiLevelType w:val="hybridMultilevel"/>
    <w:lvl w:ilvl="0">
      <w:lvlJc w:val="left"/>
      <w:lvlText w:val="(%1)"/>
      <w:numFmt w:val="lowerLetter"/>
      <w:start w:val="1"/>
    </w:lvl>
  </w:abstractNum>
  <w:abstractNum w:abstractNumId="367">
    <w:nsid w:val="6F49CD8A"/>
    <w:multiLevelType w:val="hybridMultilevel"/>
    <w:lvl w:ilvl="0">
      <w:lvlJc w:val="left"/>
      <w:lvlText w:val="(%1)"/>
      <w:numFmt w:val="lowerLetter"/>
      <w:start w:val="2"/>
    </w:lvl>
  </w:abstractNum>
  <w:abstractNum w:abstractNumId="368">
    <w:nsid w:val="4DC5D907"/>
    <w:multiLevelType w:val="hybridMultilevel"/>
    <w:lvl w:ilvl="0">
      <w:lvlJc w:val="left"/>
      <w:lvlText w:val="(%1)"/>
      <w:numFmt w:val="lowerLetter"/>
      <w:start w:val="3"/>
    </w:lvl>
  </w:abstractNum>
  <w:abstractNum w:abstractNumId="369">
    <w:nsid w:val="D55945E"/>
    <w:multiLevelType w:val="hybridMultilevel"/>
    <w:lvl w:ilvl="0">
      <w:lvlJc w:val="left"/>
      <w:lvlText w:val="(%1)"/>
      <w:numFmt w:val="lowerLetter"/>
      <w:start w:val="1"/>
    </w:lvl>
  </w:abstractNum>
  <w:abstractNum w:abstractNumId="370">
    <w:nsid w:val="672417E1"/>
    <w:multiLevelType w:val="hybridMultilevel"/>
    <w:lvl w:ilvl="0">
      <w:lvlJc w:val="left"/>
      <w:lvlText w:val="(%1)"/>
      <w:numFmt w:val="lowerLetter"/>
      <w:start w:val="2"/>
    </w:lvl>
  </w:abstractNum>
  <w:abstractNum w:abstractNumId="371">
    <w:nsid w:val="5FF6CA09"/>
    <w:multiLevelType w:val="hybridMultilevel"/>
    <w:lvl w:ilvl="0">
      <w:lvlJc w:val="left"/>
      <w:lvlText w:val="(%1)"/>
      <w:numFmt w:val="lowerLetter"/>
      <w:start w:val="3"/>
    </w:lvl>
  </w:abstractNum>
  <w:abstractNum w:abstractNumId="372">
    <w:nsid w:val="330B1333"/>
    <w:multiLevelType w:val="hybridMultilevel"/>
    <w:lvl w:ilvl="0">
      <w:lvlJc w:val="left"/>
      <w:lvlText w:val="(%1)"/>
      <w:numFmt w:val="lowerLetter"/>
      <w:start w:val="9"/>
    </w:lvl>
    <w:lvl w:ilvl="1">
      <w:lvlJc w:val="left"/>
      <w:lvlText w:val="(%2)"/>
      <w:numFmt w:val="lowerLetter"/>
      <w:start w:val="5"/>
    </w:lvl>
  </w:abstractNum>
  <w:abstractNum w:abstractNumId="373">
    <w:nsid w:val="2EF32EA6"/>
    <w:multiLevelType w:val="hybridMultilevel"/>
    <w:lvl w:ilvl="0">
      <w:lvlJc w:val="left"/>
      <w:lvlText w:val="(%1)"/>
      <w:numFmt w:val="lowerLetter"/>
      <w:start w:val="7"/>
    </w:lvl>
  </w:abstractNum>
  <w:abstractNum w:abstractNumId="374">
    <w:nsid w:val="32766A55"/>
    <w:multiLevelType w:val="hybridMultilevel"/>
    <w:lvl w:ilvl="0">
      <w:lvlJc w:val="left"/>
      <w:lvlText w:val="(%1)"/>
      <w:numFmt w:val="lowerLetter"/>
      <w:start w:val="1"/>
    </w:lvl>
  </w:abstractNum>
  <w:abstractNum w:abstractNumId="375">
    <w:nsid w:val="22D71957"/>
    <w:multiLevelType w:val="hybridMultilevel"/>
    <w:lvl w:ilvl="0">
      <w:lvlJc w:val="left"/>
      <w:lvlText w:val="(%1)"/>
      <w:numFmt w:val="lowerRoman"/>
      <w:start w:val="1"/>
    </w:lvl>
  </w:abstractNum>
  <w:abstractNum w:abstractNumId="376">
    <w:nsid w:val="4CC1263B"/>
    <w:multiLevelType w:val="hybridMultilevel"/>
    <w:lvl w:ilvl="0">
      <w:lvlJc w:val="left"/>
      <w:lvlText w:val="(%1)"/>
      <w:numFmt w:val="lowerRoman"/>
      <w:start w:val="8"/>
    </w:lvl>
  </w:abstractNum>
  <w:abstractNum w:abstractNumId="377">
    <w:nsid w:val="8BBEB1D"/>
    <w:multiLevelType w:val="hybridMultilevel"/>
    <w:lvl w:ilvl="0">
      <w:lvlJc w:val="left"/>
      <w:lvlText w:val="(%1)"/>
      <w:numFmt w:val="lowerLetter"/>
      <w:start w:val="3"/>
    </w:lvl>
  </w:abstractNum>
  <w:abstractNum w:abstractNumId="378">
    <w:nsid w:val="7365F1EE"/>
    <w:multiLevelType w:val="hybridMultilevel"/>
    <w:lvl w:ilvl="0">
      <w:lvlJc w:val="left"/>
      <w:lvlText w:val="(%1)"/>
      <w:numFmt w:val="lowerLetter"/>
      <w:start w:val="5"/>
    </w:lvl>
  </w:abstractNum>
  <w:abstractNum w:abstractNumId="379">
    <w:nsid w:val="37524CF0"/>
    <w:multiLevelType w:val="hybridMultilevel"/>
    <w:lvl w:ilvl="0">
      <w:lvlJc w:val="left"/>
      <w:lvlText w:val="(%1)"/>
      <w:numFmt w:val="lowerLetter"/>
      <w:start w:val="1"/>
    </w:lvl>
  </w:abstractNum>
  <w:abstractNum w:abstractNumId="380">
    <w:nsid w:val="70CC332F"/>
    <w:multiLevelType w:val="hybridMultilevel"/>
    <w:lvl w:ilvl="0">
      <w:lvlJc w:val="left"/>
      <w:lvlText w:val="(%1)"/>
      <w:numFmt w:val="lowerLetter"/>
      <w:start w:val="3"/>
    </w:lvl>
  </w:abstractNum>
  <w:abstractNum w:abstractNumId="381">
    <w:nsid w:val="5661786E"/>
    <w:multiLevelType w:val="hybridMultilevel"/>
    <w:lvl w:ilvl="0">
      <w:lvlJc w:val="left"/>
      <w:lvlText w:val="(%1)"/>
      <w:numFmt w:val="lowerLetter"/>
      <w:start w:val="6"/>
    </w:lvl>
  </w:abstractNum>
  <w:abstractNum w:abstractNumId="382">
    <w:nsid w:val="3AF6A220"/>
    <w:multiLevelType w:val="hybridMultilevel"/>
    <w:lvl w:ilvl="0">
      <w:lvlJc w:val="left"/>
      <w:lvlText w:val="(%1)"/>
      <w:numFmt w:val="lowerLetter"/>
      <w:start w:val="7"/>
    </w:lvl>
  </w:abstractNum>
  <w:abstractNum w:abstractNumId="383">
    <w:nsid w:val="3C5EA902"/>
    <w:multiLevelType w:val="hybridMultilevel"/>
    <w:lvl w:ilvl="0">
      <w:lvlJc w:val="left"/>
      <w:lvlText w:val="(%1)"/>
      <w:numFmt w:val="lowerLetter"/>
      <w:start w:val="1"/>
    </w:lvl>
  </w:abstractNum>
  <w:abstractNum w:abstractNumId="384">
    <w:nsid w:val="256E6749"/>
    <w:multiLevelType w:val="hybridMultilevel"/>
    <w:lvl w:ilvl="0">
      <w:lvlJc w:val="left"/>
      <w:lvlText w:val="(%1)"/>
      <w:numFmt w:val="lowerLetter"/>
      <w:start w:val="25"/>
    </w:lvl>
  </w:abstractNum>
  <w:abstractNum w:abstractNumId="385">
    <w:nsid w:val="1CB9A581"/>
    <w:multiLevelType w:val="hybridMultilevel"/>
    <w:lvl w:ilvl="0">
      <w:lvlJc w:val="left"/>
      <w:lvlText w:val="%1"/>
      <w:numFmt w:val="lowerLetter"/>
      <w:start w:val="1"/>
    </w:lvl>
    <w:lvl w:ilvl="1">
      <w:lvlJc w:val="left"/>
      <w:lvlText w:val="(%2)"/>
      <w:numFmt w:val="lowerLetter"/>
      <w:start w:val="2"/>
    </w:lvl>
  </w:abstractNum>
  <w:abstractNum w:abstractNumId="386">
    <w:nsid w:val="1F7F42E2"/>
    <w:multiLevelType w:val="hybridMultilevel"/>
    <w:lvl w:ilvl="0">
      <w:lvlJc w:val="left"/>
      <w:lvlText w:val="(%1)"/>
      <w:numFmt w:val="lowerLetter"/>
      <w:start w:val="35"/>
    </w:lvl>
    <w:lvl w:ilvl="1">
      <w:lvlJc w:val="left"/>
      <w:lvlText w:val="(%2)"/>
      <w:numFmt w:val="lowerLetter"/>
      <w:start w:val="6"/>
    </w:lvl>
  </w:abstractNum>
  <w:abstractNum w:abstractNumId="387">
    <w:nsid w:val="49D1FEA0"/>
    <w:multiLevelType w:val="hybridMultilevel"/>
    <w:lvl w:ilvl="0">
      <w:lvlJc w:val="left"/>
      <w:lvlText w:val="(%1)"/>
      <w:numFmt w:val="lowerLetter"/>
      <w:start w:val="8"/>
    </w:lvl>
  </w:abstractNum>
  <w:abstractNum w:abstractNumId="388">
    <w:nsid w:val="268CB37F"/>
    <w:multiLevelType w:val="hybridMultilevel"/>
    <w:lvl w:ilvl="0">
      <w:lvlJc w:val="left"/>
      <w:lvlText w:val="\ldblquote"/>
      <w:numFmt w:val="bullet"/>
      <w:start w:val="1"/>
    </w:lvl>
  </w:abstractNum>
  <w:abstractNum w:abstractNumId="389">
    <w:nsid w:val="102362F8"/>
    <w:multiLevelType w:val="hybridMultilevel"/>
    <w:lvl w:ilvl="0">
      <w:lvlJc w:val="left"/>
      <w:lvlText w:val="(%1)"/>
      <w:numFmt w:val="decimal"/>
      <w:start w:val="3"/>
    </w:lvl>
    <w:lvl w:ilvl="1">
      <w:lvlJc w:val="left"/>
      <w:lvlText w:val="\ldblquote"/>
      <w:numFmt w:val="bullet"/>
      <w:start w:val="1"/>
    </w:lvl>
  </w:abstractNum>
  <w:abstractNum w:abstractNumId="390">
    <w:nsid w:val="5FEDC0E3"/>
    <w:multiLevelType w:val="hybridMultilevel"/>
    <w:lvl w:ilvl="0">
      <w:lvlJc w:val="left"/>
      <w:lvlText w:val="\ldblquote"/>
      <w:numFmt w:val="bullet"/>
      <w:start w:val="1"/>
    </w:lvl>
  </w:abstractNum>
  <w:abstractNum w:abstractNumId="391">
    <w:nsid w:val="3D75BC47"/>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92">
    <w:nsid w:val="3E30D96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393">
    <w:nsid w:val="18A35FE3"/>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394">
    <w:nsid w:val="6DEF5211"/>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395">
    <w:nsid w:val="1112DBB6"/>
    <w:multiLevelType w:val="hybridMultilevel"/>
    <w:lvl w:ilvl="0">
      <w:lvlJc w:val="left"/>
      <w:lvlText w:val="(%1)"/>
      <w:numFmt w:val="lowerRoman"/>
      <w:start w:val="4"/>
    </w:lvl>
  </w:abstractNum>
  <w:abstractNum w:abstractNumId="396">
    <w:nsid w:val="2586A498"/>
    <w:multiLevelType w:val="hybridMultilevel"/>
    <w:lvl w:ilvl="0">
      <w:lvlJc w:val="left"/>
      <w:lvlText w:val=","/>
      <w:numFmt w:val="bullet"/>
      <w:start w:val="1"/>
    </w:lvl>
    <w:lvl w:ilvl="1">
      <w:lvlJc w:val="left"/>
      <w:lvlText w:val="%2"/>
      <w:numFmt w:val="lowerLetter"/>
      <w:start w:val="1"/>
    </w:lvl>
    <w:lvl w:ilvl="2">
      <w:lvlJc w:val="left"/>
      <w:lvlText w:val="(%3)"/>
      <w:numFmt w:val="lowerRoman"/>
      <w:start w:val="6"/>
    </w:lvl>
  </w:abstractNum>
  <w:abstractNum w:abstractNumId="397">
    <w:nsid w:val="17A03BB9"/>
    <w:multiLevelType w:val="hybridMultilevel"/>
    <w:lvl w:ilvl="0">
      <w:lvlJc w:val="left"/>
      <w:lvlText w:val=","/>
      <w:numFmt w:val="bullet"/>
      <w:start w:val="1"/>
    </w:lvl>
    <w:lvl w:ilvl="1">
      <w:lvlJc w:val="left"/>
      <w:lvlText w:val="(%2)"/>
      <w:numFmt w:val="lowerLetter"/>
      <w:start w:val="4"/>
    </w:lvl>
    <w:lvl w:ilvl="2">
      <w:lvlJc w:val="left"/>
      <w:lvlText w:val="%3"/>
      <w:numFmt w:val="lowerRoman"/>
      <w:start w:val="1"/>
    </w:lvl>
  </w:abstractNum>
  <w:abstractNum w:abstractNumId="398">
    <w:nsid w:val="5CA941"/>
    <w:multiLevelType w:val="hybridMultilevel"/>
    <w:lvl w:ilvl="0">
      <w:lvlJc w:val="left"/>
      <w:lvlText w:val=","/>
      <w:numFmt w:val="bullet"/>
      <w:start w:val="1"/>
    </w:lvl>
    <w:lvl w:ilvl="1">
      <w:lvlJc w:val="left"/>
      <w:lvlText w:val="(%2)"/>
      <w:numFmt w:val="lowerLetter"/>
      <w:start w:val="5"/>
    </w:lvl>
    <w:lvl w:ilvl="2">
      <w:lvlJc w:val="left"/>
      <w:lvlText w:val="%3"/>
      <w:numFmt w:val="lowerRoman"/>
      <w:start w:val="1"/>
    </w:lvl>
  </w:abstractNum>
  <w:abstractNum w:abstractNumId="399">
    <w:nsid w:val="734C7D9F"/>
    <w:multiLevelType w:val="hybridMultilevel"/>
    <w:lvl w:ilvl="0">
      <w:lvlJc w:val="left"/>
      <w:lvlText w:val="(%1)"/>
      <w:numFmt w:val="lowerLetter"/>
      <w:start w:val="8"/>
    </w:lvl>
  </w:abstractNum>
  <w:abstractNum w:abstractNumId="400">
    <w:nsid w:val="24F5D018"/>
    <w:multiLevelType w:val="hybridMultilevel"/>
    <w:lvl w:ilvl="0">
      <w:lvlJc w:val="left"/>
      <w:lvlText w:val="(%1)"/>
      <w:numFmt w:val="lowerRoman"/>
      <w:start w:val="1"/>
    </w:lvl>
    <w:lvl w:ilvl="1">
      <w:lvlJc w:val="left"/>
      <w:lvlText w:val="(%2)"/>
      <w:numFmt w:val="lowerRoman"/>
      <w:start w:val="1"/>
    </w:lvl>
  </w:abstractNum>
  <w:abstractNum w:abstractNumId="401">
    <w:nsid w:val="6780C122"/>
    <w:multiLevelType w:val="hybridMultilevel"/>
    <w:lvl w:ilvl="0">
      <w:lvlJc w:val="left"/>
      <w:lvlText w:val="%1"/>
      <w:numFmt w:val="lowerRoman"/>
      <w:start w:val="1"/>
    </w:lvl>
    <w:lvl w:ilvl="1">
      <w:lvlJc w:val="left"/>
      <w:lvlText w:val="(%2)"/>
      <w:numFmt w:val="lowerRoman"/>
      <w:start w:val="4"/>
    </w:lvl>
  </w:abstractNum>
  <w:abstractNum w:abstractNumId="402">
    <w:nsid w:val="534347A8"/>
    <w:multiLevelType w:val="hybridMultilevel"/>
    <w:lvl w:ilvl="0">
      <w:lvlJc w:val="left"/>
      <w:lvlText w:val="(%1)"/>
      <w:numFmt w:val="lowerRoman"/>
      <w:start w:val="1"/>
    </w:lvl>
    <w:lvl w:ilvl="1">
      <w:lvlJc w:val="left"/>
      <w:lvlText w:val="%2"/>
      <w:numFmt w:val="lowerRoman"/>
      <w:start w:val="1"/>
    </w:lvl>
  </w:abstractNum>
  <w:abstractNum w:abstractNumId="403">
    <w:nsid w:val="5800E34B"/>
    <w:multiLevelType w:val="hybridMultilevel"/>
    <w:lvl w:ilvl="0">
      <w:lvlJc w:val="left"/>
      <w:lvlText w:val="(%1)"/>
      <w:numFmt w:val="lowerLetter"/>
      <w:start w:val="11"/>
    </w:lvl>
  </w:abstractNum>
  <w:abstractNum w:abstractNumId="404">
    <w:nsid w:val="1673EFC8"/>
    <w:multiLevelType w:val="hybridMultilevel"/>
    <w:lvl w:ilvl="0">
      <w:lvlJc w:val="left"/>
      <w:lvlText w:val="(%1)"/>
      <w:numFmt w:val="lowerRoman"/>
      <w:start w:val="1"/>
    </w:lvl>
  </w:abstractNum>
  <w:abstractNum w:abstractNumId="405">
    <w:nsid w:val="5B9B1FD"/>
    <w:multiLevelType w:val="hybridMultilevel"/>
    <w:lvl w:ilvl="0">
      <w:lvlJc w:val="left"/>
      <w:lvlText w:val="(%1)"/>
      <w:numFmt w:val="lowerRoman"/>
      <w:start w:val="4"/>
    </w:lvl>
  </w:abstractNum>
  <w:abstractNum w:abstractNumId="406">
    <w:nsid w:val="7AD7FCA2"/>
    <w:multiLevelType w:val="hybridMultilevel"/>
    <w:lvl w:ilvl="0">
      <w:lvlJc w:val="left"/>
      <w:lvlText w:val="(%1)"/>
      <w:numFmt w:val="decimal"/>
      <w:start w:val="3"/>
    </w:lvl>
  </w:abstractNum>
  <w:abstractNum w:abstractNumId="407">
    <w:nsid w:val="63351604"/>
    <w:multiLevelType w:val="hybridMultilevel"/>
    <w:lvl w:ilvl="0">
      <w:lvlJc w:val="left"/>
      <w:lvlText w:val="(%1)"/>
      <w:numFmt w:val="lowerRoman"/>
      <w:start w:val="7"/>
    </w:lvl>
  </w:abstractNum>
  <w:abstractNum w:abstractNumId="408">
    <w:nsid w:val="E759D1A"/>
    <w:multiLevelType w:val="hybridMultilevel"/>
    <w:lvl w:ilvl="0">
      <w:lvlJc w:val="left"/>
      <w:lvlText w:val="(%1)"/>
      <w:numFmt w:val="lowerRoman"/>
      <w:start w:val="2"/>
    </w:lvl>
  </w:abstractNum>
  <w:abstractNum w:abstractNumId="409">
    <w:nsid w:val="6E3DEE90"/>
    <w:multiLevelType w:val="hybridMultilevel"/>
    <w:lvl w:ilvl="0">
      <w:lvlJc w:val="left"/>
      <w:lvlText w:val="(%1)"/>
      <w:numFmt w:val="lowerRoman"/>
      <w:start w:val="6"/>
    </w:lvl>
  </w:abstractNum>
  <w:abstractNum w:abstractNumId="410">
    <w:nsid w:val="1A8762F4"/>
    <w:multiLevelType w:val="hybridMultilevel"/>
    <w:lvl w:ilvl="0">
      <w:lvlJc w:val="left"/>
      <w:lvlText w:val="(%1)"/>
      <w:numFmt w:val="upperLetter"/>
      <w:start w:val="2"/>
    </w:lvl>
  </w:abstractNum>
  <w:abstractNum w:abstractNumId="411">
    <w:nsid w:val="7F41D049"/>
    <w:multiLevelType w:val="hybridMultilevel"/>
    <w:lvl w:ilvl="0">
      <w:lvlJc w:val="left"/>
      <w:lvlText w:val="(%1)"/>
      <w:numFmt w:val="lowerRoman"/>
      <w:start w:val="2"/>
    </w:lvl>
  </w:abstractNum>
  <w:abstractNum w:abstractNumId="412">
    <w:nsid w:val="449F66FE"/>
    <w:multiLevelType w:val="hybridMultilevel"/>
    <w:lvl w:ilvl="0">
      <w:lvlJc w:val="left"/>
      <w:lvlText w:val="(%1)"/>
      <w:numFmt w:val="lowerLetter"/>
      <w:start w:val="1"/>
    </w:lvl>
  </w:abstractNum>
  <w:abstractNum w:abstractNumId="413">
    <w:nsid w:val="557E0515"/>
    <w:multiLevelType w:val="hybridMultilevel"/>
    <w:lvl w:ilvl="0">
      <w:lvlJc w:val="left"/>
      <w:lvlText w:val="(%1)"/>
      <w:numFmt w:val="lowerLetter"/>
      <w:start w:val="2"/>
    </w:lvl>
    <w:lvl w:ilvl="1">
      <w:lvlJc w:val="left"/>
      <w:lvlText w:val="(%2)"/>
      <w:numFmt w:val="lowerLetter"/>
      <w:start w:val="3"/>
    </w:lvl>
  </w:abstractNum>
  <w:abstractNum w:abstractNumId="414">
    <w:nsid w:val="3BA0794B"/>
    <w:multiLevelType w:val="hybridMultilevel"/>
    <w:lvl w:ilvl="0">
      <w:lvlJc w:val="left"/>
      <w:lvlText w:val="(%1)"/>
      <w:numFmt w:val="lowerLetter"/>
      <w:start w:val="5"/>
    </w:lvl>
  </w:abstractNum>
  <w:abstractNum w:abstractNumId="415">
    <w:nsid w:val="6A0DCE48"/>
    <w:multiLevelType w:val="hybridMultilevel"/>
    <w:lvl w:ilvl="0">
      <w:lvlJc w:val="left"/>
      <w:lvlText w:val="(%1)"/>
      <w:numFmt w:val="lowerLetter"/>
      <w:start w:val="1"/>
    </w:lvl>
  </w:abstractNum>
  <w:abstractNum w:abstractNumId="416">
    <w:nsid w:val="7237AA96"/>
    <w:multiLevelType w:val="hybridMultilevel"/>
    <w:lvl w:ilvl="0">
      <w:lvlJc w:val="left"/>
      <w:lvlText w:val="(%1)"/>
      <w:numFmt w:val="lowerLetter"/>
      <w:start w:val="1"/>
    </w:lvl>
  </w:abstractNum>
  <w:abstractNum w:abstractNumId="417">
    <w:nsid w:val="5B1FBC2D"/>
    <w:multiLevelType w:val="hybridMultilevel"/>
    <w:lvl w:ilvl="0">
      <w:lvlJc w:val="left"/>
      <w:lvlText w:val="(%1)"/>
      <w:numFmt w:val="lowerLetter"/>
      <w:start w:val="3"/>
    </w:lvl>
  </w:abstractNum>
  <w:abstractNum w:abstractNumId="418">
    <w:nsid w:val="33DFCCE8"/>
    <w:multiLevelType w:val="hybridMultilevel"/>
    <w:lvl w:ilvl="0">
      <w:lvlJc w:val="left"/>
      <w:lvlText w:val="(%1)"/>
      <w:numFmt w:val="lowerLetter"/>
      <w:start w:val="5"/>
    </w:lvl>
  </w:abstractNum>
  <w:abstractNum w:abstractNumId="419">
    <w:nsid w:val="18C45E15"/>
    <w:multiLevelType w:val="hybridMultilevel"/>
    <w:lvl w:ilvl="0">
      <w:lvlJc w:val="left"/>
      <w:lvlText w:val="(%1)"/>
      <w:numFmt w:val="lowerLetter"/>
      <w:start w:val="7"/>
    </w:lvl>
  </w:abstractNum>
  <w:abstractNum w:abstractNumId="420">
    <w:nsid w:val="6B431F25"/>
    <w:multiLevelType w:val="hybridMultilevel"/>
    <w:lvl w:ilvl="0">
      <w:lvlJc w:val="left"/>
      <w:lvlText w:val="(%1)"/>
      <w:numFmt w:val="lowerLetter"/>
      <w:start w:val="1"/>
    </w:lvl>
  </w:abstractNum>
  <w:abstractNum w:abstractNumId="421">
    <w:nsid w:val="13CD8DCB"/>
    <w:multiLevelType w:val="hybridMultilevel"/>
    <w:lvl w:ilvl="0">
      <w:lvlJc w:val="left"/>
      <w:lvlText w:val="(%1)"/>
      <w:numFmt w:val="lowerRoman"/>
      <w:start w:val="1"/>
    </w:lvl>
  </w:abstractNum>
  <w:abstractNum w:abstractNumId="422">
    <w:nsid w:val="563A1A5C"/>
    <w:multiLevelType w:val="hybridMultilevel"/>
    <w:lvl w:ilvl="0">
      <w:lvlJc w:val="left"/>
      <w:lvlText w:val="(%1)"/>
      <w:numFmt w:val="lowerRoman"/>
      <w:start w:val="7"/>
    </w:lvl>
  </w:abstractNum>
  <w:abstractNum w:abstractNumId="423">
    <w:nsid w:val="2973F88F"/>
    <w:multiLevelType w:val="hybridMultilevel"/>
    <w:lvl w:ilvl="0">
      <w:lvlJc w:val="left"/>
      <w:lvlText w:val="%1"/>
      <w:numFmt w:val="lowerLetter"/>
      <w:start w:val="1"/>
    </w:lvl>
    <w:lvl w:ilvl="1">
      <w:lvlJc w:val="left"/>
      <w:lvlText w:val="(%2)"/>
      <w:numFmt w:val="lowerLetter"/>
      <w:start w:val="3"/>
    </w:lvl>
  </w:abstractNum>
  <w:abstractNum w:abstractNumId="424">
    <w:nsid w:val="2C70EDAE"/>
    <w:multiLevelType w:val="hybridMultilevel"/>
    <w:lvl w:ilvl="0">
      <w:lvlJc w:val="left"/>
      <w:lvlText w:val="(%1)"/>
      <w:numFmt w:val="lowerLetter"/>
      <w:start w:val="4"/>
    </w:lvl>
    <w:lvl w:ilvl="1">
      <w:lvlJc w:val="left"/>
      <w:lvlText w:val="%2"/>
      <w:numFmt w:val="lowerLetter"/>
      <w:start w:val="1"/>
    </w:lvl>
  </w:abstractNum>
  <w:abstractNum w:abstractNumId="425">
    <w:nsid w:val="44296C6D"/>
    <w:multiLevelType w:val="hybridMultilevel"/>
    <w:lvl w:ilvl="0">
      <w:lvlJc w:val="left"/>
      <w:lvlText w:val="(%1)"/>
      <w:numFmt w:val="lowerLetter"/>
      <w:start w:val="5"/>
    </w:lvl>
  </w:abstractNum>
  <w:abstractNum w:abstractNumId="426">
    <w:nsid w:val="3A86D445"/>
    <w:multiLevelType w:val="hybridMultilevel"/>
    <w:lvl w:ilvl="0">
      <w:lvlJc w:val="left"/>
      <w:lvlText w:val="(%1)"/>
      <w:numFmt w:val="upperLetter"/>
      <w:start w:val="1"/>
    </w:lvl>
    <w:lvl w:ilvl="1">
      <w:lvlJc w:val="left"/>
      <w:lvlText w:val="(%2)"/>
      <w:numFmt w:val="lowerLetter"/>
      <w:start w:val="4"/>
    </w:lvl>
  </w:abstractNum>
  <w:abstractNum w:abstractNumId="427">
    <w:nsid w:val="51F79246"/>
    <w:multiLevelType w:val="hybridMultilevel"/>
    <w:lvl w:ilvl="0">
      <w:lvlJc w:val="left"/>
      <w:lvlText w:val="(%1)"/>
      <w:numFmt w:val="lowerLetter"/>
      <w:start w:val="5"/>
    </w:lvl>
  </w:abstractNum>
  <w:abstractNum w:abstractNumId="428">
    <w:nsid w:val="5BC9A827"/>
    <w:multiLevelType w:val="hybridMultilevel"/>
    <w:lvl w:ilvl="0">
      <w:lvlJc w:val="left"/>
      <w:lvlText w:val="(%1)"/>
      <w:numFmt w:val="lowerRoman"/>
      <w:start w:val="2"/>
    </w:lvl>
  </w:abstractNum>
  <w:abstractNum w:abstractNumId="429">
    <w:nsid w:val="3AE37D86"/>
    <w:multiLevelType w:val="hybridMultilevel"/>
    <w:lvl w:ilvl="0">
      <w:lvlJc w:val="left"/>
      <w:lvlText w:val="(%1)"/>
      <w:numFmt w:val="lowerLetter"/>
      <w:start w:val="8"/>
    </w:lvl>
  </w:abstractNum>
  <w:abstractNum w:abstractNumId="430">
    <w:nsid w:val="45440FE5"/>
    <w:multiLevelType w:val="hybridMultilevel"/>
    <w:lvl w:ilvl="0">
      <w:lvlJc w:val="left"/>
      <w:lvlText w:val="(%1)"/>
      <w:numFmt w:val="lowerLetter"/>
      <w:start w:val="1"/>
    </w:lvl>
  </w:abstractNum>
  <w:abstractNum w:abstractNumId="431">
    <w:nsid w:val="BF783F"/>
    <w:multiLevelType w:val="hybridMultilevel"/>
    <w:lvl w:ilvl="0">
      <w:lvlJc w:val="left"/>
      <w:lvlText w:val="(%1)"/>
      <w:numFmt w:val="lowerLetter"/>
      <w:start w:val="2"/>
    </w:lvl>
  </w:abstractNum>
  <w:abstractNum w:abstractNumId="432">
    <w:nsid w:val="22643EA9"/>
    <w:multiLevelType w:val="hybridMultilevel"/>
    <w:lvl w:ilvl="0">
      <w:lvlJc w:val="left"/>
      <w:lvlText w:val="(%1)"/>
      <w:numFmt w:val="lowerRoman"/>
      <w:start w:val="2"/>
    </w:lvl>
  </w:abstractNum>
  <w:abstractNum w:abstractNumId="433">
    <w:nsid w:val="1887578D"/>
    <w:multiLevelType w:val="hybridMultilevel"/>
    <w:lvl w:ilvl="0">
      <w:lvlJc w:val="left"/>
      <w:lvlText w:val="(%1)"/>
      <w:numFmt w:val="lowerLetter"/>
      <w:start w:val="7"/>
    </w:lvl>
  </w:abstractNum>
  <w:abstractNum w:abstractNumId="434">
    <w:nsid w:val="58C05B8A"/>
    <w:multiLevelType w:val="hybridMultilevel"/>
    <w:lvl w:ilvl="0">
      <w:lvlJc w:val="left"/>
      <w:lvlText w:val="(%1)"/>
      <w:numFmt w:val="lowerRoman"/>
      <w:start w:val="1"/>
    </w:lvl>
  </w:abstractNum>
  <w:abstractNum w:abstractNumId="435">
    <w:nsid w:val="38D82E71"/>
    <w:multiLevelType w:val="hybridMultilevel"/>
    <w:lvl w:ilvl="0">
      <w:lvlJc w:val="left"/>
      <w:lvlText w:val="(%1)"/>
      <w:numFmt w:val="lowerLetter"/>
      <w:start w:val="1"/>
    </w:lvl>
  </w:abstractNum>
  <w:abstractNum w:abstractNumId="436">
    <w:nsid w:val="1E41098A"/>
    <w:multiLevelType w:val="hybridMultilevel"/>
    <w:lvl w:ilvl="0">
      <w:lvlJc w:val="left"/>
      <w:lvlText w:val="(%1)"/>
      <w:numFmt w:val="lowerRoman"/>
      <w:start w:val="6"/>
    </w:lvl>
  </w:abstractNum>
  <w:abstractNum w:abstractNumId="437">
    <w:nsid w:val="5398582C"/>
    <w:multiLevelType w:val="hybridMultilevel"/>
    <w:lvl w:ilvl="0">
      <w:lvlJc w:val="left"/>
      <w:lvlText w:val="(%1)"/>
      <w:numFmt w:val="lowerLetter"/>
      <w:start w:val="2"/>
    </w:lvl>
  </w:abstractNum>
  <w:abstractNum w:abstractNumId="438">
    <w:nsid w:val="1C0D4475"/>
    <w:multiLevelType w:val="hybridMultilevel"/>
    <w:lvl w:ilvl="0">
      <w:lvlJc w:val="left"/>
      <w:lvlText w:val="(%1)"/>
      <w:numFmt w:val="upperLetter"/>
      <w:start w:val="2"/>
    </w:lvl>
    <w:lvl w:ilvl="1">
      <w:lvlJc w:val="left"/>
      <w:lvlText w:val="(%2)"/>
      <w:numFmt w:val="lowerRoman"/>
      <w:start w:val="2"/>
    </w:lvl>
  </w:abstractNum>
  <w:abstractNum w:abstractNumId="439">
    <w:nsid w:val="2CB6A6A4"/>
    <w:multiLevelType w:val="hybridMultilevel"/>
    <w:lvl w:ilvl="0">
      <w:lvlJc w:val="left"/>
      <w:lvlText w:val="(%1)"/>
      <w:numFmt w:val="lowerLetter"/>
      <w:start w:val="3"/>
    </w:lvl>
    <w:lvl w:ilvl="1">
      <w:lvlJc w:val="left"/>
      <w:lvlText w:val="(%2)"/>
      <w:numFmt w:val="lowerLetter"/>
      <w:start w:val="9"/>
    </w:lvl>
  </w:abstractNum>
  <w:abstractNum w:abstractNumId="440">
    <w:nsid w:val="41D646BC"/>
    <w:multiLevelType w:val="hybridMultilevel"/>
    <w:lvl w:ilvl="0">
      <w:lvlJc w:val="left"/>
      <w:lvlText w:val="(%1)"/>
      <w:numFmt w:val="lowerLetter"/>
      <w:start w:val="4"/>
    </w:lvl>
  </w:abstractNum>
  <w:abstractNum w:abstractNumId="441">
    <w:nsid w:val="3694A76A"/>
    <w:multiLevelType w:val="hybridMultilevel"/>
    <w:lvl w:ilvl="0">
      <w:lvlJc w:val="left"/>
      <w:lvlText w:val="(%1)"/>
      <w:numFmt w:val="lowerLetter"/>
      <w:start w:val="6"/>
    </w:lvl>
  </w:abstractNum>
  <w:abstractNum w:abstractNumId="442">
    <w:nsid w:val="2BF876EE"/>
    <w:multiLevelType w:val="hybridMultilevel"/>
    <w:lvl w:ilvl="0">
      <w:lvlJc w:val="left"/>
      <w:lvlText w:val="(%1)"/>
      <w:numFmt w:val="lowerRoman"/>
      <w:start w:val="1"/>
    </w:lvl>
  </w:abstractNum>
  <w:abstractNum w:abstractNumId="443">
    <w:nsid w:val="675ADBA"/>
    <w:multiLevelType w:val="hybridMultilevel"/>
    <w:lvl w:ilvl="0">
      <w:lvlJc w:val="left"/>
      <w:lvlText w:val="(%1)"/>
      <w:numFmt w:val="lowerRoman"/>
      <w:start w:val="2"/>
    </w:lvl>
  </w:abstractNum>
  <w:abstractNum w:abstractNumId="444">
    <w:nsid w:val="C12AC7F"/>
    <w:multiLevelType w:val="hybridMultilevel"/>
    <w:lvl w:ilvl="0">
      <w:lvlJc w:val="left"/>
      <w:lvlText w:val="(%1)"/>
      <w:numFmt w:val="lowerRoman"/>
      <w:start w:val="1"/>
    </w:lvl>
  </w:abstractNum>
  <w:abstractNum w:abstractNumId="445">
    <w:nsid w:val="6798F039"/>
    <w:multiLevelType w:val="hybridMultilevel"/>
    <w:lvl w:ilvl="0">
      <w:lvlJc w:val="left"/>
      <w:lvlText w:val="(%1)"/>
      <w:numFmt w:val="lowerLetter"/>
      <w:start w:val="10"/>
    </w:lvl>
  </w:abstractNum>
  <w:abstractNum w:abstractNumId="446">
    <w:nsid w:val="70837C02"/>
    <w:multiLevelType w:val="hybridMultilevel"/>
    <w:lvl w:ilvl="0">
      <w:lvlJc w:val="left"/>
      <w:lvlText w:val="(%1)"/>
      <w:numFmt w:val="lowerLetter"/>
      <w:start w:val="11"/>
    </w:lvl>
  </w:abstractNum>
  <w:abstractNum w:abstractNumId="447">
    <w:nsid w:val="7E4A5715"/>
    <w:multiLevelType w:val="hybridMultilevel"/>
    <w:lvl w:ilvl="0">
      <w:lvlJc w:val="left"/>
      <w:lvlText w:val="(%1)"/>
      <w:numFmt w:val="lowerLetter"/>
      <w:start w:val="13"/>
    </w:lvl>
  </w:abstractNum>
  <w:abstractNum w:abstractNumId="448">
    <w:nsid w:val="42B8AC67"/>
    <w:multiLevelType w:val="hybridMultilevel"/>
    <w:lvl w:ilvl="0">
      <w:lvlJc w:val="left"/>
      <w:lvlText w:val="(%1)"/>
      <w:numFmt w:val="lowerLetter"/>
      <w:start w:val="1"/>
    </w:lvl>
  </w:abstractNum>
  <w:abstractNum w:abstractNumId="449">
    <w:nsid w:val="246348EA"/>
    <w:multiLevelType w:val="hybridMultilevel"/>
    <w:lvl w:ilvl="0">
      <w:lvlJc w:val="left"/>
      <w:lvlText w:val="(%1)"/>
      <w:numFmt w:val="lowerLetter"/>
      <w:start w:val="2"/>
    </w:lvl>
  </w:abstractNum>
  <w:abstractNum w:abstractNumId="450">
    <w:nsid w:val="170EB52B"/>
    <w:multiLevelType w:val="hybridMultilevel"/>
    <w:lvl w:ilvl="0">
      <w:lvlJc w:val="left"/>
      <w:lvlText w:val="(%1)"/>
      <w:numFmt w:val="lowerLetter"/>
      <w:start w:val="6"/>
    </w:lvl>
  </w:abstractNum>
  <w:abstractNum w:abstractNumId="451">
    <w:nsid w:val="2DFBCB8C"/>
    <w:multiLevelType w:val="hybridMultilevel"/>
    <w:lvl w:ilvl="0">
      <w:lvlJc w:val="left"/>
      <w:lvlText w:val="(%1)"/>
      <w:numFmt w:val="lowerLetter"/>
      <w:start w:val="1"/>
    </w:lvl>
  </w:abstractNum>
  <w:abstractNum w:abstractNumId="452">
    <w:nsid w:val="3830D6B6"/>
    <w:multiLevelType w:val="hybridMultilevel"/>
    <w:lvl w:ilvl="0">
      <w:lvlJc w:val="left"/>
      <w:lvlText w:val="(%1)"/>
      <w:numFmt w:val="lowerLetter"/>
      <w:start w:val="1"/>
    </w:lvl>
  </w:abstractNum>
  <w:abstractNum w:abstractNumId="453">
    <w:nsid w:val="6D48CF87"/>
    <w:multiLevelType w:val="hybridMultilevel"/>
    <w:lvl w:ilvl="0">
      <w:lvlJc w:val="left"/>
      <w:lvlText w:val="(%1)"/>
      <w:numFmt w:val="lowerRoman"/>
      <w:start w:val="1"/>
    </w:lvl>
  </w:abstractNum>
  <w:abstractNum w:abstractNumId="454">
    <w:nsid w:val="576FC41B"/>
    <w:multiLevelType w:val="hybridMultilevel"/>
    <w:lvl w:ilvl="0">
      <w:lvlJc w:val="left"/>
      <w:lvlText w:val="(%1)"/>
      <w:numFmt w:val="lowerLetter"/>
      <w:start w:val="3"/>
    </w:lvl>
    <w:lvl w:ilvl="1">
      <w:lvlJc w:val="left"/>
      <w:lvlText w:val="(%2)"/>
      <w:numFmt w:val="lowerRoman"/>
      <w:start w:val="1"/>
    </w:lvl>
  </w:abstractNum>
  <w:abstractNum w:abstractNumId="455">
    <w:nsid w:val="64A1C464"/>
    <w:multiLevelType w:val="hybridMultilevel"/>
    <w:lvl w:ilvl="0">
      <w:lvlJc w:val="left"/>
      <w:lvlText w:val="%1"/>
      <w:numFmt w:val="lowerLetter"/>
      <w:start w:val="1"/>
    </w:lvl>
    <w:lvl w:ilvl="1">
      <w:lvlJc w:val="left"/>
      <w:lvlText w:val="(%2)"/>
      <w:numFmt w:val="lowerRoman"/>
      <w:start w:val="5"/>
    </w:lvl>
  </w:abstractNum>
  <w:abstractNum w:abstractNumId="456">
    <w:nsid w:val="31723BF5"/>
    <w:multiLevelType w:val="hybridMultilevel"/>
    <w:lvl w:ilvl="0">
      <w:lvlJc w:val="left"/>
      <w:lvlText w:val="(%1)"/>
      <w:numFmt w:val="lowerLetter"/>
      <w:start w:val="4"/>
    </w:lvl>
    <w:lvl w:ilvl="1">
      <w:lvlJc w:val="left"/>
      <w:lvlText w:val="%2"/>
      <w:numFmt w:val="lowerRoman"/>
      <w:start w:val="1"/>
    </w:lvl>
  </w:abstractNum>
  <w:abstractNum w:abstractNumId="457">
    <w:nsid w:val="11F69861"/>
    <w:multiLevelType w:val="hybridMultilevel"/>
    <w:lvl w:ilvl="0">
      <w:lvlJc w:val="left"/>
      <w:lvlText w:val="(%1)"/>
      <w:numFmt w:val="lowerRoman"/>
      <w:start w:val="2"/>
    </w:lvl>
  </w:abstractNum>
  <w:abstractNum w:abstractNumId="458">
    <w:nsid w:val="369956AB"/>
    <w:multiLevelType w:val="hybridMultilevel"/>
    <w:lvl w:ilvl="0">
      <w:lvlJc w:val="left"/>
      <w:lvlText w:val="(%1)"/>
      <w:numFmt w:val="lowerLetter"/>
      <w:start w:val="5"/>
    </w:lvl>
  </w:abstractNum>
  <w:abstractNum w:abstractNumId="459">
    <w:nsid w:val="D3BE41C"/>
    <w:multiLevelType w:val="hybridMultilevel"/>
    <w:lvl w:ilvl="0">
      <w:lvlJc w:val="left"/>
      <w:lvlText w:val="(%1)"/>
      <w:numFmt w:val="upperLetter"/>
      <w:start w:val="2"/>
    </w:lvl>
    <w:lvl w:ilvl="1">
      <w:lvlJc w:val="left"/>
      <w:lvlText w:val="(%2)"/>
      <w:numFmt w:val="lowerLetter"/>
      <w:start w:val="2"/>
    </w:lvl>
  </w:abstractNum>
  <w:abstractNum w:abstractNumId="460">
    <w:nsid w:val="4CDA15E7"/>
    <w:multiLevelType w:val="hybridMultilevel"/>
    <w:lvl w:ilvl="0">
      <w:lvlJc w:val="left"/>
      <w:lvlText w:val="%1"/>
      <w:numFmt w:val="lowerLetter"/>
      <w:start w:val="1"/>
    </w:lvl>
    <w:lvl w:ilvl="1">
      <w:lvlJc w:val="left"/>
      <w:lvlText w:val="(%2)"/>
      <w:numFmt w:val="lowerLetter"/>
      <w:start w:val="3"/>
    </w:lvl>
  </w:abstractNum>
  <w:abstractNum w:abstractNumId="461">
    <w:nsid w:val="7BDD6690"/>
    <w:multiLevelType w:val="hybridMultilevel"/>
    <w:lvl w:ilvl="0">
      <w:lvlJc w:val="left"/>
      <w:lvlText w:val="(%1)"/>
      <w:numFmt w:val="lowerLetter"/>
      <w:start w:val="9"/>
    </w:lvl>
    <w:lvl w:ilvl="1">
      <w:lvlJc w:val="left"/>
      <w:lvlText w:val="(%2)"/>
      <w:numFmt w:val="lowerLetter"/>
      <w:start w:val="5"/>
    </w:lvl>
  </w:abstractNum>
  <w:abstractNum w:abstractNumId="462">
    <w:nsid w:val="DFB5C5B"/>
    <w:multiLevelType w:val="hybridMultilevel"/>
    <w:lvl w:ilvl="0">
      <w:lvlJc w:val="left"/>
      <w:lvlText w:val="(%1)"/>
      <w:numFmt w:val="lowerLetter"/>
      <w:start w:val="1"/>
    </w:lvl>
  </w:abstractNum>
  <w:abstractNum w:abstractNumId="463">
    <w:nsid w:val="6F3E5490"/>
    <w:multiLevelType w:val="hybridMultilevel"/>
    <w:lvl w:ilvl="0">
      <w:lvlJc w:val="left"/>
      <w:lvlText w:val="%1"/>
      <w:numFmt w:val="lowerRoman"/>
      <w:start w:val="1"/>
    </w:lvl>
    <w:lvl w:ilvl="1">
      <w:lvlJc w:val="left"/>
      <w:lvlText w:val="(%2)"/>
      <w:numFmt w:val="lowerLetter"/>
      <w:start w:val="2"/>
    </w:lvl>
  </w:abstractNum>
  <w:abstractNum w:abstractNumId="464">
    <w:nsid w:val="1464BE1E"/>
    <w:multiLevelType w:val="hybridMultilevel"/>
    <w:lvl w:ilvl="0">
      <w:lvlJc w:val="left"/>
      <w:lvlText w:val="(%1)"/>
      <w:numFmt w:val="lowerRoman"/>
      <w:start w:val="6"/>
    </w:lvl>
    <w:lvl w:ilvl="1">
      <w:lvlJc w:val="left"/>
      <w:lvlText w:val="(%2)"/>
      <w:numFmt w:val="lowerLetter"/>
      <w:start w:val="4"/>
    </w:lvl>
  </w:abstractNum>
  <w:abstractNum w:abstractNumId="465">
    <w:nsid w:val="66BBB7E5"/>
    <w:multiLevelType w:val="hybridMultilevel"/>
    <w:lvl w:ilvl="0">
      <w:lvlJc w:val="left"/>
      <w:lvlText w:val="(%1)"/>
      <w:numFmt w:val="lowerRoman"/>
      <w:start w:val="2"/>
    </w:lvl>
    <w:lvl w:ilvl="1">
      <w:lvlJc w:val="left"/>
      <w:lvlText w:val="%2"/>
      <w:numFmt w:val="lowerLetter"/>
      <w:start w:val="1"/>
    </w:lvl>
  </w:abstractNum>
  <w:abstractNum w:abstractNumId="466">
    <w:nsid w:val="28168302"/>
    <w:multiLevelType w:val="hybridMultilevel"/>
    <w:lvl w:ilvl="0">
      <w:lvlJc w:val="left"/>
      <w:lvlText w:val="(%1)"/>
      <w:numFmt w:val="lowerLetter"/>
      <w:start w:val="61"/>
    </w:lvl>
    <w:lvl w:ilvl="1">
      <w:lvlJc w:val="left"/>
      <w:lvlText w:val="(%2)"/>
      <w:numFmt w:val="lowerLetter"/>
      <w:start w:val="7"/>
    </w:lvl>
  </w:abstractNum>
  <w:abstractNum w:abstractNumId="467">
    <w:nsid w:val="32A5C7A8"/>
    <w:multiLevelType w:val="hybridMultilevel"/>
    <w:lvl w:ilvl="0">
      <w:lvlJc w:val="left"/>
      <w:lvlText w:val="(%1)"/>
      <w:numFmt w:val="lowerLetter"/>
      <w:start w:val="8"/>
    </w:lvl>
  </w:abstractNum>
  <w:abstractNum w:abstractNumId="468">
    <w:nsid w:val="3A541011"/>
    <w:multiLevelType w:val="hybridMultilevel"/>
    <w:lvl w:ilvl="0">
      <w:lvlJc w:val="left"/>
      <w:lvlText w:val="(%1)"/>
      <w:numFmt w:val="lowerRoman"/>
      <w:start w:val="6"/>
    </w:lvl>
  </w:abstractNum>
  <w:abstractNum w:abstractNumId="469">
    <w:nsid w:val="4423C777"/>
    <w:multiLevelType w:val="hybridMultilevel"/>
    <w:lvl w:ilvl="0">
      <w:lvlJc w:val="left"/>
      <w:lvlText w:val="(%1)"/>
      <w:numFmt w:val="lowerLetter"/>
      <w:start w:val="2"/>
    </w:lvl>
    <w:lvl w:ilvl="1">
      <w:lvlJc w:val="left"/>
      <w:lvlText w:val="(%2)"/>
      <w:numFmt w:val="lowerLetter"/>
      <w:start w:val="9"/>
    </w:lvl>
  </w:abstractNum>
  <w:abstractNum w:abstractNumId="470">
    <w:nsid w:val="5F5C6E4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upperLetter"/>
      <w:start w:val="3"/>
    </w:lvl>
  </w:abstractNum>
  <w:abstractNum w:abstractNumId="471">
    <w:nsid w:val="7C2A56C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lvl w:ilvl="3">
      <w:lvlJc w:val="left"/>
      <w:lvlText w:val="%4"/>
      <w:numFmt w:val="upperLetter"/>
      <w:start w:val="1"/>
    </w:lvl>
  </w:abstractNum>
  <w:abstractNum w:abstractNumId="472">
    <w:nsid w:val="7AB86EE1"/>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lvl w:ilvl="3">
      <w:lvlJc w:val="left"/>
      <w:lvlText w:val="%4"/>
      <w:numFmt w:val="upperLetter"/>
      <w:start w:val="1"/>
    </w:lvl>
  </w:abstractNum>
  <w:abstractNum w:abstractNumId="473">
    <w:nsid w:val="B54E53B"/>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lvl w:ilvl="3">
      <w:lvlJc w:val="left"/>
      <w:lvlText w:val="%4"/>
      <w:numFmt w:val="upperLetter"/>
      <w:start w:val="1"/>
    </w:lvl>
  </w:abstractNum>
  <w:abstractNum w:abstractNumId="474">
    <w:nsid w:val="2A00487"/>
    <w:multiLevelType w:val="hybridMultilevel"/>
    <w:lvl w:ilvl="0">
      <w:lvlJc w:val="left"/>
      <w:lvlText w:val="(%1)"/>
      <w:numFmt w:val="lowerRoman"/>
      <w:start w:val="3"/>
    </w:lvl>
  </w:abstractNum>
  <w:abstractNum w:abstractNumId="475">
    <w:nsid w:val="6CB1B60"/>
    <w:multiLevelType w:val="hybridMultilevel"/>
    <w:lvl w:ilvl="0">
      <w:lvlJc w:val="left"/>
      <w:lvlText w:val="(%1)"/>
      <w:numFmt w:val="lowerRoman"/>
      <w:start w:val="4"/>
    </w:lvl>
  </w:abstractNum>
  <w:abstractNum w:abstractNumId="476">
    <w:nsid w:val="72EDD574"/>
    <w:multiLevelType w:val="hybridMultilevel"/>
    <w:lvl w:ilvl="0">
      <w:lvlJc w:val="left"/>
      <w:lvlText w:val="%1"/>
      <w:numFmt w:val="lowerLetter"/>
      <w:start w:val="1"/>
    </w:lvl>
    <w:lvl w:ilvl="1">
      <w:lvlJc w:val="left"/>
      <w:lvlText w:val="(%2)"/>
      <w:numFmt w:val="lowerRoman"/>
      <w:start w:val="6"/>
    </w:lvl>
  </w:abstractNum>
  <w:abstractNum w:abstractNumId="477">
    <w:nsid w:val="7323808A"/>
    <w:multiLevelType w:val="hybridMultilevel"/>
    <w:lvl w:ilvl="0">
      <w:lvlJc w:val="left"/>
      <w:lvlText w:val="(%1)"/>
      <w:numFmt w:val="lowerLetter"/>
      <w:start w:val="4"/>
    </w:lvl>
    <w:lvl w:ilvl="1">
      <w:lvlJc w:val="left"/>
      <w:lvlText w:val="%2"/>
      <w:numFmt w:val="lowerRoman"/>
      <w:start w:val="1"/>
    </w:lvl>
  </w:abstractNum>
  <w:abstractNum w:abstractNumId="478">
    <w:nsid w:val="5157276"/>
    <w:multiLevelType w:val="hybridMultilevel"/>
    <w:lvl w:ilvl="0">
      <w:lvlJc w:val="left"/>
      <w:lvlText w:val="(%1)"/>
      <w:numFmt w:val="lowerRoman"/>
      <w:start w:val="1"/>
    </w:lvl>
    <w:lvl w:ilvl="1">
      <w:lvlJc w:val="left"/>
      <w:lvlText w:val="(%2)"/>
      <w:numFmt w:val="lowerRoman"/>
      <w:start w:val="1"/>
    </w:lvl>
  </w:abstractNum>
  <w:abstractNum w:abstractNumId="479">
    <w:nsid w:val="35A681DB"/>
    <w:multiLevelType w:val="hybridMultilevel"/>
    <w:lvl w:ilvl="0">
      <w:lvlJc w:val="left"/>
      <w:lvlText w:val="%1"/>
      <w:numFmt w:val="lowerRoman"/>
      <w:start w:val="1"/>
    </w:lvl>
    <w:lvl w:ilvl="1">
      <w:lvlJc w:val="left"/>
      <w:lvlText w:val="(%2)"/>
      <w:numFmt w:val="lowerRoman"/>
      <w:start w:val="2"/>
    </w:lvl>
  </w:abstractNum>
  <w:abstractNum w:abstractNumId="480">
    <w:nsid w:val="1786C974"/>
    <w:multiLevelType w:val="hybridMultilevel"/>
    <w:lvl w:ilvl="0">
      <w:lvlJc w:val="left"/>
      <w:lvlText w:val="(%1)"/>
      <w:numFmt w:val="lowerRoman"/>
      <w:start w:val="2"/>
    </w:lvl>
    <w:lvl w:ilvl="1">
      <w:lvlJc w:val="left"/>
      <w:lvlText w:val="%2"/>
      <w:numFmt w:val="lowerRoman"/>
      <w:start w:val="1"/>
    </w:lvl>
  </w:abstractNum>
  <w:abstractNum w:abstractNumId="481">
    <w:nsid w:val="1C2427A1"/>
    <w:multiLevelType w:val="hybridMultilevel"/>
    <w:lvl w:ilvl="0">
      <w:lvlJc w:val="left"/>
      <w:lvlText w:val="(%1)"/>
      <w:numFmt w:val="lowerLetter"/>
      <w:start w:val="10"/>
    </w:lvl>
  </w:abstractNum>
  <w:abstractNum w:abstractNumId="482">
    <w:nsid w:val="63A24D68"/>
    <w:multiLevelType w:val="hybridMultilevel"/>
    <w:lvl w:ilvl="0">
      <w:lvlJc w:val="left"/>
      <w:lvlText w:val="(%1)"/>
      <w:numFmt w:val="lowerLetter"/>
      <w:start w:val="11"/>
    </w:lvl>
  </w:abstractNum>
  <w:abstractNum w:abstractNumId="483">
    <w:nsid w:val="4FB7A02A"/>
    <w:multiLevelType w:val="hybridMultilevel"/>
    <w:lvl w:ilvl="0">
      <w:lvlJc w:val="left"/>
      <w:lvlText w:val="(%1)"/>
      <w:numFmt w:val="lowerLetter"/>
      <w:start w:val="13"/>
    </w:lvl>
  </w:abstractNum>
  <w:abstractNum w:abstractNumId="484">
    <w:nsid w:val="96CF728"/>
    <w:multiLevelType w:val="hybridMultilevel"/>
    <w:lvl w:ilvl="0">
      <w:lvlJc w:val="left"/>
      <w:lvlText w:val="(%1)"/>
      <w:numFmt w:val="lowerLetter"/>
      <w:start w:val="1"/>
    </w:lvl>
  </w:abstractNum>
  <w:abstractNum w:abstractNumId="485">
    <w:nsid w:val="3B121183"/>
    <w:multiLevelType w:val="hybridMultilevel"/>
    <w:lvl w:ilvl="0">
      <w:lvlJc w:val="left"/>
      <w:lvlText w:val="%1"/>
      <w:numFmt w:val="lowerLetter"/>
      <w:start w:val="1"/>
    </w:lvl>
    <w:lvl w:ilvl="1">
      <w:lvlJc w:val="left"/>
      <w:lvlText w:val="(%2)"/>
      <w:numFmt w:val="lowerLetter"/>
      <w:start w:val="2"/>
    </w:lvl>
  </w:abstractNum>
  <w:abstractNum w:abstractNumId="486">
    <w:nsid w:val="3459648F"/>
    <w:multiLevelType w:val="hybridMultilevel"/>
    <w:lvl w:ilvl="0">
      <w:lvlJc w:val="left"/>
      <w:lvlText w:val="(%1)"/>
      <w:numFmt w:val="lowerLetter"/>
      <w:start w:val="9"/>
    </w:lvl>
    <w:lvl w:ilvl="1">
      <w:lvlJc w:val="left"/>
      <w:lvlText w:val="%2"/>
      <w:numFmt w:val="lowerLetter"/>
      <w:start w:val="1"/>
    </w:lvl>
  </w:abstractNum>
  <w:abstractNum w:abstractNumId="487">
    <w:nsid w:val="3ADF331D"/>
    <w:multiLevelType w:val="hybridMultilevel"/>
    <w:lvl w:ilvl="0">
      <w:lvlJc w:val="left"/>
      <w:lvlText w:val="(%1)"/>
      <w:numFmt w:val="lowerLetter"/>
      <w:start w:val="5"/>
    </w:lvl>
  </w:abstractNum>
  <w:abstractNum w:abstractNumId="488">
    <w:nsid w:val="4D08A9E4"/>
    <w:multiLevelType w:val="hybridMultilevel"/>
    <w:lvl w:ilvl="0">
      <w:lvlJc w:val="left"/>
      <w:lvlText w:val="(%1)"/>
      <w:numFmt w:val="lowerLetter"/>
      <w:start w:val="1"/>
    </w:lvl>
  </w:abstractNum>
  <w:abstractNum w:abstractNumId="489">
    <w:nsid w:val="6AF2BB3A"/>
    <w:multiLevelType w:val="hybridMultilevel"/>
    <w:lvl w:ilvl="0">
      <w:lvlJc w:val="left"/>
      <w:lvlText w:val="(%1)"/>
      <w:numFmt w:val="lowerLetter"/>
      <w:start w:val="1"/>
    </w:lvl>
  </w:abstractNum>
  <w:abstractNum w:abstractNumId="490">
    <w:nsid w:val="481B1739"/>
    <w:multiLevelType w:val="hybridMultilevel"/>
    <w:lvl w:ilvl="0">
      <w:lvlJc w:val="left"/>
      <w:lvlText w:val="(%1)"/>
      <w:numFmt w:val="lowerLetter"/>
      <w:start w:val="3"/>
    </w:lvl>
  </w:abstractNum>
  <w:abstractNum w:abstractNumId="491">
    <w:nsid w:val="19E2BFCC"/>
    <w:multiLevelType w:val="hybridMultilevel"/>
    <w:lvl w:ilvl="0">
      <w:lvlJc w:val="left"/>
      <w:lvlText w:val="%1"/>
      <w:numFmt w:val="lowerLetter"/>
      <w:start w:val="1"/>
    </w:lvl>
    <w:lvl w:ilvl="1">
      <w:lvlJc w:val="left"/>
      <w:lvlText w:val="(%2)"/>
      <w:numFmt w:val="lowerLetter"/>
      <w:start w:val="5"/>
    </w:lvl>
  </w:abstractNum>
  <w:abstractNum w:abstractNumId="492">
    <w:nsid w:val="66D021CA"/>
    <w:multiLevelType w:val="hybridMultilevel"/>
    <w:lvl w:ilvl="0">
      <w:lvlJc w:val="left"/>
      <w:lvlText w:val="(%1)"/>
      <w:numFmt w:val="lowerLetter"/>
      <w:start w:val="9"/>
    </w:lvl>
    <w:lvl w:ilvl="1">
      <w:lvlJc w:val="left"/>
      <w:lvlText w:val="%2"/>
      <w:numFmt w:val="lowerLetter"/>
      <w:start w:val="1"/>
    </w:lvl>
  </w:abstractNum>
  <w:abstractNum w:abstractNumId="493">
    <w:nsid w:val="56167394"/>
    <w:multiLevelType w:val="hybridMultilevel"/>
    <w:lvl w:ilvl="0">
      <w:lvlJc w:val="left"/>
      <w:lvlText w:val="(%1)"/>
      <w:numFmt w:val="lowerLetter"/>
      <w:start w:val="7"/>
    </w:lvl>
  </w:abstractNum>
  <w:abstractNum w:abstractNumId="494">
    <w:nsid w:val="921145C"/>
    <w:multiLevelType w:val="hybridMultilevel"/>
    <w:lvl w:ilvl="0">
      <w:lvlJc w:val="left"/>
      <w:lvlText w:val="(%1)"/>
      <w:numFmt w:val="lowerLetter"/>
      <w:start w:val="1"/>
    </w:lvl>
  </w:abstractNum>
  <w:abstractNum w:abstractNumId="495">
    <w:nsid w:val="7B34DFE8"/>
    <w:multiLevelType w:val="hybridMultilevel"/>
    <w:lvl w:ilvl="0">
      <w:lvlJc w:val="left"/>
      <w:lvlText w:val="(%1)"/>
      <w:numFmt w:val="lowerRoman"/>
      <w:start w:val="1"/>
    </w:lvl>
  </w:abstractNum>
  <w:abstractNum w:abstractNumId="496">
    <w:nsid w:val="3CD22B79"/>
    <w:multiLevelType w:val="hybridMultilevel"/>
    <w:lvl w:ilvl="0">
      <w:lvlJc w:val="left"/>
      <w:lvlText w:val="(%1)"/>
      <w:numFmt w:val="lowerLetter"/>
      <w:start w:val="3"/>
    </w:lvl>
  </w:abstractNum>
  <w:abstractNum w:abstractNumId="497">
    <w:nsid w:val="3137975E"/>
    <w:multiLevelType w:val="hybridMultilevel"/>
    <w:lvl w:ilvl="0">
      <w:lvlJc w:val="left"/>
      <w:lvlText w:val="(%1)"/>
      <w:numFmt w:val="upperLetter"/>
      <w:start w:val="1"/>
    </w:lvl>
    <w:lvl w:ilvl="1">
      <w:lvlJc w:val="left"/>
      <w:lvlText w:val="(%2)"/>
      <w:numFmt w:val="lowerLetter"/>
      <w:start w:val="4"/>
    </w:lvl>
  </w:abstractNum>
  <w:abstractNum w:abstractNumId="498">
    <w:nsid w:val="2DDAA791"/>
    <w:multiLevelType w:val="hybridMultilevel"/>
    <w:lvl w:ilvl="0">
      <w:lvlJc w:val="left"/>
      <w:lvlText w:val="(%1)"/>
      <w:numFmt w:val="lowerLetter"/>
      <w:start w:val="8"/>
    </w:lvl>
  </w:abstractNum>
  <w:abstractNum w:abstractNumId="499">
    <w:nsid w:val="77263B8A"/>
    <w:multiLevelType w:val="hybridMultilevel"/>
    <w:lvl w:ilvl="0">
      <w:lvlJc w:val="left"/>
      <w:lvlText w:val="(%1)"/>
      <w:numFmt w:val="lowerLetter"/>
      <w:start w:val="1"/>
    </w:lvl>
  </w:abstractNum>
  <w:abstractNum w:abstractNumId="500">
    <w:nsid w:val="755B5ED6"/>
    <w:multiLevelType w:val="hybridMultilevel"/>
    <w:lvl w:ilvl="0">
      <w:lvlJc w:val="left"/>
      <w:lvlText w:val="%1"/>
      <w:numFmt w:val="lowerLetter"/>
      <w:start w:val="1"/>
    </w:lvl>
    <w:lvl w:ilvl="1">
      <w:lvlJc w:val="left"/>
      <w:lvlText w:val="(%2)"/>
      <w:numFmt w:val="lowerLetter"/>
      <w:start w:val="2"/>
    </w:lvl>
  </w:abstractNum>
  <w:abstractNum w:abstractNumId="501">
    <w:nsid w:val="D3715DE"/>
    <w:multiLevelType w:val="hybridMultilevel"/>
    <w:lvl w:ilvl="0">
      <w:lvlJc w:val="left"/>
      <w:lvlText w:val="(%1)"/>
      <w:numFmt w:val="lowerLetter"/>
      <w:start w:val="35"/>
    </w:lvl>
    <w:lvl w:ilvl="1">
      <w:lvlJc w:val="left"/>
      <w:lvlText w:val="%2"/>
      <w:numFmt w:val="lowerLetter"/>
      <w:start w:val="1"/>
    </w:lvl>
  </w:abstractNum>
  <w:abstractNum w:abstractNumId="502">
    <w:nsid w:val="73509257"/>
    <w:multiLevelType w:val="hybridMultilevel"/>
    <w:lvl w:ilvl="0">
      <w:lvlJc w:val="left"/>
      <w:lvlText w:val="(%1)"/>
      <w:numFmt w:val="lowerLetter"/>
      <w:start w:val="61"/>
    </w:lvl>
    <w:lvl w:ilvl="1">
      <w:lvlJc w:val="left"/>
      <w:lvlText w:val="(%2)"/>
      <w:numFmt w:val="lowerLetter"/>
      <w:start w:val="7"/>
    </w:lvl>
  </w:abstractNum>
  <w:abstractNum w:abstractNumId="503">
    <w:nsid w:val="7013CDB7"/>
    <w:multiLevelType w:val="hybridMultilevel"/>
    <w:lvl w:ilvl="0">
      <w:lvlJc w:val="left"/>
      <w:lvlText w:val="(%1)"/>
      <w:numFmt w:val="lowerRoman"/>
      <w:start w:val="1"/>
    </w:lvl>
  </w:abstractNum>
  <w:abstractNum w:abstractNumId="504">
    <w:nsid w:val="188BFB19"/>
    <w:multiLevelType w:val="hybridMultilevel"/>
    <w:lvl w:ilvl="0">
      <w:lvlJc w:val="left"/>
      <w:lvlText w:val="(%1)"/>
      <w:numFmt w:val="lowerLetter"/>
      <w:start w:val="1"/>
    </w:lvl>
  </w:abstractNum>
  <w:abstractNum w:abstractNumId="505">
    <w:nsid w:val="75F096DF"/>
    <w:multiLevelType w:val="hybridMultilevel"/>
    <w:lvl w:ilvl="0">
      <w:lvlJc w:val="left"/>
      <w:lvlText w:val="(%1)"/>
      <w:numFmt w:val="lowerRoman"/>
      <w:start w:val="6"/>
    </w:lvl>
  </w:abstractNum>
  <w:abstractNum w:abstractNumId="506">
    <w:nsid w:val="76DEE918"/>
    <w:multiLevelType w:val="hybridMultilevel"/>
    <w:lvl w:ilvl="0">
      <w:lvlJc w:val="left"/>
      <w:lvlText w:val="(%1)"/>
      <w:numFmt w:val="lowerLetter"/>
      <w:start w:val="2"/>
    </w:lvl>
  </w:abstractNum>
  <w:abstractNum w:abstractNumId="507">
    <w:nsid w:val="B79D08D"/>
    <w:multiLevelType w:val="hybridMultilevel"/>
    <w:lvl w:ilvl="0">
      <w:lvlJc w:val="left"/>
      <w:lvlText w:val="(%1)"/>
      <w:numFmt w:val="upperLetter"/>
      <w:start w:val="2"/>
    </w:lvl>
  </w:abstractNum>
  <w:abstractNum w:abstractNumId="508">
    <w:nsid w:val="69141769"/>
    <w:multiLevelType w:val="hybridMultilevel"/>
    <w:lvl w:ilvl="0">
      <w:lvlJc w:val="left"/>
      <w:lvlText w:val="(%1)"/>
      <w:numFmt w:val="lowerLetter"/>
      <w:start w:val="3"/>
    </w:lvl>
    <w:lvl w:ilvl="1">
      <w:lvlJc w:val="left"/>
      <w:lvlText w:val="(%2)"/>
      <w:numFmt w:val="lowerLetter"/>
      <w:start w:val="9"/>
    </w:lvl>
  </w:abstractNum>
  <w:abstractNum w:abstractNumId="509">
    <w:nsid w:val="7BF45B8E"/>
    <w:multiLevelType w:val="hybridMultilevel"/>
    <w:lvl w:ilvl="0">
      <w:lvlJc w:val="left"/>
      <w:lvlText w:val="(%1)"/>
      <w:numFmt w:val="lowerRoman"/>
      <w:start w:val="4"/>
    </w:lvl>
  </w:abstractNum>
  <w:abstractNum w:abstractNumId="510">
    <w:nsid w:val="41205269"/>
    <w:multiLevelType w:val="hybridMultilevel"/>
    <w:lvl w:ilvl="0">
      <w:lvlJc w:val="left"/>
      <w:lvlText w:val="(%1)"/>
      <w:numFmt w:val="lowerLetter"/>
      <w:start w:val="4"/>
    </w:lvl>
  </w:abstractNum>
  <w:abstractNum w:abstractNumId="511">
    <w:nsid w:val="9AE0DD"/>
    <w:multiLevelType w:val="hybridMultilevel"/>
    <w:lvl w:ilvl="0">
      <w:lvlJc w:val="left"/>
      <w:lvlText w:val="(%1)"/>
      <w:numFmt w:val="lowerLetter"/>
      <w:start w:val="5"/>
    </w:lvl>
  </w:abstractNum>
  <w:abstractNum w:abstractNumId="512">
    <w:nsid w:val="1818832F"/>
    <w:multiLevelType w:val="hybridMultilevel"/>
    <w:lvl w:ilvl="0">
      <w:lvlJc w:val="left"/>
      <w:lvlText w:val="(%1)"/>
      <w:numFmt w:val="lowerRoman"/>
      <w:start w:val="1"/>
    </w:lvl>
    <w:lvl w:ilvl="1">
      <w:lvlJc w:val="left"/>
      <w:lvlText w:val="(%2)"/>
      <w:numFmt w:val="lowerRoman"/>
      <w:start w:val="1"/>
    </w:lvl>
  </w:abstractNum>
  <w:abstractNum w:abstractNumId="513">
    <w:nsid w:val="24C29FD1"/>
    <w:multiLevelType w:val="hybridMultilevel"/>
    <w:lvl w:ilvl="0">
      <w:lvlJc w:val="left"/>
      <w:lvlText w:val="(%1)"/>
      <w:numFmt w:val="lowerLetter"/>
      <w:start w:val="9"/>
    </w:lvl>
    <w:lvl w:ilvl="1">
      <w:lvlJc w:val="left"/>
      <w:lvlText w:val="(%2)"/>
      <w:numFmt w:val="lowerLetter"/>
      <w:start w:val="10"/>
    </w:lvl>
  </w:abstractNum>
  <w:abstractNum w:abstractNumId="514">
    <w:nsid w:val="50528108"/>
    <w:multiLevelType w:val="hybridMultilevel"/>
    <w:lvl w:ilvl="0">
      <w:lvlJc w:val="left"/>
      <w:lvlText w:val="(%1)"/>
      <w:numFmt w:val="lowerLetter"/>
      <w:start w:val="11"/>
    </w:lvl>
  </w:abstractNum>
  <w:abstractNum w:abstractNumId="515">
    <w:nsid w:val="21857A57"/>
    <w:multiLevelType w:val="hybridMultilevel"/>
    <w:lvl w:ilvl="0">
      <w:lvlJc w:val="left"/>
      <w:lvlText w:val="(%1)"/>
      <w:numFmt w:val="lowerLetter"/>
      <w:start w:val="1"/>
    </w:lvl>
  </w:abstractNum>
  <w:abstractNum w:abstractNumId="516">
    <w:nsid w:val="5FD4B154"/>
    <w:multiLevelType w:val="hybridMultilevel"/>
    <w:lvl w:ilvl="0">
      <w:lvlJc w:val="left"/>
      <w:lvlText w:val="%1"/>
      <w:numFmt w:val="lowerLetter"/>
      <w:start w:val="1"/>
    </w:lvl>
    <w:lvl w:ilvl="1">
      <w:lvlJc w:val="left"/>
      <w:lvlText w:val="(%2)"/>
      <w:numFmt w:val="lowerLetter"/>
      <w:start w:val="2"/>
    </w:lvl>
  </w:abstractNum>
  <w:abstractNum w:abstractNumId="517">
    <w:nsid w:val="4ABE597"/>
    <w:multiLevelType w:val="hybridMultilevel"/>
    <w:lvl w:ilvl="0">
      <w:lvlJc w:val="left"/>
      <w:lvlText w:val="(%1)"/>
      <w:numFmt w:val="lowerLetter"/>
      <w:start w:val="9"/>
    </w:lvl>
    <w:lvl w:ilvl="1">
      <w:lvlJc w:val="left"/>
      <w:lvlText w:val="%2"/>
      <w:numFmt w:val="lowerLetter"/>
      <w:start w:val="1"/>
    </w:lvl>
  </w:abstractNum>
  <w:abstractNum w:abstractNumId="518">
    <w:nsid w:val="5C64AD75"/>
    <w:multiLevelType w:val="hybridMultilevel"/>
    <w:lvl w:ilvl="0">
      <w:lvlJc w:val="left"/>
      <w:lvlText w:val="(%1)"/>
      <w:numFmt w:val="lowerLetter"/>
      <w:start w:val="5"/>
    </w:lvl>
  </w:abstractNum>
  <w:abstractNum w:abstractNumId="519">
    <w:nsid w:val="2CDD5B39"/>
    <w:multiLevelType w:val="hybridMultilevel"/>
    <w:lvl w:ilvl="0">
      <w:lvlJc w:val="left"/>
      <w:lvlText w:val="(%1)"/>
      <w:numFmt w:val="lowerLetter"/>
      <w:start w:val="1"/>
    </w:lvl>
  </w:abstractNum>
  <w:abstractNum w:abstractNumId="520">
    <w:nsid w:val="6F9EA0D1"/>
    <w:multiLevelType w:val="hybridMultilevel"/>
    <w:lvl w:ilvl="0">
      <w:lvlJc w:val="left"/>
      <w:lvlText w:val="(%1)"/>
      <w:numFmt w:val="lowerLetter"/>
      <w:start w:val="1"/>
    </w:lvl>
  </w:abstractNum>
  <w:abstractNum w:abstractNumId="521">
    <w:nsid w:val="247FC4AE"/>
    <w:multiLevelType w:val="hybridMultilevel"/>
    <w:lvl w:ilvl="0">
      <w:lvlJc w:val="left"/>
      <w:lvlText w:val="(%1)"/>
      <w:numFmt w:val="lowerLetter"/>
      <w:start w:val="2"/>
    </w:lvl>
  </w:abstractNum>
  <w:abstractNum w:abstractNumId="522">
    <w:nsid w:val="46C01B05"/>
    <w:multiLevelType w:val="hybridMultilevel"/>
    <w:lvl w:ilvl="0">
      <w:lvlJc w:val="left"/>
      <w:lvlText w:val="(%1)"/>
      <w:numFmt w:val="lowerLetter"/>
      <w:start w:val="3"/>
    </w:lvl>
  </w:abstractNum>
  <w:abstractNum w:abstractNumId="523">
    <w:nsid w:val="566EC29B"/>
    <w:multiLevelType w:val="hybridMultilevel"/>
    <w:lvl w:ilvl="0">
      <w:lvlJc w:val="left"/>
      <w:lvlText w:val="(%1)"/>
      <w:numFmt w:val="lowerLetter"/>
      <w:start w:val="5"/>
    </w:lvl>
  </w:abstractNum>
  <w:abstractNum w:abstractNumId="524">
    <w:nsid w:val="7A963843"/>
    <w:multiLevelType w:val="hybridMultilevel"/>
    <w:lvl w:ilvl="0">
      <w:lvlJc w:val="left"/>
      <w:lvlText w:val="(%1)"/>
      <w:numFmt w:val="lowerLetter"/>
      <w:start w:val="7"/>
    </w:lvl>
  </w:abstractNum>
  <w:abstractNum w:abstractNumId="525">
    <w:nsid w:val="4FE12F61"/>
    <w:multiLevelType w:val="hybridMultilevel"/>
    <w:lvl w:ilvl="0">
      <w:lvlJc w:val="left"/>
      <w:lvlText w:val="(%1)"/>
      <w:numFmt w:val="lowerLetter"/>
      <w:start w:val="1"/>
    </w:lvl>
  </w:abstractNum>
  <w:abstractNum w:abstractNumId="526">
    <w:nsid w:val="51A3A284"/>
    <w:multiLevelType w:val="hybridMultilevel"/>
    <w:lvl w:ilvl="0">
      <w:lvlJc w:val="left"/>
      <w:lvlText w:val="(%1)"/>
      <w:numFmt w:val="lowerRoman"/>
      <w:start w:val="1"/>
    </w:lvl>
  </w:abstractNum>
  <w:abstractNum w:abstractNumId="527">
    <w:nsid w:val="376863BC"/>
    <w:multiLevelType w:val="hybridMultilevel"/>
    <w:lvl w:ilvl="0">
      <w:lvlJc w:val="left"/>
      <w:lvlText w:val="%1"/>
      <w:numFmt w:val="lowerRoman"/>
      <w:start w:val="1"/>
    </w:lvl>
    <w:lvl w:ilvl="1">
      <w:lvlJc w:val="left"/>
      <w:lvlText w:val="(%2)"/>
      <w:numFmt w:val="lowerLetter"/>
      <w:start w:val="2"/>
    </w:lvl>
  </w:abstractNum>
  <w:abstractNum w:abstractNumId="528">
    <w:nsid w:val="118C6C0"/>
    <w:multiLevelType w:val="hybridMultilevel"/>
    <w:lvl w:ilvl="0">
      <w:lvlJc w:val="left"/>
      <w:lvlText w:val="(%1)"/>
      <w:numFmt w:val="lowerRoman"/>
      <w:start w:val="7"/>
    </w:lvl>
    <w:lvl w:ilvl="1">
      <w:lvlJc w:val="left"/>
      <w:lvlText w:val="%2"/>
      <w:numFmt w:val="lowerLetter"/>
      <w:start w:val="1"/>
    </w:lvl>
  </w:abstractNum>
  <w:abstractNum w:abstractNumId="529">
    <w:nsid w:val="7F7E4A15"/>
    <w:multiLevelType w:val="hybridMultilevel"/>
    <w:lvl w:ilvl="0">
      <w:lvlJc w:val="left"/>
      <w:lvlText w:val="(%1)"/>
      <w:numFmt w:val="lowerLetter"/>
      <w:start w:val="3"/>
    </w:lvl>
  </w:abstractNum>
  <w:abstractNum w:abstractNumId="530">
    <w:nsid w:val="2E8E9F47"/>
    <w:multiLevelType w:val="hybridMultilevel"/>
    <w:lvl w:ilvl="0">
      <w:lvlJc w:val="left"/>
      <w:lvlText w:val="(%1)"/>
      <w:numFmt w:val="lowerLetter"/>
      <w:start w:val="4"/>
    </w:lvl>
  </w:abstractNum>
  <w:abstractNum w:abstractNumId="531">
    <w:nsid w:val="76742596"/>
    <w:multiLevelType w:val="hybridMultilevel"/>
    <w:lvl w:ilvl="0">
      <w:lvlJc w:val="left"/>
      <w:lvlText w:val="%1"/>
      <w:numFmt w:val="upperLetter"/>
      <w:start w:val="1"/>
    </w:lvl>
    <w:lvl w:ilvl="1">
      <w:lvlJc w:val="left"/>
      <w:lvlText w:val="(%2)"/>
      <w:numFmt w:val="lowerLetter"/>
      <w:start w:val="3"/>
    </w:lvl>
  </w:abstractNum>
  <w:abstractNum w:abstractNumId="532">
    <w:nsid w:val="CB55FF3"/>
    <w:multiLevelType w:val="hybridMultilevel"/>
    <w:lvl w:ilvl="0">
      <w:lvlJc w:val="left"/>
      <w:lvlText w:val="(%1)"/>
      <w:numFmt w:val="upperLetter"/>
      <w:start w:val="1"/>
    </w:lvl>
    <w:lvl w:ilvl="1">
      <w:lvlJc w:val="left"/>
      <w:lvlText w:val="(%2)"/>
      <w:numFmt w:val="lowerLetter"/>
      <w:start w:val="4"/>
    </w:lvl>
  </w:abstractNum>
  <w:abstractNum w:abstractNumId="533">
    <w:nsid w:val="21DF319E"/>
    <w:multiLevelType w:val="hybridMultilevel"/>
    <w:lvl w:ilvl="0">
      <w:lvlJc w:val="left"/>
      <w:lvlText w:val="(%1)"/>
      <w:numFmt w:val="upperLetter"/>
      <w:start w:val="3"/>
    </w:lvl>
    <w:lvl w:ilvl="1">
      <w:lvlJc w:val="left"/>
      <w:lvlText w:val="(%2)"/>
      <w:numFmt w:val="lowerLetter"/>
      <w:start w:val="7"/>
    </w:lvl>
  </w:abstractNum>
  <w:abstractNum w:abstractNumId="534">
    <w:nsid w:val="6687F34D"/>
    <w:multiLevelType w:val="hybridMultilevel"/>
    <w:lvl w:ilvl="0">
      <w:lvlJc w:val="left"/>
      <w:lvlText w:val="%1"/>
      <w:numFmt w:val="lowerLetter"/>
      <w:start w:val="1"/>
    </w:lvl>
    <w:lvl w:ilvl="1">
      <w:lvlJc w:val="left"/>
      <w:lvlText w:val="(%2)"/>
      <w:numFmt w:val="lowerLetter"/>
      <w:start w:val="1"/>
    </w:lvl>
  </w:abstractNum>
  <w:abstractNum w:abstractNumId="535">
    <w:nsid w:val="25415B0C"/>
    <w:multiLevelType w:val="hybridMultilevel"/>
    <w:lvl w:ilvl="0">
      <w:lvlJc w:val="left"/>
      <w:lvlText w:val="(%1)"/>
      <w:numFmt w:val="lowerLetter"/>
      <w:start w:val="9"/>
    </w:lvl>
    <w:lvl w:ilvl="1">
      <w:lvlJc w:val="left"/>
      <w:lvlText w:val="%2"/>
      <w:numFmt w:val="lowerLetter"/>
      <w:start w:val="1"/>
    </w:lvl>
  </w:abstractNum>
  <w:abstractNum w:abstractNumId="536">
    <w:nsid w:val="17CFC87D"/>
    <w:multiLevelType w:val="hybridMultilevel"/>
    <w:lvl w:ilvl="0">
      <w:lvlJc w:val="left"/>
      <w:lvlText w:val="(%1)"/>
      <w:numFmt w:val="lowerLetter"/>
      <w:start w:val="2"/>
    </w:lvl>
  </w:abstractNum>
  <w:abstractNum w:abstractNumId="537">
    <w:nsid w:val="5D66DC65"/>
    <w:multiLevelType w:val="hybridMultilevel"/>
    <w:lvl w:ilvl="0">
      <w:lvlJc w:val="left"/>
      <w:lvlText w:val="%1"/>
      <w:numFmt w:val="lowerLetter"/>
      <w:start w:val="1"/>
    </w:lvl>
    <w:lvl w:ilvl="1">
      <w:lvlJc w:val="left"/>
      <w:lvlText w:val="(%2)"/>
      <w:numFmt w:val="lowerLetter"/>
      <w:start w:val="4"/>
    </w:lvl>
  </w:abstractNum>
  <w:abstractNum w:abstractNumId="538">
    <w:nsid w:val="30BB2B99"/>
    <w:multiLevelType w:val="hybridMultilevel"/>
    <w:lvl w:ilvl="0">
      <w:lvlJc w:val="left"/>
      <w:lvlText w:val="(%1)"/>
      <w:numFmt w:val="lowerLetter"/>
      <w:start w:val="35"/>
    </w:lvl>
    <w:lvl w:ilvl="1">
      <w:lvlJc w:val="left"/>
      <w:lvlText w:val="%2"/>
      <w:numFmt w:val="lowerLetter"/>
      <w:start w:val="1"/>
    </w:lvl>
  </w:abstractNum>
  <w:abstractNum w:abstractNumId="539">
    <w:nsid w:val="E3DFE6"/>
    <w:multiLevelType w:val="hybridMultilevel"/>
    <w:lvl w:ilvl="0">
      <w:lvlJc w:val="left"/>
      <w:lvlText w:val="(%1)"/>
      <w:numFmt w:val="lowerLetter"/>
      <w:start w:val="7"/>
    </w:lvl>
  </w:abstractNum>
  <w:abstractNum w:abstractNumId="540">
    <w:nsid w:val="595B37F3"/>
    <w:multiLevelType w:val="hybridMultilevel"/>
    <w:lvl w:ilvl="0">
      <w:lvlJc w:val="left"/>
      <w:lvlText w:val="(%1)"/>
      <w:numFmt w:val="lowerLetter"/>
      <w:start w:val="1"/>
    </w:lvl>
  </w:abstractNum>
  <w:abstractNum w:abstractNumId="541">
    <w:nsid w:val="71DB7E02"/>
    <w:multiLevelType w:val="hybridMultilevel"/>
    <w:lvl w:ilvl="0">
      <w:lvlJc w:val="left"/>
      <w:lvlText w:val="(%1)"/>
      <w:numFmt w:val="lowerRoman"/>
      <w:start w:val="6"/>
    </w:lvl>
  </w:abstractNum>
  <w:abstractNum w:abstractNumId="542">
    <w:nsid w:val="17EC0C4"/>
    <w:multiLevelType w:val="hybridMultilevel"/>
    <w:lvl w:ilvl="0">
      <w:lvlJc w:val="left"/>
      <w:lvlText w:val="(%1)"/>
      <w:numFmt w:val="lowerLetter"/>
      <w:start w:val="2"/>
    </w:lvl>
  </w:abstractNum>
  <w:abstractNum w:abstractNumId="543">
    <w:nsid w:val="7173BB22"/>
    <w:multiLevelType w:val="hybridMultilevel"/>
    <w:lvl w:ilvl="0">
      <w:lvlJc w:val="left"/>
      <w:lvlText w:val="(%1)"/>
      <w:numFmt w:val="upperLetter"/>
      <w:start w:val="2"/>
    </w:lvl>
  </w:abstractNum>
  <w:abstractNum w:abstractNumId="544">
    <w:nsid w:val="169E1DD3"/>
    <w:multiLevelType w:val="hybridMultilevel"/>
    <w:lvl w:ilvl="0">
      <w:lvlJc w:val="left"/>
      <w:lvlText w:val="(%1)"/>
      <w:numFmt w:val="upperLetter"/>
      <w:start w:val="2"/>
    </w:lvl>
  </w:abstractNum>
  <w:abstractNum w:abstractNumId="545">
    <w:nsid w:val="51D141CC"/>
    <w:multiLevelType w:val="hybridMultilevel"/>
    <w:lvl w:ilvl="0">
      <w:lvlJc w:val="left"/>
      <w:lvlText w:val="(%1)"/>
      <w:numFmt w:val="lowerLetter"/>
      <w:start w:val="3"/>
    </w:lvl>
    <w:lvl w:ilvl="1">
      <w:lvlJc w:val="left"/>
      <w:lvlText w:val="(%2)"/>
      <w:numFmt w:val="lowerLetter"/>
      <w:start w:val="9"/>
    </w:lvl>
  </w:abstractNum>
  <w:abstractNum w:abstractNumId="546">
    <w:nsid w:val="12F9357A"/>
    <w:multiLevelType w:val="hybridMultilevel"/>
    <w:lvl w:ilvl="0">
      <w:lvlJc w:val="left"/>
      <w:lvlText w:val="(%1)"/>
      <w:numFmt w:val="lowerRoman"/>
      <w:start w:val="4"/>
    </w:lvl>
  </w:abstractNum>
  <w:abstractNum w:abstractNumId="547">
    <w:nsid w:val="7672CF28"/>
    <w:multiLevelType w:val="hybridMultilevel"/>
    <w:lvl w:ilvl="0">
      <w:lvlJc w:val="left"/>
      <w:lvlText w:val="(%1)"/>
      <w:numFmt w:val="lowerRoman"/>
      <w:start w:val="5"/>
    </w:lvl>
  </w:abstractNum>
  <w:abstractNum w:abstractNumId="548">
    <w:nsid w:val="567D2763"/>
    <w:multiLevelType w:val="hybridMultilevel"/>
    <w:lvl w:ilvl="0">
      <w:lvlJc w:val="left"/>
      <w:lvlText w:val="(%1)"/>
      <w:numFmt w:val="lowerLetter"/>
      <w:start w:val="4"/>
    </w:lvl>
  </w:abstractNum>
  <w:abstractNum w:abstractNumId="549">
    <w:nsid w:val="6F5DE2EF"/>
    <w:multiLevelType w:val="hybridMultilevel"/>
    <w:lvl w:ilvl="0">
      <w:lvlJc w:val="left"/>
      <w:lvlText w:val="(%1)"/>
      <w:numFmt w:val="lowerRoman"/>
      <w:start w:val="1"/>
    </w:lvl>
    <w:lvl w:ilvl="1">
      <w:lvlJc w:val="left"/>
      <w:lvlText w:val="(%2)"/>
      <w:numFmt w:val="lowerRoman"/>
      <w:start w:val="1"/>
    </w:lvl>
  </w:abstractNum>
  <w:abstractNum w:abstractNumId="550">
    <w:nsid w:val="23502A61"/>
    <w:multiLevelType w:val="hybridMultilevel"/>
    <w:lvl w:ilvl="0">
      <w:lvlJc w:val="left"/>
      <w:lvlText w:val="(%1)"/>
      <w:numFmt w:val="lowerRoman"/>
      <w:start w:val="2"/>
    </w:lvl>
  </w:abstractNum>
  <w:abstractNum w:abstractNumId="551">
    <w:nsid w:val="461BC834"/>
    <w:multiLevelType w:val="hybridMultilevel"/>
    <w:lvl w:ilvl="0">
      <w:lvlJc w:val="left"/>
      <w:lvlText w:val="(%1)"/>
      <w:numFmt w:val="lowerLetter"/>
      <w:start w:val="9"/>
    </w:lvl>
    <w:lvl w:ilvl="1">
      <w:lvlJc w:val="left"/>
      <w:lvlText w:val="(%2)"/>
      <w:numFmt w:val="lowerLetter"/>
      <w:start w:val="10"/>
    </w:lvl>
  </w:abstractNum>
  <w:abstractNum w:abstractNumId="552">
    <w:nsid w:val="13DDA79D"/>
    <w:multiLevelType w:val="hybridMultilevel"/>
    <w:lvl w:ilvl="0">
      <w:lvlJc w:val="left"/>
      <w:lvlText w:val="(%1)"/>
      <w:numFmt w:val="lowerLetter"/>
      <w:start w:val="11"/>
    </w:lvl>
  </w:abstractNum>
  <w:abstractNum w:abstractNumId="553">
    <w:nsid w:val="6A104566"/>
    <w:multiLevelType w:val="hybridMultilevel"/>
    <w:lvl w:ilvl="0">
      <w:lvlJc w:val="left"/>
      <w:lvlText w:val="●"/>
      <w:numFmt w:val="bullet"/>
      <w:start w:val="1"/>
    </w:lvl>
  </w:abstractNum>
  <w:abstractNum w:abstractNumId="554">
    <w:nsid w:val="1C8A8ACF"/>
    <w:multiLevelType w:val="hybridMultilevel"/>
    <w:lvl w:ilvl="0">
      <w:lvlJc w:val="left"/>
      <w:lvlText w:val="(%1)"/>
      <w:numFmt w:val="lowerRoman"/>
      <w:start w:val="1"/>
    </w:lvl>
  </w:abstractNum>
  <w:abstractNum w:abstractNumId="555">
    <w:nsid w:val="E73DFE0"/>
    <w:multiLevelType w:val="hybridMultilevel"/>
    <w:lvl w:ilvl="0">
      <w:lvlJc w:val="left"/>
      <w:lvlText w:val="(%1)"/>
      <w:numFmt w:val="lowerRoman"/>
      <w:start w:val="1"/>
    </w:lvl>
  </w:abstractNum>
  <w:abstractNum w:abstractNumId="556">
    <w:nsid w:val="39F174C7"/>
    <w:multiLevelType w:val="hybridMultilevel"/>
    <w:lvl w:ilvl="0">
      <w:lvlJc w:val="left"/>
      <w:lvlText w:val="*"/>
      <w:numFmt w:val="bullet"/>
      <w:start w:val="1"/>
    </w:lvl>
    <w:lvl w:ilvl="1">
      <w:lvlJc w:val="left"/>
      <w:lvlText w:val="(%2)"/>
      <w:numFmt w:val="lowerRoman"/>
      <w:start w:val="4"/>
    </w:lvl>
  </w:abstractNum>
  <w:abstractNum w:abstractNumId="557">
    <w:nsid w:val="6E2E2D53"/>
    <w:multiLevelType w:val="hybridMultilevel"/>
    <w:lvl w:ilvl="0">
      <w:lvlJc w:val="left"/>
      <w:lvlText w:val="§"/>
      <w:numFmt w:val="bullet"/>
      <w:start w:val="1"/>
    </w:lvl>
  </w:abstractNum>
  <w:abstractNum w:abstractNumId="558">
    <w:nsid w:val="45DC439D"/>
    <w:multiLevelType w:val="hybridMultilevel"/>
    <w:lvl w:ilvl="0">
      <w:lvlJc w:val="left"/>
      <w:lvlText w:val="*"/>
      <w:numFmt w:val="bullet"/>
      <w:start w:val="1"/>
    </w:lvl>
  </w:abstractNum>
  <w:abstractNum w:abstractNumId="559">
    <w:nsid w:val="3B0A3B87"/>
    <w:multiLevelType w:val="hybridMultilevel"/>
    <w:lvl w:ilvl="0">
      <w:lvlJc w:val="left"/>
      <w:lvlText w:val="●"/>
      <w:numFmt w:val="bullet"/>
      <w:start w:val="1"/>
    </w:lvl>
  </w:abstractNum>
  <w:abstractNum w:abstractNumId="560">
    <w:nsid w:val="6DAC7768"/>
    <w:multiLevelType w:val="hybridMultilevel"/>
    <w:lvl w:ilvl="0">
      <w:lvlJc w:val="left"/>
      <w:lvlText w:val="%1."/>
      <w:numFmt w:val="decimal"/>
      <w:start w:val="1"/>
    </w:lvl>
    <w:lvl w:ilvl="1">
      <w:lvlJc w:val="left"/>
      <w:lvlText w:val="●"/>
      <w:numFmt w:val="bullet"/>
      <w:start w:val="1"/>
    </w:lvl>
  </w:abstractNum>
  <w:abstractNum w:abstractNumId="561">
    <w:nsid w:val="746AE2E4"/>
    <w:multiLevelType w:val="hybridMultilevel"/>
    <w:lvl w:ilvl="0">
      <w:lvlJc w:val="left"/>
      <w:lvlText w:val="%1."/>
      <w:numFmt w:val="decimal"/>
      <w:start w:val="1"/>
    </w:lvl>
    <w:lvl w:ilvl="1">
      <w:lvlJc w:val="left"/>
      <w:lvlText w:val="●"/>
      <w:numFmt w:val="bullet"/>
      <w:start w:val="1"/>
    </w:lvl>
  </w:abstractNum>
  <w:abstractNum w:abstractNumId="562">
    <w:nsid w:val="317E611D"/>
    <w:multiLevelType w:val="hybridMultilevel"/>
    <w:lvl w:ilvl="0">
      <w:lvlJc w:val="left"/>
      <w:lvlText w:val="●"/>
      <w:numFmt w:val="bullet"/>
      <w:start w:val="1"/>
    </w:lvl>
  </w:abstractNum>
  <w:abstractNum w:abstractNumId="563">
    <w:nsid w:val="7A61D75B"/>
    <w:multiLevelType w:val="hybridMultilevel"/>
    <w:lvl w:ilvl="0">
      <w:lvlJc w:val="left"/>
      <w:lvlText w:val="●"/>
      <w:numFmt w:val="bullet"/>
      <w:start w:val="1"/>
    </w:lvl>
  </w:abstractNum>
  <w:abstractNum w:abstractNumId="564">
    <w:nsid w:val="164A1482"/>
    <w:multiLevelType w:val="hybridMultilevel"/>
    <w:lvl w:ilvl="0">
      <w:lvlJc w:val="left"/>
      <w:lvlText w:val="•"/>
      <w:numFmt w:val="bullet"/>
      <w:start w:val="1"/>
    </w:lvl>
  </w:abstractNum>
  <w:abstractNum w:abstractNumId="565">
    <w:nsid w:val="1806546B"/>
    <w:multiLevelType w:val="hybridMultilevel"/>
    <w:lvl w:ilvl="0">
      <w:lvlJc w:val="left"/>
      <w:lvlText w:val="[*]"/>
      <w:numFmt w:val="bullet"/>
      <w:start w:val="1"/>
    </w:lvl>
  </w:abstractNum>
  <w:abstractNum w:abstractNumId="566">
    <w:nsid w:val="1FA33267"/>
    <w:multiLevelType w:val="hybridMultilevel"/>
    <w:lvl w:ilvl="0">
      <w:lvlJc w:val="left"/>
      <w:lvlText w:val="%1."/>
      <w:numFmt w:val="decimal"/>
      <w:start w:val="1"/>
    </w:lvl>
    <w:lvl w:ilvl="1">
      <w:lvlJc w:val="left"/>
      <w:lvlText w:val="%2)"/>
      <w:numFmt w:val="lowerLetter"/>
      <w:start w:val="1"/>
    </w:lvl>
  </w:abstractNum>
  <w:abstractNum w:abstractNumId="567">
    <w:nsid w:val="2E19DD00"/>
    <w:multiLevelType w:val="hybridMultilevel"/>
    <w:lvl w:ilvl="0">
      <w:lvlJc w:val="left"/>
      <w:lvlText w:val="%1."/>
      <w:numFmt w:val="decimal"/>
      <w:start w:val="1"/>
    </w:lvl>
    <w:lvl w:ilvl="1">
      <w:lvlJc w:val="left"/>
      <w:lvlText w:val="%2)"/>
      <w:numFmt w:val="lowerLetter"/>
      <w:start w:val="1"/>
    </w:lvl>
  </w:abstractNum>
  <w:abstractNum w:abstractNumId="568">
    <w:nsid w:val="756D30D0"/>
    <w:multiLevelType w:val="hybridMultilevel"/>
    <w:lvl w:ilvl="0">
      <w:lvlJc w:val="left"/>
      <w:lvlText w:val="%1."/>
      <w:numFmt w:val="decimal"/>
      <w:start w:val="1"/>
    </w:lvl>
    <w:lvl w:ilvl="1">
      <w:lvlJc w:val="left"/>
      <w:lvlText w:val="%2)"/>
      <w:numFmt w:val="lowerLetter"/>
      <w:start w:val="1"/>
    </w:lvl>
  </w:abstractNum>
  <w:abstractNum w:abstractNumId="569">
    <w:nsid w:val="505E5E01"/>
    <w:multiLevelType w:val="hybridMultilevel"/>
    <w:lvl w:ilvl="0">
      <w:lvlJc w:val="left"/>
      <w:lvlText w:val="%1."/>
      <w:numFmt w:val="decimal"/>
      <w:start w:val="1"/>
    </w:lvl>
    <w:lvl w:ilvl="1">
      <w:lvlJc w:val="left"/>
      <w:lvlText w:val="%2)"/>
      <w:numFmt w:val="lowerLetter"/>
      <w:start w:val="1"/>
    </w:lvl>
  </w:abstractNum>
  <w:abstractNum w:abstractNumId="570">
    <w:nsid w:val="2EFDBCE6"/>
    <w:multiLevelType w:val="hybridMultilevel"/>
    <w:lvl w:ilvl="0">
      <w:lvlJc w:val="left"/>
      <w:lvlText w:val="(%1)"/>
      <w:numFmt w:val="lowerRoman"/>
      <w:start w:val="1"/>
    </w:lvl>
  </w:abstractNum>
  <w:abstractNum w:abstractNumId="571">
    <w:nsid w:val="4EC868C4"/>
    <w:multiLevelType w:val="hybridMultilevel"/>
    <w:lvl w:ilvl="0">
      <w:lvlJc w:val="left"/>
      <w:lvlText w:val="(%1)"/>
      <w:numFmt w:val="lowerRoman"/>
      <w:start w:val="1"/>
    </w:lvl>
  </w:abstractNum>
  <w:abstractNum w:abstractNumId="572">
    <w:nsid w:val="4239DC03"/>
    <w:multiLevelType w:val="hybridMultilevel"/>
    <w:lvl w:ilvl="0">
      <w:lvlJc w:val="left"/>
      <w:lvlText w:val="(%1)"/>
      <w:numFmt w:val="lowerRoman"/>
      <w:start w:val="1"/>
    </w:lvl>
  </w:abstractNum>
  <w:abstractNum w:abstractNumId="573">
    <w:nsid w:val="307C7DA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95" Type="http://schemas.openxmlformats.org/officeDocument/2006/relationships/image" Target="media/image179.png"/><Relationship Id="rId205" Type="http://schemas.openxmlformats.org/officeDocument/2006/relationships/image" Target="media/image180.png"/><Relationship Id="rId233" Type="http://schemas.openxmlformats.org/officeDocument/2006/relationships/image" Target="media/image181.png"/><Relationship Id="rId246" Type="http://schemas.openxmlformats.org/officeDocument/2006/relationships/image" Target="media/image182.png"/><Relationship Id="rId247" Type="http://schemas.openxmlformats.org/officeDocument/2006/relationships/image" Target="media/image183.png"/><Relationship Id="rId258" Type="http://schemas.openxmlformats.org/officeDocument/2006/relationships/image" Target="media/image184.png"/><Relationship Id="rId259" Type="http://schemas.openxmlformats.org/officeDocument/2006/relationships/image" Target="media/image185.png"/><Relationship Id="rId270" Type="http://schemas.openxmlformats.org/officeDocument/2006/relationships/image" Target="media/image186.png"/><Relationship Id="rId271" Type="http://schemas.openxmlformats.org/officeDocument/2006/relationships/image" Target="media/image187.png"/><Relationship Id="rId281" Type="http://schemas.openxmlformats.org/officeDocument/2006/relationships/image" Target="media/image188.png"/><Relationship Id="rId293" Type="http://schemas.openxmlformats.org/officeDocument/2006/relationships/image" Target="media/image189.png"/><Relationship Id="rId294" Type="http://schemas.openxmlformats.org/officeDocument/2006/relationships/image" Target="media/image190.png"/><Relationship Id="rId295" Type="http://schemas.openxmlformats.org/officeDocument/2006/relationships/image" Target="media/image191.png"/><Relationship Id="rId296" Type="http://schemas.openxmlformats.org/officeDocument/2006/relationships/image" Target="media/image192.png"/><Relationship Id="rId297" Type="http://schemas.openxmlformats.org/officeDocument/2006/relationships/image" Target="media/image193.png"/><Relationship Id="rId298" Type="http://schemas.openxmlformats.org/officeDocument/2006/relationships/image" Target="media/image194.png"/><Relationship Id="rId299" Type="http://schemas.openxmlformats.org/officeDocument/2006/relationships/image" Target="media/image195.png"/><Relationship Id="rId300" Type="http://schemas.openxmlformats.org/officeDocument/2006/relationships/image" Target="media/image196.png"/><Relationship Id="rId301" Type="http://schemas.openxmlformats.org/officeDocument/2006/relationships/image" Target="media/image197.png"/><Relationship Id="rId302" Type="http://schemas.openxmlformats.org/officeDocument/2006/relationships/image" Target="media/image198.png"/><Relationship Id="rId303" Type="http://schemas.openxmlformats.org/officeDocument/2006/relationships/image" Target="media/image199.png"/><Relationship Id="rId304" Type="http://schemas.openxmlformats.org/officeDocument/2006/relationships/image" Target="media/image200.png"/><Relationship Id="rId305" Type="http://schemas.openxmlformats.org/officeDocument/2006/relationships/image" Target="media/image201.png"/><Relationship Id="rId306" Type="http://schemas.openxmlformats.org/officeDocument/2006/relationships/image" Target="media/image202.png"/><Relationship Id="rId307" Type="http://schemas.openxmlformats.org/officeDocument/2006/relationships/image" Target="media/image203.png"/><Relationship Id="rId308" Type="http://schemas.openxmlformats.org/officeDocument/2006/relationships/image" Target="media/image204.png"/><Relationship Id="rId309" Type="http://schemas.openxmlformats.org/officeDocument/2006/relationships/image" Target="media/image205.png"/><Relationship Id="rId310" Type="http://schemas.openxmlformats.org/officeDocument/2006/relationships/image" Target="media/image206.png"/><Relationship Id="rId311" Type="http://schemas.openxmlformats.org/officeDocument/2006/relationships/image" Target="media/image207.png"/><Relationship Id="rId312" Type="http://schemas.openxmlformats.org/officeDocument/2006/relationships/image" Target="media/image208.png"/><Relationship Id="rId313" Type="http://schemas.openxmlformats.org/officeDocument/2006/relationships/image" Target="media/image209.png"/><Relationship Id="rId314" Type="http://schemas.openxmlformats.org/officeDocument/2006/relationships/image" Target="media/image210.png"/><Relationship Id="rId315" Type="http://schemas.openxmlformats.org/officeDocument/2006/relationships/image" Target="media/image211.png"/><Relationship Id="rId316" Type="http://schemas.openxmlformats.org/officeDocument/2006/relationships/image" Target="media/image212.png"/><Relationship Id="rId317" Type="http://schemas.openxmlformats.org/officeDocument/2006/relationships/image" Target="media/image213.png"/><Relationship Id="rId318" Type="http://schemas.openxmlformats.org/officeDocument/2006/relationships/image" Target="media/image214.png"/><Relationship Id="rId319" Type="http://schemas.openxmlformats.org/officeDocument/2006/relationships/image" Target="media/image215.png"/><Relationship Id="rId320" Type="http://schemas.openxmlformats.org/officeDocument/2006/relationships/image" Target="media/image216.png"/><Relationship Id="rId321" Type="http://schemas.openxmlformats.org/officeDocument/2006/relationships/image" Target="media/image217.png"/><Relationship Id="rId322" Type="http://schemas.openxmlformats.org/officeDocument/2006/relationships/image" Target="media/image218.png"/><Relationship Id="rId323" Type="http://schemas.openxmlformats.org/officeDocument/2006/relationships/image" Target="media/image219.png"/><Relationship Id="rId324" Type="http://schemas.openxmlformats.org/officeDocument/2006/relationships/image" Target="media/image220.png"/><Relationship Id="rId325" Type="http://schemas.openxmlformats.org/officeDocument/2006/relationships/image" Target="media/image221.png"/><Relationship Id="rId326" Type="http://schemas.openxmlformats.org/officeDocument/2006/relationships/image" Target="media/image222.png"/><Relationship Id="rId327" Type="http://schemas.openxmlformats.org/officeDocument/2006/relationships/image" Target="media/image223.png"/><Relationship Id="rId328" Type="http://schemas.openxmlformats.org/officeDocument/2006/relationships/image" Target="media/image224.png"/><Relationship Id="rId329" Type="http://schemas.openxmlformats.org/officeDocument/2006/relationships/image" Target="media/image225.png"/><Relationship Id="rId330" Type="http://schemas.openxmlformats.org/officeDocument/2006/relationships/image" Target="media/image226.png"/><Relationship Id="rId331" Type="http://schemas.openxmlformats.org/officeDocument/2006/relationships/image" Target="media/image227.png"/><Relationship Id="rId332" Type="http://schemas.openxmlformats.org/officeDocument/2006/relationships/image" Target="media/image228.png"/><Relationship Id="rId333" Type="http://schemas.openxmlformats.org/officeDocument/2006/relationships/image" Target="media/image229.png"/><Relationship Id="rId334" Type="http://schemas.openxmlformats.org/officeDocument/2006/relationships/image" Target="media/image230.png"/><Relationship Id="rId335" Type="http://schemas.openxmlformats.org/officeDocument/2006/relationships/image" Target="media/image231.png"/><Relationship Id="rId336" Type="http://schemas.openxmlformats.org/officeDocument/2006/relationships/image" Target="media/image232.png"/><Relationship Id="rId337" Type="http://schemas.openxmlformats.org/officeDocument/2006/relationships/image" Target="media/image233.png"/><Relationship Id="rId338" Type="http://schemas.openxmlformats.org/officeDocument/2006/relationships/image" Target="media/image234.png"/><Relationship Id="rId339" Type="http://schemas.openxmlformats.org/officeDocument/2006/relationships/image" Target="media/image235.png"/><Relationship Id="rId340" Type="http://schemas.openxmlformats.org/officeDocument/2006/relationships/image" Target="media/image236.png"/><Relationship Id="rId341" Type="http://schemas.openxmlformats.org/officeDocument/2006/relationships/image" Target="media/image237.png"/><Relationship Id="rId342" Type="http://schemas.openxmlformats.org/officeDocument/2006/relationships/image" Target="media/image238.png"/><Relationship Id="rId343" Type="http://schemas.openxmlformats.org/officeDocument/2006/relationships/image" Target="media/image239.png"/><Relationship Id="rId344" Type="http://schemas.openxmlformats.org/officeDocument/2006/relationships/image" Target="media/image240.png"/><Relationship Id="rId345" Type="http://schemas.openxmlformats.org/officeDocument/2006/relationships/image" Target="media/image241.png"/><Relationship Id="rId346" Type="http://schemas.openxmlformats.org/officeDocument/2006/relationships/image" Target="media/image242.png"/><Relationship Id="rId347" Type="http://schemas.openxmlformats.org/officeDocument/2006/relationships/image" Target="media/image243.png"/><Relationship Id="rId348" Type="http://schemas.openxmlformats.org/officeDocument/2006/relationships/image" Target="media/image244.png"/><Relationship Id="rId349" Type="http://schemas.openxmlformats.org/officeDocument/2006/relationships/image" Target="media/image245.png"/><Relationship Id="rId350" Type="http://schemas.openxmlformats.org/officeDocument/2006/relationships/image" Target="media/image246.png"/><Relationship Id="rId351" Type="http://schemas.openxmlformats.org/officeDocument/2006/relationships/image" Target="media/image247.png"/><Relationship Id="rId352" Type="http://schemas.openxmlformats.org/officeDocument/2006/relationships/image" Target="media/image248.png"/><Relationship Id="rId353" Type="http://schemas.openxmlformats.org/officeDocument/2006/relationships/image" Target="media/image249.png"/><Relationship Id="rId354" Type="http://schemas.openxmlformats.org/officeDocument/2006/relationships/image" Target="media/image250.png"/><Relationship Id="rId355" Type="http://schemas.openxmlformats.org/officeDocument/2006/relationships/image" Target="media/image251.png"/><Relationship Id="rId356" Type="http://schemas.openxmlformats.org/officeDocument/2006/relationships/image" Target="media/image252.png"/><Relationship Id="rId357" Type="http://schemas.openxmlformats.org/officeDocument/2006/relationships/image" Target="media/image253.png"/><Relationship Id="rId358" Type="http://schemas.openxmlformats.org/officeDocument/2006/relationships/image" Target="media/image254.png"/><Relationship Id="rId359" Type="http://schemas.openxmlformats.org/officeDocument/2006/relationships/image" Target="media/image255.png"/><Relationship Id="rId360" Type="http://schemas.openxmlformats.org/officeDocument/2006/relationships/image" Target="media/image256.png"/><Relationship Id="rId361" Type="http://schemas.openxmlformats.org/officeDocument/2006/relationships/image" Target="media/image257.png"/><Relationship Id="rId362" Type="http://schemas.openxmlformats.org/officeDocument/2006/relationships/image" Target="media/image258.png"/><Relationship Id="rId363" Type="http://schemas.openxmlformats.org/officeDocument/2006/relationships/image" Target="media/image259.png"/><Relationship Id="rId364" Type="http://schemas.openxmlformats.org/officeDocument/2006/relationships/image" Target="media/image260.png"/><Relationship Id="rId365" Type="http://schemas.openxmlformats.org/officeDocument/2006/relationships/image" Target="media/image261.png"/><Relationship Id="rId366" Type="http://schemas.openxmlformats.org/officeDocument/2006/relationships/image" Target="media/image262.png"/><Relationship Id="rId367" Type="http://schemas.openxmlformats.org/officeDocument/2006/relationships/image" Target="media/image263.png"/><Relationship Id="rId368" Type="http://schemas.openxmlformats.org/officeDocument/2006/relationships/image" Target="media/image264.png"/><Relationship Id="rId369" Type="http://schemas.openxmlformats.org/officeDocument/2006/relationships/image" Target="media/image265.png"/><Relationship Id="rId370" Type="http://schemas.openxmlformats.org/officeDocument/2006/relationships/image" Target="media/image266.png"/><Relationship Id="rId371" Type="http://schemas.openxmlformats.org/officeDocument/2006/relationships/image" Target="media/image267.png"/><Relationship Id="rId372" Type="http://schemas.openxmlformats.org/officeDocument/2006/relationships/image" Target="media/image268.png"/><Relationship Id="rId373" Type="http://schemas.openxmlformats.org/officeDocument/2006/relationships/image" Target="media/image269.png"/><Relationship Id="rId374" Type="http://schemas.openxmlformats.org/officeDocument/2006/relationships/image" Target="media/image270.png"/><Relationship Id="rId375" Type="http://schemas.openxmlformats.org/officeDocument/2006/relationships/image" Target="media/image271.png"/><Relationship Id="rId376" Type="http://schemas.openxmlformats.org/officeDocument/2006/relationships/image" Target="media/image272.png"/><Relationship Id="rId377" Type="http://schemas.openxmlformats.org/officeDocument/2006/relationships/image" Target="media/image273.png"/><Relationship Id="rId378" Type="http://schemas.openxmlformats.org/officeDocument/2006/relationships/image" Target="media/image274.png"/><Relationship Id="rId379" Type="http://schemas.openxmlformats.org/officeDocument/2006/relationships/image" Target="media/image275.png"/><Relationship Id="rId380" Type="http://schemas.openxmlformats.org/officeDocument/2006/relationships/image" Target="media/image276.png"/><Relationship Id="rId381" Type="http://schemas.openxmlformats.org/officeDocument/2006/relationships/image" Target="media/image277.png"/><Relationship Id="rId382" Type="http://schemas.openxmlformats.org/officeDocument/2006/relationships/image" Target="media/image278.png"/><Relationship Id="rId383" Type="http://schemas.openxmlformats.org/officeDocument/2006/relationships/image" Target="media/image279.png"/><Relationship Id="rId384" Type="http://schemas.openxmlformats.org/officeDocument/2006/relationships/image" Target="media/image280.png"/><Relationship Id="rId385" Type="http://schemas.openxmlformats.org/officeDocument/2006/relationships/image" Target="media/image281.png"/><Relationship Id="rId386" Type="http://schemas.openxmlformats.org/officeDocument/2006/relationships/image" Target="media/image282.png"/><Relationship Id="rId387" Type="http://schemas.openxmlformats.org/officeDocument/2006/relationships/image" Target="media/image283.png"/><Relationship Id="rId388" Type="http://schemas.openxmlformats.org/officeDocument/2006/relationships/image" Target="media/image284.png"/><Relationship Id="rId389" Type="http://schemas.openxmlformats.org/officeDocument/2006/relationships/image" Target="media/image285.png"/><Relationship Id="rId390" Type="http://schemas.openxmlformats.org/officeDocument/2006/relationships/image" Target="media/image286.png"/><Relationship Id="rId391" Type="http://schemas.openxmlformats.org/officeDocument/2006/relationships/image" Target="media/image287.png"/><Relationship Id="rId392" Type="http://schemas.openxmlformats.org/officeDocument/2006/relationships/image" Target="media/image288.png"/><Relationship Id="rId393" Type="http://schemas.openxmlformats.org/officeDocument/2006/relationships/image" Target="media/image289.png"/><Relationship Id="rId394" Type="http://schemas.openxmlformats.org/officeDocument/2006/relationships/image" Target="media/image290.png"/><Relationship Id="rId395" Type="http://schemas.openxmlformats.org/officeDocument/2006/relationships/image" Target="media/image291.png"/><Relationship Id="rId396" Type="http://schemas.openxmlformats.org/officeDocument/2006/relationships/image" Target="media/image292.png"/><Relationship Id="rId397" Type="http://schemas.openxmlformats.org/officeDocument/2006/relationships/image" Target="media/image293.png"/><Relationship Id="rId398" Type="http://schemas.openxmlformats.org/officeDocument/2006/relationships/image" Target="media/image294.png"/><Relationship Id="rId399" Type="http://schemas.openxmlformats.org/officeDocument/2006/relationships/image" Target="media/image295.png"/><Relationship Id="rId400" Type="http://schemas.openxmlformats.org/officeDocument/2006/relationships/image" Target="media/image296.png"/><Relationship Id="rId401" Type="http://schemas.openxmlformats.org/officeDocument/2006/relationships/image" Target="media/image297.png"/><Relationship Id="rId402" Type="http://schemas.openxmlformats.org/officeDocument/2006/relationships/image" Target="media/image298.png"/><Relationship Id="rId403" Type="http://schemas.openxmlformats.org/officeDocument/2006/relationships/image" Target="media/image299.png"/><Relationship Id="rId404" Type="http://schemas.openxmlformats.org/officeDocument/2006/relationships/image" Target="media/image300.png"/><Relationship Id="rId405" Type="http://schemas.openxmlformats.org/officeDocument/2006/relationships/image" Target="media/image301.png"/><Relationship Id="rId406" Type="http://schemas.openxmlformats.org/officeDocument/2006/relationships/image" Target="media/image302.png"/><Relationship Id="rId407" Type="http://schemas.openxmlformats.org/officeDocument/2006/relationships/image" Target="media/image303.png"/><Relationship Id="rId408" Type="http://schemas.openxmlformats.org/officeDocument/2006/relationships/image" Target="media/image304.png"/><Relationship Id="rId409" Type="http://schemas.openxmlformats.org/officeDocument/2006/relationships/image" Target="media/image305.png"/><Relationship Id="rId410" Type="http://schemas.openxmlformats.org/officeDocument/2006/relationships/image" Target="media/image306.png"/><Relationship Id="rId411" Type="http://schemas.openxmlformats.org/officeDocument/2006/relationships/image" Target="media/image307.png"/><Relationship Id="rId412" Type="http://schemas.openxmlformats.org/officeDocument/2006/relationships/image" Target="media/image308.png"/><Relationship Id="rId413" Type="http://schemas.openxmlformats.org/officeDocument/2006/relationships/image" Target="media/image309.png"/><Relationship Id="rId414" Type="http://schemas.openxmlformats.org/officeDocument/2006/relationships/image" Target="media/image310.png"/><Relationship Id="rId415" Type="http://schemas.openxmlformats.org/officeDocument/2006/relationships/image" Target="media/image311.png"/><Relationship Id="rId416" Type="http://schemas.openxmlformats.org/officeDocument/2006/relationships/image" Target="media/image312.png"/><Relationship Id="rId417" Type="http://schemas.openxmlformats.org/officeDocument/2006/relationships/image" Target="media/image313.png"/><Relationship Id="rId418" Type="http://schemas.openxmlformats.org/officeDocument/2006/relationships/image" Target="media/image314.png"/><Relationship Id="rId419" Type="http://schemas.openxmlformats.org/officeDocument/2006/relationships/image" Target="media/image315.png"/><Relationship Id="rId420" Type="http://schemas.openxmlformats.org/officeDocument/2006/relationships/image" Target="media/image316.png"/><Relationship Id="rId421" Type="http://schemas.openxmlformats.org/officeDocument/2006/relationships/image" Target="media/image317.png"/><Relationship Id="rId422" Type="http://schemas.openxmlformats.org/officeDocument/2006/relationships/image" Target="media/image318.png"/><Relationship Id="rId423" Type="http://schemas.openxmlformats.org/officeDocument/2006/relationships/image" Target="media/image319.png"/><Relationship Id="rId424" Type="http://schemas.openxmlformats.org/officeDocument/2006/relationships/image" Target="media/image320.png"/><Relationship Id="rId425" Type="http://schemas.openxmlformats.org/officeDocument/2006/relationships/image" Target="media/image321.png"/><Relationship Id="rId426" Type="http://schemas.openxmlformats.org/officeDocument/2006/relationships/image" Target="media/image322.png"/><Relationship Id="rId427" Type="http://schemas.openxmlformats.org/officeDocument/2006/relationships/image" Target="media/image323.png"/><Relationship Id="rId428" Type="http://schemas.openxmlformats.org/officeDocument/2006/relationships/image" Target="media/image324.png"/><Relationship Id="rId429" Type="http://schemas.openxmlformats.org/officeDocument/2006/relationships/image" Target="media/image325.png"/><Relationship Id="rId430" Type="http://schemas.openxmlformats.org/officeDocument/2006/relationships/image" Target="media/image326.png"/><Relationship Id="rId431" Type="http://schemas.openxmlformats.org/officeDocument/2006/relationships/image" Target="media/image327.png"/><Relationship Id="rId432" Type="http://schemas.openxmlformats.org/officeDocument/2006/relationships/image" Target="media/image328.png"/><Relationship Id="rId433" Type="http://schemas.openxmlformats.org/officeDocument/2006/relationships/image" Target="media/image329.png"/><Relationship Id="rId434" Type="http://schemas.openxmlformats.org/officeDocument/2006/relationships/image" Target="media/image330.png"/><Relationship Id="rId435" Type="http://schemas.openxmlformats.org/officeDocument/2006/relationships/image" Target="media/image331.png"/><Relationship Id="rId436" Type="http://schemas.openxmlformats.org/officeDocument/2006/relationships/image" Target="media/image332.png"/><Relationship Id="rId437" Type="http://schemas.openxmlformats.org/officeDocument/2006/relationships/image" Target="media/image333.png"/><Relationship Id="rId438" Type="http://schemas.openxmlformats.org/officeDocument/2006/relationships/image" Target="media/image334.png"/><Relationship Id="rId439" Type="http://schemas.openxmlformats.org/officeDocument/2006/relationships/image" Target="media/image335.png"/><Relationship Id="rId440" Type="http://schemas.openxmlformats.org/officeDocument/2006/relationships/image" Target="media/image336.png"/><Relationship Id="rId441" Type="http://schemas.openxmlformats.org/officeDocument/2006/relationships/image" Target="media/image337.png"/><Relationship Id="rId442" Type="http://schemas.openxmlformats.org/officeDocument/2006/relationships/image" Target="media/image338.png"/><Relationship Id="rId443" Type="http://schemas.openxmlformats.org/officeDocument/2006/relationships/image" Target="media/image339.png"/><Relationship Id="rId444" Type="http://schemas.openxmlformats.org/officeDocument/2006/relationships/image" Target="media/image340.png"/><Relationship Id="rId445" Type="http://schemas.openxmlformats.org/officeDocument/2006/relationships/image" Target="media/image341.png"/><Relationship Id="rId446" Type="http://schemas.openxmlformats.org/officeDocument/2006/relationships/image" Target="media/image342.png"/><Relationship Id="rId447" Type="http://schemas.openxmlformats.org/officeDocument/2006/relationships/image" Target="media/image343.png"/><Relationship Id="rId448" Type="http://schemas.openxmlformats.org/officeDocument/2006/relationships/image" Target="media/image344.png"/><Relationship Id="rId449" Type="http://schemas.openxmlformats.org/officeDocument/2006/relationships/image" Target="media/image345.png"/><Relationship Id="rId450" Type="http://schemas.openxmlformats.org/officeDocument/2006/relationships/image" Target="media/image346.png"/><Relationship Id="rId451" Type="http://schemas.openxmlformats.org/officeDocument/2006/relationships/image" Target="media/image347.png"/><Relationship Id="rId452" Type="http://schemas.openxmlformats.org/officeDocument/2006/relationships/image" Target="media/image348.png"/><Relationship Id="rId453" Type="http://schemas.openxmlformats.org/officeDocument/2006/relationships/image" Target="media/image349.png"/><Relationship Id="rId454" Type="http://schemas.openxmlformats.org/officeDocument/2006/relationships/image" Target="media/image350.png"/><Relationship Id="rId455" Type="http://schemas.openxmlformats.org/officeDocument/2006/relationships/image" Target="media/image351.png"/><Relationship Id="rId456" Type="http://schemas.openxmlformats.org/officeDocument/2006/relationships/image" Target="media/image352.png"/><Relationship Id="rId457" Type="http://schemas.openxmlformats.org/officeDocument/2006/relationships/image" Target="media/image353.png"/><Relationship Id="rId458" Type="http://schemas.openxmlformats.org/officeDocument/2006/relationships/image" Target="media/image354.png"/><Relationship Id="rId459" Type="http://schemas.openxmlformats.org/officeDocument/2006/relationships/image" Target="media/image355.png"/><Relationship Id="rId460" Type="http://schemas.openxmlformats.org/officeDocument/2006/relationships/image" Target="media/image356.png"/><Relationship Id="rId461" Type="http://schemas.openxmlformats.org/officeDocument/2006/relationships/image" Target="media/image357.png"/><Relationship Id="rId462" Type="http://schemas.openxmlformats.org/officeDocument/2006/relationships/image" Target="media/image358.png"/><Relationship Id="rId463" Type="http://schemas.openxmlformats.org/officeDocument/2006/relationships/image" Target="media/image359.png"/><Relationship Id="rId464" Type="http://schemas.openxmlformats.org/officeDocument/2006/relationships/image" Target="media/image360.png"/><Relationship Id="rId465" Type="http://schemas.openxmlformats.org/officeDocument/2006/relationships/image" Target="media/image361.png"/><Relationship Id="rId466" Type="http://schemas.openxmlformats.org/officeDocument/2006/relationships/image" Target="media/image362.png"/><Relationship Id="rId467" Type="http://schemas.openxmlformats.org/officeDocument/2006/relationships/image" Target="media/image363.png"/><Relationship Id="rId468" Type="http://schemas.openxmlformats.org/officeDocument/2006/relationships/image" Target="media/image364.png"/><Relationship Id="rId469" Type="http://schemas.openxmlformats.org/officeDocument/2006/relationships/image" Target="media/image365.png"/><Relationship Id="rId470" Type="http://schemas.openxmlformats.org/officeDocument/2006/relationships/image" Target="media/image366.png"/><Relationship Id="rId471" Type="http://schemas.openxmlformats.org/officeDocument/2006/relationships/image" Target="media/image367.png"/><Relationship Id="rId472" Type="http://schemas.openxmlformats.org/officeDocument/2006/relationships/image" Target="media/image368.png"/><Relationship Id="rId473" Type="http://schemas.openxmlformats.org/officeDocument/2006/relationships/image" Target="media/image369.png"/><Relationship Id="rId474" Type="http://schemas.openxmlformats.org/officeDocument/2006/relationships/image" Target="media/image370.png"/><Relationship Id="rId475" Type="http://schemas.openxmlformats.org/officeDocument/2006/relationships/image" Target="media/image371.png"/><Relationship Id="rId476" Type="http://schemas.openxmlformats.org/officeDocument/2006/relationships/image" Target="media/image372.png"/><Relationship Id="rId477" Type="http://schemas.openxmlformats.org/officeDocument/2006/relationships/image" Target="media/image373.png"/><Relationship Id="rId478" Type="http://schemas.openxmlformats.org/officeDocument/2006/relationships/image" Target="media/image374.png"/><Relationship Id="rId479" Type="http://schemas.openxmlformats.org/officeDocument/2006/relationships/image" Target="media/image375.png"/><Relationship Id="rId480" Type="http://schemas.openxmlformats.org/officeDocument/2006/relationships/image" Target="media/image376.png"/><Relationship Id="rId481" Type="http://schemas.openxmlformats.org/officeDocument/2006/relationships/image" Target="media/image377.png"/><Relationship Id="rId482" Type="http://schemas.openxmlformats.org/officeDocument/2006/relationships/image" Target="media/image378.png"/><Relationship Id="rId483" Type="http://schemas.openxmlformats.org/officeDocument/2006/relationships/image" Target="media/image379.png"/><Relationship Id="rId484" Type="http://schemas.openxmlformats.org/officeDocument/2006/relationships/image" Target="media/image380.png"/><Relationship Id="rId485" Type="http://schemas.openxmlformats.org/officeDocument/2006/relationships/image" Target="media/image381.png"/><Relationship Id="rId486" Type="http://schemas.openxmlformats.org/officeDocument/2006/relationships/image" Target="media/image382.png"/><Relationship Id="rId487" Type="http://schemas.openxmlformats.org/officeDocument/2006/relationships/image" Target="media/image383.png"/><Relationship Id="rId488" Type="http://schemas.openxmlformats.org/officeDocument/2006/relationships/image" Target="media/image384.png"/><Relationship Id="rId489" Type="http://schemas.openxmlformats.org/officeDocument/2006/relationships/image" Target="media/image385.png"/><Relationship Id="rId490" Type="http://schemas.openxmlformats.org/officeDocument/2006/relationships/image" Target="media/image386.png"/><Relationship Id="rId491" Type="http://schemas.openxmlformats.org/officeDocument/2006/relationships/image" Target="media/image387.png"/><Relationship Id="rId492" Type="http://schemas.openxmlformats.org/officeDocument/2006/relationships/image" Target="media/image388.png"/><Relationship Id="rId493" Type="http://schemas.openxmlformats.org/officeDocument/2006/relationships/image" Target="media/image389.png"/><Relationship Id="rId494" Type="http://schemas.openxmlformats.org/officeDocument/2006/relationships/image" Target="media/image390.png"/><Relationship Id="rId495" Type="http://schemas.openxmlformats.org/officeDocument/2006/relationships/image" Target="media/image391.png"/><Relationship Id="rId496" Type="http://schemas.openxmlformats.org/officeDocument/2006/relationships/image" Target="media/image392.png"/><Relationship Id="rId497" Type="http://schemas.openxmlformats.org/officeDocument/2006/relationships/image" Target="media/image393.png"/><Relationship Id="rId498" Type="http://schemas.openxmlformats.org/officeDocument/2006/relationships/image" Target="media/image394.png"/><Relationship Id="rId499" Type="http://schemas.openxmlformats.org/officeDocument/2006/relationships/image" Target="media/image395.png"/><Relationship Id="rId500" Type="http://schemas.openxmlformats.org/officeDocument/2006/relationships/image" Target="media/image396.png"/><Relationship Id="rId501" Type="http://schemas.openxmlformats.org/officeDocument/2006/relationships/image" Target="media/image397.png"/><Relationship Id="rId502" Type="http://schemas.openxmlformats.org/officeDocument/2006/relationships/image" Target="media/image398.png"/><Relationship Id="rId503" Type="http://schemas.openxmlformats.org/officeDocument/2006/relationships/image" Target="media/image399.png"/><Relationship Id="rId504" Type="http://schemas.openxmlformats.org/officeDocument/2006/relationships/image" Target="media/image400.png"/><Relationship Id="rId505" Type="http://schemas.openxmlformats.org/officeDocument/2006/relationships/image" Target="media/image401.png"/><Relationship Id="rId506" Type="http://schemas.openxmlformats.org/officeDocument/2006/relationships/image" Target="media/image402.png"/><Relationship Id="rId507" Type="http://schemas.openxmlformats.org/officeDocument/2006/relationships/image" Target="media/image403.png"/><Relationship Id="rId508" Type="http://schemas.openxmlformats.org/officeDocument/2006/relationships/image" Target="media/image404.png"/><Relationship Id="rId509" Type="http://schemas.openxmlformats.org/officeDocument/2006/relationships/image" Target="media/image405.png"/><Relationship Id="rId510" Type="http://schemas.openxmlformats.org/officeDocument/2006/relationships/image" Target="media/image406.png"/><Relationship Id="rId511" Type="http://schemas.openxmlformats.org/officeDocument/2006/relationships/image" Target="media/image407.png"/><Relationship Id="rId512" Type="http://schemas.openxmlformats.org/officeDocument/2006/relationships/image" Target="media/image408.png"/><Relationship Id="rId513" Type="http://schemas.openxmlformats.org/officeDocument/2006/relationships/image" Target="media/image409.png"/><Relationship Id="rId514" Type="http://schemas.openxmlformats.org/officeDocument/2006/relationships/image" Target="media/image410.png"/><Relationship Id="rId515" Type="http://schemas.openxmlformats.org/officeDocument/2006/relationships/image" Target="media/image411.png"/><Relationship Id="rId516" Type="http://schemas.openxmlformats.org/officeDocument/2006/relationships/image" Target="media/image412.png"/><Relationship Id="rId517" Type="http://schemas.openxmlformats.org/officeDocument/2006/relationships/image" Target="media/image413.png"/><Relationship Id="rId518" Type="http://schemas.openxmlformats.org/officeDocument/2006/relationships/image" Target="media/image414.png"/><Relationship Id="rId519" Type="http://schemas.openxmlformats.org/officeDocument/2006/relationships/image" Target="media/image415.png"/><Relationship Id="rId520" Type="http://schemas.openxmlformats.org/officeDocument/2006/relationships/image" Target="media/image416.png"/><Relationship Id="rId521" Type="http://schemas.openxmlformats.org/officeDocument/2006/relationships/image" Target="media/image417.png"/><Relationship Id="rId522" Type="http://schemas.openxmlformats.org/officeDocument/2006/relationships/image" Target="media/image418.png"/><Relationship Id="rId523" Type="http://schemas.openxmlformats.org/officeDocument/2006/relationships/image" Target="media/image419.png"/><Relationship Id="rId524" Type="http://schemas.openxmlformats.org/officeDocument/2006/relationships/image" Target="media/image420.png"/><Relationship Id="rId525" Type="http://schemas.openxmlformats.org/officeDocument/2006/relationships/image" Target="media/image421.png"/><Relationship Id="rId526" Type="http://schemas.openxmlformats.org/officeDocument/2006/relationships/image" Target="media/image422.png"/><Relationship Id="rId527" Type="http://schemas.openxmlformats.org/officeDocument/2006/relationships/image" Target="media/image423.png"/><Relationship Id="rId528" Type="http://schemas.openxmlformats.org/officeDocument/2006/relationships/image" Target="media/image424.png"/><Relationship Id="rId529" Type="http://schemas.openxmlformats.org/officeDocument/2006/relationships/image" Target="media/image425.png"/><Relationship Id="rId530" Type="http://schemas.openxmlformats.org/officeDocument/2006/relationships/image" Target="media/image426.png"/><Relationship Id="rId531" Type="http://schemas.openxmlformats.org/officeDocument/2006/relationships/image" Target="media/image427.png"/><Relationship Id="rId532" Type="http://schemas.openxmlformats.org/officeDocument/2006/relationships/image" Target="media/image428.png"/><Relationship Id="rId533" Type="http://schemas.openxmlformats.org/officeDocument/2006/relationships/image" Target="media/image429.png"/><Relationship Id="rId534" Type="http://schemas.openxmlformats.org/officeDocument/2006/relationships/image" Target="media/image430.png"/><Relationship Id="rId535" Type="http://schemas.openxmlformats.org/officeDocument/2006/relationships/image" Target="media/image431.png"/><Relationship Id="rId536" Type="http://schemas.openxmlformats.org/officeDocument/2006/relationships/image" Target="media/image432.png"/><Relationship Id="rId537" Type="http://schemas.openxmlformats.org/officeDocument/2006/relationships/image" Target="media/image433.png"/><Relationship Id="rId538" Type="http://schemas.openxmlformats.org/officeDocument/2006/relationships/image" Target="media/image434.png"/><Relationship Id="rId539" Type="http://schemas.openxmlformats.org/officeDocument/2006/relationships/image" Target="media/image435.png"/><Relationship Id="rId540" Type="http://schemas.openxmlformats.org/officeDocument/2006/relationships/image" Target="media/image436.png"/><Relationship Id="rId541" Type="http://schemas.openxmlformats.org/officeDocument/2006/relationships/image" Target="media/image437.png"/><Relationship Id="rId542" Type="http://schemas.openxmlformats.org/officeDocument/2006/relationships/image" Target="media/image438.png"/><Relationship Id="rId543" Type="http://schemas.openxmlformats.org/officeDocument/2006/relationships/image" Target="media/image439.png"/><Relationship Id="rId544" Type="http://schemas.openxmlformats.org/officeDocument/2006/relationships/image" Target="media/image440.png"/><Relationship Id="rId545" Type="http://schemas.openxmlformats.org/officeDocument/2006/relationships/image" Target="media/image441.png"/><Relationship Id="rId546" Type="http://schemas.openxmlformats.org/officeDocument/2006/relationships/image" Target="media/image442.png"/><Relationship Id="rId547" Type="http://schemas.openxmlformats.org/officeDocument/2006/relationships/image" Target="media/image443.png"/><Relationship Id="rId548" Type="http://schemas.openxmlformats.org/officeDocument/2006/relationships/image" Target="media/image444.png"/><Relationship Id="rId549" Type="http://schemas.openxmlformats.org/officeDocument/2006/relationships/image" Target="media/image445.png"/><Relationship Id="rId550" Type="http://schemas.openxmlformats.org/officeDocument/2006/relationships/image" Target="media/image446.png"/><Relationship Id="rId551" Type="http://schemas.openxmlformats.org/officeDocument/2006/relationships/image" Target="media/image447.png"/><Relationship Id="rId552" Type="http://schemas.openxmlformats.org/officeDocument/2006/relationships/image" Target="media/image448.png"/><Relationship Id="rId553" Type="http://schemas.openxmlformats.org/officeDocument/2006/relationships/image" Target="media/image449.png"/><Relationship Id="rId554" Type="http://schemas.openxmlformats.org/officeDocument/2006/relationships/image" Target="media/image450.png"/><Relationship Id="rId555" Type="http://schemas.openxmlformats.org/officeDocument/2006/relationships/image" Target="media/image451.png"/><Relationship Id="rId556" Type="http://schemas.openxmlformats.org/officeDocument/2006/relationships/image" Target="media/image452.png"/><Relationship Id="rId557" Type="http://schemas.openxmlformats.org/officeDocument/2006/relationships/image" Target="media/image453.png"/><Relationship Id="rId558" Type="http://schemas.openxmlformats.org/officeDocument/2006/relationships/image" Target="media/image454.png"/><Relationship Id="rId559" Type="http://schemas.openxmlformats.org/officeDocument/2006/relationships/image" Target="media/image455.png"/><Relationship Id="rId560" Type="http://schemas.openxmlformats.org/officeDocument/2006/relationships/image" Target="media/image456.png"/><Relationship Id="rId561" Type="http://schemas.openxmlformats.org/officeDocument/2006/relationships/image" Target="media/image457.png"/><Relationship Id="rId562" Type="http://schemas.openxmlformats.org/officeDocument/2006/relationships/image" Target="media/image458.png"/><Relationship Id="rId563" Type="http://schemas.openxmlformats.org/officeDocument/2006/relationships/image" Target="media/image459.png"/><Relationship Id="rId564" Type="http://schemas.openxmlformats.org/officeDocument/2006/relationships/image" Target="media/image460.png"/><Relationship Id="rId565" Type="http://schemas.openxmlformats.org/officeDocument/2006/relationships/image" Target="media/image461.png"/><Relationship Id="rId566" Type="http://schemas.openxmlformats.org/officeDocument/2006/relationships/image" Target="media/image462.png"/><Relationship Id="rId567" Type="http://schemas.openxmlformats.org/officeDocument/2006/relationships/image" Target="media/image463.png"/><Relationship Id="rId568" Type="http://schemas.openxmlformats.org/officeDocument/2006/relationships/image" Target="media/image464.png"/><Relationship Id="rId569" Type="http://schemas.openxmlformats.org/officeDocument/2006/relationships/image" Target="media/image465.png"/><Relationship Id="rId570" Type="http://schemas.openxmlformats.org/officeDocument/2006/relationships/image" Target="media/image466.png"/><Relationship Id="rId571" Type="http://schemas.openxmlformats.org/officeDocument/2006/relationships/image" Target="media/image467.png"/><Relationship Id="rId572" Type="http://schemas.openxmlformats.org/officeDocument/2006/relationships/image" Target="media/image468.png"/><Relationship Id="rId573" Type="http://schemas.openxmlformats.org/officeDocument/2006/relationships/image" Target="media/image469.png"/><Relationship Id="rId574" Type="http://schemas.openxmlformats.org/officeDocument/2006/relationships/image" Target="media/image470.png"/><Relationship Id="rId575" Type="http://schemas.openxmlformats.org/officeDocument/2006/relationships/image" Target="media/image471.png"/><Relationship Id="rId576" Type="http://schemas.openxmlformats.org/officeDocument/2006/relationships/image" Target="media/image472.png"/><Relationship Id="rId577" Type="http://schemas.openxmlformats.org/officeDocument/2006/relationships/image" Target="media/image473.png"/><Relationship Id="rId578" Type="http://schemas.openxmlformats.org/officeDocument/2006/relationships/image" Target="media/image474.png"/><Relationship Id="rId579" Type="http://schemas.openxmlformats.org/officeDocument/2006/relationships/image" Target="media/image475.png"/><Relationship Id="rId580" Type="http://schemas.openxmlformats.org/officeDocument/2006/relationships/image" Target="media/image476.png"/><Relationship Id="rId581" Type="http://schemas.openxmlformats.org/officeDocument/2006/relationships/image" Target="media/image477.png"/><Relationship Id="rId582" Type="http://schemas.openxmlformats.org/officeDocument/2006/relationships/image" Target="media/image478.png"/><Relationship Id="rId583" Type="http://schemas.openxmlformats.org/officeDocument/2006/relationships/image" Target="media/image479.png"/><Relationship Id="rId584" Type="http://schemas.openxmlformats.org/officeDocument/2006/relationships/image" Target="media/image480.png"/><Relationship Id="rId585" Type="http://schemas.openxmlformats.org/officeDocument/2006/relationships/image" Target="media/image481.png"/><Relationship Id="rId586" Type="http://schemas.openxmlformats.org/officeDocument/2006/relationships/image" Target="media/image482.png"/><Relationship Id="rId587" Type="http://schemas.openxmlformats.org/officeDocument/2006/relationships/image" Target="media/image483.png"/><Relationship Id="rId588" Type="http://schemas.openxmlformats.org/officeDocument/2006/relationships/image" Target="media/image484.png"/><Relationship Id="rId589" Type="http://schemas.openxmlformats.org/officeDocument/2006/relationships/image" Target="media/image485.png"/><Relationship Id="rId590" Type="http://schemas.openxmlformats.org/officeDocument/2006/relationships/image" Target="media/image486.png"/><Relationship Id="rId591" Type="http://schemas.openxmlformats.org/officeDocument/2006/relationships/image" Target="media/image487.png"/><Relationship Id="rId592" Type="http://schemas.openxmlformats.org/officeDocument/2006/relationships/image" Target="media/image488.png"/><Relationship Id="rId593" Type="http://schemas.openxmlformats.org/officeDocument/2006/relationships/image" Target="media/image489.png"/><Relationship Id="rId594" Type="http://schemas.openxmlformats.org/officeDocument/2006/relationships/image" Target="media/image490.png"/><Relationship Id="rId595" Type="http://schemas.openxmlformats.org/officeDocument/2006/relationships/image" Target="media/image491.png"/><Relationship Id="rId596" Type="http://schemas.openxmlformats.org/officeDocument/2006/relationships/image" Target="media/image492.png"/><Relationship Id="rId597" Type="http://schemas.openxmlformats.org/officeDocument/2006/relationships/image" Target="media/image493.png"/><Relationship Id="rId598" Type="http://schemas.openxmlformats.org/officeDocument/2006/relationships/image" Target="media/image494.png"/><Relationship Id="rId599" Type="http://schemas.openxmlformats.org/officeDocument/2006/relationships/image" Target="media/image495.png"/><Relationship Id="rId600" Type="http://schemas.openxmlformats.org/officeDocument/2006/relationships/image" Target="media/image496.png"/><Relationship Id="rId601" Type="http://schemas.openxmlformats.org/officeDocument/2006/relationships/image" Target="media/image497.png"/><Relationship Id="rId602" Type="http://schemas.openxmlformats.org/officeDocument/2006/relationships/image" Target="media/image498.png"/><Relationship Id="rId603" Type="http://schemas.openxmlformats.org/officeDocument/2006/relationships/image" Target="media/image499.png"/><Relationship Id="rId604" Type="http://schemas.openxmlformats.org/officeDocument/2006/relationships/image" Target="media/image500.png"/><Relationship Id="rId605" Type="http://schemas.openxmlformats.org/officeDocument/2006/relationships/image" Target="media/image501.png"/><Relationship Id="rId606" Type="http://schemas.openxmlformats.org/officeDocument/2006/relationships/image" Target="media/image502.png"/><Relationship Id="rId607" Type="http://schemas.openxmlformats.org/officeDocument/2006/relationships/image" Target="media/image503.png"/><Relationship Id="rId608" Type="http://schemas.openxmlformats.org/officeDocument/2006/relationships/image" Target="media/image504.png"/><Relationship Id="rId609" Type="http://schemas.openxmlformats.org/officeDocument/2006/relationships/image" Target="media/image505.png"/><Relationship Id="rId610" Type="http://schemas.openxmlformats.org/officeDocument/2006/relationships/image" Target="media/image506.png"/><Relationship Id="rId611" Type="http://schemas.openxmlformats.org/officeDocument/2006/relationships/image" Target="media/image507.png"/><Relationship Id="rId612" Type="http://schemas.openxmlformats.org/officeDocument/2006/relationships/image" Target="media/image508.png"/><Relationship Id="rId613" Type="http://schemas.openxmlformats.org/officeDocument/2006/relationships/image" Target="media/image509.png"/><Relationship Id="rId614" Type="http://schemas.openxmlformats.org/officeDocument/2006/relationships/image" Target="media/image510.png"/><Relationship Id="rId615" Type="http://schemas.openxmlformats.org/officeDocument/2006/relationships/image" Target="media/image511.png"/><Relationship Id="rId616" Type="http://schemas.openxmlformats.org/officeDocument/2006/relationships/image" Target="media/image512.png"/><Relationship Id="rId617" Type="http://schemas.openxmlformats.org/officeDocument/2006/relationships/image" Target="media/image513.png"/><Relationship Id="rId618" Type="http://schemas.openxmlformats.org/officeDocument/2006/relationships/image" Target="media/image514.png"/><Relationship Id="rId619" Type="http://schemas.openxmlformats.org/officeDocument/2006/relationships/image" Target="media/image515.png"/><Relationship Id="rId620" Type="http://schemas.openxmlformats.org/officeDocument/2006/relationships/image" Target="media/image516.png"/><Relationship Id="rId621" Type="http://schemas.openxmlformats.org/officeDocument/2006/relationships/image" Target="media/image517.png"/><Relationship Id="rId622" Type="http://schemas.openxmlformats.org/officeDocument/2006/relationships/image" Target="media/image518.png"/><Relationship Id="rId623" Type="http://schemas.openxmlformats.org/officeDocument/2006/relationships/image" Target="media/image519.png"/><Relationship Id="rId624" Type="http://schemas.openxmlformats.org/officeDocument/2006/relationships/image" Target="media/image520.png"/><Relationship Id="rId625" Type="http://schemas.openxmlformats.org/officeDocument/2006/relationships/image" Target="media/image521.png"/><Relationship Id="rId626" Type="http://schemas.openxmlformats.org/officeDocument/2006/relationships/image" Target="media/image522.png"/><Relationship Id="rId627" Type="http://schemas.openxmlformats.org/officeDocument/2006/relationships/image" Target="media/image523.png"/><Relationship Id="rId628" Type="http://schemas.openxmlformats.org/officeDocument/2006/relationships/image" Target="media/image524.png"/><Relationship Id="rId629" Type="http://schemas.openxmlformats.org/officeDocument/2006/relationships/image" Target="media/image525.png"/><Relationship Id="rId630" Type="http://schemas.openxmlformats.org/officeDocument/2006/relationships/image" Target="media/image526.png"/><Relationship Id="rId631" Type="http://schemas.openxmlformats.org/officeDocument/2006/relationships/image" Target="media/image527.png"/><Relationship Id="rId632" Type="http://schemas.openxmlformats.org/officeDocument/2006/relationships/image" Target="media/image528.png"/><Relationship Id="rId633" Type="http://schemas.openxmlformats.org/officeDocument/2006/relationships/image" Target="media/image529.png"/><Relationship Id="rId634" Type="http://schemas.openxmlformats.org/officeDocument/2006/relationships/image" Target="media/image530.png"/><Relationship Id="rId635" Type="http://schemas.openxmlformats.org/officeDocument/2006/relationships/image" Target="media/image531.png"/><Relationship Id="rId636" Type="http://schemas.openxmlformats.org/officeDocument/2006/relationships/image" Target="media/image532.png"/><Relationship Id="rId637" Type="http://schemas.openxmlformats.org/officeDocument/2006/relationships/image" Target="media/image533.png"/><Relationship Id="rId638" Type="http://schemas.openxmlformats.org/officeDocument/2006/relationships/image" Target="media/image534.png"/><Relationship Id="rId639" Type="http://schemas.openxmlformats.org/officeDocument/2006/relationships/image" Target="media/image535.png"/><Relationship Id="rId640" Type="http://schemas.openxmlformats.org/officeDocument/2006/relationships/image" Target="media/image536.png"/><Relationship Id="rId641" Type="http://schemas.openxmlformats.org/officeDocument/2006/relationships/image" Target="media/image537.png"/><Relationship Id="rId642" Type="http://schemas.openxmlformats.org/officeDocument/2006/relationships/image" Target="media/image538.png"/><Relationship Id="rId643" Type="http://schemas.openxmlformats.org/officeDocument/2006/relationships/image" Target="media/image539.png"/><Relationship Id="rId644" Type="http://schemas.openxmlformats.org/officeDocument/2006/relationships/image" Target="media/image540.png"/><Relationship Id="rId645" Type="http://schemas.openxmlformats.org/officeDocument/2006/relationships/image" Target="media/image541.png"/><Relationship Id="rId646" Type="http://schemas.openxmlformats.org/officeDocument/2006/relationships/image" Target="media/image542.png"/><Relationship Id="rId647" Type="http://schemas.openxmlformats.org/officeDocument/2006/relationships/image" Target="media/image543.png"/><Relationship Id="rId648" Type="http://schemas.openxmlformats.org/officeDocument/2006/relationships/image" Target="media/image544.png"/><Relationship Id="rId649" Type="http://schemas.openxmlformats.org/officeDocument/2006/relationships/image" Target="media/image545.png"/><Relationship Id="rId650" Type="http://schemas.openxmlformats.org/officeDocument/2006/relationships/image" Target="media/image546.png"/><Relationship Id="rId651" Type="http://schemas.openxmlformats.org/officeDocument/2006/relationships/image" Target="media/image547.png"/><Relationship Id="rId652" Type="http://schemas.openxmlformats.org/officeDocument/2006/relationships/image" Target="media/image548.png"/><Relationship Id="rId653" Type="http://schemas.openxmlformats.org/officeDocument/2006/relationships/image" Target="media/image549.png"/><Relationship Id="rId654" Type="http://schemas.openxmlformats.org/officeDocument/2006/relationships/image" Target="media/image550.png"/><Relationship Id="rId655" Type="http://schemas.openxmlformats.org/officeDocument/2006/relationships/image" Target="media/image551.png"/><Relationship Id="rId656" Type="http://schemas.openxmlformats.org/officeDocument/2006/relationships/image" Target="media/image552.png"/><Relationship Id="rId657" Type="http://schemas.openxmlformats.org/officeDocument/2006/relationships/image" Target="media/image553.png"/><Relationship Id="rId658" Type="http://schemas.openxmlformats.org/officeDocument/2006/relationships/image" Target="media/image554.png"/><Relationship Id="rId659" Type="http://schemas.openxmlformats.org/officeDocument/2006/relationships/image" Target="media/image555.png"/><Relationship Id="rId660" Type="http://schemas.openxmlformats.org/officeDocument/2006/relationships/image" Target="media/image556.png"/><Relationship Id="rId661" Type="http://schemas.openxmlformats.org/officeDocument/2006/relationships/image" Target="media/image557.png"/><Relationship Id="rId662" Type="http://schemas.openxmlformats.org/officeDocument/2006/relationships/image" Target="media/image558.png"/><Relationship Id="rId663" Type="http://schemas.openxmlformats.org/officeDocument/2006/relationships/image" Target="media/image559.png"/><Relationship Id="rId664" Type="http://schemas.openxmlformats.org/officeDocument/2006/relationships/image" Target="media/image560.png"/><Relationship Id="rId665" Type="http://schemas.openxmlformats.org/officeDocument/2006/relationships/image" Target="media/image561.png"/><Relationship Id="rId666" Type="http://schemas.openxmlformats.org/officeDocument/2006/relationships/image" Target="media/image562.png"/><Relationship Id="rId667" Type="http://schemas.openxmlformats.org/officeDocument/2006/relationships/image" Target="media/image563.png"/><Relationship Id="rId668" Type="http://schemas.openxmlformats.org/officeDocument/2006/relationships/image" Target="media/image564.png"/><Relationship Id="rId669" Type="http://schemas.openxmlformats.org/officeDocument/2006/relationships/image" Target="media/image565.png"/><Relationship Id="rId670" Type="http://schemas.openxmlformats.org/officeDocument/2006/relationships/image" Target="media/image566.png"/><Relationship Id="rId671" Type="http://schemas.openxmlformats.org/officeDocument/2006/relationships/image" Target="media/image567.png"/><Relationship Id="rId672" Type="http://schemas.openxmlformats.org/officeDocument/2006/relationships/image" Target="media/image568.png"/><Relationship Id="rId673" Type="http://schemas.openxmlformats.org/officeDocument/2006/relationships/image" Target="media/image569.png"/><Relationship Id="rId674" Type="http://schemas.openxmlformats.org/officeDocument/2006/relationships/image" Target="media/image570.png"/><Relationship Id="rId675" Type="http://schemas.openxmlformats.org/officeDocument/2006/relationships/image" Target="media/image571.png"/><Relationship Id="rId676" Type="http://schemas.openxmlformats.org/officeDocument/2006/relationships/image" Target="media/image572.png"/><Relationship Id="rId677" Type="http://schemas.openxmlformats.org/officeDocument/2006/relationships/image" Target="media/image573.png"/><Relationship Id="rId678" Type="http://schemas.openxmlformats.org/officeDocument/2006/relationships/image" Target="media/image574.png"/><Relationship Id="rId679" Type="http://schemas.openxmlformats.org/officeDocument/2006/relationships/image" Target="media/image575.png"/><Relationship Id="rId680" Type="http://schemas.openxmlformats.org/officeDocument/2006/relationships/image" Target="media/image576.png"/><Relationship Id="rId681" Type="http://schemas.openxmlformats.org/officeDocument/2006/relationships/image" Target="media/image577.png"/><Relationship Id="rId682" Type="http://schemas.openxmlformats.org/officeDocument/2006/relationships/image" Target="media/image578.png"/><Relationship Id="rId683" Type="http://schemas.openxmlformats.org/officeDocument/2006/relationships/image" Target="media/image579.png"/><Relationship Id="rId684" Type="http://schemas.openxmlformats.org/officeDocument/2006/relationships/image" Target="media/image580.png"/><Relationship Id="rId685" Type="http://schemas.openxmlformats.org/officeDocument/2006/relationships/image" Target="media/image581.png"/><Relationship Id="rId686" Type="http://schemas.openxmlformats.org/officeDocument/2006/relationships/image" Target="media/image582.png"/><Relationship Id="rId687" Type="http://schemas.openxmlformats.org/officeDocument/2006/relationships/image" Target="media/image583.png"/><Relationship Id="rId688" Type="http://schemas.openxmlformats.org/officeDocument/2006/relationships/image" Target="media/image584.png"/><Relationship Id="rId689" Type="http://schemas.openxmlformats.org/officeDocument/2006/relationships/image" Target="media/image585.png"/><Relationship Id="rId690" Type="http://schemas.openxmlformats.org/officeDocument/2006/relationships/image" Target="media/image586.png"/><Relationship Id="rId691" Type="http://schemas.openxmlformats.org/officeDocument/2006/relationships/image" Target="media/image587.png"/><Relationship Id="rId692" Type="http://schemas.openxmlformats.org/officeDocument/2006/relationships/image" Target="media/image588.png"/><Relationship Id="rId693" Type="http://schemas.openxmlformats.org/officeDocument/2006/relationships/image" Target="media/image589.png"/><Relationship Id="rId694" Type="http://schemas.openxmlformats.org/officeDocument/2006/relationships/image" Target="media/image590.png"/><Relationship Id="rId695" Type="http://schemas.openxmlformats.org/officeDocument/2006/relationships/image" Target="media/image591.png"/><Relationship Id="rId696" Type="http://schemas.openxmlformats.org/officeDocument/2006/relationships/image" Target="media/image592.png"/><Relationship Id="rId697" Type="http://schemas.openxmlformats.org/officeDocument/2006/relationships/image" Target="media/image593.png"/><Relationship Id="rId698" Type="http://schemas.openxmlformats.org/officeDocument/2006/relationships/image" Target="media/image594.png"/><Relationship Id="rId699" Type="http://schemas.openxmlformats.org/officeDocument/2006/relationships/image" Target="media/image595.png"/><Relationship Id="rId700" Type="http://schemas.openxmlformats.org/officeDocument/2006/relationships/image" Target="media/image596.png"/><Relationship Id="rId701" Type="http://schemas.openxmlformats.org/officeDocument/2006/relationships/image" Target="media/image597.png"/><Relationship Id="rId702" Type="http://schemas.openxmlformats.org/officeDocument/2006/relationships/image" Target="media/image598.png"/><Relationship Id="rId703" Type="http://schemas.openxmlformats.org/officeDocument/2006/relationships/image" Target="media/image599.png"/><Relationship Id="rId704" Type="http://schemas.openxmlformats.org/officeDocument/2006/relationships/image" Target="media/image600.png"/><Relationship Id="rId705" Type="http://schemas.openxmlformats.org/officeDocument/2006/relationships/image" Target="media/image601.png"/><Relationship Id="rId706" Type="http://schemas.openxmlformats.org/officeDocument/2006/relationships/image" Target="media/image602.png"/><Relationship Id="rId707" Type="http://schemas.openxmlformats.org/officeDocument/2006/relationships/image" Target="media/image603.png"/><Relationship Id="rId708" Type="http://schemas.openxmlformats.org/officeDocument/2006/relationships/image" Target="media/image604.png"/><Relationship Id="rId709" Type="http://schemas.openxmlformats.org/officeDocument/2006/relationships/image" Target="media/image605.png"/><Relationship Id="rId710" Type="http://schemas.openxmlformats.org/officeDocument/2006/relationships/image" Target="media/image606.png"/><Relationship Id="rId711" Type="http://schemas.openxmlformats.org/officeDocument/2006/relationships/image" Target="media/image607.png"/><Relationship Id="rId712" Type="http://schemas.openxmlformats.org/officeDocument/2006/relationships/image" Target="media/image608.png"/><Relationship Id="rId713" Type="http://schemas.openxmlformats.org/officeDocument/2006/relationships/image" Target="media/image609.png"/><Relationship Id="rId714" Type="http://schemas.openxmlformats.org/officeDocument/2006/relationships/image" Target="media/image610.png"/><Relationship Id="rId715" Type="http://schemas.openxmlformats.org/officeDocument/2006/relationships/image" Target="media/image611.png"/><Relationship Id="rId716" Type="http://schemas.openxmlformats.org/officeDocument/2006/relationships/image" Target="media/image612.png"/><Relationship Id="rId717" Type="http://schemas.openxmlformats.org/officeDocument/2006/relationships/image" Target="media/image613.png"/><Relationship Id="rId718" Type="http://schemas.openxmlformats.org/officeDocument/2006/relationships/image" Target="media/image614.png"/><Relationship Id="rId719" Type="http://schemas.openxmlformats.org/officeDocument/2006/relationships/image" Target="media/image615.png"/><Relationship Id="rId720" Type="http://schemas.openxmlformats.org/officeDocument/2006/relationships/image" Target="media/image616.png"/><Relationship Id="rId721" Type="http://schemas.openxmlformats.org/officeDocument/2006/relationships/image" Target="media/image617.png"/><Relationship Id="rId722" Type="http://schemas.openxmlformats.org/officeDocument/2006/relationships/image" Target="media/image618.png"/><Relationship Id="rId723" Type="http://schemas.openxmlformats.org/officeDocument/2006/relationships/image" Target="media/image619.png"/><Relationship Id="rId724" Type="http://schemas.openxmlformats.org/officeDocument/2006/relationships/image" Target="media/image620.png"/><Relationship Id="rId725" Type="http://schemas.openxmlformats.org/officeDocument/2006/relationships/image" Target="media/image621.png"/><Relationship Id="rId726" Type="http://schemas.openxmlformats.org/officeDocument/2006/relationships/image" Target="media/image622.png"/><Relationship Id="rId727" Type="http://schemas.openxmlformats.org/officeDocument/2006/relationships/image" Target="media/image623.png"/><Relationship Id="rId728" Type="http://schemas.openxmlformats.org/officeDocument/2006/relationships/image" Target="media/image624.png"/><Relationship Id="rId729" Type="http://schemas.openxmlformats.org/officeDocument/2006/relationships/image" Target="media/image625.png"/><Relationship Id="rId730" Type="http://schemas.openxmlformats.org/officeDocument/2006/relationships/image" Target="media/image626.png"/><Relationship Id="rId731" Type="http://schemas.openxmlformats.org/officeDocument/2006/relationships/image" Target="media/image627.png"/><Relationship Id="rId732" Type="http://schemas.openxmlformats.org/officeDocument/2006/relationships/image" Target="media/image628.png"/><Relationship Id="rId733" Type="http://schemas.openxmlformats.org/officeDocument/2006/relationships/image" Target="media/image629.png"/><Relationship Id="rId734" Type="http://schemas.openxmlformats.org/officeDocument/2006/relationships/image" Target="media/image630.png"/><Relationship Id="rId735" Type="http://schemas.openxmlformats.org/officeDocument/2006/relationships/image" Target="media/image631.png"/><Relationship Id="rId736" Type="http://schemas.openxmlformats.org/officeDocument/2006/relationships/image" Target="media/image632.png"/><Relationship Id="rId737" Type="http://schemas.openxmlformats.org/officeDocument/2006/relationships/image" Target="media/image633.png"/><Relationship Id="rId738" Type="http://schemas.openxmlformats.org/officeDocument/2006/relationships/image" Target="media/image634.png"/><Relationship Id="rId739" Type="http://schemas.openxmlformats.org/officeDocument/2006/relationships/image" Target="media/image635.png"/><Relationship Id="rId740" Type="http://schemas.openxmlformats.org/officeDocument/2006/relationships/image" Target="media/image636.png"/><Relationship Id="rId741" Type="http://schemas.openxmlformats.org/officeDocument/2006/relationships/image" Target="media/image637.png"/><Relationship Id="rId742" Type="http://schemas.openxmlformats.org/officeDocument/2006/relationships/image" Target="media/image638.png"/><Relationship Id="rId743" Type="http://schemas.openxmlformats.org/officeDocument/2006/relationships/image" Target="media/image639.png"/><Relationship Id="rId744" Type="http://schemas.openxmlformats.org/officeDocument/2006/relationships/image" Target="media/image640.png"/><Relationship Id="rId745" Type="http://schemas.openxmlformats.org/officeDocument/2006/relationships/image" Target="media/image641.png"/><Relationship Id="rId746" Type="http://schemas.openxmlformats.org/officeDocument/2006/relationships/image" Target="media/image642.png"/><Relationship Id="rId747" Type="http://schemas.openxmlformats.org/officeDocument/2006/relationships/image" Target="media/image643.png"/><Relationship Id="rId748" Type="http://schemas.openxmlformats.org/officeDocument/2006/relationships/image" Target="media/image644.png"/><Relationship Id="rId749" Type="http://schemas.openxmlformats.org/officeDocument/2006/relationships/image" Target="media/image645.png"/><Relationship Id="rId750" Type="http://schemas.openxmlformats.org/officeDocument/2006/relationships/image" Target="media/image646.png"/><Relationship Id="rId751" Type="http://schemas.openxmlformats.org/officeDocument/2006/relationships/image" Target="media/image647.png"/><Relationship Id="rId752" Type="http://schemas.openxmlformats.org/officeDocument/2006/relationships/image" Target="media/image648.png"/><Relationship Id="rId753" Type="http://schemas.openxmlformats.org/officeDocument/2006/relationships/image" Target="media/image649.png"/><Relationship Id="rId754" Type="http://schemas.openxmlformats.org/officeDocument/2006/relationships/image" Target="media/image650.png"/><Relationship Id="rId755" Type="http://schemas.openxmlformats.org/officeDocument/2006/relationships/image" Target="media/image651.png"/><Relationship Id="rId756" Type="http://schemas.openxmlformats.org/officeDocument/2006/relationships/image" Target="media/image652.png"/><Relationship Id="rId757" Type="http://schemas.openxmlformats.org/officeDocument/2006/relationships/image" Target="media/image653.png"/><Relationship Id="rId758" Type="http://schemas.openxmlformats.org/officeDocument/2006/relationships/image" Target="media/image654.png"/><Relationship Id="rId759" Type="http://schemas.openxmlformats.org/officeDocument/2006/relationships/image" Target="media/image655.png"/><Relationship Id="rId760" Type="http://schemas.openxmlformats.org/officeDocument/2006/relationships/image" Target="media/image656.png"/><Relationship Id="rId761" Type="http://schemas.openxmlformats.org/officeDocument/2006/relationships/image" Target="media/image657.png"/><Relationship Id="rId762" Type="http://schemas.openxmlformats.org/officeDocument/2006/relationships/image" Target="media/image658.png"/><Relationship Id="rId763" Type="http://schemas.openxmlformats.org/officeDocument/2006/relationships/image" Target="media/image659.png"/><Relationship Id="rId764" Type="http://schemas.openxmlformats.org/officeDocument/2006/relationships/image" Target="media/image660.png"/><Relationship Id="rId765" Type="http://schemas.openxmlformats.org/officeDocument/2006/relationships/image" Target="media/image661.png"/><Relationship Id="rId766" Type="http://schemas.openxmlformats.org/officeDocument/2006/relationships/image" Target="media/image662.png"/><Relationship Id="rId767" Type="http://schemas.openxmlformats.org/officeDocument/2006/relationships/image" Target="media/image663.png"/><Relationship Id="rId768" Type="http://schemas.openxmlformats.org/officeDocument/2006/relationships/image" Target="media/image664.png"/><Relationship Id="rId769" Type="http://schemas.openxmlformats.org/officeDocument/2006/relationships/image" Target="media/image665.png"/><Relationship Id="rId770" Type="http://schemas.openxmlformats.org/officeDocument/2006/relationships/image" Target="media/image666.png"/><Relationship Id="rId771" Type="http://schemas.openxmlformats.org/officeDocument/2006/relationships/image" Target="media/image667.png"/><Relationship Id="rId772" Type="http://schemas.openxmlformats.org/officeDocument/2006/relationships/image" Target="media/image668.png"/><Relationship Id="rId773" Type="http://schemas.openxmlformats.org/officeDocument/2006/relationships/image" Target="media/image669.png"/><Relationship Id="rId774" Type="http://schemas.openxmlformats.org/officeDocument/2006/relationships/image" Target="media/image670.png"/><Relationship Id="rId775" Type="http://schemas.openxmlformats.org/officeDocument/2006/relationships/image" Target="media/image671.png"/><Relationship Id="rId776" Type="http://schemas.openxmlformats.org/officeDocument/2006/relationships/image" Target="media/image672.png"/><Relationship Id="rId777" Type="http://schemas.openxmlformats.org/officeDocument/2006/relationships/image" Target="media/image673.png"/><Relationship Id="rId778" Type="http://schemas.openxmlformats.org/officeDocument/2006/relationships/image" Target="media/image674.png"/><Relationship Id="rId779" Type="http://schemas.openxmlformats.org/officeDocument/2006/relationships/image" Target="media/image675.png"/><Relationship Id="rId780" Type="http://schemas.openxmlformats.org/officeDocument/2006/relationships/image" Target="media/image676.png"/><Relationship Id="rId781" Type="http://schemas.openxmlformats.org/officeDocument/2006/relationships/image" Target="media/image677.png"/><Relationship Id="rId782" Type="http://schemas.openxmlformats.org/officeDocument/2006/relationships/image" Target="media/image678.png"/><Relationship Id="rId783" Type="http://schemas.openxmlformats.org/officeDocument/2006/relationships/image" Target="media/image679.png"/><Relationship Id="rId784" Type="http://schemas.openxmlformats.org/officeDocument/2006/relationships/image" Target="media/image680.png"/><Relationship Id="rId785" Type="http://schemas.openxmlformats.org/officeDocument/2006/relationships/image" Target="media/image681.png"/><Relationship Id="rId786" Type="http://schemas.openxmlformats.org/officeDocument/2006/relationships/image" Target="media/image682.png"/><Relationship Id="rId787" Type="http://schemas.openxmlformats.org/officeDocument/2006/relationships/image" Target="media/image683.png"/><Relationship Id="rId788" Type="http://schemas.openxmlformats.org/officeDocument/2006/relationships/image" Target="media/image684.png"/><Relationship Id="rId789" Type="http://schemas.openxmlformats.org/officeDocument/2006/relationships/image" Target="media/image685.png"/><Relationship Id="rId790" Type="http://schemas.openxmlformats.org/officeDocument/2006/relationships/image" Target="media/image686.png"/><Relationship Id="rId791" Type="http://schemas.openxmlformats.org/officeDocument/2006/relationships/image" Target="media/image687.png"/><Relationship Id="rId792" Type="http://schemas.openxmlformats.org/officeDocument/2006/relationships/image" Target="media/image688.png"/><Relationship Id="rId793" Type="http://schemas.openxmlformats.org/officeDocument/2006/relationships/image" Target="media/image689.png"/><Relationship Id="rId794" Type="http://schemas.openxmlformats.org/officeDocument/2006/relationships/image" Target="media/image690.png"/><Relationship Id="rId795" Type="http://schemas.openxmlformats.org/officeDocument/2006/relationships/image" Target="media/image691.png"/><Relationship Id="rId796" Type="http://schemas.openxmlformats.org/officeDocument/2006/relationships/image" Target="media/image692.png"/><Relationship Id="rId797" Type="http://schemas.openxmlformats.org/officeDocument/2006/relationships/image" Target="media/image693.png"/><Relationship Id="rId798" Type="http://schemas.openxmlformats.org/officeDocument/2006/relationships/image" Target="media/image694.png"/><Relationship Id="rId799" Type="http://schemas.openxmlformats.org/officeDocument/2006/relationships/image" Target="media/image695.png"/><Relationship Id="rId800" Type="http://schemas.openxmlformats.org/officeDocument/2006/relationships/image" Target="media/image696.png"/><Relationship Id="rId801" Type="http://schemas.openxmlformats.org/officeDocument/2006/relationships/image" Target="media/image697.png"/><Relationship Id="rId802" Type="http://schemas.openxmlformats.org/officeDocument/2006/relationships/image" Target="media/image698.png"/><Relationship Id="rId803" Type="http://schemas.openxmlformats.org/officeDocument/2006/relationships/image" Target="media/image699.png"/><Relationship Id="rId804" Type="http://schemas.openxmlformats.org/officeDocument/2006/relationships/image" Target="media/image700.png"/><Relationship Id="rId805" Type="http://schemas.openxmlformats.org/officeDocument/2006/relationships/image" Target="media/image701.png"/><Relationship Id="rId806" Type="http://schemas.openxmlformats.org/officeDocument/2006/relationships/image" Target="media/image702.png"/><Relationship Id="rId807" Type="http://schemas.openxmlformats.org/officeDocument/2006/relationships/image" Target="media/image703.png"/><Relationship Id="rId808" Type="http://schemas.openxmlformats.org/officeDocument/2006/relationships/image" Target="media/image704.png"/><Relationship Id="rId809" Type="http://schemas.openxmlformats.org/officeDocument/2006/relationships/image" Target="media/image705.png"/><Relationship Id="rId810" Type="http://schemas.openxmlformats.org/officeDocument/2006/relationships/image" Target="media/image706.png"/><Relationship Id="rId811" Type="http://schemas.openxmlformats.org/officeDocument/2006/relationships/image" Target="media/image707.png"/><Relationship Id="rId812" Type="http://schemas.openxmlformats.org/officeDocument/2006/relationships/image" Target="media/image708.png"/><Relationship Id="rId813" Type="http://schemas.openxmlformats.org/officeDocument/2006/relationships/image" Target="media/image709.png"/><Relationship Id="rId814" Type="http://schemas.openxmlformats.org/officeDocument/2006/relationships/image" Target="media/image710.png"/><Relationship Id="rId815" Type="http://schemas.openxmlformats.org/officeDocument/2006/relationships/image" Target="media/image711.png"/><Relationship Id="rId816" Type="http://schemas.openxmlformats.org/officeDocument/2006/relationships/image" Target="media/image712.png"/><Relationship Id="rId817" Type="http://schemas.openxmlformats.org/officeDocument/2006/relationships/image" Target="media/image713.png"/><Relationship Id="rId818" Type="http://schemas.openxmlformats.org/officeDocument/2006/relationships/image" Target="media/image714.png"/><Relationship Id="rId819" Type="http://schemas.openxmlformats.org/officeDocument/2006/relationships/image" Target="media/image715.png"/><Relationship Id="rId820" Type="http://schemas.openxmlformats.org/officeDocument/2006/relationships/image" Target="media/image716.png"/><Relationship Id="rId821" Type="http://schemas.openxmlformats.org/officeDocument/2006/relationships/image" Target="media/image717.png"/><Relationship Id="rId822" Type="http://schemas.openxmlformats.org/officeDocument/2006/relationships/image" Target="media/image718.png"/><Relationship Id="rId823" Type="http://schemas.openxmlformats.org/officeDocument/2006/relationships/image" Target="media/image719.png"/><Relationship Id="rId824" Type="http://schemas.openxmlformats.org/officeDocument/2006/relationships/image" Target="media/image720.png"/><Relationship Id="rId825" Type="http://schemas.openxmlformats.org/officeDocument/2006/relationships/image" Target="media/image721.png"/><Relationship Id="rId826" Type="http://schemas.openxmlformats.org/officeDocument/2006/relationships/image" Target="media/image722.png"/><Relationship Id="rId827" Type="http://schemas.openxmlformats.org/officeDocument/2006/relationships/image" Target="media/image723.png"/><Relationship Id="rId828" Type="http://schemas.openxmlformats.org/officeDocument/2006/relationships/image" Target="media/image724.png"/><Relationship Id="rId829" Type="http://schemas.openxmlformats.org/officeDocument/2006/relationships/image" Target="media/image725.png"/><Relationship Id="rId830" Type="http://schemas.openxmlformats.org/officeDocument/2006/relationships/image" Target="media/image726.png"/><Relationship Id="rId831" Type="http://schemas.openxmlformats.org/officeDocument/2006/relationships/image" Target="media/image727.png"/><Relationship Id="rId832" Type="http://schemas.openxmlformats.org/officeDocument/2006/relationships/image" Target="media/image728.png"/><Relationship Id="rId833" Type="http://schemas.openxmlformats.org/officeDocument/2006/relationships/image" Target="media/image729.png"/><Relationship Id="rId834" Type="http://schemas.openxmlformats.org/officeDocument/2006/relationships/image" Target="media/image730.png"/><Relationship Id="rId835" Type="http://schemas.openxmlformats.org/officeDocument/2006/relationships/image" Target="media/image731.png"/><Relationship Id="rId836" Type="http://schemas.openxmlformats.org/officeDocument/2006/relationships/image" Target="media/image732.png"/><Relationship Id="rId837" Type="http://schemas.openxmlformats.org/officeDocument/2006/relationships/image" Target="media/image733.png"/><Relationship Id="rId838" Type="http://schemas.openxmlformats.org/officeDocument/2006/relationships/image" Target="media/image734.png"/><Relationship Id="rId839" Type="http://schemas.openxmlformats.org/officeDocument/2006/relationships/image" Target="media/image735.png"/><Relationship Id="rId840" Type="http://schemas.openxmlformats.org/officeDocument/2006/relationships/image" Target="media/image736.png"/><Relationship Id="rId841" Type="http://schemas.openxmlformats.org/officeDocument/2006/relationships/image" Target="media/image737.png"/><Relationship Id="rId842" Type="http://schemas.openxmlformats.org/officeDocument/2006/relationships/image" Target="media/image738.png"/><Relationship Id="rId843" Type="http://schemas.openxmlformats.org/officeDocument/2006/relationships/image" Target="media/image739.png"/><Relationship Id="rId844" Type="http://schemas.openxmlformats.org/officeDocument/2006/relationships/image" Target="media/image740.png"/><Relationship Id="rId845" Type="http://schemas.openxmlformats.org/officeDocument/2006/relationships/image" Target="media/image741.png"/><Relationship Id="rId846" Type="http://schemas.openxmlformats.org/officeDocument/2006/relationships/image" Target="media/image742.png"/><Relationship Id="rId847" Type="http://schemas.openxmlformats.org/officeDocument/2006/relationships/image" Target="media/image743.png"/><Relationship Id="rId848" Type="http://schemas.openxmlformats.org/officeDocument/2006/relationships/image" Target="media/image744.png"/><Relationship Id="rId849" Type="http://schemas.openxmlformats.org/officeDocument/2006/relationships/image" Target="media/image745.png"/><Relationship Id="rId850" Type="http://schemas.openxmlformats.org/officeDocument/2006/relationships/image" Target="media/image746.png"/><Relationship Id="rId851" Type="http://schemas.openxmlformats.org/officeDocument/2006/relationships/image" Target="media/image747.png"/><Relationship Id="rId852" Type="http://schemas.openxmlformats.org/officeDocument/2006/relationships/image" Target="media/image748.png"/><Relationship Id="rId853" Type="http://schemas.openxmlformats.org/officeDocument/2006/relationships/image" Target="media/image749.png"/><Relationship Id="rId854" Type="http://schemas.openxmlformats.org/officeDocument/2006/relationships/image" Target="media/image750.png"/><Relationship Id="rId855" Type="http://schemas.openxmlformats.org/officeDocument/2006/relationships/image" Target="media/image751.png"/><Relationship Id="rId856" Type="http://schemas.openxmlformats.org/officeDocument/2006/relationships/image" Target="media/image752.png"/><Relationship Id="rId857" Type="http://schemas.openxmlformats.org/officeDocument/2006/relationships/image" Target="media/image753.png"/><Relationship Id="rId858" Type="http://schemas.openxmlformats.org/officeDocument/2006/relationships/image" Target="media/image754.png"/><Relationship Id="rId859" Type="http://schemas.openxmlformats.org/officeDocument/2006/relationships/image" Target="media/image755.png"/><Relationship Id="rId860" Type="http://schemas.openxmlformats.org/officeDocument/2006/relationships/image" Target="media/image756.png"/><Relationship Id="rId861" Type="http://schemas.openxmlformats.org/officeDocument/2006/relationships/image" Target="media/image757.png"/><Relationship Id="rId862" Type="http://schemas.openxmlformats.org/officeDocument/2006/relationships/image" Target="media/image758.png"/><Relationship Id="rId863" Type="http://schemas.openxmlformats.org/officeDocument/2006/relationships/image" Target="media/image759.png"/><Relationship Id="rId864" Type="http://schemas.openxmlformats.org/officeDocument/2006/relationships/image" Target="media/image760.png"/><Relationship Id="rId865" Type="http://schemas.openxmlformats.org/officeDocument/2006/relationships/image" Target="media/image761.png"/><Relationship Id="rId866" Type="http://schemas.openxmlformats.org/officeDocument/2006/relationships/image" Target="media/image762.png"/><Relationship Id="rId867" Type="http://schemas.openxmlformats.org/officeDocument/2006/relationships/image" Target="media/image763.png"/><Relationship Id="rId868" Type="http://schemas.openxmlformats.org/officeDocument/2006/relationships/image" Target="media/image764.png"/><Relationship Id="rId869" Type="http://schemas.openxmlformats.org/officeDocument/2006/relationships/image" Target="media/image765.png"/><Relationship Id="rId870" Type="http://schemas.openxmlformats.org/officeDocument/2006/relationships/image" Target="media/image766.png"/><Relationship Id="rId871" Type="http://schemas.openxmlformats.org/officeDocument/2006/relationships/image" Target="media/image767.png"/><Relationship Id="rId872" Type="http://schemas.openxmlformats.org/officeDocument/2006/relationships/image" Target="media/image768.png"/><Relationship Id="rId873" Type="http://schemas.openxmlformats.org/officeDocument/2006/relationships/image" Target="media/image769.png"/><Relationship Id="rId874" Type="http://schemas.openxmlformats.org/officeDocument/2006/relationships/image" Target="media/image770.png"/><Relationship Id="rId875" Type="http://schemas.openxmlformats.org/officeDocument/2006/relationships/image" Target="media/image771.png"/><Relationship Id="rId876" Type="http://schemas.openxmlformats.org/officeDocument/2006/relationships/image" Target="media/image772.png"/><Relationship Id="rId877" Type="http://schemas.openxmlformats.org/officeDocument/2006/relationships/image" Target="media/image773.png"/><Relationship Id="rId878" Type="http://schemas.openxmlformats.org/officeDocument/2006/relationships/image" Target="media/image774.png"/><Relationship Id="rId879" Type="http://schemas.openxmlformats.org/officeDocument/2006/relationships/image" Target="media/image775.png"/><Relationship Id="rId880" Type="http://schemas.openxmlformats.org/officeDocument/2006/relationships/image" Target="media/image776.png"/><Relationship Id="rId881" Type="http://schemas.openxmlformats.org/officeDocument/2006/relationships/image" Target="media/image777.png"/><Relationship Id="rId882" Type="http://schemas.openxmlformats.org/officeDocument/2006/relationships/image" Target="media/image778.png"/><Relationship Id="rId883" Type="http://schemas.openxmlformats.org/officeDocument/2006/relationships/image" Target="media/image779.png"/><Relationship Id="rId884" Type="http://schemas.openxmlformats.org/officeDocument/2006/relationships/image" Target="media/image780.png"/><Relationship Id="rId885" Type="http://schemas.openxmlformats.org/officeDocument/2006/relationships/image" Target="media/image781.png"/><Relationship Id="rId886" Type="http://schemas.openxmlformats.org/officeDocument/2006/relationships/image" Target="media/image782.png"/><Relationship Id="rId887" Type="http://schemas.openxmlformats.org/officeDocument/2006/relationships/image" Target="media/image783.png"/><Relationship Id="rId888" Type="http://schemas.openxmlformats.org/officeDocument/2006/relationships/image" Target="media/image784.png"/><Relationship Id="rId889" Type="http://schemas.openxmlformats.org/officeDocument/2006/relationships/image" Target="media/image785.png"/><Relationship Id="rId890" Type="http://schemas.openxmlformats.org/officeDocument/2006/relationships/image" Target="media/image786.png"/><Relationship Id="rId891" Type="http://schemas.openxmlformats.org/officeDocument/2006/relationships/image" Target="media/image787.png"/><Relationship Id="rId892" Type="http://schemas.openxmlformats.org/officeDocument/2006/relationships/image" Target="media/image788.png"/><Relationship Id="rId893" Type="http://schemas.openxmlformats.org/officeDocument/2006/relationships/image" Target="media/image789.png"/><Relationship Id="rId894" Type="http://schemas.openxmlformats.org/officeDocument/2006/relationships/image" Target="media/image790.png"/><Relationship Id="rId895" Type="http://schemas.openxmlformats.org/officeDocument/2006/relationships/image" Target="media/image791.png"/><Relationship Id="rId896" Type="http://schemas.openxmlformats.org/officeDocument/2006/relationships/image" Target="media/image792.png"/><Relationship Id="rId897" Type="http://schemas.openxmlformats.org/officeDocument/2006/relationships/image" Target="media/image793.png"/><Relationship Id="rId898" Type="http://schemas.openxmlformats.org/officeDocument/2006/relationships/image" Target="media/image794.png"/><Relationship Id="rId899" Type="http://schemas.openxmlformats.org/officeDocument/2006/relationships/image" Target="media/image795.png"/><Relationship Id="rId900" Type="http://schemas.openxmlformats.org/officeDocument/2006/relationships/image" Target="media/image796.png"/><Relationship Id="rId901" Type="http://schemas.openxmlformats.org/officeDocument/2006/relationships/image" Target="media/image797.png"/><Relationship Id="rId902" Type="http://schemas.openxmlformats.org/officeDocument/2006/relationships/image" Target="media/image798.png"/><Relationship Id="rId903" Type="http://schemas.openxmlformats.org/officeDocument/2006/relationships/image" Target="media/image799.png"/><Relationship Id="rId904" Type="http://schemas.openxmlformats.org/officeDocument/2006/relationships/image" Target="media/image800.png"/><Relationship Id="rId905" Type="http://schemas.openxmlformats.org/officeDocument/2006/relationships/image" Target="media/image801.png"/><Relationship Id="rId906" Type="http://schemas.openxmlformats.org/officeDocument/2006/relationships/image" Target="media/image802.png"/><Relationship Id="rId907" Type="http://schemas.openxmlformats.org/officeDocument/2006/relationships/image" Target="media/image803.png"/><Relationship Id="rId908" Type="http://schemas.openxmlformats.org/officeDocument/2006/relationships/image" Target="media/image804.png"/><Relationship Id="rId909" Type="http://schemas.openxmlformats.org/officeDocument/2006/relationships/image" Target="media/image805.png"/><Relationship Id="rId910" Type="http://schemas.openxmlformats.org/officeDocument/2006/relationships/image" Target="media/image806.png"/><Relationship Id="rId911" Type="http://schemas.openxmlformats.org/officeDocument/2006/relationships/image" Target="media/image807.png"/><Relationship Id="rId912" Type="http://schemas.openxmlformats.org/officeDocument/2006/relationships/image" Target="media/image808.png"/><Relationship Id="rId913" Type="http://schemas.openxmlformats.org/officeDocument/2006/relationships/image" Target="media/image809.png"/><Relationship Id="rId914" Type="http://schemas.openxmlformats.org/officeDocument/2006/relationships/image" Target="media/image810.png"/><Relationship Id="rId915" Type="http://schemas.openxmlformats.org/officeDocument/2006/relationships/image" Target="media/image811.png"/><Relationship Id="rId916" Type="http://schemas.openxmlformats.org/officeDocument/2006/relationships/image" Target="media/image812.png"/><Relationship Id="rId917" Type="http://schemas.openxmlformats.org/officeDocument/2006/relationships/image" Target="media/image813.png"/><Relationship Id="rId918" Type="http://schemas.openxmlformats.org/officeDocument/2006/relationships/image" Target="media/image814.png"/><Relationship Id="rId919" Type="http://schemas.openxmlformats.org/officeDocument/2006/relationships/image" Target="media/image815.png"/><Relationship Id="rId920" Type="http://schemas.openxmlformats.org/officeDocument/2006/relationships/image" Target="media/image816.png"/><Relationship Id="rId921" Type="http://schemas.openxmlformats.org/officeDocument/2006/relationships/image" Target="media/image817.png"/><Relationship Id="rId922" Type="http://schemas.openxmlformats.org/officeDocument/2006/relationships/image" Target="media/image818.png"/><Relationship Id="rId923" Type="http://schemas.openxmlformats.org/officeDocument/2006/relationships/image" Target="media/image819.png"/><Relationship Id="rId924" Type="http://schemas.openxmlformats.org/officeDocument/2006/relationships/image" Target="media/image820.png"/><Relationship Id="rId925" Type="http://schemas.openxmlformats.org/officeDocument/2006/relationships/image" Target="media/image821.png"/><Relationship Id="rId926" Type="http://schemas.openxmlformats.org/officeDocument/2006/relationships/image" Target="media/image822.png"/><Relationship Id="rId927" Type="http://schemas.openxmlformats.org/officeDocument/2006/relationships/image" Target="media/image823.png"/><Relationship Id="rId928" Type="http://schemas.openxmlformats.org/officeDocument/2006/relationships/image" Target="media/image824.png"/><Relationship Id="rId929" Type="http://schemas.openxmlformats.org/officeDocument/2006/relationships/image" Target="media/image825.png"/><Relationship Id="rId930" Type="http://schemas.openxmlformats.org/officeDocument/2006/relationships/image" Target="media/image826.png"/><Relationship Id="rId931" Type="http://schemas.openxmlformats.org/officeDocument/2006/relationships/image" Target="media/image827.png"/><Relationship Id="rId932" Type="http://schemas.openxmlformats.org/officeDocument/2006/relationships/image" Target="media/image828.png"/><Relationship Id="rId933" Type="http://schemas.openxmlformats.org/officeDocument/2006/relationships/image" Target="media/image829.png"/><Relationship Id="rId934" Type="http://schemas.openxmlformats.org/officeDocument/2006/relationships/image" Target="media/image830.png"/><Relationship Id="rId935" Type="http://schemas.openxmlformats.org/officeDocument/2006/relationships/image" Target="media/image831.png"/><Relationship Id="rId936" Type="http://schemas.openxmlformats.org/officeDocument/2006/relationships/image" Target="media/image832.png"/><Relationship Id="rId937" Type="http://schemas.openxmlformats.org/officeDocument/2006/relationships/image" Target="media/image833.png"/><Relationship Id="rId938" Type="http://schemas.openxmlformats.org/officeDocument/2006/relationships/image" Target="media/image834.png"/><Relationship Id="rId939" Type="http://schemas.openxmlformats.org/officeDocument/2006/relationships/image" Target="media/image835.png"/><Relationship Id="rId940" Type="http://schemas.openxmlformats.org/officeDocument/2006/relationships/image" Target="media/image836.png"/><Relationship Id="rId941" Type="http://schemas.openxmlformats.org/officeDocument/2006/relationships/image" Target="media/image837.png"/><Relationship Id="rId942" Type="http://schemas.openxmlformats.org/officeDocument/2006/relationships/image" Target="media/image838.png"/><Relationship Id="rId943" Type="http://schemas.openxmlformats.org/officeDocument/2006/relationships/image" Target="media/image839.png"/><Relationship Id="rId944" Type="http://schemas.openxmlformats.org/officeDocument/2006/relationships/image" Target="media/image840.png"/><Relationship Id="rId945" Type="http://schemas.openxmlformats.org/officeDocument/2006/relationships/image" Target="media/image841.png"/><Relationship Id="rId946" Type="http://schemas.openxmlformats.org/officeDocument/2006/relationships/image" Target="media/image842.png"/><Relationship Id="rId947" Type="http://schemas.openxmlformats.org/officeDocument/2006/relationships/image" Target="media/image843.png"/><Relationship Id="rId948" Type="http://schemas.openxmlformats.org/officeDocument/2006/relationships/image" Target="media/image844.png"/><Relationship Id="rId949" Type="http://schemas.openxmlformats.org/officeDocument/2006/relationships/image" Target="media/image845.png"/><Relationship Id="rId950" Type="http://schemas.openxmlformats.org/officeDocument/2006/relationships/image" Target="media/image846.png"/><Relationship Id="rId951" Type="http://schemas.openxmlformats.org/officeDocument/2006/relationships/image" Target="media/image847.png"/><Relationship Id="rId952" Type="http://schemas.openxmlformats.org/officeDocument/2006/relationships/image" Target="media/image848.png"/><Relationship Id="rId953" Type="http://schemas.openxmlformats.org/officeDocument/2006/relationships/image" Target="media/image849.png"/><Relationship Id="rId954" Type="http://schemas.openxmlformats.org/officeDocument/2006/relationships/image" Target="media/image850.png"/><Relationship Id="rId955" Type="http://schemas.openxmlformats.org/officeDocument/2006/relationships/image" Target="media/image851.png"/><Relationship Id="rId956" Type="http://schemas.openxmlformats.org/officeDocument/2006/relationships/image" Target="media/image852.png"/><Relationship Id="rId957" Type="http://schemas.openxmlformats.org/officeDocument/2006/relationships/image" Target="media/image853.png"/><Relationship Id="rId958" Type="http://schemas.openxmlformats.org/officeDocument/2006/relationships/image" Target="media/image854.png"/><Relationship Id="rId959" Type="http://schemas.openxmlformats.org/officeDocument/2006/relationships/image" Target="media/image855.png"/><Relationship Id="rId960" Type="http://schemas.openxmlformats.org/officeDocument/2006/relationships/image" Target="media/image856.png"/><Relationship Id="rId961" Type="http://schemas.openxmlformats.org/officeDocument/2006/relationships/image" Target="media/image857.png"/><Relationship Id="rId962" Type="http://schemas.openxmlformats.org/officeDocument/2006/relationships/image" Target="media/image858.png"/><Relationship Id="rId963" Type="http://schemas.openxmlformats.org/officeDocument/2006/relationships/image" Target="media/image859.png"/><Relationship Id="rId964" Type="http://schemas.openxmlformats.org/officeDocument/2006/relationships/image" Target="media/image860.png"/><Relationship Id="rId965" Type="http://schemas.openxmlformats.org/officeDocument/2006/relationships/image" Target="media/image861.png"/><Relationship Id="rId966" Type="http://schemas.openxmlformats.org/officeDocument/2006/relationships/image" Target="media/image862.png"/><Relationship Id="rId967" Type="http://schemas.openxmlformats.org/officeDocument/2006/relationships/image" Target="media/image863.png"/><Relationship Id="rId968" Type="http://schemas.openxmlformats.org/officeDocument/2006/relationships/image" Target="media/image864.png"/><Relationship Id="rId969" Type="http://schemas.openxmlformats.org/officeDocument/2006/relationships/image" Target="media/image865.png"/><Relationship Id="rId970" Type="http://schemas.openxmlformats.org/officeDocument/2006/relationships/image" Target="media/image866.png"/><Relationship Id="rId971" Type="http://schemas.openxmlformats.org/officeDocument/2006/relationships/image" Target="media/image867.png"/><Relationship Id="rId972" Type="http://schemas.openxmlformats.org/officeDocument/2006/relationships/image" Target="media/image868.png"/><Relationship Id="rId973" Type="http://schemas.openxmlformats.org/officeDocument/2006/relationships/image" Target="media/image869.png"/><Relationship Id="rId974" Type="http://schemas.openxmlformats.org/officeDocument/2006/relationships/image" Target="media/image870.png"/><Relationship Id="rId975" Type="http://schemas.openxmlformats.org/officeDocument/2006/relationships/image" Target="media/image871.png"/><Relationship Id="rId976" Type="http://schemas.openxmlformats.org/officeDocument/2006/relationships/image" Target="media/image872.png"/><Relationship Id="rId977" Type="http://schemas.openxmlformats.org/officeDocument/2006/relationships/image" Target="media/image873.png"/><Relationship Id="rId978" Type="http://schemas.openxmlformats.org/officeDocument/2006/relationships/image" Target="media/image874.png"/><Relationship Id="rId186" Type="http://schemas.openxmlformats.org/officeDocument/2006/relationships/hyperlink" Target="https://www.sec.gov/Archives/edgar/data/1297996/000119312523088804/d477117dex31.htm" TargetMode="External"/><Relationship Id="rId187" Type="http://schemas.openxmlformats.org/officeDocument/2006/relationships/hyperlink" Target="http://www.sec.gov/Archives/edgar/data/1494877/000119312510147441/dex31.htm" TargetMode="External"/><Relationship Id="rId188" Type="http://schemas.openxmlformats.org/officeDocument/2006/relationships/hyperlink" Target="http://www.sec.gov/Archives/edgar/data/1297996/000119312519265840/d816342dex31.htm" TargetMode="External"/><Relationship Id="rId189" Type="http://schemas.openxmlformats.org/officeDocument/2006/relationships/hyperlink" Target="http://www.sec.gov/Archives/edgar/data/1297996/000119312504177708/dex41.htm" TargetMode="External"/><Relationship Id="rId190" Type="http://schemas.openxmlformats.org/officeDocument/2006/relationships/hyperlink" Target="http://www.sec.gov/Archives/edgar/data/1297996/000119312504211864/dex102.htm" TargetMode="External"/><Relationship Id="rId191" Type="http://schemas.openxmlformats.org/officeDocument/2006/relationships/hyperlink" Target="http://www.sec.gov/Archives/edgar/data/1297996/000119312511059367/dex41.htm" TargetMode="External"/><Relationship Id="rId192" Type="http://schemas.openxmlformats.org/officeDocument/2006/relationships/hyperlink" Target="http://www.sec.gov/Archives/edgar/data/1297996/000119312513024223/d470403dex41.htm" TargetMode="External"/><Relationship Id="rId193" Type="http://schemas.openxmlformats.org/officeDocument/2006/relationships/hyperlink" Target="http://www.sec.gov/Archives/edgar/data/1297996/000119312515232004/d946856dex41.htm" TargetMode="External"/><Relationship Id="rId194" Type="http://schemas.openxmlformats.org/officeDocument/2006/relationships/hyperlink" Target="http://www.sec.gov/Archives/edgar/data/1297996/000119312517251664/d437810dex42.htm" TargetMode="External"/><Relationship Id="rId196" Type="http://schemas.openxmlformats.org/officeDocument/2006/relationships/hyperlink" Target="http://www.sec.gov/Archives/edgar/data/1297996/000129799617000093/ex4x2indenture2029notes.htm" TargetMode="External"/><Relationship Id="rId197" Type="http://schemas.openxmlformats.org/officeDocument/2006/relationships/hyperlink" Target="http://www.sec.gov/Archives/edgar/data/1297996/000119312517248824/d425847dex41.htm" TargetMode="External"/><Relationship Id="rId198" Type="http://schemas.openxmlformats.org/officeDocument/2006/relationships/hyperlink" Target="http://www.sec.gov/Archives/edgar/data/1297996/000119312518199589/d603959dex42.htm" TargetMode="External"/><Relationship Id="rId199" Type="http://schemas.openxmlformats.org/officeDocument/2006/relationships/hyperlink" Target="http://www.sec.gov/Archives/edgar/data/1297996/000119312518302051/d635287dex41.htm" TargetMode="External"/><Relationship Id="rId200" Type="http://schemas.openxmlformats.org/officeDocument/2006/relationships/hyperlink" Target="http://www.sec.gov/Archives/edgar/data/1297996/000119312519010596/d667184dex41.htm" TargetMode="External"/><Relationship Id="rId201" Type="http://schemas.openxmlformats.org/officeDocument/2006/relationships/hyperlink" Target="http://www.sec.gov/Archives/edgar/data/1297996/000119312519072090/d721065dex41.htm" TargetMode="External"/><Relationship Id="rId202" Type="http://schemas.openxmlformats.org/officeDocument/2006/relationships/hyperlink" Target="http://www.sec.gov/Archives/edgar/data/1297996/000119312519173689/d764945dex42.htm" TargetMode="External"/><Relationship Id="rId203" Type="http://schemas.openxmlformats.org/officeDocument/2006/relationships/hyperlink" Target="http://www.sec.gov/Archives/edgar/data/1297996/000119312519265150/d810248dex41.htm" TargetMode="External"/><Relationship Id="rId204" Type="http://schemas.openxmlformats.org/officeDocument/2006/relationships/hyperlink" Target="http://www.sec.gov/Archives/edgar/data/1297996/000119312519265151/d810964dex41.htm" TargetMode="External"/><Relationship Id="rId206" Type="http://schemas.openxmlformats.org/officeDocument/2006/relationships/hyperlink" Target="https://www.sec.gov/Archives/edgar/data/1297996/000155837022002195/dlr-20211231xex4d20.htm" TargetMode="External"/><Relationship Id="rId207" Type="http://schemas.openxmlformats.org/officeDocument/2006/relationships/hyperlink" Target="https://www.sec.gov/Archives/edgar/data/1297996/000119312520010051/d849609dex42.htm" TargetMode="External"/><Relationship Id="rId208" Type="http://schemas.openxmlformats.org/officeDocument/2006/relationships/hyperlink" Target="https://www.sec.gov/Archives/edgar/data/1297996/000119312520010051/d849609dex43.htm" TargetMode="External"/><Relationship Id="rId209" Type="http://schemas.openxmlformats.org/officeDocument/2006/relationships/hyperlink" Target="https://www.sec.gov/Archives/edgar/data/1297996/000119312520180970/d947968dex41.htm" TargetMode="External"/><Relationship Id="rId210" Type="http://schemas.openxmlformats.org/officeDocument/2006/relationships/hyperlink" Target="https://www.sec.gov/Archives/edgar/data/1297996/000119312520252362/d34521dex41.htm" TargetMode="External"/><Relationship Id="rId211" Type="http://schemas.openxmlformats.org/officeDocument/2006/relationships/hyperlink" Target="https://www.sec.gov/Archives/edgar/data/1297996/000119312521007307/d62559dex41.htm" TargetMode="External"/><Relationship Id="rId212" Type="http://schemas.openxmlformats.org/officeDocument/2006/relationships/hyperlink" Target="https://www.sec.gov/Archives/edgar/data/1297996/000119312521216455/d180872dex41.htm" TargetMode="External"/><Relationship Id="rId213" Type="http://schemas.openxmlformats.org/officeDocument/2006/relationships/hyperlink" Target="https://www.sec.gov/Archives/edgar/data/1297996/000119312521216455/d180872dex42.htm" TargetMode="External"/><Relationship Id="rId214" Type="http://schemas.openxmlformats.org/officeDocument/2006/relationships/hyperlink" Target="https://www.sec.gov/Archives/edgar/data/1297996/000119312521216455/d180872dex43.htm" TargetMode="External"/><Relationship Id="rId215" Type="http://schemas.openxmlformats.org/officeDocument/2006/relationships/hyperlink" Target="https://www.sec.gov/Archives/edgar/data/1297996/000119312522011222/d241759dex41.htm" TargetMode="External"/><Relationship Id="rId216" Type="http://schemas.openxmlformats.org/officeDocument/2006/relationships/hyperlink" Target="https://www.sec.gov/Archives/edgar/data/1297996/000119312522090035/d330765dex41.htm" TargetMode="External"/><Relationship Id="rId217" Type="http://schemas.openxmlformats.org/officeDocument/2006/relationships/hyperlink" Target="https://www.sec.gov/Archives/edgar/data/1297996/000119312522090035/d330765dex43.htm" TargetMode="External"/><Relationship Id="rId218" Type="http://schemas.openxmlformats.org/officeDocument/2006/relationships/hyperlink" Target="https://www.sec.gov/Archives/edgar/data/1297996/000119312522252135/d514137dex42.htm" TargetMode="External"/><Relationship Id="rId219" Type="http://schemas.openxmlformats.org/officeDocument/2006/relationships/hyperlink" Target="https://www.sec.gov/Archives/edgar/data/1297996/000119312524218873/d855313dex41.htm" TargetMode="External"/><Relationship Id="rId220" Type="http://schemas.openxmlformats.org/officeDocument/2006/relationships/hyperlink" Target="https://www.sec.gov/Archives/edgar/data/1297996/000119312524255912/d883775dex41.htm" TargetMode="External"/><Relationship Id="rId221" Type="http://schemas.openxmlformats.org/officeDocument/2006/relationships/hyperlink" Target="https://www.sec.gov/Archives/edgar/data/1297996/000119312524255912/d883775dex43.htm" TargetMode="External"/><Relationship Id="rId222" Type="http://schemas.openxmlformats.org/officeDocument/2006/relationships/hyperlink" Target="http://www.sec.gov/Archives/edgar/data/1297996/000119312504170454/dex104.htm" TargetMode="External"/><Relationship Id="rId223" Type="http://schemas.openxmlformats.org/officeDocument/2006/relationships/hyperlink" Target="http://www.sec.gov/Archives/edgar/data/1297996/000119312504157799/dex1012.htm" TargetMode="External"/><Relationship Id="rId224" Type="http://schemas.openxmlformats.org/officeDocument/2006/relationships/hyperlink" Target="http://www.sec.gov/Archives/edgar/data/1297996/000119312504211864/dex1044.htm" TargetMode="External"/><Relationship Id="rId225" Type="http://schemas.openxmlformats.org/officeDocument/2006/relationships/hyperlink" Target="http://www.sec.gov/Archives/edgar/data/1297996/000119312507176068/dex101.htm" TargetMode="External"/><Relationship Id="rId226" Type="http://schemas.openxmlformats.org/officeDocument/2006/relationships/hyperlink" Target="http://www.sec.gov/Archives/edgar/data/1297996/000119312507070523/ddef14a.htm" TargetMode="External"/><Relationship Id="rId227" Type="http://schemas.openxmlformats.org/officeDocument/2006/relationships/hyperlink" Target="http://www.sec.gov/Archives/edgar/data/1297996/000119312508109829/dex103.htm" TargetMode="External"/><Relationship Id="rId228" Type="http://schemas.openxmlformats.org/officeDocument/2006/relationships/hyperlink" Target="http://www.sec.gov/Archives/edgar/data/1297996/000119312508109829/dex104.htm" TargetMode="External"/><Relationship Id="rId229" Type="http://schemas.openxmlformats.org/officeDocument/2006/relationships/hyperlink" Target="http://www.sec.gov/Archives/edgar/data/1297996/000119312509167347/dex104.htm" TargetMode="External"/><Relationship Id="rId230" Type="http://schemas.openxmlformats.org/officeDocument/2006/relationships/hyperlink" Target="http://www.sec.gov/Archives/edgar/data/1297996/000119312509229492/dex101.htm" TargetMode="External"/><Relationship Id="rId231" Type="http://schemas.openxmlformats.org/officeDocument/2006/relationships/hyperlink" Target="http://www.sec.gov/Archives/edgar/data/1297996/000119312512341197/d380116dex101.htm" TargetMode="External"/><Relationship Id="rId232" Type="http://schemas.openxmlformats.org/officeDocument/2006/relationships/hyperlink" Target="http://www.sec.gov/Archives/edgar/data/1297996/000129799615000010/dlr10kex1046.htm" TargetMode="External"/><Relationship Id="rId234" Type="http://schemas.openxmlformats.org/officeDocument/2006/relationships/hyperlink" Target="http://www.sec.gov/Archives/edgar/data/1297996/000129799619000032/ex1021.htm" TargetMode="External"/><Relationship Id="rId235" Type="http://schemas.openxmlformats.org/officeDocument/2006/relationships/hyperlink" Target="http://www.sec.gov/Archives/edgar/data/1297996/000119312514078397/d681374dex1033.htm" TargetMode="External"/><Relationship Id="rId236" Type="http://schemas.openxmlformats.org/officeDocument/2006/relationships/hyperlink" Target="http://www.sec.gov/Archives/edgar/data/1297996/000129799615000010/dlr10kex1045.htm" TargetMode="External"/><Relationship Id="rId237" Type="http://schemas.openxmlformats.org/officeDocument/2006/relationships/hyperlink" Target="http://www.sec.gov/Archives/edgar/data/1297996/000129799615000092/ex10309302015.htm" TargetMode="External"/><Relationship Id="rId238" Type="http://schemas.openxmlformats.org/officeDocument/2006/relationships/hyperlink" Target="http://www.sec.gov/Archives/edgar/data/1297996/000119312514078397/d681374dex1034.htm" TargetMode="External"/><Relationship Id="rId239" Type="http://schemas.openxmlformats.org/officeDocument/2006/relationships/hyperlink" Target="http://www.sec.gov/Archives/edgar/data/1297996/000119312514078397/d681374dex1035.htm" TargetMode="External"/><Relationship Id="rId240" Type="http://schemas.openxmlformats.org/officeDocument/2006/relationships/hyperlink" Target="http://www.sec.gov/Archives/edgar/data/1297996/000119312514078397/d681374dex1036.htm" TargetMode="External"/><Relationship Id="rId241" Type="http://schemas.openxmlformats.org/officeDocument/2006/relationships/hyperlink" Target="http://www.sec.gov/Archives/edgar/data/1297996/000129799617000020/dlr10kex1023_2016.htm" TargetMode="External"/><Relationship Id="rId242" Type="http://schemas.openxmlformats.org/officeDocument/2006/relationships/hyperlink" Target="http://www.sec.gov/Archives/edgar/data/1297996/000129799618000026/dlr10kex1027_2017.htm" TargetMode="External"/><Relationship Id="rId243" Type="http://schemas.openxmlformats.org/officeDocument/2006/relationships/hyperlink" Target="http://www.sec.gov/Archives/edgar/data/1297996/000129799619000032/ex1030.htm" TargetMode="External"/><Relationship Id="rId244" Type="http://schemas.openxmlformats.org/officeDocument/2006/relationships/hyperlink" Target="http://www.sec.gov/Archives/edgar/data/1297996/000129799619000032/ex1031.htm" TargetMode="External"/><Relationship Id="rId245" Type="http://schemas.openxmlformats.org/officeDocument/2006/relationships/hyperlink" Target="http://www.sec.gov/Archives/edgar/data/1297996/000119312514300947/d750893dex101.htm" TargetMode="External"/><Relationship Id="rId248" Type="http://schemas.openxmlformats.org/officeDocument/2006/relationships/hyperlink" Target="http://www.sec.gov/Archives/edgar/data/1297996/000144530514004965/ex10109302014.htm" TargetMode="External"/><Relationship Id="rId249" Type="http://schemas.openxmlformats.org/officeDocument/2006/relationships/hyperlink" Target="http://www.sec.gov/Archives/edgar/data/1297996/000129799615000010/dlr10kex1044.htm" TargetMode="External"/><Relationship Id="rId250" Type="http://schemas.openxmlformats.org/officeDocument/2006/relationships/hyperlink" Target="http://www.sec.gov/Archives/edgar/data/1297996/000129799616000268/ex101thirdamendmentto2014p.htm" TargetMode="External"/><Relationship Id="rId251" Type="http://schemas.openxmlformats.org/officeDocument/2006/relationships/hyperlink" Target="http://www.sec.gov/Archives/edgar/data/1297996/000119312517285083/d399230dex101.htm" TargetMode="External"/><Relationship Id="rId252" Type="http://schemas.openxmlformats.org/officeDocument/2006/relationships/hyperlink" Target="http://www.sec.gov/Archives/edgar/data/1297996/000129799619000032/ex1038.htm" TargetMode="External"/><Relationship Id="rId253" Type="http://schemas.openxmlformats.org/officeDocument/2006/relationships/hyperlink" Target="https://www.sec.gov/Archives/edgar/data/1297996/000155837021002191/dlr-20201231xex10d33.htm" TargetMode="External"/><Relationship Id="rId254" Type="http://schemas.openxmlformats.org/officeDocument/2006/relationships/hyperlink" Target="http://www.sec.gov/Archives/edgar/data/1297996/000129799618000114/exhibit101.htm" TargetMode="External"/><Relationship Id="rId255" Type="http://schemas.openxmlformats.org/officeDocument/2006/relationships/hyperlink" Target="http://www.sec.gov/Archives/edgar/data/1297996/000129799615000073/ex10606302015.htm" TargetMode="External"/><Relationship Id="rId256" Type="http://schemas.openxmlformats.org/officeDocument/2006/relationships/hyperlink" Target="http://www.sec.gov/Archives/edgar/data/1297996/000119312515339457/d57232dex47.htm" TargetMode="External"/><Relationship Id="rId257" Type="http://schemas.openxmlformats.org/officeDocument/2006/relationships/hyperlink" Target="http://www.sec.gov/Archives/edgar/data/1297996/000129799617000020/dlr10kex1039_2016.htm" TargetMode="External"/><Relationship Id="rId260" Type="http://schemas.openxmlformats.org/officeDocument/2006/relationships/hyperlink" Target="https://www.sec.gov/Archives/edgar/data/1297996/000155837024014149/dlr-20240930xex10d1.htm" TargetMode="External"/><Relationship Id="rId261" Type="http://schemas.openxmlformats.org/officeDocument/2006/relationships/hyperlink" Target="https://www.sec.gov/Archives/edgar/data/1297996/000155837024014149/dlr-20240930xex10d2.htm" TargetMode="External"/><Relationship Id="rId262" Type="http://schemas.openxmlformats.org/officeDocument/2006/relationships/hyperlink" Target="https://www.sec.gov/Archives/edgar/data/1297996/000155837020001906/ex-10d56.htm" TargetMode="External"/><Relationship Id="rId263" Type="http://schemas.openxmlformats.org/officeDocument/2006/relationships/hyperlink" Target="https://www.sec.gov/Archives/edgar/data/1297996/000155837020006279/dlr-20200331xex10d1.htm" TargetMode="External"/><Relationship Id="rId264" Type="http://schemas.openxmlformats.org/officeDocument/2006/relationships/hyperlink" Target="https://www.sec.gov/Archives/edgar/data/1297996/000155837020006279/dlr-20200331xex10d9.htm" TargetMode="External"/><Relationship Id="rId265" Type="http://schemas.openxmlformats.org/officeDocument/2006/relationships/hyperlink" Target="https://www.sec.gov/Archives/edgar/data/1297996/000155837020006279/dlr-20200331xex10d10.htm" TargetMode="External"/><Relationship Id="rId266" Type="http://schemas.openxmlformats.org/officeDocument/2006/relationships/hyperlink" Target="https://www.sec.gov/Archives/edgar/data/1297996/000119312520067294/d879853dex45.htm" TargetMode="External"/><Relationship Id="rId267" Type="http://schemas.openxmlformats.org/officeDocument/2006/relationships/hyperlink" Target="https://www.sec.gov/Archives/edgar/data/1297996/000119312520067294/d879853dex44.htm" TargetMode="External"/><Relationship Id="rId268" Type="http://schemas.openxmlformats.org/officeDocument/2006/relationships/hyperlink" Target="https://www.sec.gov/Archives/edgar/data/1297996/000155837021002191/dlr-20201231xex10d59.htm" TargetMode="External"/><Relationship Id="rId269" Type="http://schemas.openxmlformats.org/officeDocument/2006/relationships/hyperlink" Target="https://www.sec.gov/Archives/edgar/data/1297996/000155837022002195/dlr-20211231xex10d52.htm" TargetMode="External"/><Relationship Id="rId272" Type="http://schemas.openxmlformats.org/officeDocument/2006/relationships/hyperlink" Target="https://www.sec.gov/Archives/edgar/data/1297996/000155837022002195/dlr-20211231xex10d53.htm" TargetMode="External"/><Relationship Id="rId273" Type="http://schemas.openxmlformats.org/officeDocument/2006/relationships/hyperlink" Target="https://www.sec.gov/Archives/edgar/data/1297996/000155837022002195/dlr-20211231xex10d54.htm" TargetMode="External"/><Relationship Id="rId274" Type="http://schemas.openxmlformats.org/officeDocument/2006/relationships/hyperlink" Target="https://www.sec.gov/Archives/edgar/data/1297996/000155837023002087/dlr-20221231xex10d55.htm" TargetMode="External"/><Relationship Id="rId275" Type="http://schemas.openxmlformats.org/officeDocument/2006/relationships/hyperlink" Target="https://www.sec.gov/Archives/edgar/data/1297996/000155837022007648/dlr-20220331xex10d2.htm" TargetMode="External"/><Relationship Id="rId276" Type="http://schemas.openxmlformats.org/officeDocument/2006/relationships/hyperlink" Target="https://www.sec.gov/Archives/edgar/data/1297996/000155837022007648/dlr-20220331xex10d3.htm" TargetMode="External"/><Relationship Id="rId277" Type="http://schemas.openxmlformats.org/officeDocument/2006/relationships/hyperlink" Target="https://www.sec.gov/Archives/edgar/data/1297996/000155837022007648/dlr-20220331xex10d4.htm" TargetMode="External"/><Relationship Id="rId278" Type="http://schemas.openxmlformats.org/officeDocument/2006/relationships/hyperlink" Target="https://www.sec.gov/Archives/edgar/data/1297996/000155837022013757/dlr-20220811xex10d1.htm" TargetMode="External"/><Relationship Id="rId279" Type="http://schemas.openxmlformats.org/officeDocument/2006/relationships/hyperlink" Target="https://www.sec.gov/Archives/edgar/data/1297996/000155837022016456/dlr-20220930xex10d2.htm" TargetMode="External"/><Relationship Id="rId280" Type="http://schemas.openxmlformats.org/officeDocument/2006/relationships/hyperlink" Target="https://www.sec.gov/Archives/edgar/data/1297996/000155837023008142/dlr-20230331xex10d4.htm" TargetMode="External"/><Relationship Id="rId282" Type="http://schemas.openxmlformats.org/officeDocument/2006/relationships/hyperlink" Target="https://www.sec.gov/Archives/edgar/data/1297996/000155837023008142/dlr-20230331xex10d5.htm" TargetMode="External"/><Relationship Id="rId283" Type="http://schemas.openxmlformats.org/officeDocument/2006/relationships/hyperlink" Target="https://www.sec.gov/Archives/edgar/data/1297996/000155837023008142/dlr-20230331xex10d6.htm" TargetMode="External"/><Relationship Id="rId284" Type="http://schemas.openxmlformats.org/officeDocument/2006/relationships/hyperlink" Target="https://www.sec.gov/Archives/edgar/data/1297996/000155837023008142/dlr-20230331xex10d7.htm" TargetMode="External"/><Relationship Id="rId285" Type="http://schemas.openxmlformats.org/officeDocument/2006/relationships/hyperlink" Target="https://www.sec.gov/Archives/edgar/data/1297996/000155837024001575/dlr-20231231xex10d59.htm" TargetMode="External"/><Relationship Id="rId286" Type="http://schemas.openxmlformats.org/officeDocument/2006/relationships/hyperlink" Target="https://www.sec.gov/Archives/edgar/data/1297996/000155837024001575/dlr-20231231xex10d60.htm" TargetMode="External"/><Relationship Id="rId287" Type="http://schemas.openxmlformats.org/officeDocument/2006/relationships/hyperlink" Target="https://www.sec.gov/Archives/edgar/data/1297996/000155837024001575/dlr-20231231xex10d61.htm" TargetMode="External"/><Relationship Id="rId288" Type="http://schemas.openxmlformats.org/officeDocument/2006/relationships/hyperlink" Target="https://www.sec.gov/Archives/edgar/data/1297996/000155837023018593/dlr-20230930xex10d32.htm" TargetMode="External"/><Relationship Id="rId289" Type="http://schemas.openxmlformats.org/officeDocument/2006/relationships/hyperlink" Target="https://www.sec.gov/Archives/edgar/data/1297996/000155837024001575/dlr-20231231xex10d63.htm" TargetMode="External"/><Relationship Id="rId290" Type="http://schemas.openxmlformats.org/officeDocument/2006/relationships/hyperlink" Target="https://www.sec.gov/Archives/edgar/data/1297996/000155837023014995/dlr-20230810xex10d1.htm" TargetMode="External"/><Relationship Id="rId291" Type="http://schemas.openxmlformats.org/officeDocument/2006/relationships/hyperlink" Target="https://www.sec.gov/Archives/edgar/data/1297996/000155837024014149/dlr-20240930xex10d3.htm" TargetMode="External"/><Relationship Id="rId292" Type="http://schemas.openxmlformats.org/officeDocument/2006/relationships/hyperlink" Target="https://www.sec.gov/Archives/edgar/data/1297996/000155837024001575/dlr-20231231xex97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2025-02-25T05:47:14Z</dcterms:created>
  <dcterms:modified xsi:type="dcterms:W3CDTF">2025-02-25T05:47:14Z</dcterms:modified>
</cp:coreProperties>
</file>