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844d8k.htm"/>
      <w:bookmarkStart w:id="1" w:name="ksd10684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DIGITAL REALTY TRUST, INC.</w:t>
      </w:r>
    </w:p>
    <w:p>
      <w:pPr>
        <w:pStyle w:val="TextBody"/>
        <w:bidi w:val="0"/>
        <w:spacing w:before="0" w:after="0"/>
        <w:jc w:val="center"/>
        <w:rPr>
          <w:rFonts w:ascii="Times New Roman" w:hAnsi="Times New Roman"/>
          <w:b/>
          <w:sz w:val="48"/>
        </w:rPr>
      </w:pPr>
      <w:r>
        <w:rPr>
          <w:rFonts w:ascii="Times New Roman" w:hAnsi="Times New Roman"/>
          <w:b/>
          <w:sz w:val="48"/>
        </w:rPr>
        <w:t>DIGITAL REALTY TRUST, L.P.</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001-32336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26-0081711</w:t>
            </w:r>
          </w:p>
        </w:tc>
      </w:tr>
      <w:tr>
        <w:trPr/>
        <w:tc>
          <w:tcPr>
            <w:tcW w:w="198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000-54023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20-2402955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601 West 2</w:t>
            </w:r>
            <w:r>
              <w:rPr>
                <w:rFonts w:ascii="Times New Roman" w:hAnsi="Times New Roman"/>
                <w:b/>
                <w:sz w:val="12"/>
              </w:rPr>
              <w:t>nd</w:t>
            </w:r>
            <w:r>
              <w:rPr>
                <w:rFonts w:ascii="Times New Roman" w:hAnsi="Times New Roman"/>
                <w:b/>
                <w:sz w:val="20"/>
              </w:rPr>
              <w:t xml:space="preserve"> Street, Floor 32</w:t>
            </w:r>
          </w:p>
          <w:p>
            <w:pPr>
              <w:pStyle w:val="TableContents"/>
              <w:bidi w:val="0"/>
              <w:spacing w:before="0" w:after="20"/>
              <w:jc w:val="center"/>
              <w:rPr>
                <w:rFonts w:ascii="Times New Roman" w:hAnsi="Times New Roman"/>
                <w:b/>
                <w:sz w:val="20"/>
              </w:rPr>
            </w:pPr>
            <w:r>
              <w:rPr>
                <w:rFonts w:ascii="Times New Roman" w:hAnsi="Times New Roman"/>
                <w:b/>
                <w:sz w:val="20"/>
              </w:rPr>
              <w:t>Austin,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78701</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(737)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281-0101</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565" w:type="dxa"/>
        <w:jc w:val="left"/>
        <w:tblInd w:w="0" w:type="dxa"/>
        <w:tblLayout w:type="fixed"/>
        <w:tblCellMar>
          <w:top w:w="0" w:type="dxa"/>
          <w:left w:w="0" w:type="dxa"/>
          <w:bottom w:w="0" w:type="dxa"/>
          <w:right w:w="0" w:type="dxa"/>
        </w:tblCellMar>
      </w:tblPr>
      <w:tblGrid>
        <w:gridCol w:w="4760"/>
        <w:gridCol w:w="60"/>
        <w:gridCol w:w="1025"/>
        <w:gridCol w:w="60"/>
        <w:gridCol w:w="2660"/>
      </w:tblGrid>
      <w:tr>
        <w:trPr/>
        <w:tc>
          <w:tcPr>
            <w:tcW w:w="4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7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76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J Cumulative Redeemable Preferred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J</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K Cumulative Redeemable Preferred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L Cumulative Redeemable Preferred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L</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0" w:after="0"/>
        <w:jc w:val="left"/>
        <w:rPr/>
      </w:pPr>
      <w:r>
        <w:rPr/>
        <w:t> </w:t>
      </w:r>
    </w:p>
    <w:tbl>
      <w:tblPr>
        <w:tblW w:w="5658" w:type="dxa"/>
        <w:jc w:val="left"/>
        <w:tblInd w:w="0" w:type="dxa"/>
        <w:tblLayout w:type="fixed"/>
        <w:tblCellMar>
          <w:top w:w="0" w:type="dxa"/>
          <w:left w:w="0" w:type="dxa"/>
          <w:bottom w:w="0" w:type="dxa"/>
          <w:right w:w="0" w:type="dxa"/>
        </w:tblCellMar>
      </w:tblPr>
      <w:tblGrid>
        <w:gridCol w:w="2495"/>
        <w:gridCol w:w="120"/>
        <w:gridCol w:w="2885"/>
        <w:gridCol w:w="120"/>
        <w:gridCol w:w="38"/>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Digital Realty Trust, Inc.:</w:t>
            </w:r>
          </w:p>
        </w:tc>
        <w:tc>
          <w:tcPr>
            <w:tcW w:w="1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Emerging growth company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Digital Realty Trust, L.P.:</w:t>
            </w:r>
          </w:p>
        </w:tc>
        <w:tc>
          <w:tcPr>
            <w:tcW w:w="1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Emerging growth company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Digital Realty Trust, Inc.: ☐ </w:t>
      </w:r>
    </w:p>
    <w:p>
      <w:pPr>
        <w:pStyle w:val="TextBody"/>
        <w:bidi w:val="0"/>
        <w:spacing w:before="0" w:after="0"/>
        <w:jc w:val="left"/>
        <w:rPr>
          <w:rFonts w:ascii="Times New Roman" w:hAnsi="Times New Roman"/>
          <w:sz w:val="20"/>
        </w:rPr>
      </w:pPr>
      <w:r>
        <w:rPr>
          <w:rFonts w:ascii="Times New Roman" w:hAnsi="Times New Roman"/>
          <w:sz w:val="20"/>
        </w:rPr>
        <w:t xml:space="preserve">Digital Realty Trust, L.P.: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Introductory Note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or unless the context requires otherwise, all references in this report to “we,” “us,” “our,” “our company,” “the company” or “Digital Realty” refer to Digital Realty Trust, Inc., together with its consolidated subsidiaries, including Digital Realty Trust, L.P., our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2026, Digital Realty issued a press release announcing the pricing of the Euro Notes described under Item 8.01 below. A copy of the press release is furnished as Exhibit 99.1 to this Current Report on Form 8-K. The information included in this Current Report on Form 8-K under this Item 7.01 (including Exhibit 99.1) shall not be deemed “filed” for the purposes of Section 18 of the Securities Exchange Act of 1934, as amended (the “Exchange Act”), or otherwise subject to the liabilities of that section, nor shall it be deemed incorporated by reference into any filing made by the company or the operating partnership under the Exchange Act or the Securities Act of 1933, as amended (the “Securities Act”), except as shall be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2026, Digital Euro Finco, LLC, a wholly owned indirect finance subsidiary of the operating partnership, priced an offering of €1 billion aggregate principal amount of 5.125% Guaranteed Notes due 2036 at a price of 99.289% of the principal amount (the “Euro Notes”). The Euro Notes will be senior unsecured obligations of Digital Euro Finco, LLC and will be fully and unconditionally guaranteed by Digital Realty Trust, Inc. and the operating partnership. The Euro Notes are being sold only outside the United States in reliance on Regulation S under the Securities Act. The Euro Notes have not been and will not be registered under the Securities Act and may not be offered or sold within the United States or to United States persons (within the meaning of Regulation S under the Securities Act) absent registration or an applicable exemption from registration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Euro Notes will be paid in cash annually in arrears at a rate of 5.125% per annum from and including October 9, 2026 and will mature on October 9, 2036. The Euro Notes will be issued pursuant to an indenture between Digital Euro Finco, LLC, Digital Realty Trust, Inc., the operating partnership, Deutsche Trustee Company Limited, as trustee, Deutsche Bank AG, London Branch, as paying agent and a transfer agent, and Deutsche Bank Luxembourg S.A., as registrar and a transfer agent, setting forth the terms of the Euro Notes. Settlement of the offering is expected to occur on October 9,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allocate an amount equal to the net proceeds from the offering of the Euro Notes to finance or refinance, in part or in full, new and/or existing renewable energy, energy efficiency, pollution prevention and control, environmentally sustainable management of living natural resources and land use, terrestrial and aquatic biodiversity, clean transportation, sustainable water and wastewater management, climate change adaptation and green building projects, including the development and redevelopment of such projects (collectively, “Eligible Green Projects”). Pending the allocation of the net proceeds of the Euro Notes to Eligible Green Projects, all or a portion of an amount equal to the net proceeds from the Euro Notes may be used to temporarily repay borrowings outstanding under the operating partnership’s global revolving credit facilities, acquire additional properties or businesses, fund development opportunities, invest in interest-bearing accounts and short-term, interest-bearing securities which are consistent with Digital Realty Trust, Inc.’s intention to qualify as a REIT for U.S. federal income tax purposes, and to provide for working capital and other general corporate purposes, including potentially for the repayment of other debt, or the redemption, repurchase, repayment or retirement of outstanding equity or debt securities, or a combination of the foregoing.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certain “forward-looking” statements as that term is defined by Section 27A of the Securities Act and Section 21E of the Exchange Act. Statements that are predictive in nature, that depend on or relate to future events or conditions, or that include words such as “believes”, “anticipates”, “expects”, “may”, “will”, “would”, “should”, “estimates”, “could”, “intends”, “plans” or other similar expressions are forward-looking statements. Forward-looking statements involve significant known and unknown risks and uncertainties that may cause the company’s actual results in future periods to differ materially from those projected or contemplated in the forward-looking statements as a result of, but not limited to, the following factors: timing and consummation of the offering of the Euro Notes; the intended use of the net proceeds from the offering of the Euro Notes; risks and uncertainties related to market conditions and satisfaction of customary closing conditions related to the offering of the Euro Notes; and the impact of legislative, regulatory and competitive changes and other risk factors relating to the industries in which we operate, as detailed from time to time in each of our reports filed with the SEC. There can be no assurance that the proposed transactions will be consummated on the terms described herein or at all. </w:t>
      </w:r>
    </w:p>
    <w:p>
      <w:pPr>
        <w:pStyle w:val="TextBody"/>
        <w:bidi w:val="0"/>
        <w:spacing w:before="240" w:after="0"/>
        <w:jc w:val="left"/>
        <w:rPr>
          <w:rFonts w:ascii="Times New Roman" w:hAnsi="Times New Roman"/>
          <w:sz w:val="20"/>
        </w:rPr>
      </w:pPr>
      <w:r>
        <w:rPr>
          <w:rFonts w:ascii="Times New Roman" w:hAnsi="Times New Roman"/>
          <w:sz w:val="20"/>
        </w:rPr>
        <w:t xml:space="preserve">The risks included here are not exhaustive, and additional factors could adversely affect our business and financial performance. We discussed a number of additional material risks in our annual report on Form 10-K for the year ended December 31, 2025, our quarterly reports on Form 10-Q for the quarters ended March 31, 2026 and June 30, 2026, and other filings with the Securities and Exchange Commission. Those risks continue to be relevant to our performance and financial condition. Moreover, we operate in a very competitive and rapidly changing environment. New risk factors emerge from time to 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We expressly disclaim any responsibility to update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1145"/>
        <w:gridCol w:w="120"/>
        <w:gridCol w:w="7625"/>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center"/>
              <w:rPr/>
            </w:pPr>
            <w:r>
              <w:rPr/>
              <w:t>Exhibit 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Description</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06844dex991.htm">
              <w:r>
                <w:rPr>
                  <w:rStyle w:val="InternetLink"/>
                </w:rPr>
                <w:t xml:space="preserve">Press Release of Digital Realty dated October 6, 2026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360" w:after="0"/>
        <w:jc w:val="left"/>
        <w:rPr>
          <w:rFonts w:ascii="Times New Roman" w:hAnsi="Times New Roman"/>
          <w:sz w:val="20"/>
        </w:rPr>
      </w:pPr>
      <w:r>
        <w:rPr>
          <w:rFonts w:ascii="Times New Roman" w:hAnsi="Times New Roman"/>
          <w:sz w:val="20"/>
        </w:rPr>
        <w:t xml:space="preserve">Date: October 6, 2026 </w:t>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380"/>
        <w:gridCol w:w="60"/>
        <w:gridCol w:w="363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b/>
              </w:rPr>
            </w:pPr>
            <w:r>
              <w:rPr>
                <w:b/>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Vice President, General Counsel</w:t>
            </w:r>
          </w:p>
          <w:p>
            <w:pPr>
              <w:pStyle w:val="TableContents"/>
              <w:bidi w:val="0"/>
              <w:spacing w:before="0" w:after="20"/>
              <w:jc w:val="left"/>
              <w:rPr>
                <w:rFonts w:ascii="Times New Roman" w:hAnsi="Times New Roman"/>
                <w:b/>
                <w:sz w:val="20"/>
              </w:rPr>
            </w:pPr>
            <w:r>
              <w:rPr>
                <w:rFonts w:ascii="Times New Roman" w:hAnsi="Times New Roman"/>
                <w:b/>
                <w:sz w:val="20"/>
              </w:rPr>
              <w:t>and Secretary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b/>
              </w:rPr>
            </w:pPr>
            <w:r>
              <w:rPr>
                <w:b/>
              </w:rPr>
              <w:t>Digital Realty Trust, L.P.</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Its general partner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Vice President, General Counsel</w:t>
            </w:r>
          </w:p>
          <w:p>
            <w:pPr>
              <w:pStyle w:val="TableContents"/>
              <w:bidi w:val="0"/>
              <w:spacing w:before="0" w:after="20"/>
              <w:jc w:val="left"/>
              <w:rPr>
                <w:rFonts w:ascii="Times New Roman" w:hAnsi="Times New Roman"/>
                <w:b/>
                <w:sz w:val="20"/>
              </w:rPr>
            </w:pPr>
            <w:r>
              <w:rPr>
                <w:rFonts w:ascii="Times New Roman" w:hAnsi="Times New Roman"/>
                <w:b/>
                <w:sz w:val="20"/>
              </w:rPr>
              <w:t>and Secretary</w:t>
            </w:r>
          </w:p>
        </w:tc>
      </w:tr>
    </w:tbl>
    <w:p>
      <w:pPr>
        <w:pStyle w:val="TextBody"/>
        <w:bidi w:val="0"/>
        <w:spacing w:before="0" w:after="0"/>
        <w:jc w:val="right"/>
        <w:rPr>
          <w:rFonts w:ascii="Times New Roman" w:hAnsi="Times New Roman"/>
          <w:b/>
          <w:sz w:val="20"/>
        </w:rPr>
      </w:pPr>
      <w:bookmarkStart w:id="2" w:name="d106844dex991.htm"/>
      <w:bookmarkStart w:id="3" w:name="ksd10684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145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Realty Announces Pricing of </w:t>
      </w:r>
    </w:p>
    <w:p>
      <w:pPr>
        <w:pStyle w:val="TextBody"/>
        <w:bidi w:val="0"/>
        <w:spacing w:before="0" w:after="0"/>
        <w:jc w:val="center"/>
        <w:rPr>
          <w:rFonts w:ascii="Times New Roman" w:hAnsi="Times New Roman"/>
          <w:b/>
          <w:sz w:val="20"/>
        </w:rPr>
      </w:pPr>
      <w:r>
        <w:rPr>
          <w:rFonts w:ascii="Times New Roman" w:hAnsi="Times New Roman"/>
          <w:b/>
          <w:sz w:val="20"/>
        </w:rPr>
        <w:t xml:space="preserve">1 Billion of Guaranteed Notes due 2036 </w:t>
      </w:r>
    </w:p>
    <w:p>
      <w:pPr>
        <w:pStyle w:val="TextBody"/>
        <w:bidi w:val="0"/>
        <w:spacing w:before="240" w:after="0"/>
        <w:jc w:val="left"/>
        <w:rPr>
          <w:rFonts w:ascii="Times New Roman" w:hAnsi="Times New Roman"/>
          <w:sz w:val="20"/>
        </w:rPr>
      </w:pPr>
      <w:r>
        <w:rPr>
          <w:rFonts w:ascii="Times New Roman" w:hAnsi="Times New Roman"/>
          <w:b/>
          <w:sz w:val="20"/>
        </w:rPr>
        <w:t>Austin, TX – October</w:t>
      </w:r>
      <w:r>
        <w:rPr>
          <w:rFonts w:ascii="Times New Roman" w:hAnsi="Times New Roman"/>
          <w:sz w:val="20"/>
        </w:rPr>
        <w:t> </w:t>
      </w:r>
      <w:r>
        <w:rPr>
          <w:rFonts w:ascii="Times New Roman" w:hAnsi="Times New Roman"/>
          <w:b/>
          <w:sz w:val="20"/>
        </w:rPr>
        <w:t xml:space="preserve">6, 2026 – </w:t>
      </w:r>
      <w:r>
        <w:rPr>
          <w:rFonts w:ascii="Times New Roman" w:hAnsi="Times New Roman"/>
          <w:sz w:val="20"/>
        </w:rPr>
        <w:t xml:space="preserve">Digital Realty (NYSE: DLR), the largest global provider of cloud- and carrier-neutral data center, colocation and interconnection solutions, announced today that Digital Euro Finco, LLC, a wholly owned indirect finance subsidiary of the company’s operating partnership, Digital Realty Trust, L.P., priced an offering of 1 billion aggregate principal amount of 5.125% Guaranteed Notes due 2036 at a price of 99.289% of the principal amount (the “Euro Notes”). </w:t>
      </w:r>
    </w:p>
    <w:p>
      <w:pPr>
        <w:pStyle w:val="TextBody"/>
        <w:bidi w:val="0"/>
        <w:spacing w:before="240" w:after="0"/>
        <w:jc w:val="left"/>
        <w:rPr>
          <w:rFonts w:ascii="Times New Roman" w:hAnsi="Times New Roman"/>
          <w:sz w:val="20"/>
        </w:rPr>
      </w:pPr>
      <w:r>
        <w:rPr>
          <w:rFonts w:ascii="Times New Roman" w:hAnsi="Times New Roman"/>
          <w:sz w:val="20"/>
        </w:rPr>
        <w:t xml:space="preserve">The Euro Notes will be senior unsecured obligations of Digital Euro Finco, LLC and will be fully and unconditionally guaranteed by the company and the operating partnership. Interest on the Euro Notes will be payable annually in arrears at a rate of 5.125% per annum from and including October 9, 2026 and will mature on October 9, 2036. Closing of the offering is expected to occur on October 9,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allocate an amount equal to the net proceeds from the offering of the Euro Notes to finance or refinance, in part or in full, new and/or existing projects consistent with Digital Realty’s Green Bond Framework, including the development and redevelopment of such projects. Pending the allocation of the net proceeds of the Euro Notes to such projects, all or a portion of an amount equal to the net proceeds from the Euro Notes may be used to temporarily repay borrowings outstanding under the operating partnership’s global revolving credit facilities, acquire additional properties or businesses, fund development opportunities, invest in interest-bearing accounts and short-term, interest-bearing securities which are consistent with the company’s intention to qualify as a REIT for U.S. federal income tax purposes, and to provide for working capital and other general corporate purposes, including potentially for the repayment of other debt, or the redemption, repurchase, repayment or retirement of outstanding equity or debt securities, or a combination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Euro Notes are being sold only outside the United States in reliance on Regulation S under the U.S. Securities Act of 1933, as amended (the “Securities Act”). The Euro Notes have not been and will not be registered under the Securities Act and may not be offered or sold in the United States or to United States persons (within the meaning of Regulation S under the Securities Act) absent registration or an applicable exemption from registration requirements. This press release shall not constitute an offer to sell or a solicitation of an offer to buy the Euro Notes, nor shall there be any offer, solicitation or sale of the Euro Notes in any jurisdiction in which such offer, solicitation or sale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which are based on current expectations, forecasts and assumptions that involve risks and uncertainties that could cause actual outcomes and results to differ materially, including statements related to the timing and consummation of the offering of the Euro Notes and the expected use of the net proceeds. The company can provide no assurances that it will be able to complete the offering on the anticipated terms, or at all. For a further list and description of such risks and uncertainties, see the company’s reports and other filings with the U.S. Securities and Exchange Commission, including the Annual Report on Form 10-K for the year ended December 31, 2025 and the Quarterly Report on Form 10-Q for the quarters ended March 31, 2026 and June 30, 2026. The company disclaims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Reg S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an offer to sell or a solicitation of an offer to buy securities of Digital Realty Trust, Inc. or its subsidiaries. The securities have not been and will not be registered under the Securities Act, or with any securities regulatory authority of any state or other jurisdiction of the United States. Consequently, the securities may not be offered, sold, resold, transferred, delivered or distributed, directly or indirectly, into or within the United States except pursuant to an exemption from, or in a transaction not subject to, the registration requirements of the Securities Act and in compliance with any applicable securities laws of any state or other jurisdiction of the United States. Any offering of the securities will be conducted pursuant to Regulation S under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EEA Investors </w:t>
      </w:r>
    </w:p>
    <w:p>
      <w:pPr>
        <w:pStyle w:val="TextBody"/>
        <w:bidi w:val="0"/>
        <w:spacing w:before="120" w:after="0"/>
        <w:jc w:val="left"/>
        <w:rPr>
          <w:rFonts w:ascii="Times New Roman" w:hAnsi="Times New Roman"/>
          <w:sz w:val="20"/>
        </w:rPr>
      </w:pPr>
      <w:r>
        <w:rPr>
          <w:rFonts w:ascii="Times New Roman" w:hAnsi="Times New Roman"/>
          <w:sz w:val="20"/>
        </w:rPr>
        <w:t xml:space="preserve">The Euro Notes are not intended to be offered, sold or otherwise made available to and, with effect from such date,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2016/97/EU (as amended, the “IMD”), where that customer would not qualify as a professional client as defined in point (10) of Article 4(1) of MiFID II. No key information document required by Regulation (EU) No 1286/2014 (as amended, the “PRIIPs Regulation”) for offering or selling any in scope instrument or otherwise making such instruments available to retail investors in the EEA has been prepared. Offering or selling the Euro Notes or otherwise making them available to any retail investor in the EEA may be unlawful under the PRIIPs Regulation. This communication has been prepared on the basis that any offers or sales of Euro Notes in any Member State of the EEA will be made pursuant to an exemption under Regulation (EU) 2017/1129 (as amended or superseded, the “Prospectus Regulation”) from the requirement to publish a prospectus for offers or sales of Euro Notes. This communication is not a prospectus for the purposes of the Prospectus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UK Investors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is for distribution only to, and is directed at,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This announcement is directed only at relevant persons and must not be acted on or relied on by persons who are not relevant persons. Any investment or investment activity to which this announcement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The Euro Notes are not intended to be offered, sold or otherwise made available to and should not be offered, sold or otherwise made available to any retail investor in the United Kingdom.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(“UK MiFIR”). Consequently, no key information document required by Regulation (EU) No 1286/2014 as it forms part of domestic law by virtue of the EUWA (the “UK PRIIPs Regulation”) for offering or selling the Euro Notes or otherwise making them available to retail investors in the United Kingdom has been prepared and therefore offering or selling the Euro Notes or otherwise making them available to any retail investor in the United Kingdom may be unlawful under the UK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Relevant stabilization regulations including FCA/ICMA apply. Manufacturer target market (MIFID II and UK MiFIR product governance) is eligible counterparties and professional clients only (all distribution channels). No PRIIPs or UK PRIIPs key information document (KID) has been prepared as not available to retail in EEA or UK.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Jordan Sadler / Jim Huseby </w:t>
      </w:r>
    </w:p>
    <w:p>
      <w:pPr>
        <w:pStyle w:val="TextBody"/>
        <w:bidi w:val="0"/>
        <w:spacing w:before="0" w:after="0"/>
        <w:jc w:val="left"/>
        <w:rPr>
          <w:rFonts w:ascii="Times New Roman" w:hAnsi="Times New Roman"/>
          <w:sz w:val="20"/>
        </w:rPr>
      </w:pPr>
      <w:r>
        <w:rPr>
          <w:rFonts w:ascii="Times New Roman" w:hAnsi="Times New Roman"/>
          <w:sz w:val="20"/>
        </w:rPr>
        <w:t xml:space="preserve">Digital Realty </w:t>
      </w:r>
    </w:p>
    <w:p>
      <w:pPr>
        <w:pStyle w:val="TextBody"/>
        <w:bidi w:val="0"/>
        <w:spacing w:before="0" w:after="0"/>
        <w:jc w:val="left"/>
        <w:rPr>
          <w:rFonts w:ascii="Times New Roman" w:hAnsi="Times New Roman"/>
          <w:sz w:val="20"/>
        </w:rPr>
      </w:pPr>
      <w:r>
        <w:rPr>
          <w:rFonts w:ascii="Times New Roman" w:hAnsi="Times New Roman"/>
          <w:sz w:val="20"/>
        </w:rPr>
        <w:t xml:space="preserve">(415) 275 5344 </w:t>
      </w:r>
    </w:p>
    <w:p>
      <w:pPr>
        <w:pStyle w:val="TextBody"/>
        <w:bidi w:val="0"/>
        <w:spacing w:before="0" w:after="0"/>
        <w:jc w:val="left"/>
        <w:rPr>
          <w:rFonts w:ascii="Times New Roman" w:hAnsi="Times New Roman"/>
          <w:sz w:val="20"/>
        </w:rPr>
      </w:pPr>
      <w:r>
        <w:rPr>
          <w:rFonts w:ascii="Times New Roman" w:hAnsi="Times New Roman"/>
          <w:sz w:val="20"/>
        </w:rPr>
        <w:t xml:space="preserve">InvestorRelations@digitalrealty.com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2984</Words>
  <Characters>15963</Characters>
  <CharactersWithSpaces>18938</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